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left="0" w:leftChars="0" w:firstLine="0" w:firstLineChars="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蓝田县</w:t>
      </w:r>
      <w:r>
        <w:rPr>
          <w:rFonts w:hint="eastAsia" w:ascii="方正小标宋简体" w:hAnsi="方正小标宋简体" w:eastAsia="方正小标宋简体" w:cs="方正小标宋简体"/>
          <w:sz w:val="36"/>
          <w:szCs w:val="36"/>
          <w:lang w:val="en-US" w:eastAsia="zh-CN"/>
        </w:rPr>
        <w:t>应急管理</w:t>
      </w:r>
      <w:r>
        <w:rPr>
          <w:rFonts w:hint="eastAsia" w:ascii="方正小标宋简体" w:hAnsi="方正小标宋简体" w:eastAsia="方正小标宋简体" w:cs="方正小标宋简体"/>
          <w:sz w:val="36"/>
          <w:szCs w:val="36"/>
        </w:rPr>
        <w:t>局</w:t>
      </w:r>
    </w:p>
    <w:p>
      <w:pPr>
        <w:adjustRightInd w:val="0"/>
        <w:snapToGrid w:val="0"/>
        <w:ind w:left="0" w:leftChars="0" w:firstLine="0" w:firstLineChars="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2020年部门综合预算说明</w:t>
      </w:r>
    </w:p>
    <w:p>
      <w:pPr>
        <w:spacing w:line="360" w:lineRule="auto"/>
        <w:ind w:firstLine="640"/>
        <w:rPr>
          <w:rFonts w:ascii="仿宋" w:hAnsi="仿宋" w:eastAsia="仿宋" w:cs="仿宋"/>
          <w:sz w:val="32"/>
          <w:szCs w:val="32"/>
        </w:rPr>
      </w:pPr>
    </w:p>
    <w:p>
      <w:pPr>
        <w:spacing w:line="360" w:lineRule="auto"/>
        <w:ind w:firstLine="643"/>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目  录</w:t>
      </w:r>
    </w:p>
    <w:p>
      <w:pPr>
        <w:spacing w:line="360" w:lineRule="auto"/>
        <w:ind w:firstLine="643"/>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   部门概况</w:t>
      </w:r>
    </w:p>
    <w:p>
      <w:pPr>
        <w:spacing w:line="360" w:lineRule="auto"/>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一、部门主要职责及机构设置</w:t>
      </w:r>
    </w:p>
    <w:p>
      <w:pPr>
        <w:spacing w:line="360" w:lineRule="auto"/>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二、2020年年度部门工作任务</w:t>
      </w:r>
    </w:p>
    <w:p>
      <w:pPr>
        <w:spacing w:line="360" w:lineRule="auto"/>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三、部门预算单位构成</w:t>
      </w:r>
    </w:p>
    <w:p>
      <w:pPr>
        <w:spacing w:line="360" w:lineRule="auto"/>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四、部门人员情况说明</w:t>
      </w:r>
    </w:p>
    <w:p>
      <w:pPr>
        <w:spacing w:line="360" w:lineRule="auto"/>
        <w:ind w:firstLine="643"/>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第二部分   收支情况</w:t>
      </w:r>
    </w:p>
    <w:p>
      <w:pPr>
        <w:spacing w:line="360" w:lineRule="auto"/>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五、2020年部门预算收支说明</w:t>
      </w:r>
    </w:p>
    <w:p>
      <w:pPr>
        <w:spacing w:line="360" w:lineRule="auto"/>
        <w:ind w:firstLine="643"/>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第三部分   其他说明情况</w:t>
      </w:r>
    </w:p>
    <w:p>
      <w:pPr>
        <w:spacing w:line="360" w:lineRule="auto"/>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六、部门预算“三公”经费等情况说明</w:t>
      </w:r>
    </w:p>
    <w:p>
      <w:pPr>
        <w:spacing w:line="360" w:lineRule="auto"/>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七、部门国有资产占有使用及资产购置情况说明</w:t>
      </w:r>
    </w:p>
    <w:p>
      <w:pPr>
        <w:spacing w:line="360" w:lineRule="auto"/>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八、部门政府采购情况说明</w:t>
      </w:r>
    </w:p>
    <w:p>
      <w:pPr>
        <w:spacing w:line="360" w:lineRule="auto"/>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九、部门预算绩效目标说明</w:t>
      </w:r>
    </w:p>
    <w:p>
      <w:pPr>
        <w:spacing w:line="360" w:lineRule="auto"/>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十、机关运行经费安排说明</w:t>
      </w:r>
    </w:p>
    <w:p>
      <w:pPr>
        <w:spacing w:line="360" w:lineRule="auto"/>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十一、专业名词解释</w:t>
      </w:r>
    </w:p>
    <w:p>
      <w:pPr>
        <w:spacing w:line="360" w:lineRule="auto"/>
        <w:ind w:firstLine="643"/>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   公开报表</w:t>
      </w:r>
    </w:p>
    <w:p>
      <w:pPr>
        <w:spacing w:line="360" w:lineRule="auto"/>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（具体部门预算公开报表）</w:t>
      </w:r>
    </w:p>
    <w:p>
      <w:pPr>
        <w:spacing w:line="360" w:lineRule="auto"/>
        <w:ind w:firstLine="643"/>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  部门概况</w:t>
      </w:r>
    </w:p>
    <w:p>
      <w:pPr>
        <w:spacing w:line="360" w:lineRule="auto"/>
        <w:ind w:firstLine="643"/>
        <w:rPr>
          <w:rFonts w:hint="eastAsia" w:ascii="黑体" w:hAnsi="黑体" w:eastAsia="黑体" w:cs="黑体"/>
          <w:b w:val="0"/>
          <w:bCs w:val="0"/>
          <w:sz w:val="32"/>
          <w:szCs w:val="32"/>
        </w:rPr>
      </w:pPr>
      <w:r>
        <w:rPr>
          <w:rFonts w:hint="eastAsia" w:ascii="黑体" w:hAnsi="黑体" w:eastAsia="黑体" w:cs="黑体"/>
          <w:b w:val="0"/>
          <w:bCs w:val="0"/>
          <w:sz w:val="32"/>
          <w:szCs w:val="32"/>
        </w:rPr>
        <w:t>一、部门主要职责及机构设置</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县应急管理局贯彻落实党中央、省委、市委、县委关于应急管理工作的方针政策和决策部署，在履行职责过程中坚持和加强党对应急管理工作的集中统一领导。主要职责是：</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（一）贯彻国家应急管理、安全生产、防灾减灾方面的法律法规和政策规定,贯彻省市相关地方性法规和规章、规程标准等，组织编制全县应急体系建设、安全生产和综合防灾减灾规划，并监督实施。</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（二）负责全县应急管理工作，指导各镇街（管委会）和县级各部门应对安全生产类、自然灾害类等突发事件和综合防灾减灾救灾工作。</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（三）负责安全生产综合监督管理和工矿商贸行业、危险化学品、烟花爆竹安全生产监督管理工作。</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四）负责全县应急预案体系建设，落实事故灾难和自然灾害分级应对地方制度，组织编制全县总体应急预案和安全生产类、自然灾害类专项预案，指导各镇街（管委会）应急预案编制，综合协调应急预案衔接工作，组织开展预案演练，推动应急避难设施建设。</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（五）牵头建立全县统一的应急管理信息系统，建立监测预警和灾情报告制度，健全自然灾害信息资源获取和共享机制，依法发布灾情。</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六）组织指导协调全县安全生产类、自然灾害类等突发事件应急救援，承担县应对一般灾害指挥部工作，综合研判突发事件发展态势并提出应对建议，协助县委、县政府指定的负责同志组织一般灾害应急处置工作。</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（七）统一协调指挥全县各类应急专业队伍，建立应急协调联动机制，推进指挥平台对接，衔接驻蓝武警部队参与应急救援工作。</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（八）统筹全县应急救援力量建设，负责消防、森林火灾扑救、抗洪抢险、地震和地质灾害救援、生产安全事故救援等专业应急救援力量建设，协调指导镇街（管委会）和社会应急救援力量建设。</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（九）依法负责全县消防管理工作，指导各镇街（管委会）消防监督、火灾预防、火灾扑救等工作。</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（十）指导协调全县森林火灾、水旱灾害、地震和地质灾害等防治工作，负责自然灾害综合监测预警工作，指导开展自然灾害综合风险评估工作。</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（十一）组织协调灾害救助工作，组织指导灾情核查、损失评估、救灾捐赠工作，管理、分配中省市县救灾款物并监督使用。</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（十二）依法行使全县安全生产综合监督管理职权，指导协调、监督检查县级部门和镇街（管委会）安全生产工作，组织开展安全生产巡查、考核工作。</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十三）按照分级、属地原则，依法监督检查工矿商贸行业、危险化学品和烟花爆竹领域生产经营单位贯彻执行安全生产法律法规情况及其安全生产条件和有关设备（特种设备除外）、材料、劳动防护用品的安全生产管理工作，负责安全生产执法工作，依法组织并指导监督实施安全生产准入制度。</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（十四）依法组织指导全县范围内生产安全事故调查处理，监督事故查处、责任追究和整改措施落实情况，组织开展自然灾害类突发事件的调查评估工作。</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（十五）制定全县应急物资储备和应急救援装备规划并组织实施，会同县级有关部门建立健全应急物资信息平台和调拨制度，负责应急救灾物资统一调度。</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（十六）负责应急管理、安全生产、防灾减灾等宣传教育和培训工作，组织指导应急管理、安全生产、防灾减灾的科学技术研究、推广应用和信息化建设工作。</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（十七）负责管理全县防震减灾工作。</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（十八）开展应急管理方面的对外交流和合作。</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（十九）完成县委、县政府交办的其他任务。</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lang w:val="en-US" w:eastAsia="zh-CN"/>
        </w:rPr>
        <w:t>（二十）职能转变。</w:t>
      </w:r>
    </w:p>
    <w:p>
      <w:pPr>
        <w:spacing w:line="360" w:lineRule="auto"/>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县应急管理局应加强、优化、统筹全县应急能力建设，构建统一领导、权责一致、权威高效的县级应急指挥体系，推动形成统一指挥、专常兼备、反应灵敏、上下联动、平战结合的应急管理体制。一是坚持以防为主、防抗救结合，坚持常态减灾和非常态救灾相统一，努力实现从注重灾后救助向注重灾前预防转变，从应对单一灾种向综合减灾转变，从减少灾害损失向减轻灾害风险转变，提高全县应急管理水平和防灾减灾救灾能力，防范化解重特大安全风险。二是坚持以人为本，把确保人民群众生命安全放在首位，确保受灾群众基本生活，加强应急预案演练，增强全民防灾减灾意识，提升公众知识普及和自救互救技能，切实减少人员伤亡和财产损失。三是树立安全发展理念，坚持生命至上、安全第一，完善安全生产责任制，坚决遏制较大安全事故。</w:t>
      </w:r>
    </w:p>
    <w:p>
      <w:pPr>
        <w:spacing w:line="360" w:lineRule="auto"/>
        <w:ind w:firstLine="643"/>
        <w:rPr>
          <w:rFonts w:hint="eastAsia" w:ascii="黑体" w:hAnsi="黑体" w:eastAsia="黑体" w:cs="黑体"/>
          <w:b w:val="0"/>
          <w:bCs w:val="0"/>
          <w:sz w:val="32"/>
          <w:szCs w:val="32"/>
        </w:rPr>
      </w:pPr>
      <w:r>
        <w:rPr>
          <w:rFonts w:hint="eastAsia" w:ascii="黑体" w:hAnsi="黑体" w:eastAsia="黑体" w:cs="黑体"/>
          <w:b w:val="0"/>
          <w:bCs w:val="0"/>
          <w:sz w:val="32"/>
          <w:szCs w:val="32"/>
        </w:rPr>
        <w:t>二、2020年度部门工作任务</w:t>
      </w:r>
    </w:p>
    <w:p>
      <w:pPr>
        <w:spacing w:line="520" w:lineRule="exact"/>
        <w:ind w:firstLine="640" w:firstLineChars="200"/>
        <w:rPr>
          <w:rFonts w:ascii="仿宋_GB2312" w:hAnsi="仿宋" w:eastAsia="仿宋_GB2312"/>
          <w:color w:val="0C0C0C"/>
          <w:sz w:val="32"/>
          <w:szCs w:val="32"/>
        </w:rPr>
      </w:pPr>
      <w:r>
        <w:rPr>
          <w:rFonts w:hint="eastAsia" w:ascii="仿宋_GB2312" w:hAnsi="仿宋" w:eastAsia="仿宋_GB2312"/>
          <w:color w:val="0C0C0C"/>
          <w:sz w:val="32"/>
          <w:szCs w:val="32"/>
          <w:lang w:val="en-US" w:eastAsia="zh-CN"/>
        </w:rPr>
        <w:t>2020</w:t>
      </w:r>
      <w:r>
        <w:rPr>
          <w:rFonts w:hint="eastAsia" w:ascii="仿宋_GB2312" w:hAnsi="仿宋" w:eastAsia="仿宋_GB2312"/>
          <w:color w:val="0C0C0C"/>
          <w:sz w:val="32"/>
          <w:szCs w:val="32"/>
        </w:rPr>
        <w:t>年全县安全生产工作的总体思路是：以习近平新时代中国特色社会主义思想为指导，认真贯彻落实党中央、国务院及省、市、县委和政府决策部署，坚持安全第一、预防为主、综合治理的方针，牢固树立安全发展理念，严格落实安全生产责任，强化安全预防措施，夯实安全生产基础，大力开展重点行业领域安全生产执法检查及隐患排查治理，完善安全生产应急救援体系，坚持常态减灾和非常态救灾相统一，努力实现从注重灾后救助向注重灾前预防转变，从应对单一灾种向综合减灾转变，提高全县应急管理和抵御自然灾害的综合防范能力，有效防范和坚决遏制较大以上事故发生，切实保障人民群众生命财产安全，为创建“人文山水蓝田、丝路生态慢城”、实现追赶超越创造安全生产环境。</w:t>
      </w:r>
    </w:p>
    <w:p>
      <w:pPr>
        <w:spacing w:line="520" w:lineRule="exact"/>
        <w:ind w:firstLine="640" w:firstLineChars="200"/>
        <w:rPr>
          <w:rFonts w:ascii="仿宋_GB2312" w:hAnsi="仿宋" w:eastAsia="仿宋_GB2312"/>
          <w:color w:val="0C0C0C"/>
          <w:sz w:val="32"/>
          <w:szCs w:val="32"/>
        </w:rPr>
      </w:pPr>
      <w:r>
        <w:rPr>
          <w:rFonts w:hint="eastAsia" w:ascii="楷体_GB2312" w:hAnsi="仿宋" w:eastAsia="楷体_GB2312"/>
          <w:color w:val="0C0C0C"/>
          <w:sz w:val="32"/>
          <w:szCs w:val="32"/>
        </w:rPr>
        <w:t>（一）积极推进安全生产领域改革发展。</w:t>
      </w:r>
      <w:r>
        <w:rPr>
          <w:rFonts w:hint="eastAsia" w:ascii="仿宋_GB2312" w:hAnsi="仿宋" w:eastAsia="仿宋_GB2312"/>
          <w:color w:val="0C0C0C"/>
          <w:sz w:val="32"/>
          <w:szCs w:val="32"/>
        </w:rPr>
        <w:t>按照《关于推进安全生产领域改革发展的实施意见》及推进安全生产领域改革发展重点任务分工方案，抓好贯彻落实。</w:t>
      </w:r>
    </w:p>
    <w:p>
      <w:pPr>
        <w:spacing w:line="520" w:lineRule="exact"/>
        <w:ind w:firstLine="640" w:firstLineChars="200"/>
        <w:rPr>
          <w:rFonts w:ascii="仿宋_GB2312" w:hAnsi="仿宋" w:eastAsia="仿宋_GB2312"/>
          <w:color w:val="0C0C0C"/>
          <w:sz w:val="32"/>
          <w:szCs w:val="32"/>
        </w:rPr>
      </w:pPr>
      <w:r>
        <w:rPr>
          <w:rFonts w:hint="eastAsia" w:ascii="楷体_GB2312" w:hAnsi="仿宋" w:eastAsia="楷体_GB2312"/>
          <w:color w:val="0C0C0C"/>
          <w:sz w:val="32"/>
          <w:szCs w:val="32"/>
        </w:rPr>
        <w:t>（二）不断夯实安全生产责任制。</w:t>
      </w:r>
      <w:r>
        <w:rPr>
          <w:rFonts w:hint="eastAsia" w:ascii="仿宋_GB2312" w:hAnsi="仿宋" w:eastAsia="仿宋_GB2312"/>
          <w:color w:val="0C0C0C"/>
          <w:sz w:val="32"/>
          <w:szCs w:val="32"/>
        </w:rPr>
        <w:t>严格落实《地方党政领导干部安全生产责任制规定》和省、市贯彻落实的《实施细则》，按照我县实施细则，建立完善覆盖各级党委政府、部门、企事业单位，贯穿县、镇、村的立体式、网格化安全生产和灾害防治责任体系。</w:t>
      </w:r>
    </w:p>
    <w:p>
      <w:pPr>
        <w:spacing w:line="520" w:lineRule="exact"/>
        <w:ind w:firstLine="640" w:firstLineChars="200"/>
        <w:rPr>
          <w:rFonts w:ascii="仿宋_GB2312" w:hAnsi="仿宋" w:eastAsia="仿宋_GB2312"/>
          <w:color w:val="0C0C0C"/>
          <w:sz w:val="32"/>
          <w:szCs w:val="32"/>
        </w:rPr>
      </w:pPr>
      <w:r>
        <w:rPr>
          <w:rFonts w:hint="eastAsia" w:ascii="楷体_GB2312" w:hAnsi="仿宋" w:eastAsia="楷体_GB2312"/>
          <w:color w:val="0C0C0C"/>
          <w:sz w:val="32"/>
          <w:szCs w:val="32"/>
        </w:rPr>
        <w:t>（三）全面提升安全生产法治水平。</w:t>
      </w:r>
      <w:r>
        <w:rPr>
          <w:rFonts w:hint="eastAsia" w:ascii="仿宋_GB2312" w:hAnsi="仿宋" w:eastAsia="仿宋_GB2312"/>
          <w:color w:val="0C0C0C"/>
          <w:sz w:val="32"/>
          <w:szCs w:val="32"/>
        </w:rPr>
        <w:t>加强监管执法和执法监督体系建设，建立健全监管执法保障机制，规范执法行为，依法严厉打击违法行为，倒逼企业主体责任落实。</w:t>
      </w:r>
    </w:p>
    <w:p>
      <w:pPr>
        <w:spacing w:line="520" w:lineRule="exact"/>
        <w:ind w:firstLine="640" w:firstLineChars="200"/>
        <w:rPr>
          <w:rFonts w:ascii="仿宋_GB2312" w:hAnsi="仿宋" w:eastAsia="仿宋_GB2312"/>
          <w:color w:val="0C0C0C"/>
          <w:sz w:val="32"/>
          <w:szCs w:val="32"/>
        </w:rPr>
      </w:pPr>
      <w:r>
        <w:rPr>
          <w:rFonts w:hint="eastAsia" w:ascii="楷体_GB2312" w:hAnsi="仿宋" w:eastAsia="楷体_GB2312"/>
          <w:color w:val="0C0C0C"/>
          <w:sz w:val="32"/>
          <w:szCs w:val="32"/>
        </w:rPr>
        <w:t>（四）不断提高安全生产防控能力。</w:t>
      </w:r>
      <w:r>
        <w:rPr>
          <w:rFonts w:hint="eastAsia" w:ascii="仿宋_GB2312" w:hAnsi="仿宋" w:eastAsia="仿宋_GB2312"/>
          <w:color w:val="0C0C0C"/>
          <w:sz w:val="32"/>
          <w:szCs w:val="32"/>
        </w:rPr>
        <w:t>深化道路交通、建筑施工、危险化学品等重点行业领域专项治理，严格管控风险，及时发现消除隐患、堵塞漏洞。</w:t>
      </w:r>
    </w:p>
    <w:p>
      <w:pPr>
        <w:spacing w:line="520" w:lineRule="exact"/>
        <w:ind w:firstLine="640" w:firstLineChars="200"/>
        <w:rPr>
          <w:rFonts w:ascii="仿宋_GB2312" w:hAnsi="仿宋" w:eastAsia="仿宋_GB2312"/>
          <w:color w:val="0C0C0C"/>
          <w:sz w:val="32"/>
          <w:szCs w:val="32"/>
        </w:rPr>
      </w:pPr>
      <w:r>
        <w:rPr>
          <w:rFonts w:hint="eastAsia" w:ascii="楷体_GB2312" w:hAnsi="仿宋" w:eastAsia="楷体_GB2312"/>
          <w:color w:val="0C0C0C"/>
          <w:sz w:val="32"/>
          <w:szCs w:val="32"/>
        </w:rPr>
        <w:t>（五）抓好机构改革期间各项工作。</w:t>
      </w:r>
      <w:r>
        <w:rPr>
          <w:rFonts w:hint="eastAsia" w:ascii="仿宋_GB2312" w:hAnsi="仿宋" w:eastAsia="仿宋_GB2312"/>
          <w:color w:val="0C0C0C"/>
          <w:sz w:val="32"/>
          <w:szCs w:val="32"/>
        </w:rPr>
        <w:t>贯彻习近平总书记关于应急管理、安全生产、防灾减灾等重要指示批示，严格履行监管责任，重点抓好风险隐患排查、安全生产“六大”行动、消防火灾防控、危化品综合治理、安全生产宣传教育以及事故应急响应处置等工作，同时要加大与机构编制部门对接力度，既要确保改革期间安全生产工作不断档，还要确保应急管理机构设置和人员编制符合中省市的有关要求。</w:t>
      </w:r>
    </w:p>
    <w:p>
      <w:pPr>
        <w:spacing w:line="520" w:lineRule="exact"/>
        <w:ind w:firstLine="640" w:firstLineChars="200"/>
        <w:rPr>
          <w:rFonts w:hint="eastAsia" w:ascii="仿宋_GB2312" w:hAnsi="仿宋_GB2312" w:eastAsia="仿宋_GB2312" w:cs="仿宋_GB2312"/>
          <w:sz w:val="32"/>
          <w:szCs w:val="32"/>
        </w:rPr>
      </w:pPr>
      <w:r>
        <w:rPr>
          <w:rFonts w:hint="eastAsia" w:ascii="楷体_GB2312" w:hAnsi="仿宋" w:eastAsia="楷体_GB2312"/>
          <w:color w:val="0C0C0C"/>
          <w:sz w:val="32"/>
          <w:szCs w:val="32"/>
        </w:rPr>
        <w:t>（六）持续加强应急管理。</w:t>
      </w:r>
      <w:r>
        <w:rPr>
          <w:rFonts w:hint="eastAsia" w:ascii="仿宋_GB2312" w:hAnsi="仿宋" w:eastAsia="仿宋_GB2312"/>
          <w:color w:val="0C0C0C"/>
          <w:sz w:val="32"/>
          <w:szCs w:val="32"/>
        </w:rPr>
        <w:t>针对冬季可能发生的雨雪冰冻等灾害，各相关部门要进一步健全应急预案，提升专业化技术装备水平，定期开展实战演练，加强值班值守和人员、物资调度，畅通信息报送渠道，确保第一时间发现问题、第一时间响应处置、第一时间报送情况，坚决把人员伤亡和财产损失降到最低程度。</w:t>
      </w:r>
    </w:p>
    <w:p>
      <w:pPr>
        <w:pStyle w:val="4"/>
        <w:widowControl/>
        <w:shd w:val="clear" w:color="auto" w:fill="FFFFFF"/>
        <w:spacing w:before="0" w:beforeAutospacing="0" w:after="0" w:afterAutospacing="0" w:line="576" w:lineRule="exact"/>
        <w:ind w:firstLine="640" w:firstLineChars="200"/>
        <w:rPr>
          <w:rFonts w:hint="eastAsia" w:ascii="仿宋_GB2312" w:eastAsia="仿宋_GB2312"/>
          <w:kern w:val="2"/>
          <w:sz w:val="32"/>
          <w:szCs w:val="32"/>
        </w:rPr>
      </w:pPr>
      <w:r>
        <w:rPr>
          <w:rFonts w:hint="eastAsia" w:ascii="楷体_GB2312" w:hAnsi="仿宋" w:eastAsia="楷体_GB2312"/>
          <w:color w:val="0C0C0C"/>
          <w:sz w:val="32"/>
          <w:szCs w:val="32"/>
        </w:rPr>
        <w:t>（七）深入开展脱贫攻坚。</w:t>
      </w:r>
      <w:r>
        <w:rPr>
          <w:rFonts w:hint="eastAsia" w:ascii="仿宋_GB2312" w:eastAsia="仿宋_GB2312"/>
          <w:kern w:val="2"/>
          <w:sz w:val="32"/>
          <w:szCs w:val="32"/>
        </w:rPr>
        <w:t>按照县委县政府安排，驻村工作队长、第一书记坚持驻村帮建，包扶干部继续深入村组与困难群众对接，落实帮扶措施，完成扶贫包户任务，确保实现脱贫目标。 </w:t>
      </w:r>
    </w:p>
    <w:p>
      <w:pPr>
        <w:spacing w:line="360" w:lineRule="auto"/>
        <w:ind w:firstLine="643"/>
        <w:rPr>
          <w:rFonts w:hint="eastAsia" w:ascii="黑体" w:hAnsi="黑体" w:eastAsia="黑体" w:cs="黑体"/>
          <w:b w:val="0"/>
          <w:bCs w:val="0"/>
          <w:sz w:val="32"/>
          <w:szCs w:val="32"/>
        </w:rPr>
      </w:pPr>
      <w:r>
        <w:rPr>
          <w:rFonts w:hint="eastAsia" w:ascii="黑体" w:hAnsi="黑体" w:eastAsia="黑体" w:cs="黑体"/>
          <w:b w:val="0"/>
          <w:bCs w:val="0"/>
          <w:sz w:val="32"/>
          <w:szCs w:val="32"/>
        </w:rPr>
        <w:t>三、部门预算单位构成</w:t>
      </w:r>
    </w:p>
    <w:p>
      <w:pPr>
        <w:adjustRightInd w:val="0"/>
        <w:snapToGrid w:val="0"/>
        <w:spacing w:line="576" w:lineRule="exact"/>
        <w:ind w:firstLine="640" w:firstLineChars="200"/>
        <w:rPr>
          <w:rFonts w:ascii="仿宋" w:hAnsi="仿宋" w:eastAsia="仿宋" w:cs="仿宋"/>
          <w:sz w:val="32"/>
          <w:szCs w:val="32"/>
        </w:rPr>
      </w:pPr>
      <w:r>
        <w:rPr>
          <w:rFonts w:hint="eastAsia" w:ascii="仿宋_GB2312" w:eastAsia="仿宋_GB2312"/>
          <w:sz w:val="32"/>
          <w:szCs w:val="32"/>
        </w:rPr>
        <w:t>蓝田县</w:t>
      </w:r>
      <w:r>
        <w:rPr>
          <w:rFonts w:hint="eastAsia" w:ascii="仿宋_GB2312" w:eastAsia="仿宋_GB2312"/>
          <w:sz w:val="32"/>
          <w:szCs w:val="32"/>
          <w:lang w:val="en-US" w:eastAsia="zh-CN"/>
        </w:rPr>
        <w:t>应急</w:t>
      </w:r>
      <w:r>
        <w:rPr>
          <w:rFonts w:hint="eastAsia" w:ascii="仿宋_GB2312" w:eastAsia="仿宋_GB2312"/>
          <w:sz w:val="32"/>
          <w:szCs w:val="32"/>
        </w:rPr>
        <w:t>管理局为全额拨款行政单位，下属</w:t>
      </w:r>
      <w:r>
        <w:rPr>
          <w:rFonts w:hint="eastAsia" w:ascii="仿宋_GB2312" w:eastAsia="仿宋_GB2312"/>
          <w:sz w:val="32"/>
          <w:szCs w:val="32"/>
          <w:lang w:val="en-US" w:eastAsia="zh-CN"/>
        </w:rPr>
        <w:t>蓝田县防汛抗旱指挥部办公室为参公单位，</w:t>
      </w:r>
      <w:r>
        <w:rPr>
          <w:rFonts w:hint="eastAsia" w:ascii="仿宋_GB2312" w:eastAsia="仿宋_GB2312"/>
          <w:sz w:val="32"/>
          <w:szCs w:val="32"/>
        </w:rPr>
        <w:t>蓝田县安全生产执法监察大队</w:t>
      </w:r>
      <w:r>
        <w:rPr>
          <w:rFonts w:hint="eastAsia" w:ascii="仿宋_GB2312" w:eastAsia="仿宋_GB2312"/>
          <w:sz w:val="32"/>
          <w:szCs w:val="32"/>
          <w:lang w:eastAsia="zh-CN"/>
        </w:rPr>
        <w:t>、</w:t>
      </w:r>
      <w:r>
        <w:rPr>
          <w:rFonts w:hint="eastAsia" w:ascii="仿宋_GB2312" w:eastAsia="仿宋_GB2312"/>
          <w:sz w:val="32"/>
          <w:szCs w:val="32"/>
          <w:lang w:val="en-US" w:eastAsia="zh-CN"/>
        </w:rPr>
        <w:t>蓝田县地震办公室</w:t>
      </w:r>
      <w:r>
        <w:rPr>
          <w:rFonts w:hint="eastAsia" w:ascii="仿宋_GB2312" w:eastAsia="仿宋_GB2312"/>
          <w:sz w:val="32"/>
          <w:szCs w:val="32"/>
        </w:rPr>
        <w:t>为全额拨款事业单位，无二级预算单位。</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纳入本部门2020年部门预算编制范围的</w:t>
      </w:r>
      <w:r>
        <w:rPr>
          <w:rFonts w:hint="eastAsia" w:ascii="仿宋" w:hAnsi="仿宋" w:eastAsia="仿宋" w:cs="仿宋"/>
          <w:sz w:val="32"/>
          <w:szCs w:val="32"/>
          <w:lang w:val="en-US" w:eastAsia="zh-CN"/>
        </w:rPr>
        <w:t>下属</w:t>
      </w:r>
      <w:r>
        <w:rPr>
          <w:rFonts w:hint="eastAsia" w:ascii="仿宋" w:hAnsi="仿宋" w:eastAsia="仿宋" w:cs="仿宋"/>
          <w:sz w:val="32"/>
          <w:szCs w:val="32"/>
        </w:rPr>
        <w:t>单位共有</w:t>
      </w:r>
      <w:r>
        <w:rPr>
          <w:rFonts w:hint="eastAsia" w:ascii="仿宋" w:hAnsi="仿宋" w:eastAsia="仿宋" w:cs="仿宋"/>
          <w:sz w:val="32"/>
          <w:szCs w:val="32"/>
          <w:lang w:val="en-US" w:eastAsia="zh-CN"/>
        </w:rPr>
        <w:t>3</w:t>
      </w:r>
      <w:r>
        <w:rPr>
          <w:rFonts w:hint="eastAsia" w:ascii="仿宋" w:hAnsi="仿宋" w:eastAsia="仿宋" w:cs="仿宋"/>
          <w:sz w:val="32"/>
          <w:szCs w:val="32"/>
        </w:rPr>
        <w:t>个，包括：</w:t>
      </w:r>
    </w:p>
    <w:tbl>
      <w:tblPr>
        <w:tblStyle w:val="5"/>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660"/>
        <w:gridCol w:w="5098"/>
        <w:gridCol w:w="2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660" w:type="dxa"/>
          </w:tcPr>
          <w:p>
            <w:pPr>
              <w:spacing w:line="360" w:lineRule="auto"/>
              <w:ind w:firstLine="0" w:firstLineChars="0"/>
              <w:jc w:val="center"/>
              <w:rPr>
                <w:rFonts w:ascii="仿宋" w:hAnsi="仿宋" w:eastAsia="仿宋" w:cs="仿宋"/>
                <w:sz w:val="32"/>
                <w:szCs w:val="32"/>
              </w:rPr>
            </w:pPr>
            <w:r>
              <w:rPr>
                <w:rFonts w:hint="eastAsia" w:ascii="仿宋" w:hAnsi="仿宋" w:eastAsia="仿宋" w:cs="仿宋"/>
                <w:sz w:val="32"/>
                <w:szCs w:val="32"/>
              </w:rPr>
              <w:t>序号</w:t>
            </w:r>
          </w:p>
        </w:tc>
        <w:tc>
          <w:tcPr>
            <w:tcW w:w="5098" w:type="dxa"/>
          </w:tcPr>
          <w:p>
            <w:pPr>
              <w:spacing w:line="360" w:lineRule="auto"/>
              <w:ind w:firstLine="0" w:firstLineChars="0"/>
              <w:jc w:val="center"/>
              <w:rPr>
                <w:rFonts w:ascii="仿宋" w:hAnsi="仿宋" w:eastAsia="仿宋" w:cs="仿宋"/>
                <w:sz w:val="32"/>
                <w:szCs w:val="32"/>
              </w:rPr>
            </w:pPr>
            <w:r>
              <w:rPr>
                <w:rFonts w:hint="eastAsia" w:ascii="仿宋" w:hAnsi="仿宋" w:eastAsia="仿宋" w:cs="仿宋"/>
                <w:sz w:val="32"/>
                <w:szCs w:val="32"/>
              </w:rPr>
              <w:t>单位名称</w:t>
            </w:r>
          </w:p>
        </w:tc>
        <w:tc>
          <w:tcPr>
            <w:tcW w:w="2087" w:type="dxa"/>
          </w:tcPr>
          <w:p>
            <w:pPr>
              <w:spacing w:line="360" w:lineRule="auto"/>
              <w:ind w:firstLine="0" w:firstLineChars="0"/>
              <w:jc w:val="center"/>
              <w:rPr>
                <w:rFonts w:ascii="仿宋" w:hAnsi="仿宋" w:eastAsia="仿宋" w:cs="仿宋"/>
                <w:sz w:val="32"/>
                <w:szCs w:val="32"/>
              </w:rPr>
            </w:pPr>
            <w:r>
              <w:rPr>
                <w:rFonts w:hint="eastAsia" w:ascii="仿宋" w:hAnsi="仿宋" w:eastAsia="仿宋" w:cs="仿宋"/>
                <w:sz w:val="32"/>
                <w:szCs w:val="32"/>
              </w:rPr>
              <w:t>拟变动情况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660" w:type="dxa"/>
          </w:tcPr>
          <w:p>
            <w:pPr>
              <w:spacing w:line="360" w:lineRule="auto"/>
              <w:ind w:firstLine="0" w:firstLineChars="0"/>
              <w:jc w:val="center"/>
              <w:rPr>
                <w:rFonts w:ascii="仿宋" w:hAnsi="仿宋" w:eastAsia="仿宋" w:cs="仿宋"/>
                <w:sz w:val="32"/>
                <w:szCs w:val="32"/>
              </w:rPr>
            </w:pPr>
            <w:r>
              <w:rPr>
                <w:rFonts w:hint="eastAsia" w:ascii="仿宋" w:hAnsi="仿宋" w:eastAsia="仿宋" w:cs="仿宋"/>
                <w:sz w:val="32"/>
                <w:szCs w:val="32"/>
              </w:rPr>
              <w:t>1</w:t>
            </w:r>
          </w:p>
        </w:tc>
        <w:tc>
          <w:tcPr>
            <w:tcW w:w="5098" w:type="dxa"/>
          </w:tcPr>
          <w:p>
            <w:pPr>
              <w:spacing w:line="360" w:lineRule="auto"/>
              <w:ind w:firstLine="0" w:firstLineChars="0"/>
              <w:rPr>
                <w:rFonts w:ascii="仿宋" w:hAnsi="仿宋" w:eastAsia="仿宋" w:cs="仿宋"/>
                <w:sz w:val="32"/>
                <w:szCs w:val="32"/>
              </w:rPr>
            </w:pPr>
            <w:r>
              <w:rPr>
                <w:rFonts w:hint="eastAsia" w:ascii="仿宋" w:hAnsi="仿宋" w:eastAsia="仿宋" w:cs="仿宋"/>
                <w:sz w:val="32"/>
                <w:szCs w:val="32"/>
                <w:lang w:val="en-US" w:eastAsia="zh-CN"/>
              </w:rPr>
              <w:t>蓝田县应急管理局</w:t>
            </w:r>
            <w:r>
              <w:rPr>
                <w:rFonts w:hint="eastAsia" w:ascii="仿宋" w:hAnsi="仿宋" w:eastAsia="仿宋" w:cs="仿宋"/>
                <w:sz w:val="32"/>
                <w:szCs w:val="32"/>
              </w:rPr>
              <w:t>（机关）</w:t>
            </w:r>
          </w:p>
        </w:tc>
        <w:tc>
          <w:tcPr>
            <w:tcW w:w="2087" w:type="dxa"/>
          </w:tcPr>
          <w:p>
            <w:pPr>
              <w:spacing w:line="360" w:lineRule="auto"/>
              <w:ind w:firstLine="0" w:firstLineChars="0"/>
              <w:rPr>
                <w:rFonts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660" w:type="dxa"/>
          </w:tcPr>
          <w:p>
            <w:pPr>
              <w:spacing w:line="360" w:lineRule="auto"/>
              <w:ind w:firstLine="0" w:firstLineChars="0"/>
              <w:jc w:val="center"/>
              <w:rPr>
                <w:rFonts w:ascii="仿宋" w:hAnsi="仿宋" w:eastAsia="仿宋" w:cs="仿宋"/>
                <w:sz w:val="32"/>
                <w:szCs w:val="32"/>
              </w:rPr>
            </w:pPr>
            <w:r>
              <w:rPr>
                <w:rFonts w:hint="eastAsia" w:ascii="仿宋" w:hAnsi="仿宋" w:eastAsia="仿宋" w:cs="仿宋"/>
                <w:sz w:val="32"/>
                <w:szCs w:val="32"/>
              </w:rPr>
              <w:t>2</w:t>
            </w:r>
          </w:p>
        </w:tc>
        <w:tc>
          <w:tcPr>
            <w:tcW w:w="5098" w:type="dxa"/>
          </w:tcPr>
          <w:p>
            <w:pPr>
              <w:spacing w:line="360" w:lineRule="auto"/>
              <w:ind w:firstLine="0" w:firstLineChars="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蓝田县防汛抗旱指挥部办公室</w:t>
            </w:r>
          </w:p>
        </w:tc>
        <w:tc>
          <w:tcPr>
            <w:tcW w:w="2087" w:type="dxa"/>
          </w:tcPr>
          <w:p>
            <w:pPr>
              <w:spacing w:line="360" w:lineRule="auto"/>
              <w:ind w:firstLine="0" w:firstLineChars="0"/>
              <w:rPr>
                <w:rFonts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660" w:type="dxa"/>
          </w:tcPr>
          <w:p>
            <w:pPr>
              <w:spacing w:line="360" w:lineRule="auto"/>
              <w:ind w:firstLine="0" w:firstLineChars="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p>
        </w:tc>
        <w:tc>
          <w:tcPr>
            <w:tcW w:w="5098" w:type="dxa"/>
          </w:tcPr>
          <w:p>
            <w:pPr>
              <w:spacing w:line="360" w:lineRule="auto"/>
              <w:ind w:firstLine="0" w:firstLineChars="0"/>
              <w:rPr>
                <w:rFonts w:ascii="仿宋" w:hAnsi="仿宋" w:eastAsia="仿宋" w:cs="仿宋"/>
                <w:sz w:val="32"/>
                <w:szCs w:val="32"/>
              </w:rPr>
            </w:pPr>
            <w:r>
              <w:rPr>
                <w:rFonts w:hint="eastAsia" w:ascii="仿宋_GB2312" w:eastAsia="仿宋_GB2312"/>
                <w:sz w:val="32"/>
                <w:szCs w:val="32"/>
              </w:rPr>
              <w:t>蓝田县安全生产执法监察大队</w:t>
            </w:r>
          </w:p>
        </w:tc>
        <w:tc>
          <w:tcPr>
            <w:tcW w:w="2087" w:type="dxa"/>
          </w:tcPr>
          <w:p>
            <w:pPr>
              <w:spacing w:line="360" w:lineRule="auto"/>
              <w:ind w:firstLine="0" w:firstLineChars="0"/>
              <w:rPr>
                <w:rFonts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660" w:type="dxa"/>
          </w:tcPr>
          <w:p>
            <w:pPr>
              <w:spacing w:line="360" w:lineRule="auto"/>
              <w:ind w:firstLine="0" w:firstLineChars="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w:t>
            </w:r>
          </w:p>
        </w:tc>
        <w:tc>
          <w:tcPr>
            <w:tcW w:w="5098" w:type="dxa"/>
          </w:tcPr>
          <w:p>
            <w:pPr>
              <w:spacing w:line="360" w:lineRule="auto"/>
              <w:ind w:firstLine="0" w:firstLineChars="0"/>
              <w:rPr>
                <w:rFonts w:hint="eastAsia" w:ascii="仿宋" w:hAnsi="仿宋" w:eastAsia="仿宋" w:cs="仿宋"/>
                <w:sz w:val="32"/>
                <w:szCs w:val="32"/>
              </w:rPr>
            </w:pPr>
            <w:r>
              <w:rPr>
                <w:rFonts w:hint="eastAsia" w:ascii="仿宋_GB2312" w:eastAsia="仿宋_GB2312"/>
                <w:sz w:val="32"/>
                <w:szCs w:val="32"/>
                <w:lang w:val="en-US" w:eastAsia="zh-CN"/>
              </w:rPr>
              <w:t>蓝田县地震办公室</w:t>
            </w:r>
          </w:p>
        </w:tc>
        <w:tc>
          <w:tcPr>
            <w:tcW w:w="2087" w:type="dxa"/>
          </w:tcPr>
          <w:p>
            <w:pPr>
              <w:spacing w:line="360" w:lineRule="auto"/>
              <w:ind w:firstLine="0" w:firstLineChars="0"/>
              <w:rPr>
                <w:rFonts w:ascii="仿宋" w:hAnsi="仿宋" w:eastAsia="仿宋" w:cs="仿宋"/>
                <w:sz w:val="32"/>
                <w:szCs w:val="32"/>
              </w:rPr>
            </w:pPr>
          </w:p>
        </w:tc>
      </w:tr>
    </w:tbl>
    <w:p>
      <w:pPr>
        <w:spacing w:line="360" w:lineRule="auto"/>
        <w:ind w:firstLine="0" w:firstLineChars="0"/>
        <w:rPr>
          <w:rFonts w:ascii="仿宋" w:hAnsi="仿宋" w:eastAsia="仿宋" w:cs="仿宋"/>
          <w:sz w:val="32"/>
          <w:szCs w:val="32"/>
        </w:rPr>
      </w:pPr>
    </w:p>
    <w:p>
      <w:pPr>
        <w:spacing w:line="360" w:lineRule="auto"/>
        <w:ind w:firstLine="643"/>
        <w:rPr>
          <w:rFonts w:hint="eastAsia" w:ascii="黑体" w:hAnsi="黑体" w:eastAsia="黑体" w:cs="黑体"/>
          <w:b w:val="0"/>
          <w:bCs w:val="0"/>
          <w:sz w:val="32"/>
          <w:szCs w:val="32"/>
        </w:rPr>
      </w:pPr>
      <w:r>
        <w:rPr>
          <w:rFonts w:hint="eastAsia" w:ascii="黑体" w:hAnsi="黑体" w:eastAsia="黑体" w:cs="黑体"/>
          <w:b w:val="0"/>
          <w:bCs w:val="0"/>
          <w:sz w:val="32"/>
          <w:szCs w:val="32"/>
        </w:rPr>
        <w:t>四、部门人员情况说明</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截止2019年底，本部门人员编制</w:t>
      </w:r>
      <w:r>
        <w:rPr>
          <w:rFonts w:hint="eastAsia" w:ascii="仿宋" w:hAnsi="仿宋" w:eastAsia="仿宋" w:cs="仿宋"/>
          <w:sz w:val="32"/>
          <w:szCs w:val="32"/>
          <w:lang w:val="en-US" w:eastAsia="zh-CN"/>
        </w:rPr>
        <w:t>47</w:t>
      </w:r>
      <w:r>
        <w:rPr>
          <w:rFonts w:hint="eastAsia" w:ascii="仿宋" w:hAnsi="仿宋" w:eastAsia="仿宋" w:cs="仿宋"/>
          <w:sz w:val="32"/>
          <w:szCs w:val="32"/>
        </w:rPr>
        <w:t>人，其中行政编制</w:t>
      </w:r>
      <w:r>
        <w:rPr>
          <w:rFonts w:hint="eastAsia" w:ascii="仿宋" w:hAnsi="仿宋" w:eastAsia="仿宋" w:cs="仿宋"/>
          <w:sz w:val="32"/>
          <w:szCs w:val="32"/>
          <w:lang w:val="en-US" w:eastAsia="zh-CN"/>
        </w:rPr>
        <w:t>18</w:t>
      </w:r>
      <w:r>
        <w:rPr>
          <w:rFonts w:hint="eastAsia" w:ascii="仿宋" w:hAnsi="仿宋" w:eastAsia="仿宋" w:cs="仿宋"/>
          <w:sz w:val="32"/>
          <w:szCs w:val="32"/>
        </w:rPr>
        <w:t>人、</w:t>
      </w:r>
      <w:r>
        <w:rPr>
          <w:rFonts w:hint="eastAsia" w:ascii="仿宋" w:hAnsi="仿宋" w:eastAsia="仿宋" w:cs="仿宋"/>
          <w:sz w:val="32"/>
          <w:szCs w:val="32"/>
          <w:lang w:val="en-US" w:eastAsia="zh-CN"/>
        </w:rPr>
        <w:t>参公事业编制7人、</w:t>
      </w:r>
      <w:r>
        <w:rPr>
          <w:rFonts w:hint="eastAsia" w:ascii="仿宋" w:hAnsi="仿宋" w:eastAsia="仿宋" w:cs="仿宋"/>
          <w:sz w:val="32"/>
          <w:szCs w:val="32"/>
        </w:rPr>
        <w:t>事业编制</w:t>
      </w:r>
      <w:r>
        <w:rPr>
          <w:rFonts w:hint="eastAsia" w:ascii="仿宋" w:hAnsi="仿宋" w:eastAsia="仿宋" w:cs="仿宋"/>
          <w:sz w:val="32"/>
          <w:szCs w:val="32"/>
          <w:lang w:val="en-US" w:eastAsia="zh-CN"/>
        </w:rPr>
        <w:t>22</w:t>
      </w:r>
      <w:r>
        <w:rPr>
          <w:rFonts w:hint="eastAsia" w:ascii="仿宋" w:hAnsi="仿宋" w:eastAsia="仿宋" w:cs="仿宋"/>
          <w:sz w:val="32"/>
          <w:szCs w:val="32"/>
        </w:rPr>
        <w:t>人；实有人员</w:t>
      </w:r>
      <w:r>
        <w:rPr>
          <w:rFonts w:hint="eastAsia" w:ascii="仿宋" w:hAnsi="仿宋" w:eastAsia="仿宋" w:cs="仿宋"/>
          <w:sz w:val="32"/>
          <w:szCs w:val="32"/>
          <w:lang w:val="en-US" w:eastAsia="zh-CN"/>
        </w:rPr>
        <w:t>49</w:t>
      </w:r>
      <w:r>
        <w:rPr>
          <w:rFonts w:hint="eastAsia" w:ascii="仿宋" w:hAnsi="仿宋" w:eastAsia="仿宋" w:cs="仿宋"/>
          <w:sz w:val="32"/>
          <w:szCs w:val="32"/>
        </w:rPr>
        <w:t>人，其中行政</w:t>
      </w:r>
      <w:r>
        <w:rPr>
          <w:rFonts w:hint="eastAsia" w:ascii="仿宋" w:hAnsi="仿宋" w:eastAsia="仿宋" w:cs="仿宋"/>
          <w:sz w:val="32"/>
          <w:szCs w:val="32"/>
          <w:lang w:val="en-US" w:eastAsia="zh-CN"/>
        </w:rPr>
        <w:t>12</w:t>
      </w:r>
      <w:r>
        <w:rPr>
          <w:rFonts w:hint="eastAsia" w:ascii="仿宋" w:hAnsi="仿宋" w:eastAsia="仿宋" w:cs="仿宋"/>
          <w:sz w:val="32"/>
          <w:szCs w:val="32"/>
        </w:rPr>
        <w:t>人、</w:t>
      </w:r>
      <w:r>
        <w:rPr>
          <w:rFonts w:hint="eastAsia" w:ascii="仿宋" w:hAnsi="仿宋" w:eastAsia="仿宋" w:cs="仿宋"/>
          <w:sz w:val="32"/>
          <w:szCs w:val="32"/>
          <w:lang w:val="en-US" w:eastAsia="zh-CN"/>
        </w:rPr>
        <w:t>参公4人、</w:t>
      </w:r>
      <w:r>
        <w:rPr>
          <w:rFonts w:hint="eastAsia" w:ascii="仿宋" w:hAnsi="仿宋" w:eastAsia="仿宋" w:cs="仿宋"/>
          <w:sz w:val="32"/>
          <w:szCs w:val="32"/>
        </w:rPr>
        <w:t>事业</w:t>
      </w:r>
      <w:r>
        <w:rPr>
          <w:rFonts w:hint="eastAsia" w:ascii="仿宋" w:hAnsi="仿宋" w:eastAsia="仿宋" w:cs="仿宋"/>
          <w:sz w:val="32"/>
          <w:szCs w:val="32"/>
          <w:lang w:val="en-US" w:eastAsia="zh-CN"/>
        </w:rPr>
        <w:t>33</w:t>
      </w:r>
      <w:r>
        <w:rPr>
          <w:rFonts w:hint="eastAsia" w:ascii="仿宋" w:hAnsi="仿宋" w:eastAsia="仿宋" w:cs="仿宋"/>
          <w:sz w:val="32"/>
          <w:szCs w:val="32"/>
        </w:rPr>
        <w:t>人。单位管理的离退休人员</w:t>
      </w:r>
      <w:r>
        <w:rPr>
          <w:rFonts w:hint="eastAsia" w:ascii="仿宋" w:hAnsi="仿宋" w:eastAsia="仿宋" w:cs="仿宋"/>
          <w:sz w:val="32"/>
          <w:szCs w:val="32"/>
          <w:lang w:val="en-US" w:eastAsia="zh-CN"/>
        </w:rPr>
        <w:t>0</w:t>
      </w:r>
      <w:r>
        <w:rPr>
          <w:rFonts w:hint="eastAsia" w:ascii="仿宋" w:hAnsi="仿宋" w:eastAsia="仿宋" w:cs="仿宋"/>
          <w:sz w:val="32"/>
          <w:szCs w:val="32"/>
        </w:rPr>
        <w:t>人。</w:t>
      </w:r>
    </w:p>
    <w:p>
      <w:pPr>
        <w:spacing w:line="360" w:lineRule="auto"/>
        <w:ind w:firstLine="640"/>
        <w:rPr>
          <w:rFonts w:hint="eastAsia" w:ascii="仿宋" w:hAnsi="仿宋" w:eastAsia="仿宋" w:cs="仿宋"/>
          <w:sz w:val="32"/>
          <w:szCs w:val="32"/>
          <w:lang w:eastAsia="zh-CN"/>
        </w:rPr>
      </w:pPr>
      <w:r>
        <w:rPr>
          <w:rFonts w:hint="eastAsia" w:ascii="仿宋" w:hAnsi="仿宋" w:eastAsia="仿宋" w:cs="仿宋"/>
          <w:sz w:val="32"/>
          <w:szCs w:val="32"/>
          <w:lang w:eastAsia="zh-CN"/>
        </w:rPr>
        <w:drawing>
          <wp:inline distT="0" distB="0" distL="114300" distR="114300">
            <wp:extent cx="4600575" cy="2686050"/>
            <wp:effectExtent l="0" t="0" r="9525" b="0"/>
            <wp:docPr id="3" name="图片 3" descr="无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无标题"/>
                    <pic:cNvPicPr>
                      <a:picLocks noChangeAspect="1"/>
                    </pic:cNvPicPr>
                  </pic:nvPicPr>
                  <pic:blipFill>
                    <a:blip r:embed="rId10"/>
                    <a:stretch>
                      <a:fillRect/>
                    </a:stretch>
                  </pic:blipFill>
                  <pic:spPr>
                    <a:xfrm>
                      <a:off x="0" y="0"/>
                      <a:ext cx="4600575" cy="2686050"/>
                    </a:xfrm>
                    <a:prstGeom prst="rect">
                      <a:avLst/>
                    </a:prstGeom>
                  </pic:spPr>
                </pic:pic>
              </a:graphicData>
            </a:graphic>
          </wp:inline>
        </w:drawing>
      </w:r>
    </w:p>
    <w:p>
      <w:pPr>
        <w:spacing w:line="360" w:lineRule="auto"/>
        <w:ind w:left="0" w:leftChars="0"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第二部分  收支情况</w:t>
      </w:r>
    </w:p>
    <w:p>
      <w:pPr>
        <w:spacing w:line="360" w:lineRule="auto"/>
        <w:ind w:firstLine="643"/>
        <w:rPr>
          <w:rFonts w:hint="eastAsia" w:ascii="黑体" w:hAnsi="黑体" w:eastAsia="黑体" w:cs="黑体"/>
          <w:b w:val="0"/>
          <w:bCs w:val="0"/>
          <w:sz w:val="32"/>
          <w:szCs w:val="32"/>
        </w:rPr>
      </w:pPr>
      <w:r>
        <w:rPr>
          <w:rFonts w:hint="eastAsia" w:ascii="黑体" w:hAnsi="黑体" w:eastAsia="黑体" w:cs="黑体"/>
          <w:b w:val="0"/>
          <w:bCs w:val="0"/>
          <w:sz w:val="32"/>
          <w:szCs w:val="32"/>
        </w:rPr>
        <w:t>五、2020年部门预算收支说明</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（一）收支预算总体情况。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按照综合预算的原则，本部门所有收入和支出均纳入部门预算管理。2020年本部门预算收入</w:t>
      </w:r>
      <w:r>
        <w:rPr>
          <w:rFonts w:hint="eastAsia" w:ascii="仿宋" w:hAnsi="仿宋" w:eastAsia="仿宋" w:cs="仿宋"/>
          <w:sz w:val="32"/>
          <w:szCs w:val="32"/>
          <w:lang w:val="en-US" w:eastAsia="zh-CN"/>
        </w:rPr>
        <w:t>431.015154</w:t>
      </w:r>
      <w:r>
        <w:rPr>
          <w:rFonts w:hint="eastAsia" w:ascii="仿宋" w:hAnsi="仿宋" w:eastAsia="仿宋" w:cs="仿宋"/>
          <w:sz w:val="32"/>
          <w:szCs w:val="32"/>
        </w:rPr>
        <w:t>万元，其中一般公共预算拨款收入</w:t>
      </w:r>
      <w:r>
        <w:rPr>
          <w:rFonts w:hint="eastAsia" w:ascii="仿宋" w:hAnsi="仿宋" w:eastAsia="仿宋" w:cs="仿宋"/>
          <w:sz w:val="32"/>
          <w:szCs w:val="32"/>
          <w:lang w:val="en-US" w:eastAsia="zh-CN"/>
        </w:rPr>
        <w:t>431.015154</w:t>
      </w:r>
      <w:r>
        <w:rPr>
          <w:rFonts w:hint="eastAsia" w:ascii="仿宋" w:hAnsi="仿宋" w:eastAsia="仿宋" w:cs="仿宋"/>
          <w:sz w:val="32"/>
          <w:szCs w:val="32"/>
        </w:rPr>
        <w:t>万元、政府性基金拨款收入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万元，2020年本部门预算收入较上年增加</w:t>
      </w:r>
      <w:r>
        <w:rPr>
          <w:rFonts w:hint="eastAsia" w:ascii="仿宋" w:hAnsi="仿宋" w:eastAsia="仿宋" w:cs="仿宋"/>
          <w:sz w:val="32"/>
          <w:szCs w:val="32"/>
          <w:lang w:val="en-US" w:eastAsia="zh-CN"/>
        </w:rPr>
        <w:t>272.241894</w:t>
      </w:r>
      <w:r>
        <w:rPr>
          <w:rFonts w:hint="eastAsia" w:ascii="仿宋" w:hAnsi="仿宋" w:eastAsia="仿宋" w:cs="仿宋"/>
          <w:sz w:val="32"/>
          <w:szCs w:val="32"/>
        </w:rPr>
        <w:t>万元，主要原因是</w:t>
      </w:r>
      <w:r>
        <w:rPr>
          <w:rFonts w:hint="eastAsia" w:ascii="仿宋" w:hAnsi="仿宋" w:eastAsia="仿宋" w:cs="仿宋"/>
          <w:sz w:val="32"/>
          <w:szCs w:val="32"/>
          <w:lang w:val="en-US" w:eastAsia="zh-CN"/>
        </w:rPr>
        <w:t>机构改革，人员增加</w:t>
      </w:r>
      <w:r>
        <w:rPr>
          <w:rFonts w:hint="eastAsia" w:ascii="仿宋" w:hAnsi="仿宋" w:eastAsia="仿宋" w:cs="仿宋"/>
          <w:sz w:val="32"/>
          <w:szCs w:val="32"/>
        </w:rPr>
        <w:t>；2020年本部门预算支出</w:t>
      </w:r>
      <w:r>
        <w:rPr>
          <w:rFonts w:hint="eastAsia" w:ascii="仿宋" w:hAnsi="仿宋" w:eastAsia="仿宋" w:cs="仿宋"/>
          <w:sz w:val="32"/>
          <w:szCs w:val="32"/>
          <w:lang w:val="en-US" w:eastAsia="zh-CN"/>
        </w:rPr>
        <w:t>431.015154</w:t>
      </w:r>
      <w:r>
        <w:rPr>
          <w:rFonts w:hint="eastAsia" w:ascii="仿宋" w:hAnsi="仿宋" w:eastAsia="仿宋" w:cs="仿宋"/>
          <w:sz w:val="32"/>
          <w:szCs w:val="32"/>
        </w:rPr>
        <w:t>万元，其中一般公共预算拨款支出</w:t>
      </w:r>
      <w:r>
        <w:rPr>
          <w:rFonts w:hint="eastAsia" w:ascii="仿宋" w:hAnsi="仿宋" w:eastAsia="仿宋" w:cs="仿宋"/>
          <w:sz w:val="32"/>
          <w:szCs w:val="32"/>
          <w:lang w:val="en-US" w:eastAsia="zh-CN"/>
        </w:rPr>
        <w:t>431.015154</w:t>
      </w:r>
      <w:r>
        <w:rPr>
          <w:rFonts w:hint="eastAsia" w:ascii="仿宋" w:hAnsi="仿宋" w:eastAsia="仿宋" w:cs="仿宋"/>
          <w:sz w:val="32"/>
          <w:szCs w:val="32"/>
        </w:rPr>
        <w:t>万元、政府性基金拨款支出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万元，2020年本部门预算支出较上年增加</w:t>
      </w:r>
      <w:r>
        <w:rPr>
          <w:rFonts w:hint="eastAsia" w:ascii="仿宋" w:hAnsi="仿宋" w:eastAsia="仿宋" w:cs="仿宋"/>
          <w:sz w:val="32"/>
          <w:szCs w:val="32"/>
          <w:lang w:val="en-US" w:eastAsia="zh-CN"/>
        </w:rPr>
        <w:t>272.241894</w:t>
      </w:r>
      <w:r>
        <w:rPr>
          <w:rFonts w:hint="eastAsia" w:ascii="仿宋" w:hAnsi="仿宋" w:eastAsia="仿宋" w:cs="仿宋"/>
          <w:sz w:val="32"/>
          <w:szCs w:val="32"/>
        </w:rPr>
        <w:t>万元，主要原因是</w:t>
      </w:r>
      <w:r>
        <w:rPr>
          <w:rFonts w:hint="eastAsia" w:ascii="仿宋" w:hAnsi="仿宋" w:eastAsia="仿宋" w:cs="仿宋"/>
          <w:sz w:val="32"/>
          <w:szCs w:val="32"/>
          <w:lang w:val="en-US" w:eastAsia="zh-CN"/>
        </w:rPr>
        <w:t>机构改革，人员增加</w:t>
      </w:r>
      <w:r>
        <w:rPr>
          <w:rFonts w:hint="eastAsia" w:ascii="仿宋" w:hAnsi="仿宋" w:eastAsia="仿宋" w:cs="仿宋"/>
          <w:sz w:val="32"/>
          <w:szCs w:val="32"/>
        </w:rPr>
        <w:t>。</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（二）财政拨款收支情况。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2020年本部门财政拨款收入</w:t>
      </w:r>
      <w:r>
        <w:rPr>
          <w:rFonts w:hint="eastAsia" w:ascii="仿宋" w:hAnsi="仿宋" w:eastAsia="仿宋" w:cs="仿宋"/>
          <w:sz w:val="32"/>
          <w:szCs w:val="32"/>
          <w:lang w:val="en-US" w:eastAsia="zh-CN"/>
        </w:rPr>
        <w:t>431.015154</w:t>
      </w:r>
      <w:r>
        <w:rPr>
          <w:rFonts w:hint="eastAsia" w:ascii="仿宋" w:hAnsi="仿宋" w:eastAsia="仿宋" w:cs="仿宋"/>
          <w:sz w:val="32"/>
          <w:szCs w:val="32"/>
        </w:rPr>
        <w:t>万元，其中一般公共预算拨款收入</w:t>
      </w:r>
      <w:r>
        <w:rPr>
          <w:rFonts w:hint="eastAsia" w:ascii="仿宋" w:hAnsi="仿宋" w:eastAsia="仿宋" w:cs="仿宋"/>
          <w:sz w:val="32"/>
          <w:szCs w:val="32"/>
          <w:lang w:val="en-US" w:eastAsia="zh-CN"/>
        </w:rPr>
        <w:t>431.015154</w:t>
      </w:r>
      <w:r>
        <w:rPr>
          <w:rFonts w:hint="eastAsia" w:ascii="仿宋" w:hAnsi="仿宋" w:eastAsia="仿宋" w:cs="仿宋"/>
          <w:sz w:val="32"/>
          <w:szCs w:val="32"/>
        </w:rPr>
        <w:t>万元、政府性基金拨款收入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万元，2020年本部门财政拨款收入较上年增加</w:t>
      </w:r>
      <w:r>
        <w:rPr>
          <w:rFonts w:hint="eastAsia" w:ascii="仿宋" w:hAnsi="仿宋" w:eastAsia="仿宋" w:cs="仿宋"/>
          <w:sz w:val="32"/>
          <w:szCs w:val="32"/>
          <w:lang w:val="en-US" w:eastAsia="zh-CN"/>
        </w:rPr>
        <w:t>272.241894</w:t>
      </w:r>
      <w:r>
        <w:rPr>
          <w:rFonts w:hint="eastAsia" w:ascii="仿宋" w:hAnsi="仿宋" w:eastAsia="仿宋" w:cs="仿宋"/>
          <w:sz w:val="32"/>
          <w:szCs w:val="32"/>
        </w:rPr>
        <w:t>万元，主要原因是</w:t>
      </w:r>
      <w:r>
        <w:rPr>
          <w:rFonts w:hint="eastAsia" w:ascii="仿宋" w:hAnsi="仿宋" w:eastAsia="仿宋" w:cs="仿宋"/>
          <w:sz w:val="32"/>
          <w:szCs w:val="32"/>
          <w:lang w:val="en-US" w:eastAsia="zh-CN"/>
        </w:rPr>
        <w:t>机构改革，人员增加</w:t>
      </w:r>
      <w:r>
        <w:rPr>
          <w:rFonts w:hint="eastAsia" w:ascii="仿宋" w:hAnsi="仿宋" w:eastAsia="仿宋" w:cs="仿宋"/>
          <w:sz w:val="32"/>
          <w:szCs w:val="32"/>
        </w:rPr>
        <w:t>；2020年本部门财政拨款支出</w:t>
      </w:r>
      <w:r>
        <w:rPr>
          <w:rFonts w:hint="eastAsia" w:ascii="仿宋" w:hAnsi="仿宋" w:eastAsia="仿宋" w:cs="仿宋"/>
          <w:sz w:val="32"/>
          <w:szCs w:val="32"/>
          <w:lang w:val="en-US" w:eastAsia="zh-CN"/>
        </w:rPr>
        <w:t>431.015154</w:t>
      </w:r>
      <w:r>
        <w:rPr>
          <w:rFonts w:hint="eastAsia" w:ascii="仿宋" w:hAnsi="仿宋" w:eastAsia="仿宋" w:cs="仿宋"/>
          <w:sz w:val="32"/>
          <w:szCs w:val="32"/>
        </w:rPr>
        <w:t>万元，其中一般公共预算拨款支出</w:t>
      </w:r>
      <w:r>
        <w:rPr>
          <w:rFonts w:hint="eastAsia" w:ascii="仿宋" w:hAnsi="仿宋" w:eastAsia="仿宋" w:cs="仿宋"/>
          <w:sz w:val="32"/>
          <w:szCs w:val="32"/>
          <w:lang w:val="en-US" w:eastAsia="zh-CN"/>
        </w:rPr>
        <w:t>431.015154</w:t>
      </w:r>
      <w:r>
        <w:rPr>
          <w:rFonts w:hint="eastAsia" w:ascii="仿宋" w:hAnsi="仿宋" w:eastAsia="仿宋" w:cs="仿宋"/>
          <w:sz w:val="32"/>
          <w:szCs w:val="32"/>
        </w:rPr>
        <w:t>万元、政府性基金拨款支出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万元，2020年本部门财政拨款支出较上年增加</w:t>
      </w:r>
      <w:r>
        <w:rPr>
          <w:rFonts w:hint="eastAsia" w:ascii="仿宋" w:hAnsi="仿宋" w:eastAsia="仿宋" w:cs="仿宋"/>
          <w:sz w:val="32"/>
          <w:szCs w:val="32"/>
          <w:lang w:val="en-US" w:eastAsia="zh-CN"/>
        </w:rPr>
        <w:t>272.241894</w:t>
      </w:r>
      <w:r>
        <w:rPr>
          <w:rFonts w:hint="eastAsia" w:ascii="仿宋" w:hAnsi="仿宋" w:eastAsia="仿宋" w:cs="仿宋"/>
          <w:sz w:val="32"/>
          <w:szCs w:val="32"/>
        </w:rPr>
        <w:t>万元，主要原因是</w:t>
      </w:r>
      <w:r>
        <w:rPr>
          <w:rFonts w:hint="eastAsia" w:ascii="仿宋" w:hAnsi="仿宋" w:eastAsia="仿宋" w:cs="仿宋"/>
          <w:sz w:val="32"/>
          <w:szCs w:val="32"/>
          <w:lang w:val="en-US" w:eastAsia="zh-CN"/>
        </w:rPr>
        <w:t>机构改革，人员增加</w:t>
      </w:r>
      <w:r>
        <w:rPr>
          <w:rFonts w:hint="eastAsia" w:ascii="仿宋" w:hAnsi="仿宋" w:eastAsia="仿宋" w:cs="仿宋"/>
          <w:sz w:val="32"/>
          <w:szCs w:val="32"/>
        </w:rPr>
        <w:t>。</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（三）一般公共预算拨款支出明细情况。</w:t>
      </w:r>
    </w:p>
    <w:p>
      <w:pPr>
        <w:spacing w:line="360" w:lineRule="auto"/>
        <w:ind w:firstLine="643"/>
        <w:rPr>
          <w:rFonts w:ascii="仿宋" w:hAnsi="仿宋" w:eastAsia="仿宋" w:cs="仿宋"/>
          <w:sz w:val="32"/>
          <w:szCs w:val="32"/>
        </w:rPr>
      </w:pPr>
      <w:r>
        <w:rPr>
          <w:rFonts w:hint="eastAsia" w:ascii="仿宋" w:hAnsi="仿宋" w:eastAsia="仿宋" w:cs="仿宋"/>
          <w:b/>
          <w:bCs/>
          <w:sz w:val="32"/>
          <w:szCs w:val="32"/>
        </w:rPr>
        <w:t>1、</w:t>
      </w:r>
      <w:r>
        <w:rPr>
          <w:rFonts w:hint="eastAsia" w:ascii="仿宋" w:hAnsi="仿宋" w:eastAsia="仿宋" w:cs="仿宋"/>
          <w:sz w:val="32"/>
          <w:szCs w:val="32"/>
        </w:rPr>
        <w:t>一般公共预算当年拨款规模变化情况。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2020年本部门当年一般公共预算拨款支出</w:t>
      </w:r>
      <w:r>
        <w:rPr>
          <w:rFonts w:hint="eastAsia" w:ascii="仿宋" w:hAnsi="仿宋" w:eastAsia="仿宋" w:cs="仿宋"/>
          <w:sz w:val="32"/>
          <w:szCs w:val="32"/>
          <w:lang w:val="en-US" w:eastAsia="zh-CN"/>
        </w:rPr>
        <w:t>431.015154</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272.241894</w:t>
      </w:r>
      <w:r>
        <w:rPr>
          <w:rFonts w:hint="eastAsia" w:ascii="仿宋" w:hAnsi="仿宋" w:eastAsia="仿宋" w:cs="仿宋"/>
          <w:sz w:val="32"/>
          <w:szCs w:val="32"/>
        </w:rPr>
        <w:t>万元，主要原因是</w:t>
      </w:r>
      <w:r>
        <w:rPr>
          <w:rFonts w:hint="eastAsia" w:ascii="仿宋" w:hAnsi="仿宋" w:eastAsia="仿宋" w:cs="仿宋"/>
          <w:sz w:val="32"/>
          <w:szCs w:val="32"/>
          <w:lang w:val="en-US" w:eastAsia="zh-CN"/>
        </w:rPr>
        <w:t>机构改革，人员增加</w:t>
      </w:r>
      <w:r>
        <w:rPr>
          <w:rFonts w:hint="eastAsia" w:ascii="仿宋" w:hAnsi="仿宋" w:eastAsia="仿宋" w:cs="仿宋"/>
          <w:sz w:val="32"/>
          <w:szCs w:val="32"/>
        </w:rPr>
        <w:t>。</w:t>
      </w:r>
    </w:p>
    <w:p>
      <w:pPr>
        <w:spacing w:line="360" w:lineRule="auto"/>
        <w:ind w:firstLine="643"/>
        <w:rPr>
          <w:rFonts w:ascii="仿宋" w:hAnsi="仿宋" w:eastAsia="仿宋" w:cs="仿宋"/>
          <w:sz w:val="32"/>
          <w:szCs w:val="32"/>
        </w:rPr>
      </w:pPr>
      <w:r>
        <w:rPr>
          <w:rFonts w:hint="eastAsia" w:ascii="仿宋" w:hAnsi="仿宋" w:eastAsia="仿宋" w:cs="仿宋"/>
          <w:b/>
          <w:bCs/>
          <w:sz w:val="32"/>
          <w:szCs w:val="32"/>
        </w:rPr>
        <w:t>2、</w:t>
      </w:r>
      <w:r>
        <w:rPr>
          <w:rFonts w:hint="eastAsia" w:ascii="仿宋" w:hAnsi="仿宋" w:eastAsia="仿宋" w:cs="仿宋"/>
          <w:sz w:val="32"/>
          <w:szCs w:val="32"/>
        </w:rPr>
        <w:t>支出按功能科目分类的明细情况。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本部门2020年当年一般公共预算支出</w:t>
      </w:r>
      <w:r>
        <w:rPr>
          <w:rFonts w:hint="eastAsia" w:ascii="仿宋" w:hAnsi="仿宋" w:eastAsia="仿宋" w:cs="仿宋"/>
          <w:sz w:val="32"/>
          <w:szCs w:val="32"/>
          <w:lang w:val="en-US" w:eastAsia="zh-CN"/>
        </w:rPr>
        <w:t>431.015154</w:t>
      </w:r>
      <w:r>
        <w:rPr>
          <w:rFonts w:hint="eastAsia" w:ascii="仿宋" w:hAnsi="仿宋" w:eastAsia="仿宋" w:cs="仿宋"/>
          <w:sz w:val="32"/>
          <w:szCs w:val="32"/>
        </w:rPr>
        <w:t>万元，其中：</w:t>
      </w:r>
    </w:p>
    <w:p>
      <w:pPr>
        <w:numPr>
          <w:ilvl w:val="0"/>
          <w:numId w:val="1"/>
        </w:num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行政运行（</w:t>
      </w:r>
      <w:r>
        <w:rPr>
          <w:rFonts w:hint="eastAsia" w:ascii="仿宋" w:hAnsi="仿宋" w:eastAsia="仿宋" w:cs="仿宋"/>
          <w:sz w:val="32"/>
          <w:szCs w:val="32"/>
          <w:lang w:val="en-US" w:eastAsia="zh-CN"/>
        </w:rPr>
        <w:t>2240101</w:t>
      </w:r>
      <w:r>
        <w:rPr>
          <w:rFonts w:hint="eastAsia" w:ascii="仿宋" w:hAnsi="仿宋" w:eastAsia="仿宋" w:cs="仿宋"/>
          <w:sz w:val="32"/>
          <w:szCs w:val="32"/>
        </w:rPr>
        <w:t>）</w:t>
      </w:r>
      <w:r>
        <w:rPr>
          <w:rFonts w:hint="eastAsia" w:ascii="仿宋" w:hAnsi="仿宋" w:eastAsia="仿宋" w:cs="仿宋"/>
          <w:sz w:val="32"/>
          <w:szCs w:val="32"/>
          <w:lang w:val="en-US" w:eastAsia="zh-CN"/>
        </w:rPr>
        <w:t>193.195821</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49.161921</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机构改革、人员增加</w:t>
      </w:r>
      <w:r>
        <w:rPr>
          <w:rFonts w:hint="eastAsia" w:ascii="仿宋" w:hAnsi="仿宋" w:eastAsia="仿宋" w:cs="仿宋"/>
          <w:sz w:val="32"/>
          <w:szCs w:val="32"/>
        </w:rPr>
        <w:t>；行政运行（</w:t>
      </w:r>
      <w:r>
        <w:rPr>
          <w:rFonts w:hint="eastAsia" w:ascii="仿宋" w:hAnsi="仿宋" w:eastAsia="仿宋" w:cs="仿宋"/>
          <w:sz w:val="32"/>
          <w:szCs w:val="32"/>
          <w:lang w:val="en-US" w:eastAsia="zh-CN"/>
        </w:rPr>
        <w:t>2240501</w:t>
      </w:r>
      <w:r>
        <w:rPr>
          <w:rFonts w:hint="eastAsia" w:ascii="仿宋" w:hAnsi="仿宋" w:eastAsia="仿宋" w:cs="仿宋"/>
          <w:sz w:val="32"/>
          <w:szCs w:val="32"/>
        </w:rPr>
        <w:t>）</w:t>
      </w:r>
      <w:r>
        <w:rPr>
          <w:rFonts w:hint="eastAsia" w:ascii="仿宋" w:hAnsi="仿宋" w:eastAsia="仿宋" w:cs="仿宋"/>
          <w:sz w:val="32"/>
          <w:szCs w:val="32"/>
          <w:lang w:val="en-US" w:eastAsia="zh-CN"/>
        </w:rPr>
        <w:t>10.08万元，</w:t>
      </w:r>
      <w:r>
        <w:rPr>
          <w:rFonts w:hint="eastAsia" w:ascii="仿宋" w:hAnsi="仿宋" w:eastAsia="仿宋" w:cs="仿宋"/>
          <w:sz w:val="32"/>
          <w:szCs w:val="32"/>
        </w:rPr>
        <w:t>较上年增加</w:t>
      </w:r>
      <w:r>
        <w:rPr>
          <w:rFonts w:hint="eastAsia" w:ascii="仿宋" w:hAnsi="仿宋" w:eastAsia="仿宋" w:cs="仿宋"/>
          <w:sz w:val="32"/>
          <w:szCs w:val="32"/>
          <w:lang w:val="en-US" w:eastAsia="zh-CN"/>
        </w:rPr>
        <w:t>10.08</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机构改革、人员增加</w:t>
      </w:r>
      <w:r>
        <w:rPr>
          <w:rFonts w:hint="eastAsia" w:ascii="仿宋" w:hAnsi="仿宋" w:eastAsia="仿宋" w:cs="仿宋"/>
          <w:sz w:val="32"/>
          <w:szCs w:val="32"/>
        </w:rPr>
        <w:t>；</w:t>
      </w:r>
    </w:p>
    <w:p>
      <w:pPr>
        <w:numPr>
          <w:ilvl w:val="0"/>
          <w:numId w:val="1"/>
        </w:numPr>
        <w:spacing w:line="360" w:lineRule="auto"/>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事业运行（</w:t>
      </w:r>
      <w:r>
        <w:rPr>
          <w:rFonts w:hint="eastAsia" w:ascii="仿宋" w:hAnsi="仿宋" w:eastAsia="仿宋" w:cs="仿宋"/>
          <w:sz w:val="32"/>
          <w:szCs w:val="32"/>
          <w:lang w:val="en-US" w:eastAsia="zh-CN"/>
        </w:rPr>
        <w:t>2240150</w:t>
      </w:r>
      <w:r>
        <w:rPr>
          <w:rFonts w:hint="eastAsia" w:ascii="仿宋" w:hAnsi="仿宋" w:eastAsia="仿宋" w:cs="仿宋"/>
          <w:sz w:val="32"/>
          <w:szCs w:val="32"/>
        </w:rPr>
        <w:t>）</w:t>
      </w:r>
      <w:r>
        <w:rPr>
          <w:rFonts w:hint="eastAsia" w:ascii="仿宋" w:hAnsi="仿宋" w:eastAsia="仿宋" w:cs="仿宋"/>
          <w:sz w:val="32"/>
          <w:szCs w:val="32"/>
          <w:lang w:val="en-US" w:eastAsia="zh-CN"/>
        </w:rPr>
        <w:t>152.801477</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152.801477</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机构改革、人员增加</w:t>
      </w:r>
      <w:r>
        <w:rPr>
          <w:rFonts w:hint="eastAsia" w:ascii="仿宋" w:hAnsi="仿宋" w:eastAsia="仿宋" w:cs="仿宋"/>
          <w:sz w:val="32"/>
          <w:szCs w:val="32"/>
        </w:rPr>
        <w:t>；</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（3）</w:t>
      </w:r>
      <w:r>
        <w:rPr>
          <w:rFonts w:hint="eastAsia" w:ascii="仿宋_GB2312" w:eastAsia="仿宋_GB2312"/>
          <w:sz w:val="32"/>
          <w:szCs w:val="32"/>
          <w:lang w:val="en-US" w:eastAsia="zh-CN"/>
        </w:rPr>
        <w:t>地震事业机构</w:t>
      </w:r>
      <w:r>
        <w:rPr>
          <w:rFonts w:hint="eastAsia" w:ascii="仿宋_GB2312" w:eastAsia="仿宋_GB2312"/>
          <w:sz w:val="32"/>
          <w:szCs w:val="32"/>
          <w:lang w:eastAsia="zh-CN"/>
        </w:rPr>
        <w:t>（</w:t>
      </w:r>
      <w:r>
        <w:rPr>
          <w:rFonts w:hint="eastAsia" w:ascii="仿宋_GB2312" w:eastAsia="仿宋_GB2312"/>
          <w:sz w:val="32"/>
          <w:szCs w:val="32"/>
          <w:lang w:val="en-US" w:eastAsia="zh-CN"/>
        </w:rPr>
        <w:t>2240550</w:t>
      </w:r>
      <w:r>
        <w:rPr>
          <w:rFonts w:hint="eastAsia" w:ascii="仿宋_GB2312" w:eastAsia="仿宋_GB2312"/>
          <w:sz w:val="32"/>
          <w:szCs w:val="32"/>
          <w:lang w:eastAsia="zh-CN"/>
        </w:rPr>
        <w:t>）</w:t>
      </w:r>
      <w:r>
        <w:rPr>
          <w:rFonts w:hint="eastAsia" w:ascii="仿宋" w:hAnsi="仿宋" w:eastAsia="仿宋" w:cs="仿宋"/>
          <w:sz w:val="32"/>
          <w:szCs w:val="32"/>
          <w:lang w:val="en-US" w:eastAsia="zh-CN"/>
        </w:rPr>
        <w:t>1.2</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1.2</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机构改革、人员增加</w:t>
      </w:r>
      <w:r>
        <w:rPr>
          <w:rFonts w:hint="eastAsia" w:ascii="仿宋" w:hAnsi="仿宋" w:eastAsia="仿宋" w:cs="仿宋"/>
          <w:sz w:val="32"/>
          <w:szCs w:val="32"/>
        </w:rPr>
        <w:t>；</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4</w:t>
      </w:r>
      <w:r>
        <w:rPr>
          <w:rFonts w:hint="eastAsia" w:ascii="仿宋" w:hAnsi="仿宋" w:eastAsia="仿宋" w:cs="仿宋"/>
          <w:sz w:val="32"/>
          <w:szCs w:val="32"/>
        </w:rPr>
        <w:t>）</w:t>
      </w:r>
      <w:r>
        <w:rPr>
          <w:rFonts w:hint="eastAsia" w:ascii="仿宋_GB2312" w:eastAsia="仿宋_GB2312"/>
          <w:sz w:val="32"/>
          <w:szCs w:val="32"/>
        </w:rPr>
        <w:t>机关事业单位基本养老保险缴费支出</w:t>
      </w:r>
      <w:r>
        <w:rPr>
          <w:rFonts w:hint="eastAsia" w:ascii="仿宋_GB2312" w:eastAsia="仿宋_GB2312"/>
          <w:sz w:val="32"/>
          <w:szCs w:val="32"/>
          <w:lang w:eastAsia="zh-CN"/>
        </w:rPr>
        <w:t>（</w:t>
      </w:r>
      <w:r>
        <w:rPr>
          <w:rFonts w:hint="eastAsia" w:ascii="仿宋_GB2312" w:eastAsia="仿宋_GB2312"/>
          <w:sz w:val="32"/>
          <w:szCs w:val="32"/>
          <w:lang w:val="en-US" w:eastAsia="zh-CN"/>
        </w:rPr>
        <w:t>2080505</w:t>
      </w:r>
      <w:r>
        <w:rPr>
          <w:rFonts w:hint="eastAsia" w:ascii="仿宋_GB2312" w:eastAsia="仿宋_GB2312"/>
          <w:sz w:val="32"/>
          <w:szCs w:val="32"/>
          <w:lang w:eastAsia="zh-CN"/>
        </w:rPr>
        <w:t>）</w:t>
      </w:r>
      <w:r>
        <w:rPr>
          <w:rFonts w:hint="eastAsia" w:ascii="仿宋" w:hAnsi="仿宋" w:eastAsia="仿宋" w:cs="仿宋"/>
          <w:sz w:val="32"/>
          <w:szCs w:val="32"/>
          <w:lang w:val="en-US" w:eastAsia="zh-CN"/>
        </w:rPr>
        <w:t>51.138408</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36.399048</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机构改革、人员增加</w:t>
      </w:r>
      <w:r>
        <w:rPr>
          <w:rFonts w:hint="eastAsia" w:ascii="仿宋" w:hAnsi="仿宋" w:eastAsia="仿宋" w:cs="仿宋"/>
          <w:sz w:val="32"/>
          <w:szCs w:val="32"/>
        </w:rPr>
        <w:t>；</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5</w:t>
      </w:r>
      <w:r>
        <w:rPr>
          <w:rFonts w:hint="eastAsia" w:ascii="仿宋" w:hAnsi="仿宋" w:eastAsia="仿宋" w:cs="仿宋"/>
          <w:sz w:val="32"/>
          <w:szCs w:val="32"/>
        </w:rPr>
        <w:t>）</w:t>
      </w:r>
      <w:r>
        <w:rPr>
          <w:rFonts w:hint="eastAsia" w:ascii="仿宋_GB2312" w:eastAsia="仿宋_GB2312"/>
          <w:sz w:val="32"/>
          <w:szCs w:val="32"/>
        </w:rPr>
        <w:t>机关事业单位</w:t>
      </w:r>
      <w:r>
        <w:rPr>
          <w:rFonts w:hint="eastAsia" w:ascii="仿宋_GB2312" w:eastAsia="仿宋_GB2312"/>
          <w:sz w:val="32"/>
          <w:szCs w:val="32"/>
          <w:lang w:val="en-US" w:eastAsia="zh-CN"/>
        </w:rPr>
        <w:t>职业年金</w:t>
      </w:r>
      <w:r>
        <w:rPr>
          <w:rFonts w:hint="eastAsia" w:ascii="仿宋_GB2312" w:eastAsia="仿宋_GB2312"/>
          <w:sz w:val="32"/>
          <w:szCs w:val="32"/>
        </w:rPr>
        <w:t>缴费支出</w:t>
      </w:r>
      <w:r>
        <w:rPr>
          <w:rFonts w:hint="eastAsia" w:ascii="仿宋_GB2312" w:eastAsia="仿宋_GB2312"/>
          <w:sz w:val="32"/>
          <w:szCs w:val="32"/>
          <w:lang w:eastAsia="zh-CN"/>
        </w:rPr>
        <w:t>（</w:t>
      </w:r>
      <w:r>
        <w:rPr>
          <w:rFonts w:hint="eastAsia" w:ascii="仿宋_GB2312" w:eastAsia="仿宋_GB2312"/>
          <w:sz w:val="32"/>
          <w:szCs w:val="32"/>
          <w:lang w:val="en-US" w:eastAsia="zh-CN"/>
        </w:rPr>
        <w:t>2080506</w:t>
      </w:r>
      <w:r>
        <w:rPr>
          <w:rFonts w:hint="eastAsia" w:ascii="仿宋_GB2312" w:eastAsia="仿宋_GB2312"/>
          <w:sz w:val="32"/>
          <w:szCs w:val="32"/>
          <w:lang w:eastAsia="zh-CN"/>
        </w:rPr>
        <w:t>）</w:t>
      </w:r>
      <w:r>
        <w:rPr>
          <w:rFonts w:hint="eastAsia" w:ascii="仿宋" w:hAnsi="仿宋" w:eastAsia="仿宋" w:cs="仿宋"/>
          <w:sz w:val="32"/>
          <w:szCs w:val="32"/>
          <w:lang w:val="en-US" w:eastAsia="zh-CN"/>
        </w:rPr>
        <w:t>9.919024</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9.919024</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2020年度预算2名退休人员</w:t>
      </w:r>
      <w:r>
        <w:rPr>
          <w:rFonts w:hint="eastAsia" w:ascii="仿宋" w:hAnsi="仿宋" w:eastAsia="仿宋" w:cs="仿宋"/>
          <w:sz w:val="32"/>
          <w:szCs w:val="32"/>
        </w:rPr>
        <w:t>；</w:t>
      </w:r>
    </w:p>
    <w:p>
      <w:pPr>
        <w:spacing w:line="360" w:lineRule="auto"/>
        <w:ind w:firstLine="643"/>
        <w:rPr>
          <w:rFonts w:hint="eastAsia" w:ascii="仿宋_GB2312" w:eastAsia="仿宋_GB2312"/>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6</w:t>
      </w:r>
      <w:r>
        <w:rPr>
          <w:rFonts w:hint="eastAsia" w:ascii="仿宋" w:hAnsi="仿宋" w:eastAsia="仿宋" w:cs="仿宋"/>
          <w:sz w:val="32"/>
          <w:szCs w:val="32"/>
        </w:rPr>
        <w:t>）</w:t>
      </w:r>
      <w:r>
        <w:rPr>
          <w:rFonts w:hint="eastAsia" w:ascii="仿宋_GB2312" w:eastAsia="仿宋_GB2312"/>
          <w:sz w:val="32"/>
          <w:szCs w:val="32"/>
          <w:lang w:val="en-US" w:eastAsia="zh-CN"/>
        </w:rPr>
        <w:t>行政单位医疗（2101101）5.781828万元，</w:t>
      </w:r>
      <w:r>
        <w:rPr>
          <w:rFonts w:hint="eastAsia" w:ascii="仿宋" w:hAnsi="仿宋" w:eastAsia="仿宋" w:cs="仿宋"/>
          <w:sz w:val="32"/>
          <w:szCs w:val="32"/>
        </w:rPr>
        <w:t>较上年增加</w:t>
      </w:r>
      <w:r>
        <w:rPr>
          <w:rFonts w:hint="eastAsia" w:ascii="仿宋_GB2312" w:eastAsia="仿宋_GB2312"/>
          <w:sz w:val="32"/>
          <w:szCs w:val="32"/>
          <w:lang w:val="en-US" w:eastAsia="zh-CN"/>
        </w:rPr>
        <w:t>5.781828万元，</w:t>
      </w:r>
      <w:r>
        <w:rPr>
          <w:rFonts w:hint="eastAsia" w:ascii="仿宋_GB2312" w:eastAsia="仿宋_GB2312"/>
          <w:sz w:val="32"/>
          <w:szCs w:val="32"/>
        </w:rPr>
        <w:t>原因是上年无此功能科目预算；</w:t>
      </w:r>
    </w:p>
    <w:p>
      <w:pPr>
        <w:spacing w:line="360" w:lineRule="auto"/>
        <w:ind w:firstLine="643"/>
        <w:rPr>
          <w:rFonts w:hint="eastAsia" w:ascii="仿宋_GB2312" w:eastAsia="仿宋_GB2312"/>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7</w:t>
      </w:r>
      <w:r>
        <w:rPr>
          <w:rFonts w:hint="eastAsia" w:ascii="仿宋" w:hAnsi="仿宋" w:eastAsia="仿宋" w:cs="仿宋"/>
          <w:sz w:val="32"/>
          <w:szCs w:val="32"/>
        </w:rPr>
        <w:t>）</w:t>
      </w:r>
      <w:r>
        <w:rPr>
          <w:rFonts w:hint="eastAsia" w:ascii="仿宋_GB2312" w:eastAsia="仿宋_GB2312"/>
          <w:sz w:val="32"/>
          <w:szCs w:val="32"/>
          <w:lang w:val="en-US" w:eastAsia="zh-CN"/>
        </w:rPr>
        <w:t>事业单位医疗（2101102）5.217348万元，</w:t>
      </w:r>
      <w:r>
        <w:rPr>
          <w:rFonts w:hint="eastAsia" w:ascii="仿宋" w:hAnsi="仿宋" w:eastAsia="仿宋" w:cs="仿宋"/>
          <w:sz w:val="32"/>
          <w:szCs w:val="32"/>
        </w:rPr>
        <w:t>较上年增加</w:t>
      </w:r>
      <w:r>
        <w:rPr>
          <w:rFonts w:hint="eastAsia" w:ascii="仿宋_GB2312" w:eastAsia="仿宋_GB2312"/>
          <w:sz w:val="32"/>
          <w:szCs w:val="32"/>
          <w:lang w:val="en-US" w:eastAsia="zh-CN"/>
        </w:rPr>
        <w:t>5.217348万元，</w:t>
      </w:r>
      <w:r>
        <w:rPr>
          <w:rFonts w:hint="eastAsia" w:ascii="仿宋_GB2312" w:eastAsia="仿宋_GB2312"/>
          <w:sz w:val="32"/>
          <w:szCs w:val="32"/>
        </w:rPr>
        <w:t>原因是上年无此功能科目预算；</w:t>
      </w:r>
    </w:p>
    <w:p>
      <w:pPr>
        <w:spacing w:line="360" w:lineRule="auto"/>
        <w:ind w:firstLine="643"/>
        <w:rPr>
          <w:rFonts w:hint="eastAsia" w:ascii="仿宋_GB2312" w:eastAsia="仿宋_GB2312"/>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8</w:t>
      </w:r>
      <w:r>
        <w:rPr>
          <w:rFonts w:hint="eastAsia" w:ascii="仿宋" w:hAnsi="仿宋" w:eastAsia="仿宋" w:cs="仿宋"/>
          <w:sz w:val="32"/>
          <w:szCs w:val="32"/>
        </w:rPr>
        <w:t>）</w:t>
      </w:r>
      <w:r>
        <w:rPr>
          <w:rFonts w:hint="eastAsia" w:ascii="仿宋_GB2312" w:eastAsia="仿宋_GB2312"/>
          <w:sz w:val="32"/>
          <w:szCs w:val="32"/>
          <w:lang w:val="en-US" w:eastAsia="zh-CN"/>
        </w:rPr>
        <w:t>公务员医疗补助（2101103）0.5856万元，</w:t>
      </w:r>
      <w:r>
        <w:rPr>
          <w:rFonts w:hint="eastAsia" w:ascii="仿宋" w:hAnsi="仿宋" w:eastAsia="仿宋" w:cs="仿宋"/>
          <w:sz w:val="32"/>
          <w:szCs w:val="32"/>
        </w:rPr>
        <w:t>较上年增加</w:t>
      </w:r>
      <w:r>
        <w:rPr>
          <w:rFonts w:hint="eastAsia" w:ascii="仿宋_GB2312" w:eastAsia="仿宋_GB2312"/>
          <w:sz w:val="32"/>
          <w:szCs w:val="32"/>
          <w:lang w:val="en-US" w:eastAsia="zh-CN"/>
        </w:rPr>
        <w:t>0.5856万元，</w:t>
      </w:r>
      <w:r>
        <w:rPr>
          <w:rFonts w:hint="eastAsia" w:ascii="仿宋_GB2312" w:eastAsia="仿宋_GB2312"/>
          <w:sz w:val="32"/>
          <w:szCs w:val="32"/>
        </w:rPr>
        <w:t>原因是上年无此功能科目预算；</w:t>
      </w:r>
    </w:p>
    <w:p>
      <w:pPr>
        <w:spacing w:line="360" w:lineRule="auto"/>
        <w:ind w:firstLine="643"/>
        <w:rPr>
          <w:rFonts w:hint="eastAsia" w:ascii="仿宋" w:hAnsi="仿宋" w:eastAsia="仿宋" w:cs="仿宋"/>
          <w:b/>
          <w:bCs/>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9</w:t>
      </w:r>
      <w:r>
        <w:rPr>
          <w:rFonts w:hint="eastAsia" w:ascii="仿宋" w:hAnsi="仿宋" w:eastAsia="仿宋" w:cs="仿宋"/>
          <w:sz w:val="32"/>
          <w:szCs w:val="32"/>
        </w:rPr>
        <w:t>）</w:t>
      </w:r>
      <w:r>
        <w:rPr>
          <w:rFonts w:hint="eastAsia" w:ascii="仿宋_GB2312" w:eastAsia="仿宋_GB2312"/>
          <w:sz w:val="32"/>
          <w:szCs w:val="32"/>
          <w:lang w:val="en-US" w:eastAsia="zh-CN"/>
        </w:rPr>
        <w:t>其他卫生健康支出（2109901）1.095648万元，</w:t>
      </w:r>
      <w:r>
        <w:rPr>
          <w:rFonts w:hint="eastAsia" w:ascii="仿宋" w:hAnsi="仿宋" w:eastAsia="仿宋" w:cs="仿宋"/>
          <w:sz w:val="32"/>
          <w:szCs w:val="32"/>
        </w:rPr>
        <w:t>较上年增加</w:t>
      </w:r>
      <w:r>
        <w:rPr>
          <w:rFonts w:hint="eastAsia" w:ascii="仿宋_GB2312" w:eastAsia="仿宋_GB2312"/>
          <w:sz w:val="32"/>
          <w:szCs w:val="32"/>
          <w:lang w:val="en-US" w:eastAsia="zh-CN"/>
        </w:rPr>
        <w:t>1.095648万元，</w:t>
      </w:r>
      <w:r>
        <w:rPr>
          <w:rFonts w:hint="eastAsia" w:ascii="仿宋_GB2312" w:eastAsia="仿宋_GB2312"/>
          <w:sz w:val="32"/>
          <w:szCs w:val="32"/>
        </w:rPr>
        <w:t>原因是上年无此功能科目预算；</w:t>
      </w:r>
    </w:p>
    <w:p>
      <w:pPr>
        <w:spacing w:line="360" w:lineRule="auto"/>
        <w:ind w:firstLine="643"/>
        <w:rPr>
          <w:rFonts w:ascii="仿宋" w:hAnsi="仿宋" w:eastAsia="仿宋" w:cs="仿宋"/>
          <w:sz w:val="32"/>
          <w:szCs w:val="32"/>
        </w:rPr>
      </w:pPr>
      <w:r>
        <w:rPr>
          <w:rFonts w:hint="eastAsia" w:ascii="仿宋" w:hAnsi="仿宋" w:eastAsia="仿宋" w:cs="仿宋"/>
          <w:b/>
          <w:bCs/>
          <w:sz w:val="32"/>
          <w:szCs w:val="32"/>
        </w:rPr>
        <w:t>3、</w:t>
      </w:r>
      <w:r>
        <w:rPr>
          <w:rFonts w:hint="eastAsia" w:ascii="仿宋" w:hAnsi="仿宋" w:eastAsia="仿宋" w:cs="仿宋"/>
          <w:sz w:val="32"/>
          <w:szCs w:val="32"/>
        </w:rPr>
        <w:t>支出按经济科目分类的明细情况。</w:t>
      </w:r>
    </w:p>
    <w:p>
      <w:pPr>
        <w:spacing w:line="360" w:lineRule="auto"/>
        <w:ind w:firstLine="640"/>
        <w:rPr>
          <w:rFonts w:hint="eastAsia" w:ascii="仿宋" w:hAnsi="仿宋" w:eastAsia="仿宋" w:cs="仿宋"/>
          <w:sz w:val="32"/>
          <w:szCs w:val="32"/>
        </w:rPr>
      </w:pPr>
      <w:r>
        <w:rPr>
          <w:rFonts w:hint="eastAsia" w:ascii="仿宋" w:hAnsi="仿宋" w:eastAsia="仿宋" w:cs="仿宋"/>
          <w:sz w:val="32"/>
          <w:szCs w:val="32"/>
        </w:rPr>
        <w:t>（1）按照部门预算支出经济分类的类级科目说明。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2020年本部门当年一般公共预算支出</w:t>
      </w:r>
      <w:r>
        <w:rPr>
          <w:rFonts w:hint="eastAsia" w:ascii="仿宋" w:hAnsi="仿宋" w:eastAsia="仿宋" w:cs="仿宋"/>
          <w:sz w:val="32"/>
          <w:szCs w:val="32"/>
          <w:lang w:val="en-US" w:eastAsia="zh-CN"/>
        </w:rPr>
        <w:t>431.015154</w:t>
      </w:r>
      <w:r>
        <w:rPr>
          <w:rFonts w:hint="eastAsia" w:ascii="仿宋" w:hAnsi="仿宋" w:eastAsia="仿宋" w:cs="仿宋"/>
          <w:sz w:val="32"/>
          <w:szCs w:val="32"/>
        </w:rPr>
        <w:t>万元，其中：</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工资福利支出（301）</w:t>
      </w:r>
      <w:r>
        <w:rPr>
          <w:rFonts w:hint="eastAsia" w:ascii="仿宋" w:hAnsi="仿宋" w:eastAsia="仿宋" w:cs="仿宋"/>
          <w:sz w:val="32"/>
          <w:szCs w:val="32"/>
          <w:lang w:val="en-US" w:eastAsia="zh-CN"/>
        </w:rPr>
        <w:t>397.664556</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249.931296</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机构改革、人员增加</w:t>
      </w:r>
      <w:r>
        <w:rPr>
          <w:rFonts w:hint="eastAsia" w:ascii="仿宋" w:hAnsi="仿宋" w:eastAsia="仿宋" w:cs="仿宋"/>
          <w:sz w:val="32"/>
          <w:szCs w:val="32"/>
        </w:rPr>
        <w:t>；</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商品和服务支出（302）</w:t>
      </w:r>
      <w:r>
        <w:rPr>
          <w:rFonts w:hint="eastAsia" w:ascii="仿宋" w:hAnsi="仿宋" w:eastAsia="仿宋" w:cs="仿宋"/>
          <w:sz w:val="32"/>
          <w:szCs w:val="32"/>
          <w:lang w:val="en-US" w:eastAsia="zh-CN"/>
        </w:rPr>
        <w:t>33.350598</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22.310598</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机构改革、人员增加</w:t>
      </w:r>
      <w:r>
        <w:rPr>
          <w:rFonts w:hint="eastAsia" w:ascii="仿宋" w:hAnsi="仿宋" w:eastAsia="仿宋" w:cs="仿宋"/>
          <w:sz w:val="32"/>
          <w:szCs w:val="32"/>
        </w:rPr>
        <w:t>；</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（2）按照政府预算支出经济分类的类级科目说明。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2020年本部门当年一般公共预算支出</w:t>
      </w:r>
      <w:r>
        <w:rPr>
          <w:rFonts w:hint="eastAsia" w:ascii="仿宋" w:hAnsi="仿宋" w:eastAsia="仿宋" w:cs="仿宋"/>
          <w:sz w:val="32"/>
          <w:szCs w:val="32"/>
          <w:lang w:val="en-US" w:eastAsia="zh-CN"/>
        </w:rPr>
        <w:t>431.015154</w:t>
      </w:r>
      <w:r>
        <w:rPr>
          <w:rFonts w:hint="eastAsia" w:ascii="仿宋" w:hAnsi="仿宋" w:eastAsia="仿宋" w:cs="仿宋"/>
          <w:sz w:val="32"/>
          <w:szCs w:val="32"/>
        </w:rPr>
        <w:t>万元，其中：</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机关工资福利支出（501）</w:t>
      </w:r>
      <w:r>
        <w:rPr>
          <w:rFonts w:hint="eastAsia" w:ascii="仿宋" w:hAnsi="仿宋" w:eastAsia="仿宋" w:cs="仿宋"/>
          <w:sz w:val="32"/>
          <w:szCs w:val="32"/>
          <w:lang w:val="en-US" w:eastAsia="zh-CN"/>
        </w:rPr>
        <w:t>210.483504</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62.750244</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机构改革、人员增加</w:t>
      </w:r>
      <w:r>
        <w:rPr>
          <w:rFonts w:hint="eastAsia" w:ascii="仿宋" w:hAnsi="仿宋" w:eastAsia="仿宋" w:cs="仿宋"/>
          <w:sz w:val="32"/>
          <w:szCs w:val="32"/>
        </w:rPr>
        <w:t>；</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机关商品和服务支出（502）</w:t>
      </w:r>
      <w:r>
        <w:rPr>
          <w:rFonts w:hint="eastAsia" w:ascii="仿宋" w:hAnsi="仿宋" w:eastAsia="仿宋" w:cs="仿宋"/>
          <w:sz w:val="32"/>
          <w:szCs w:val="32"/>
          <w:lang w:val="en-US" w:eastAsia="zh-CN"/>
        </w:rPr>
        <w:t>33.350598</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22.310598</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机构改革、人员增加</w:t>
      </w:r>
      <w:r>
        <w:rPr>
          <w:rFonts w:hint="eastAsia" w:ascii="仿宋" w:hAnsi="仿宋" w:eastAsia="仿宋" w:cs="仿宋"/>
          <w:sz w:val="32"/>
          <w:szCs w:val="32"/>
        </w:rPr>
        <w:t>；</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对事业单位经常性补助（505）</w:t>
      </w:r>
      <w:r>
        <w:rPr>
          <w:rFonts w:hint="eastAsia" w:ascii="仿宋" w:hAnsi="仿宋" w:eastAsia="仿宋" w:cs="仿宋"/>
          <w:sz w:val="32"/>
          <w:szCs w:val="32"/>
          <w:lang w:val="en-US" w:eastAsia="zh-CN"/>
        </w:rPr>
        <w:t>187.181052</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187.181052</w:t>
      </w:r>
      <w:r>
        <w:rPr>
          <w:rFonts w:hint="eastAsia" w:ascii="仿宋" w:hAnsi="仿宋" w:eastAsia="仿宋" w:cs="仿宋"/>
          <w:sz w:val="32"/>
          <w:szCs w:val="32"/>
        </w:rPr>
        <w:t>万元，原因是</w:t>
      </w:r>
      <w:r>
        <w:rPr>
          <w:rFonts w:hint="eastAsia" w:ascii="仿宋_GB2312" w:eastAsia="仿宋_GB2312"/>
          <w:sz w:val="32"/>
          <w:szCs w:val="32"/>
        </w:rPr>
        <w:t>上年无此功能科目预算</w:t>
      </w:r>
      <w:r>
        <w:rPr>
          <w:rFonts w:hint="eastAsia" w:ascii="仿宋" w:hAnsi="仿宋" w:eastAsia="仿宋" w:cs="仿宋"/>
          <w:sz w:val="32"/>
          <w:szCs w:val="32"/>
        </w:rPr>
        <w:t>；</w:t>
      </w:r>
    </w:p>
    <w:p>
      <w:pPr>
        <w:spacing w:line="360" w:lineRule="auto"/>
        <w:ind w:firstLine="643"/>
        <w:rPr>
          <w:rFonts w:ascii="仿宋" w:hAnsi="仿宋" w:eastAsia="仿宋" w:cs="仿宋"/>
          <w:sz w:val="32"/>
          <w:szCs w:val="32"/>
        </w:rPr>
      </w:pPr>
      <w:r>
        <w:rPr>
          <w:rFonts w:hint="eastAsia" w:ascii="仿宋" w:hAnsi="仿宋" w:eastAsia="仿宋" w:cs="仿宋"/>
          <w:b/>
          <w:bCs/>
          <w:sz w:val="32"/>
          <w:szCs w:val="32"/>
        </w:rPr>
        <w:t>4、</w:t>
      </w:r>
      <w:r>
        <w:rPr>
          <w:rFonts w:hint="eastAsia" w:ascii="仿宋" w:hAnsi="仿宋" w:eastAsia="仿宋" w:cs="仿宋"/>
          <w:sz w:val="32"/>
          <w:szCs w:val="32"/>
        </w:rPr>
        <w:t>2019年结转财政资金一般公共预算拨款支出情况。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本部门2019年结转的一般公共预算拨款支出</w:t>
      </w:r>
      <w:r>
        <w:rPr>
          <w:rFonts w:hint="eastAsia" w:ascii="仿宋" w:hAnsi="仿宋" w:eastAsia="仿宋" w:cs="仿宋"/>
          <w:sz w:val="32"/>
          <w:szCs w:val="32"/>
          <w:lang w:val="en-US" w:eastAsia="zh-CN"/>
        </w:rPr>
        <w:t>50.112936</w:t>
      </w:r>
      <w:r>
        <w:rPr>
          <w:rFonts w:hint="eastAsia" w:ascii="仿宋" w:hAnsi="仿宋" w:eastAsia="仿宋" w:cs="仿宋"/>
          <w:sz w:val="32"/>
          <w:szCs w:val="32"/>
        </w:rPr>
        <w:t>万元编入2020年部门综合预算执行，较上年增加</w:t>
      </w:r>
      <w:r>
        <w:rPr>
          <w:rFonts w:hint="eastAsia" w:ascii="仿宋" w:hAnsi="仿宋" w:eastAsia="仿宋" w:cs="仿宋"/>
          <w:sz w:val="32"/>
          <w:szCs w:val="32"/>
          <w:lang w:val="en-US" w:eastAsia="zh-CN"/>
        </w:rPr>
        <w:t>50.112936</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上年度无结转资金</w:t>
      </w:r>
      <w:r>
        <w:rPr>
          <w:rFonts w:hint="eastAsia" w:ascii="仿宋" w:hAnsi="仿宋" w:eastAsia="仿宋" w:cs="仿宋"/>
          <w:sz w:val="32"/>
          <w:szCs w:val="32"/>
        </w:rPr>
        <w:t>。</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（1）按功能支出分类：</w:t>
      </w:r>
    </w:p>
    <w:p>
      <w:pPr>
        <w:spacing w:line="360" w:lineRule="auto"/>
        <w:ind w:firstLine="640"/>
        <w:rPr>
          <w:rFonts w:ascii="仿宋" w:hAnsi="仿宋" w:eastAsia="仿宋" w:cs="仿宋"/>
          <w:sz w:val="32"/>
          <w:szCs w:val="32"/>
        </w:rPr>
      </w:pPr>
      <w:r>
        <w:rPr>
          <w:rFonts w:hint="eastAsia" w:ascii="仿宋" w:hAnsi="仿宋" w:eastAsia="仿宋" w:cs="仿宋"/>
          <w:sz w:val="32"/>
          <w:szCs w:val="32"/>
          <w:lang w:val="en-US" w:eastAsia="zh-CN"/>
        </w:rPr>
        <w:t>其他卫生健康支出</w:t>
      </w:r>
      <w:r>
        <w:rPr>
          <w:rFonts w:hint="eastAsia" w:ascii="仿宋" w:hAnsi="仿宋" w:eastAsia="仿宋" w:cs="仿宋"/>
          <w:sz w:val="32"/>
          <w:szCs w:val="32"/>
        </w:rPr>
        <w:t>（2</w:t>
      </w:r>
      <w:r>
        <w:rPr>
          <w:rFonts w:hint="eastAsia" w:ascii="仿宋" w:hAnsi="仿宋" w:eastAsia="仿宋" w:cs="仿宋"/>
          <w:sz w:val="32"/>
          <w:szCs w:val="32"/>
          <w:lang w:val="en-US" w:eastAsia="zh-CN"/>
        </w:rPr>
        <w:t>109901</w:t>
      </w:r>
      <w:r>
        <w:rPr>
          <w:rFonts w:hint="eastAsia" w:ascii="仿宋" w:hAnsi="仿宋" w:eastAsia="仿宋" w:cs="仿宋"/>
          <w:sz w:val="32"/>
          <w:szCs w:val="32"/>
        </w:rPr>
        <w:t>）</w:t>
      </w:r>
      <w:r>
        <w:rPr>
          <w:rFonts w:hint="eastAsia" w:ascii="仿宋" w:hAnsi="仿宋" w:eastAsia="仿宋" w:cs="仿宋"/>
          <w:sz w:val="32"/>
          <w:szCs w:val="32"/>
          <w:lang w:val="en-US" w:eastAsia="zh-CN"/>
        </w:rPr>
        <w:t>0.010616</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0.010616</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上年度无结转资金</w:t>
      </w:r>
      <w:r>
        <w:rPr>
          <w:rFonts w:hint="eastAsia" w:ascii="仿宋" w:hAnsi="仿宋" w:eastAsia="仿宋" w:cs="仿宋"/>
          <w:sz w:val="32"/>
          <w:szCs w:val="32"/>
        </w:rPr>
        <w:t>；</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事业</w:t>
      </w:r>
      <w:r>
        <w:rPr>
          <w:rFonts w:hint="eastAsia" w:ascii="仿宋" w:hAnsi="仿宋" w:eastAsia="仿宋" w:cs="仿宋"/>
          <w:sz w:val="32"/>
          <w:szCs w:val="32"/>
          <w:lang w:val="en-US" w:eastAsia="zh-CN"/>
        </w:rPr>
        <w:t>单位医疗</w:t>
      </w:r>
      <w:r>
        <w:rPr>
          <w:rFonts w:hint="eastAsia" w:ascii="仿宋" w:hAnsi="仿宋" w:eastAsia="仿宋" w:cs="仿宋"/>
          <w:sz w:val="32"/>
          <w:szCs w:val="32"/>
        </w:rPr>
        <w:t>（2</w:t>
      </w:r>
      <w:r>
        <w:rPr>
          <w:rFonts w:hint="eastAsia" w:ascii="仿宋" w:hAnsi="仿宋" w:eastAsia="仿宋" w:cs="仿宋"/>
          <w:sz w:val="32"/>
          <w:szCs w:val="32"/>
          <w:lang w:val="en-US" w:eastAsia="zh-CN"/>
        </w:rPr>
        <w:t>101102</w:t>
      </w:r>
      <w:r>
        <w:rPr>
          <w:rFonts w:hint="eastAsia" w:ascii="仿宋" w:hAnsi="仿宋" w:eastAsia="仿宋" w:cs="仿宋"/>
          <w:sz w:val="32"/>
          <w:szCs w:val="32"/>
        </w:rPr>
        <w:t>）</w:t>
      </w:r>
      <w:r>
        <w:rPr>
          <w:rFonts w:hint="eastAsia" w:ascii="仿宋" w:hAnsi="仿宋" w:eastAsia="仿宋" w:cs="仿宋"/>
          <w:sz w:val="32"/>
          <w:szCs w:val="32"/>
          <w:lang w:val="en-US" w:eastAsia="zh-CN"/>
        </w:rPr>
        <w:t>0.09016</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0.09016</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上年度无结转资金</w:t>
      </w:r>
      <w:r>
        <w:rPr>
          <w:rFonts w:hint="eastAsia" w:ascii="仿宋" w:hAnsi="仿宋" w:eastAsia="仿宋" w:cs="仿宋"/>
          <w:sz w:val="32"/>
          <w:szCs w:val="32"/>
        </w:rPr>
        <w:t>；</w:t>
      </w:r>
    </w:p>
    <w:p>
      <w:pPr>
        <w:spacing w:line="360" w:lineRule="auto"/>
        <w:ind w:firstLine="640"/>
        <w:rPr>
          <w:rFonts w:ascii="仿宋" w:hAnsi="仿宋" w:eastAsia="仿宋" w:cs="仿宋"/>
          <w:sz w:val="32"/>
          <w:szCs w:val="32"/>
        </w:rPr>
      </w:pPr>
      <w:r>
        <w:rPr>
          <w:rFonts w:hint="eastAsia" w:ascii="仿宋" w:hAnsi="仿宋" w:eastAsia="仿宋" w:cs="仿宋"/>
          <w:sz w:val="32"/>
          <w:szCs w:val="32"/>
          <w:lang w:val="en-US" w:eastAsia="zh-CN"/>
        </w:rPr>
        <w:t>公务员医疗补助</w:t>
      </w:r>
      <w:r>
        <w:rPr>
          <w:rFonts w:hint="eastAsia" w:ascii="仿宋" w:hAnsi="仿宋" w:eastAsia="仿宋" w:cs="仿宋"/>
          <w:sz w:val="32"/>
          <w:szCs w:val="32"/>
        </w:rPr>
        <w:t>（21</w:t>
      </w:r>
      <w:r>
        <w:rPr>
          <w:rFonts w:hint="eastAsia" w:ascii="仿宋" w:hAnsi="仿宋" w:eastAsia="仿宋" w:cs="仿宋"/>
          <w:sz w:val="32"/>
          <w:szCs w:val="32"/>
          <w:lang w:val="en-US" w:eastAsia="zh-CN"/>
        </w:rPr>
        <w:t>01103</w:t>
      </w:r>
      <w:r>
        <w:rPr>
          <w:rFonts w:hint="eastAsia" w:ascii="仿宋" w:hAnsi="仿宋" w:eastAsia="仿宋" w:cs="仿宋"/>
          <w:sz w:val="32"/>
          <w:szCs w:val="32"/>
        </w:rPr>
        <w:t>）</w:t>
      </w:r>
      <w:r>
        <w:rPr>
          <w:rFonts w:hint="eastAsia" w:ascii="仿宋" w:hAnsi="仿宋" w:eastAsia="仿宋" w:cs="仿宋"/>
          <w:sz w:val="32"/>
          <w:szCs w:val="32"/>
          <w:lang w:val="en-US" w:eastAsia="zh-CN"/>
        </w:rPr>
        <w:t>0.01216</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0.01216</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上年度无结转资金</w:t>
      </w:r>
      <w:r>
        <w:rPr>
          <w:rFonts w:hint="eastAsia" w:ascii="仿宋" w:hAnsi="仿宋" w:eastAsia="仿宋" w:cs="仿宋"/>
          <w:sz w:val="32"/>
          <w:szCs w:val="32"/>
        </w:rPr>
        <w:t>；</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一般行政管理事务（2010602）</w:t>
      </w:r>
      <w:r>
        <w:rPr>
          <w:rFonts w:hint="eastAsia" w:ascii="仿宋" w:hAnsi="仿宋" w:eastAsia="仿宋" w:cs="仿宋"/>
          <w:sz w:val="32"/>
          <w:szCs w:val="32"/>
          <w:lang w:val="en-US" w:eastAsia="zh-CN"/>
        </w:rPr>
        <w:t>50</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50</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上年度无结转资金</w:t>
      </w:r>
      <w:r>
        <w:rPr>
          <w:rFonts w:hint="eastAsia" w:ascii="仿宋" w:hAnsi="仿宋" w:eastAsia="仿宋" w:cs="仿宋"/>
          <w:sz w:val="32"/>
          <w:szCs w:val="32"/>
        </w:rPr>
        <w:t>；</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（2）按政府预算支出经济分类：</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机关商品和服务支出（502）</w:t>
      </w:r>
      <w:r>
        <w:rPr>
          <w:rFonts w:hint="eastAsia" w:ascii="仿宋" w:hAnsi="仿宋" w:eastAsia="仿宋" w:cs="仿宋"/>
          <w:sz w:val="32"/>
          <w:szCs w:val="32"/>
          <w:lang w:val="en-US" w:eastAsia="zh-CN"/>
        </w:rPr>
        <w:t>50</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50</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上年度无结转资金</w:t>
      </w:r>
      <w:r>
        <w:rPr>
          <w:rFonts w:hint="eastAsia" w:ascii="仿宋" w:hAnsi="仿宋" w:eastAsia="仿宋" w:cs="仿宋"/>
          <w:sz w:val="32"/>
          <w:szCs w:val="32"/>
        </w:rPr>
        <w:t>；</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对事业单位经常性补助（505）</w:t>
      </w:r>
      <w:r>
        <w:rPr>
          <w:rFonts w:hint="eastAsia" w:ascii="仿宋" w:hAnsi="仿宋" w:eastAsia="仿宋" w:cs="仿宋"/>
          <w:sz w:val="32"/>
          <w:szCs w:val="32"/>
          <w:lang w:val="en-US" w:eastAsia="zh-CN"/>
        </w:rPr>
        <w:t>0.112936</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0.112936</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上年度无结转资金</w:t>
      </w:r>
      <w:r>
        <w:rPr>
          <w:rFonts w:hint="eastAsia" w:ascii="仿宋" w:hAnsi="仿宋" w:eastAsia="仿宋" w:cs="仿宋"/>
          <w:sz w:val="32"/>
          <w:szCs w:val="32"/>
        </w:rPr>
        <w:t>；</w:t>
      </w:r>
    </w:p>
    <w:p>
      <w:pPr>
        <w:numPr>
          <w:ilvl w:val="0"/>
          <w:numId w:val="2"/>
        </w:numPr>
        <w:spacing w:line="360" w:lineRule="auto"/>
        <w:ind w:firstLine="643"/>
        <w:rPr>
          <w:rFonts w:hint="eastAsia" w:ascii="仿宋" w:hAnsi="仿宋" w:eastAsia="仿宋" w:cs="仿宋"/>
          <w:b/>
          <w:bCs/>
          <w:sz w:val="32"/>
          <w:szCs w:val="32"/>
        </w:rPr>
      </w:pPr>
      <w:r>
        <w:rPr>
          <w:rFonts w:hint="eastAsia" w:ascii="仿宋" w:hAnsi="仿宋" w:eastAsia="仿宋" w:cs="仿宋"/>
          <w:b/>
          <w:bCs/>
          <w:sz w:val="32"/>
          <w:szCs w:val="32"/>
        </w:rPr>
        <w:t>政府性基金预算支出情况。</w:t>
      </w:r>
    </w:p>
    <w:p>
      <w:pPr>
        <w:numPr>
          <w:ilvl w:val="0"/>
          <w:numId w:val="0"/>
        </w:numPr>
        <w:spacing w:line="360" w:lineRule="auto"/>
        <w:ind w:firstLine="640" w:firstLineChars="200"/>
        <w:rPr>
          <w:rFonts w:hint="eastAsia" w:ascii="仿宋" w:hAnsi="仿宋" w:eastAsia="仿宋" w:cs="仿宋"/>
          <w:b/>
          <w:bCs/>
          <w:sz w:val="32"/>
          <w:szCs w:val="32"/>
        </w:rPr>
      </w:pPr>
      <w:r>
        <w:rPr>
          <w:rFonts w:hint="eastAsia" w:ascii="仿宋_GB2312" w:eastAsia="仿宋_GB2312"/>
          <w:sz w:val="32"/>
          <w:szCs w:val="32"/>
        </w:rPr>
        <w:t>本部门无政府性基金预算收支，并已公开空表。</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（五）国有资本经营预算拨款收支情况。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本部门无当年国有资本经营预算拨款收支，并在财政拨款收支总体情况表中列示。</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本部门无2019年结转的国有资本经营预算拨款支出。</w:t>
      </w:r>
    </w:p>
    <w:p>
      <w:pPr>
        <w:spacing w:line="360" w:lineRule="auto"/>
        <w:ind w:left="0" w:leftChars="0"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第三部分  其他说明情况</w:t>
      </w:r>
      <w:bookmarkStart w:id="0" w:name="_GoBack"/>
      <w:bookmarkEnd w:id="0"/>
    </w:p>
    <w:p>
      <w:pPr>
        <w:spacing w:line="360" w:lineRule="auto"/>
        <w:ind w:firstLine="643"/>
        <w:rPr>
          <w:rFonts w:hint="eastAsia" w:ascii="黑体" w:hAnsi="黑体" w:eastAsia="黑体" w:cs="黑体"/>
          <w:b w:val="0"/>
          <w:bCs w:val="0"/>
          <w:sz w:val="32"/>
          <w:szCs w:val="32"/>
        </w:rPr>
      </w:pPr>
      <w:r>
        <w:rPr>
          <w:rFonts w:hint="eastAsia" w:ascii="黑体" w:hAnsi="黑体" w:eastAsia="黑体" w:cs="黑体"/>
          <w:b w:val="0"/>
          <w:bCs w:val="0"/>
          <w:sz w:val="32"/>
          <w:szCs w:val="32"/>
        </w:rPr>
        <w:t>六、部门预算“三公”经费等预算情况说明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2019年和2020年，本部门无</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三公</w:t>
      </w:r>
      <w:r>
        <w:rPr>
          <w:rFonts w:hint="eastAsia" w:ascii="仿宋" w:hAnsi="仿宋" w:eastAsia="仿宋" w:cs="仿宋"/>
          <w:sz w:val="32"/>
          <w:szCs w:val="32"/>
          <w:lang w:eastAsia="zh-CN"/>
        </w:rPr>
        <w:t>”</w:t>
      </w:r>
      <w:r>
        <w:rPr>
          <w:rFonts w:hint="eastAsia" w:ascii="仿宋" w:hAnsi="仿宋" w:eastAsia="仿宋" w:cs="仿宋"/>
          <w:sz w:val="32"/>
          <w:szCs w:val="32"/>
        </w:rPr>
        <w:t>经费预算。</w:t>
      </w:r>
    </w:p>
    <w:p>
      <w:pPr>
        <w:spacing w:line="360" w:lineRule="auto"/>
        <w:ind w:firstLine="643"/>
        <w:rPr>
          <w:rFonts w:hint="eastAsia" w:ascii="黑体" w:hAnsi="黑体" w:eastAsia="黑体" w:cs="黑体"/>
          <w:b w:val="0"/>
          <w:bCs w:val="0"/>
          <w:sz w:val="32"/>
          <w:szCs w:val="32"/>
        </w:rPr>
      </w:pPr>
      <w:r>
        <w:rPr>
          <w:rFonts w:hint="eastAsia" w:ascii="黑体" w:hAnsi="黑体" w:eastAsia="黑体" w:cs="黑体"/>
          <w:b w:val="0"/>
          <w:bCs w:val="0"/>
          <w:sz w:val="32"/>
          <w:szCs w:val="32"/>
        </w:rPr>
        <w:t>七、部门国有资产占有使用及资产购置情况说明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截止2019年底，本部门所属预算单位共有车辆</w:t>
      </w:r>
      <w:r>
        <w:rPr>
          <w:rFonts w:hint="eastAsia" w:ascii="仿宋" w:hAnsi="仿宋" w:eastAsia="仿宋" w:cs="仿宋"/>
          <w:sz w:val="32"/>
          <w:szCs w:val="32"/>
          <w:lang w:val="en-US" w:eastAsia="zh-CN"/>
        </w:rPr>
        <w:t>2</w:t>
      </w:r>
      <w:r>
        <w:rPr>
          <w:rFonts w:hint="eastAsia" w:ascii="仿宋" w:hAnsi="仿宋" w:eastAsia="仿宋" w:cs="仿宋"/>
          <w:sz w:val="32"/>
          <w:szCs w:val="32"/>
        </w:rPr>
        <w:t>辆，单价20万元以上的设备</w:t>
      </w:r>
      <w:r>
        <w:rPr>
          <w:rFonts w:hint="eastAsia" w:ascii="仿宋" w:hAnsi="仿宋" w:eastAsia="仿宋" w:cs="仿宋"/>
          <w:sz w:val="32"/>
          <w:szCs w:val="32"/>
          <w:lang w:val="en-US" w:eastAsia="zh-CN"/>
        </w:rPr>
        <w:t>0</w:t>
      </w:r>
      <w:r>
        <w:rPr>
          <w:rFonts w:hint="eastAsia" w:ascii="仿宋" w:hAnsi="仿宋" w:eastAsia="仿宋" w:cs="仿宋"/>
          <w:sz w:val="32"/>
          <w:szCs w:val="32"/>
        </w:rPr>
        <w:t>台（套）。2020年当年部门预算安排购置车辆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rPr>
        <w:t>辆；安排购置单价20万元以上的设备</w:t>
      </w:r>
      <w:r>
        <w:rPr>
          <w:rFonts w:hint="eastAsia" w:ascii="仿宋" w:hAnsi="仿宋" w:eastAsia="仿宋" w:cs="仿宋"/>
          <w:sz w:val="32"/>
          <w:szCs w:val="32"/>
          <w:lang w:val="en-US" w:eastAsia="zh-CN"/>
        </w:rPr>
        <w:t>0</w:t>
      </w:r>
      <w:r>
        <w:rPr>
          <w:rFonts w:hint="eastAsia" w:ascii="仿宋" w:hAnsi="仿宋" w:eastAsia="仿宋" w:cs="仿宋"/>
          <w:sz w:val="32"/>
          <w:szCs w:val="32"/>
        </w:rPr>
        <w:t>台（套）。</w:t>
      </w:r>
    </w:p>
    <w:p>
      <w:pPr>
        <w:spacing w:line="360" w:lineRule="auto"/>
        <w:ind w:firstLine="643"/>
        <w:rPr>
          <w:rFonts w:hint="eastAsia" w:ascii="黑体" w:hAnsi="黑体" w:eastAsia="黑体" w:cs="黑体"/>
          <w:b w:val="0"/>
          <w:bCs w:val="0"/>
          <w:sz w:val="32"/>
          <w:szCs w:val="32"/>
        </w:rPr>
      </w:pPr>
      <w:r>
        <w:rPr>
          <w:rFonts w:hint="eastAsia" w:ascii="黑体" w:hAnsi="黑体" w:eastAsia="黑体" w:cs="黑体"/>
          <w:b w:val="0"/>
          <w:bCs w:val="0"/>
          <w:sz w:val="32"/>
          <w:szCs w:val="32"/>
        </w:rPr>
        <w:t>八、部门政府采购情况说明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本部门2020年无政府采购预算，并已公开空表。</w:t>
      </w:r>
    </w:p>
    <w:p>
      <w:pPr>
        <w:spacing w:line="360" w:lineRule="auto"/>
        <w:ind w:firstLine="643"/>
        <w:rPr>
          <w:rFonts w:hint="eastAsia" w:ascii="黑体" w:hAnsi="黑体" w:eastAsia="黑体" w:cs="黑体"/>
          <w:b w:val="0"/>
          <w:bCs w:val="0"/>
          <w:sz w:val="32"/>
          <w:szCs w:val="32"/>
        </w:rPr>
      </w:pPr>
      <w:r>
        <w:rPr>
          <w:rFonts w:hint="eastAsia" w:ascii="黑体" w:hAnsi="黑体" w:eastAsia="黑体" w:cs="黑体"/>
          <w:b w:val="0"/>
          <w:bCs w:val="0"/>
          <w:sz w:val="32"/>
          <w:szCs w:val="32"/>
        </w:rPr>
        <w:t>九、部门预算绩效目标说明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2020年本部门绩效目标管理全覆盖，涉及当年一般公共预算拨款</w:t>
      </w:r>
      <w:r>
        <w:rPr>
          <w:rFonts w:hint="eastAsia" w:ascii="仿宋" w:hAnsi="仿宋" w:eastAsia="仿宋" w:cs="仿宋"/>
          <w:sz w:val="32"/>
          <w:szCs w:val="32"/>
          <w:lang w:val="en-US" w:eastAsia="zh-CN"/>
        </w:rPr>
        <w:t>431.015154</w:t>
      </w:r>
      <w:r>
        <w:rPr>
          <w:rFonts w:hint="eastAsia" w:ascii="仿宋" w:hAnsi="仿宋" w:eastAsia="仿宋" w:cs="仿宋"/>
          <w:sz w:val="32"/>
          <w:szCs w:val="32"/>
        </w:rPr>
        <w:t>万元,当年政府性基金预算拨款</w:t>
      </w:r>
      <w:r>
        <w:rPr>
          <w:rFonts w:hint="eastAsia" w:ascii="仿宋" w:hAnsi="仿宋" w:eastAsia="仿宋" w:cs="仿宋"/>
          <w:sz w:val="32"/>
          <w:szCs w:val="32"/>
          <w:lang w:val="en-US" w:eastAsia="zh-CN"/>
        </w:rPr>
        <w:t>0</w:t>
      </w:r>
      <w:r>
        <w:rPr>
          <w:rFonts w:hint="eastAsia" w:ascii="仿宋" w:hAnsi="仿宋" w:eastAsia="仿宋" w:cs="仿宋"/>
          <w:sz w:val="32"/>
          <w:szCs w:val="32"/>
        </w:rPr>
        <w:t>万元，当年国有资本经营预算拨款</w:t>
      </w:r>
      <w:r>
        <w:rPr>
          <w:rFonts w:hint="eastAsia" w:ascii="仿宋" w:hAnsi="仿宋" w:eastAsia="仿宋" w:cs="仿宋"/>
          <w:sz w:val="32"/>
          <w:szCs w:val="32"/>
          <w:lang w:val="en-US" w:eastAsia="zh-CN"/>
        </w:rPr>
        <w:t>0</w:t>
      </w:r>
      <w:r>
        <w:rPr>
          <w:rFonts w:hint="eastAsia" w:ascii="仿宋" w:hAnsi="仿宋" w:eastAsia="仿宋" w:cs="仿宋"/>
          <w:sz w:val="32"/>
          <w:szCs w:val="32"/>
        </w:rPr>
        <w:t>万元（详见公开报表中的绩效目标表）。</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2020年，本部门2019年结转的财政拨款支出继续实施绩效目标管理。</w:t>
      </w:r>
    </w:p>
    <w:p>
      <w:pPr>
        <w:spacing w:line="360" w:lineRule="auto"/>
        <w:ind w:firstLine="643"/>
        <w:rPr>
          <w:rFonts w:hint="eastAsia" w:ascii="黑体" w:hAnsi="黑体" w:eastAsia="黑体" w:cs="黑体"/>
          <w:b w:val="0"/>
          <w:bCs w:val="0"/>
          <w:sz w:val="32"/>
          <w:szCs w:val="32"/>
        </w:rPr>
      </w:pPr>
      <w:r>
        <w:rPr>
          <w:rFonts w:hint="eastAsia" w:ascii="黑体" w:hAnsi="黑体" w:eastAsia="黑体" w:cs="黑体"/>
          <w:b w:val="0"/>
          <w:bCs w:val="0"/>
          <w:sz w:val="32"/>
          <w:szCs w:val="32"/>
        </w:rPr>
        <w:t>十、机关运行经费安排说明</w:t>
      </w:r>
    </w:p>
    <w:p>
      <w:pPr>
        <w:spacing w:line="360" w:lineRule="auto"/>
        <w:ind w:firstLine="640"/>
        <w:rPr>
          <w:rFonts w:hint="eastAsia" w:ascii="仿宋" w:hAnsi="仿宋" w:eastAsia="仿宋" w:cs="仿宋"/>
          <w:sz w:val="32"/>
          <w:szCs w:val="32"/>
          <w:lang w:eastAsia="zh-CN"/>
        </w:rPr>
      </w:pPr>
      <w:r>
        <w:rPr>
          <w:rFonts w:hint="eastAsia" w:ascii="仿宋" w:hAnsi="仿宋" w:eastAsia="仿宋" w:cs="仿宋"/>
          <w:sz w:val="32"/>
          <w:szCs w:val="32"/>
        </w:rPr>
        <w:t>本部门当年机关运行经费预算安排</w:t>
      </w:r>
      <w:r>
        <w:rPr>
          <w:rFonts w:hint="eastAsia" w:ascii="仿宋" w:hAnsi="仿宋" w:eastAsia="仿宋" w:cs="仿宋"/>
          <w:sz w:val="32"/>
          <w:szCs w:val="32"/>
          <w:lang w:val="en-US" w:eastAsia="zh-CN"/>
        </w:rPr>
        <w:t>33.350598</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22.310598</w:t>
      </w:r>
      <w:r>
        <w:rPr>
          <w:rFonts w:hint="eastAsia" w:ascii="仿宋" w:hAnsi="仿宋" w:eastAsia="仿宋" w:cs="仿宋"/>
          <w:sz w:val="32"/>
          <w:szCs w:val="32"/>
        </w:rPr>
        <w:t>万元，原因是</w:t>
      </w:r>
      <w:r>
        <w:rPr>
          <w:rFonts w:hint="eastAsia" w:ascii="仿宋" w:hAnsi="仿宋" w:eastAsia="仿宋" w:cs="仿宋"/>
          <w:sz w:val="32"/>
          <w:szCs w:val="32"/>
          <w:lang w:val="en-US" w:eastAsia="zh-CN"/>
        </w:rPr>
        <w:t>机构改革、人员增加</w:t>
      </w:r>
      <w:r>
        <w:rPr>
          <w:rFonts w:hint="eastAsia" w:ascii="仿宋" w:hAnsi="仿宋" w:eastAsia="仿宋" w:cs="仿宋"/>
          <w:sz w:val="32"/>
          <w:szCs w:val="32"/>
          <w:lang w:eastAsia="zh-CN"/>
        </w:rPr>
        <w:t>。</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2020年，本部门2019年结转的财政拨款支出中机关运行经费</w:t>
      </w:r>
      <w:r>
        <w:rPr>
          <w:rFonts w:hint="eastAsia" w:ascii="仿宋" w:hAnsi="仿宋" w:eastAsia="仿宋" w:cs="仿宋"/>
          <w:sz w:val="32"/>
          <w:szCs w:val="32"/>
          <w:lang w:val="en-US" w:eastAsia="zh-CN"/>
        </w:rPr>
        <w:t>50.112936</w:t>
      </w:r>
      <w:r>
        <w:rPr>
          <w:rFonts w:hint="eastAsia" w:ascii="仿宋" w:hAnsi="仿宋" w:eastAsia="仿宋" w:cs="仿宋"/>
          <w:sz w:val="32"/>
          <w:szCs w:val="32"/>
        </w:rPr>
        <w:t>万元编入2020部门综合预算执行。</w:t>
      </w:r>
    </w:p>
    <w:p>
      <w:pPr>
        <w:spacing w:line="360" w:lineRule="auto"/>
        <w:ind w:firstLine="643"/>
        <w:rPr>
          <w:rFonts w:hint="eastAsia" w:ascii="黑体" w:hAnsi="黑体" w:eastAsia="黑体" w:cs="黑体"/>
          <w:b w:val="0"/>
          <w:bCs w:val="0"/>
          <w:sz w:val="32"/>
          <w:szCs w:val="32"/>
        </w:rPr>
      </w:pPr>
      <w:r>
        <w:rPr>
          <w:rFonts w:hint="eastAsia" w:ascii="黑体" w:hAnsi="黑体" w:eastAsia="黑体" w:cs="黑体"/>
          <w:b w:val="0"/>
          <w:bCs w:val="0"/>
          <w:sz w:val="32"/>
          <w:szCs w:val="32"/>
        </w:rPr>
        <w:t>十一、专业名词解释</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文字说明，机关运行经费为必须解释的专业名词，其他专业名词解释可由部门根据业务内容等自行选择。</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1.机关运行经费：指各部门的公用经费，包括办公及印刷费、邮电费、差旅费、会议费、福利费、日常维修费、专用材料及一般设备购置费、办公用房水电费、办公用房取暖费、办公用房物业管理费、公务用车运行费以及其他费用。</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.基本支出：指为保障机构正常运转、完成日常工作任务而发生的各项支出。</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.项目支出：指单位为完成特定的行政工作任务或事业发展目标所发生的各项支出。</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.“三公”经费：指部门使用一般公共预算财政拨款安排的因公出国（境）费、公务用车购置及运行费和公务接待费支出。</w:t>
      </w:r>
    </w:p>
    <w:p>
      <w:pPr>
        <w:spacing w:line="360" w:lineRule="auto"/>
        <w:ind w:left="0" w:leftChars="0" w:firstLine="0" w:firstLineChars="0"/>
        <w:jc w:val="center"/>
        <w:rPr>
          <w:rFonts w:hint="eastAsia" w:ascii="黑体" w:hAnsi="黑体" w:eastAsia="黑体" w:cs="黑体"/>
          <w:b w:val="0"/>
          <w:bCs w:val="0"/>
          <w:sz w:val="32"/>
          <w:szCs w:val="32"/>
        </w:rPr>
      </w:pPr>
    </w:p>
    <w:p>
      <w:pPr>
        <w:spacing w:line="360" w:lineRule="auto"/>
        <w:ind w:left="0" w:leftChars="0"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  公开报表</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（见附件2内容）</w:t>
      </w:r>
      <w:r>
        <w:rPr>
          <w:rFonts w:hint="eastAsia" w:ascii="仿宋" w:hAnsi="仿宋" w:eastAsia="仿宋" w:cs="仿宋"/>
          <w:sz w:val="32"/>
          <w:szCs w:val="32"/>
        </w:rPr>
        <w:tab/>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pgNumType w:fmt="numberInDash" w:start="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-29210</wp:posOffset>
              </wp:positionV>
              <wp:extent cx="1016000" cy="26797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16000" cy="267970"/>
                      </a:xfrm>
                      <a:prstGeom prst="rect">
                        <a:avLst/>
                      </a:prstGeom>
                      <a:noFill/>
                      <a:ln w="6350">
                        <a:noFill/>
                      </a:ln>
                      <a:effectLst/>
                    </wps:spPr>
                    <wps:txbx>
                      <w:txbxContent>
                        <w:p>
                          <w:pPr>
                            <w:pStyle w:val="2"/>
                            <w:ind w:firstLine="0" w:firstLineChars="0"/>
                            <w:rPr>
                              <w:sz w:val="28"/>
                              <w:szCs w:val="44"/>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2.3pt;height:21.1pt;width:80pt;mso-position-horizontal:outside;mso-position-horizontal-relative:margin;z-index:251658240;mso-width-relative:page;mso-height-relative:page;" filled="f" stroked="f" coordsize="21600,21600" o:gfxdata="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zJ+og9UAAAAG&#10;AQAADwAAAAAAAAABACAAAAAiAAAAZHJzL2Rvd25yZXYueG1sUEsBAhQAFAAAAAgAh07iQJq3oWwf&#10;AgAAIgQAAA4AAAAAAAAAAQAgAAAAJAEAAGRycy9lMm9Eb2MueG1sUEsFBgAAAAAGAAYAWQEAALUF&#10;AAAAAA==&#10;">
              <v:fill on="f" focussize="0,0"/>
              <v:stroke on="f" weight="0.5pt"/>
              <v:imagedata o:title=""/>
              <o:lock v:ext="edit" aspectratio="f"/>
              <v:textbox inset="0mm,0mm,0mm,0mm">
                <w:txbxContent>
                  <w:p>
                    <w:pPr>
                      <w:pStyle w:val="2"/>
                      <w:ind w:firstLine="0" w:firstLineChars="0"/>
                      <w:rPr>
                        <w:sz w:val="28"/>
                        <w:szCs w:val="44"/>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D6E844"/>
    <w:multiLevelType w:val="singleLevel"/>
    <w:tmpl w:val="AAD6E844"/>
    <w:lvl w:ilvl="0" w:tentative="0">
      <w:start w:val="4"/>
      <w:numFmt w:val="chineseCounting"/>
      <w:suff w:val="nothing"/>
      <w:lvlText w:val="（%1）"/>
      <w:lvlJc w:val="left"/>
      <w:rPr>
        <w:rFonts w:hint="eastAsia"/>
      </w:rPr>
    </w:lvl>
  </w:abstractNum>
  <w:abstractNum w:abstractNumId="1">
    <w:nsid w:val="E6B7C10D"/>
    <w:multiLevelType w:val="singleLevel"/>
    <w:tmpl w:val="E6B7C10D"/>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D0381D"/>
    <w:rsid w:val="00021752"/>
    <w:rsid w:val="000562DC"/>
    <w:rsid w:val="005F0B4E"/>
    <w:rsid w:val="00670DA4"/>
    <w:rsid w:val="009B6591"/>
    <w:rsid w:val="00A6254D"/>
    <w:rsid w:val="00E047B3"/>
    <w:rsid w:val="00F474A1"/>
    <w:rsid w:val="00F61A77"/>
    <w:rsid w:val="00F63694"/>
    <w:rsid w:val="03653B40"/>
    <w:rsid w:val="06017DBB"/>
    <w:rsid w:val="06F66E69"/>
    <w:rsid w:val="0899522C"/>
    <w:rsid w:val="09420317"/>
    <w:rsid w:val="0AA1002E"/>
    <w:rsid w:val="0AEC0522"/>
    <w:rsid w:val="0EA032D8"/>
    <w:rsid w:val="10265DC8"/>
    <w:rsid w:val="1AEB0BC0"/>
    <w:rsid w:val="1B682DC7"/>
    <w:rsid w:val="1CEA6713"/>
    <w:rsid w:val="1E8002A2"/>
    <w:rsid w:val="1ED0381D"/>
    <w:rsid w:val="269F6EAC"/>
    <w:rsid w:val="28E0617A"/>
    <w:rsid w:val="28F069F2"/>
    <w:rsid w:val="2F0A3FE9"/>
    <w:rsid w:val="32A240CB"/>
    <w:rsid w:val="34DA761D"/>
    <w:rsid w:val="37345211"/>
    <w:rsid w:val="393E6D04"/>
    <w:rsid w:val="3C3D61EE"/>
    <w:rsid w:val="3D1719ED"/>
    <w:rsid w:val="43857587"/>
    <w:rsid w:val="4A5A322A"/>
    <w:rsid w:val="4C9B07A2"/>
    <w:rsid w:val="57064CE7"/>
    <w:rsid w:val="599B5EF9"/>
    <w:rsid w:val="5C385057"/>
    <w:rsid w:val="5C546F19"/>
    <w:rsid w:val="600971B2"/>
    <w:rsid w:val="65641DD7"/>
    <w:rsid w:val="65DC5486"/>
    <w:rsid w:val="663502EE"/>
    <w:rsid w:val="680A78E7"/>
    <w:rsid w:val="682B7389"/>
    <w:rsid w:val="69AC66CE"/>
    <w:rsid w:val="6AEE3BF6"/>
    <w:rsid w:val="6AFD73C4"/>
    <w:rsid w:val="6BB2155B"/>
    <w:rsid w:val="6C8B6781"/>
    <w:rsid w:val="6D7A23E7"/>
    <w:rsid w:val="6F752253"/>
    <w:rsid w:val="6F993E84"/>
    <w:rsid w:val="70527932"/>
    <w:rsid w:val="746629E6"/>
    <w:rsid w:val="746F41E2"/>
    <w:rsid w:val="77B06AA6"/>
    <w:rsid w:val="7B5371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6" w:lineRule="exact"/>
      <w:ind w:firstLine="200" w:firstLineChars="200"/>
      <w:jc w:val="both"/>
    </w:pPr>
    <w:rPr>
      <w:rFonts w:ascii="Times New Roman" w:hAnsi="Times New Roman" w:eastAsia="宋体" w:cs="Times New Roman"/>
      <w:kern w:val="2"/>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854</Words>
  <Characters>4869</Characters>
  <Lines>40</Lines>
  <Paragraphs>11</Paragraphs>
  <TotalTime>0</TotalTime>
  <ScaleCrop>false</ScaleCrop>
  <LinksUpToDate>false</LinksUpToDate>
  <CharactersWithSpaces>5712</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2019-11-29T08:56:00Z</dcterms:created>
  <dc:creator>郭超(拟稿)</dc:creator>
  <cp:lastModifiedBy>Administrator</cp:lastModifiedBy>
  <cp:lastPrinted>2020-01-06T07:32:00Z</cp:lastPrinted>
  <dcterms:modified xsi:type="dcterms:W3CDTF">2020-07-20T07:19:20Z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