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蓝田县文化和旅游体育局</w:t>
      </w:r>
    </w:p>
    <w:p>
      <w:pPr>
        <w:jc w:val="center"/>
        <w:rPr>
          <w:rFonts w:asciiTheme="majorEastAsia" w:hAnsiTheme="majorEastAsia" w:eastAsiaTheme="majorEastAsia"/>
          <w:b/>
          <w:sz w:val="32"/>
          <w:szCs w:val="32"/>
        </w:rPr>
      </w:pPr>
      <w:r>
        <w:rPr>
          <w:rFonts w:hint="eastAsia" w:asciiTheme="majorEastAsia" w:hAnsiTheme="majorEastAsia" w:eastAsiaTheme="majorEastAsia"/>
          <w:b/>
          <w:sz w:val="44"/>
          <w:szCs w:val="44"/>
        </w:rPr>
        <w:t>2020年部门综合预算说明</w:t>
      </w:r>
    </w:p>
    <w:p>
      <w:pPr>
        <w:jc w:val="center"/>
        <w:rPr>
          <w:rFonts w:asciiTheme="majorEastAsia" w:hAnsiTheme="majorEastAsia" w:eastAsiaTheme="majorEastAsia"/>
          <w:b/>
          <w:sz w:val="32"/>
          <w:szCs w:val="32"/>
        </w:rPr>
      </w:pPr>
    </w:p>
    <w:p>
      <w:pPr>
        <w:ind w:firstLine="640" w:firstLineChars="200"/>
        <w:rPr>
          <w:rFonts w:ascii="仿宋" w:hAnsi="仿宋" w:eastAsia="仿宋"/>
          <w:sz w:val="32"/>
          <w:szCs w:val="32"/>
        </w:rPr>
      </w:pPr>
      <w:r>
        <w:rPr>
          <w:rFonts w:hint="eastAsia" w:ascii="仿宋" w:hAnsi="仿宋" w:eastAsia="仿宋"/>
          <w:sz w:val="32"/>
          <w:szCs w:val="32"/>
        </w:rPr>
        <w:t>一、部门主要职责及机构设置</w:t>
      </w:r>
    </w:p>
    <w:p>
      <w:pPr>
        <w:spacing w:line="560" w:lineRule="exact"/>
        <w:ind w:firstLine="640"/>
        <w:rPr>
          <w:rFonts w:ascii="仿宋_GB2312" w:eastAsia="仿宋_GB2312"/>
          <w:sz w:val="32"/>
          <w:szCs w:val="32"/>
        </w:rPr>
      </w:pPr>
      <w:r>
        <w:rPr>
          <w:rFonts w:hint="eastAsia" w:ascii="仿宋_GB2312" w:eastAsia="仿宋_GB2312"/>
          <w:sz w:val="32"/>
          <w:szCs w:val="32"/>
        </w:rPr>
        <w:t>县</w:t>
      </w:r>
      <w:r>
        <w:rPr>
          <w:rFonts w:hint="eastAsia" w:ascii="Times New Roman" w:hAnsi="Times New Roman" w:eastAsia="仿宋_GB2312"/>
          <w:spacing w:val="2"/>
          <w:sz w:val="32"/>
          <w:szCs w:val="32"/>
        </w:rPr>
        <w:t>文旅体育局</w:t>
      </w:r>
      <w:r>
        <w:rPr>
          <w:rFonts w:hint="eastAsia" w:ascii="仿宋_GB2312" w:eastAsia="仿宋_GB2312"/>
          <w:sz w:val="32"/>
          <w:szCs w:val="32"/>
        </w:rPr>
        <w:t>贯彻落实党中央、省委、市委关于文化、旅游、体育和文物工作的方针政策和决策部署，在履行职责过程中坚持和加强党对文化、旅游、体育和文物工作的集中统一领导。主要职责是：</w:t>
      </w:r>
    </w:p>
    <w:p>
      <w:pPr>
        <w:spacing w:line="560" w:lineRule="exact"/>
        <w:ind w:firstLine="640"/>
        <w:rPr>
          <w:rFonts w:ascii="仿宋_GB2312" w:eastAsia="仿宋_GB2312"/>
          <w:sz w:val="32"/>
          <w:szCs w:val="32"/>
        </w:rPr>
      </w:pPr>
      <w:r>
        <w:rPr>
          <w:rFonts w:hint="eastAsia" w:ascii="仿宋_GB2312" w:eastAsia="仿宋_GB2312"/>
          <w:sz w:val="32"/>
          <w:szCs w:val="32"/>
        </w:rPr>
        <w:t>（一）贯彻落实国家、省、市文化、旅游、体育和文物工作的法律法规和政策规定，拟订本县</w:t>
      </w:r>
      <w:bookmarkStart w:id="0" w:name="_Hlk5872695"/>
      <w:r>
        <w:rPr>
          <w:rFonts w:hint="eastAsia" w:ascii="仿宋_GB2312" w:eastAsia="仿宋_GB2312"/>
          <w:sz w:val="32"/>
          <w:szCs w:val="32"/>
        </w:rPr>
        <w:t>文化、旅游、体育和文物</w:t>
      </w:r>
      <w:bookmarkEnd w:id="0"/>
      <w:r>
        <w:rPr>
          <w:rFonts w:hint="eastAsia" w:ascii="仿宋_GB2312" w:eastAsia="仿宋_GB2312"/>
          <w:sz w:val="32"/>
          <w:szCs w:val="32"/>
        </w:rPr>
        <w:t>政策措施</w:t>
      </w:r>
      <w:bookmarkStart w:id="1" w:name="_Hlk5872522"/>
      <w:r>
        <w:rPr>
          <w:rFonts w:hint="eastAsia" w:ascii="仿宋_GB2312" w:eastAsia="仿宋_GB2312"/>
          <w:sz w:val="32"/>
          <w:szCs w:val="32"/>
        </w:rPr>
        <w:t>和</w:t>
      </w:r>
      <w:bookmarkEnd w:id="1"/>
      <w:r>
        <w:rPr>
          <w:rFonts w:hint="eastAsia" w:ascii="仿宋_GB2312" w:eastAsia="仿宋_GB2312"/>
          <w:sz w:val="32"/>
          <w:szCs w:val="32"/>
        </w:rPr>
        <w:t>政府规章草案，并组织实施。</w:t>
      </w:r>
    </w:p>
    <w:p>
      <w:pPr>
        <w:spacing w:line="560" w:lineRule="exact"/>
        <w:ind w:firstLine="640"/>
        <w:rPr>
          <w:rFonts w:ascii="仿宋_GB2312" w:eastAsia="仿宋_GB2312"/>
          <w:sz w:val="32"/>
          <w:szCs w:val="32"/>
        </w:rPr>
      </w:pPr>
      <w:r>
        <w:rPr>
          <w:rFonts w:hint="eastAsia" w:ascii="仿宋_GB2312" w:eastAsia="仿宋_GB2312"/>
          <w:sz w:val="32"/>
          <w:szCs w:val="32"/>
        </w:rPr>
        <w:t>（二）统筹规划全县文化事业、文化产业、旅游业、体育事业、文物保护事业的发展，拟订发展规划并组织实施，推进文化和旅游融合发展以及与其他领域的融合发展，推进文化、旅游、体育和文物领域体制机制改革。</w:t>
      </w:r>
    </w:p>
    <w:p>
      <w:pPr>
        <w:spacing w:line="560" w:lineRule="exact"/>
        <w:ind w:firstLine="640"/>
        <w:rPr>
          <w:rFonts w:ascii="仿宋_GB2312" w:eastAsia="仿宋_GB2312"/>
          <w:sz w:val="32"/>
          <w:szCs w:val="32"/>
        </w:rPr>
      </w:pPr>
      <w:r>
        <w:rPr>
          <w:rFonts w:hint="eastAsia" w:ascii="仿宋_GB2312" w:eastAsia="仿宋_GB2312"/>
          <w:sz w:val="32"/>
          <w:szCs w:val="32"/>
        </w:rPr>
        <w:t>（三）指导、推进全县文化、旅游、体育和文物科技创新发展，推进</w:t>
      </w:r>
      <w:bookmarkStart w:id="2" w:name="_Hlk5872931"/>
      <w:r>
        <w:rPr>
          <w:rFonts w:hint="eastAsia" w:ascii="仿宋_GB2312" w:eastAsia="仿宋_GB2312"/>
          <w:sz w:val="32"/>
          <w:szCs w:val="32"/>
        </w:rPr>
        <w:t>文化、旅游、体育和文物</w:t>
      </w:r>
      <w:bookmarkEnd w:id="2"/>
      <w:r>
        <w:rPr>
          <w:rFonts w:hint="eastAsia" w:ascii="仿宋_GB2312" w:eastAsia="仿宋_GB2312"/>
          <w:sz w:val="32"/>
          <w:szCs w:val="32"/>
        </w:rPr>
        <w:t>行业信息化、标准化建设。</w:t>
      </w:r>
    </w:p>
    <w:p>
      <w:pPr>
        <w:spacing w:line="560" w:lineRule="exact"/>
        <w:ind w:firstLine="640"/>
        <w:rPr>
          <w:rFonts w:ascii="仿宋_GB2312" w:eastAsia="仿宋_GB2312"/>
          <w:sz w:val="32"/>
          <w:szCs w:val="32"/>
        </w:rPr>
      </w:pPr>
      <w:r>
        <w:rPr>
          <w:rFonts w:hint="eastAsia" w:ascii="仿宋_GB2312" w:eastAsia="仿宋_GB2312"/>
          <w:sz w:val="32"/>
          <w:szCs w:val="32"/>
        </w:rPr>
        <w:t>（四）负责全县公共文化事业发展，推进公共文化服务体系建设，统筹推进公共文化服务标准化、均等化，深入推进文化惠民工程。管理全县性重大文化活动，对文化</w:t>
      </w:r>
      <w:bookmarkStart w:id="3" w:name="_Hlk5872838"/>
      <w:r>
        <w:rPr>
          <w:rFonts w:hint="eastAsia" w:ascii="仿宋_GB2312" w:eastAsia="仿宋_GB2312"/>
          <w:sz w:val="32"/>
          <w:szCs w:val="32"/>
        </w:rPr>
        <w:t>市</w:t>
      </w:r>
      <w:bookmarkEnd w:id="3"/>
      <w:r>
        <w:rPr>
          <w:rFonts w:hint="eastAsia" w:ascii="仿宋_GB2312" w:eastAsia="仿宋_GB2312"/>
          <w:sz w:val="32"/>
          <w:szCs w:val="32"/>
        </w:rPr>
        <w:t>场进行行业监管。</w:t>
      </w:r>
    </w:p>
    <w:p>
      <w:pPr>
        <w:spacing w:line="560" w:lineRule="exact"/>
        <w:ind w:firstLine="640"/>
        <w:rPr>
          <w:rFonts w:ascii="仿宋_GB2312" w:eastAsia="仿宋_GB2312"/>
          <w:sz w:val="32"/>
          <w:szCs w:val="32"/>
        </w:rPr>
      </w:pPr>
      <w:r>
        <w:rPr>
          <w:rFonts w:hint="eastAsia" w:ascii="仿宋_GB2312" w:eastAsia="仿宋_GB2312"/>
          <w:sz w:val="32"/>
          <w:szCs w:val="32"/>
        </w:rPr>
        <w:t>（五）推进旅游公共服务体系建设，指导旅游设施建设。组织全县旅游形象推广，制定全县旅游市场开发战略并组织实施，指导、推进全域旅游。监管全县旅游市场秩序和服务质量。</w:t>
      </w:r>
    </w:p>
    <w:p>
      <w:pPr>
        <w:spacing w:line="560" w:lineRule="exact"/>
        <w:ind w:firstLine="640"/>
        <w:rPr>
          <w:rFonts w:ascii="仿宋_GB2312" w:eastAsia="仿宋_GB2312"/>
          <w:kern w:val="0"/>
          <w:sz w:val="32"/>
          <w:szCs w:val="32"/>
        </w:rPr>
      </w:pPr>
      <w:r>
        <w:rPr>
          <w:rFonts w:hint="eastAsia" w:ascii="仿宋_GB2312" w:eastAsia="仿宋_GB2312"/>
          <w:sz w:val="32"/>
          <w:szCs w:val="32"/>
        </w:rPr>
        <w:t>（六）统筹推进文化旅游产业发展，组织实施文化和旅游资源普查、挖掘、保护和利用工作</w:t>
      </w:r>
      <w:r>
        <w:rPr>
          <w:rFonts w:ascii="仿宋_GB2312" w:eastAsia="仿宋_GB2312"/>
          <w:sz w:val="32"/>
          <w:szCs w:val="32"/>
        </w:rPr>
        <w:t>,</w:t>
      </w:r>
      <w:r>
        <w:rPr>
          <w:rFonts w:hint="eastAsia" w:ascii="仿宋_GB2312" w:eastAsia="仿宋_GB2312"/>
          <w:sz w:val="32"/>
          <w:szCs w:val="32"/>
        </w:rPr>
        <w:t>推进文化旅游产业高</w:t>
      </w:r>
      <w:r>
        <w:rPr>
          <w:rFonts w:hint="eastAsia" w:ascii="仿宋_GB2312" w:eastAsia="仿宋_GB2312"/>
          <w:kern w:val="0"/>
          <w:sz w:val="32"/>
          <w:szCs w:val="32"/>
        </w:rPr>
        <w:t>质量发展。</w:t>
      </w:r>
    </w:p>
    <w:p>
      <w:pPr>
        <w:spacing w:line="560" w:lineRule="exact"/>
        <w:ind w:firstLine="640"/>
        <w:rPr>
          <w:rFonts w:ascii="仿宋_GB2312" w:eastAsia="仿宋_GB2312"/>
          <w:sz w:val="32"/>
          <w:szCs w:val="32"/>
        </w:rPr>
      </w:pPr>
      <w:r>
        <w:rPr>
          <w:rFonts w:hint="eastAsia" w:ascii="仿宋_GB2312" w:eastAsia="仿宋_GB2312"/>
          <w:sz w:val="32"/>
          <w:szCs w:val="32"/>
        </w:rPr>
        <w:t>（七）指导、管理全县文艺事业，指导艺术创作生产，扶持体现社会主义核心价值观、具有导向性代表性示范性的文艺作品，推动各门类艺术、各艺术品种发展。</w:t>
      </w:r>
    </w:p>
    <w:p>
      <w:pPr>
        <w:spacing w:line="560" w:lineRule="exact"/>
        <w:ind w:firstLine="640"/>
        <w:rPr>
          <w:rFonts w:ascii="仿宋_GB2312" w:eastAsia="仿宋_GB2312"/>
          <w:sz w:val="32"/>
          <w:szCs w:val="32"/>
        </w:rPr>
      </w:pPr>
      <w:r>
        <w:rPr>
          <w:rFonts w:hint="eastAsia" w:ascii="仿宋_GB2312" w:eastAsia="仿宋_GB2312"/>
          <w:sz w:val="32"/>
          <w:szCs w:val="32"/>
        </w:rPr>
        <w:t>（八）负责全县非物质文化遗产保护，推动非物质文化遗产和优秀民族及本土文化的保护、传承、普及、弘扬和振兴。</w:t>
      </w:r>
    </w:p>
    <w:p>
      <w:pPr>
        <w:spacing w:line="560" w:lineRule="exact"/>
        <w:ind w:firstLine="640"/>
        <w:rPr>
          <w:rFonts w:ascii="仿宋_GB2312" w:eastAsia="仿宋_GB2312"/>
          <w:sz w:val="32"/>
          <w:szCs w:val="32"/>
        </w:rPr>
      </w:pPr>
      <w:r>
        <w:rPr>
          <w:rFonts w:hint="eastAsia" w:ascii="仿宋_GB2312" w:eastAsia="仿宋_GB2312"/>
          <w:sz w:val="32"/>
          <w:szCs w:val="32"/>
        </w:rPr>
        <w:t>（九）指导、管理全县文物和博物馆事业，对全县文物保护进行监督管理。组织全县文物资源调查。指导、监督全县文物保护、考古勘探、古建筑维修工作。指导、监督全县博物馆业务工作。履行文物行政执法督察职责，依法组织查处破坏文物的违法行为。组织指导全县文物保护、博物馆的宣传、科研工作。组织、协调全县文物相关产业发展有关工作。</w:t>
      </w:r>
    </w:p>
    <w:p>
      <w:pPr>
        <w:spacing w:line="560" w:lineRule="exact"/>
        <w:ind w:firstLine="640" w:firstLineChars="200"/>
        <w:rPr>
          <w:rFonts w:ascii="Times New Roman" w:hAnsi="Times New Roman" w:eastAsia="仿宋_GB2312"/>
          <w:spacing w:val="2"/>
          <w:sz w:val="32"/>
          <w:szCs w:val="32"/>
        </w:rPr>
      </w:pPr>
      <w:r>
        <w:rPr>
          <w:rFonts w:hint="eastAsia" w:ascii="仿宋_GB2312" w:eastAsia="仿宋_GB2312"/>
          <w:sz w:val="32"/>
          <w:szCs w:val="32"/>
        </w:rPr>
        <w:t>（十）指导、管理全县</w:t>
      </w:r>
      <w:bookmarkStart w:id="4" w:name="_Hlk5872952"/>
      <w:r>
        <w:rPr>
          <w:rFonts w:hint="eastAsia" w:ascii="仿宋_GB2312" w:eastAsia="仿宋_GB2312"/>
          <w:sz w:val="32"/>
          <w:szCs w:val="32"/>
        </w:rPr>
        <w:t>文化、旅游、体育</w:t>
      </w:r>
      <w:bookmarkEnd w:id="4"/>
      <w:r>
        <w:rPr>
          <w:rFonts w:hint="eastAsia" w:ascii="仿宋_GB2312" w:eastAsia="仿宋_GB2312"/>
          <w:sz w:val="32"/>
          <w:szCs w:val="32"/>
        </w:rPr>
        <w:t>和文物的对外及对港澳台交流、合作和宣传、推广工作，</w:t>
      </w:r>
      <w:r>
        <w:rPr>
          <w:rFonts w:hint="eastAsia" w:ascii="仿宋_GB2312" w:eastAsia="仿宋_GB2312"/>
          <w:kern w:val="0"/>
          <w:sz w:val="32"/>
          <w:szCs w:val="32"/>
        </w:rPr>
        <w:t>组织大型</w:t>
      </w:r>
      <w:r>
        <w:rPr>
          <w:rFonts w:hint="eastAsia" w:ascii="仿宋_GB2312" w:eastAsia="仿宋_GB2312"/>
          <w:sz w:val="32"/>
          <w:szCs w:val="32"/>
        </w:rPr>
        <w:t>文化、旅游、体育</w:t>
      </w:r>
      <w:r>
        <w:rPr>
          <w:rFonts w:hint="eastAsia" w:ascii="仿宋_GB2312" w:eastAsia="仿宋_GB2312"/>
          <w:kern w:val="0"/>
          <w:sz w:val="32"/>
          <w:szCs w:val="32"/>
        </w:rPr>
        <w:t>和文物对外及对港澳台交流活动，</w:t>
      </w:r>
      <w:r>
        <w:rPr>
          <w:rFonts w:hint="eastAsia" w:ascii="仿宋_GB2312" w:eastAsia="仿宋_GB2312"/>
          <w:sz w:val="32"/>
          <w:szCs w:val="32"/>
        </w:rPr>
        <w:t>指导全县“一带一路”文化、旅游、体育和文物交流与合作工作。</w:t>
      </w:r>
    </w:p>
    <w:p>
      <w:pPr>
        <w:spacing w:line="560" w:lineRule="exact"/>
        <w:ind w:firstLine="648" w:firstLineChars="200"/>
        <w:rPr>
          <w:rFonts w:ascii="Times New Roman" w:hAnsi="Times New Roman" w:eastAsia="仿宋_GB2312"/>
          <w:spacing w:val="2"/>
          <w:sz w:val="32"/>
          <w:szCs w:val="32"/>
        </w:rPr>
      </w:pPr>
      <w:r>
        <w:rPr>
          <w:rFonts w:ascii="Times New Roman" w:hAnsi="Times New Roman" w:eastAsia="仿宋_GB2312"/>
          <w:spacing w:val="2"/>
          <w:sz w:val="32"/>
          <w:szCs w:val="32"/>
        </w:rPr>
        <w:t>（</w:t>
      </w:r>
      <w:r>
        <w:rPr>
          <w:rFonts w:hint="eastAsia" w:ascii="Times New Roman" w:hAnsi="Times New Roman" w:eastAsia="仿宋_GB2312"/>
          <w:spacing w:val="2"/>
          <w:sz w:val="32"/>
          <w:szCs w:val="32"/>
        </w:rPr>
        <w:t>十一</w:t>
      </w:r>
      <w:r>
        <w:rPr>
          <w:rFonts w:ascii="Times New Roman" w:hAnsi="Times New Roman" w:eastAsia="仿宋_GB2312"/>
          <w:spacing w:val="2"/>
          <w:sz w:val="32"/>
          <w:szCs w:val="32"/>
        </w:rPr>
        <w:t>）负责对全县文化文物和旅游体育建设项目进行宏观指导和监督，编制文化文物和旅游体育发展保护项目专项资金申报计划，并对文化文物和旅游体育发展保护项目进行监督检查；指导文化和旅游体育行业利用外资和社会投资工作；会同有关部门开展文化文物、旅游、体育产业投资和重大项目的协调、管理和服务工作；设立、管理文化文物和旅游体育发展专项资金；管理和监督直属单位国有资产保值、增值。</w:t>
      </w:r>
    </w:p>
    <w:p>
      <w:pPr>
        <w:spacing w:line="560" w:lineRule="exact"/>
        <w:ind w:firstLine="648" w:firstLineChars="200"/>
        <w:rPr>
          <w:rFonts w:ascii="Times New Roman" w:hAnsi="Times New Roman" w:eastAsia="仿宋_GB2312"/>
          <w:spacing w:val="2"/>
          <w:sz w:val="32"/>
          <w:szCs w:val="32"/>
        </w:rPr>
      </w:pPr>
      <w:r>
        <w:rPr>
          <w:rFonts w:ascii="Times New Roman" w:hAnsi="Times New Roman" w:eastAsia="仿宋_GB2312"/>
          <w:spacing w:val="2"/>
          <w:sz w:val="32"/>
          <w:szCs w:val="32"/>
        </w:rPr>
        <w:t>（</w:t>
      </w:r>
      <w:r>
        <w:rPr>
          <w:rFonts w:hint="eastAsia" w:ascii="Times New Roman" w:hAnsi="Times New Roman" w:eastAsia="仿宋_GB2312"/>
          <w:spacing w:val="2"/>
          <w:sz w:val="32"/>
          <w:szCs w:val="32"/>
        </w:rPr>
        <w:t>十二</w:t>
      </w:r>
      <w:r>
        <w:rPr>
          <w:rFonts w:ascii="Times New Roman" w:hAnsi="Times New Roman" w:eastAsia="仿宋_GB2312"/>
          <w:spacing w:val="2"/>
          <w:sz w:val="32"/>
          <w:szCs w:val="32"/>
        </w:rPr>
        <w:t>）负责对旅行社（营业网点）、星级饭店、旅游购物店、旅游景区、博物馆、文物保护单位、文化经营单位（网络、游艺、娱乐、艺术品、演出）场所进行依法审核、申报和监管；负责县“扫黄打非”领导小组办公室日常工作，组织协调开展全县“扫黄打非”工作。</w:t>
      </w:r>
    </w:p>
    <w:p>
      <w:pPr>
        <w:spacing w:line="560" w:lineRule="exact"/>
        <w:ind w:firstLine="648" w:firstLineChars="200"/>
        <w:rPr>
          <w:rFonts w:ascii="Times New Roman" w:hAnsi="Times New Roman" w:eastAsia="仿宋_GB2312"/>
          <w:color w:val="000000"/>
          <w:spacing w:val="2"/>
          <w:sz w:val="32"/>
          <w:szCs w:val="32"/>
        </w:rPr>
      </w:pPr>
      <w:r>
        <w:rPr>
          <w:rFonts w:ascii="Times New Roman" w:hAnsi="Times New Roman" w:eastAsia="仿宋_GB2312"/>
          <w:color w:val="000000"/>
          <w:spacing w:val="2"/>
          <w:sz w:val="32"/>
          <w:szCs w:val="32"/>
        </w:rPr>
        <w:t>（</w:t>
      </w:r>
      <w:r>
        <w:rPr>
          <w:rFonts w:hint="eastAsia" w:ascii="Times New Roman" w:hAnsi="Times New Roman" w:eastAsia="仿宋_GB2312"/>
          <w:color w:val="000000"/>
          <w:spacing w:val="2"/>
          <w:sz w:val="32"/>
          <w:szCs w:val="32"/>
        </w:rPr>
        <w:t>十三</w:t>
      </w:r>
      <w:r>
        <w:rPr>
          <w:rFonts w:ascii="Times New Roman" w:hAnsi="Times New Roman" w:eastAsia="仿宋_GB2312"/>
          <w:color w:val="000000"/>
          <w:spacing w:val="2"/>
          <w:sz w:val="32"/>
          <w:szCs w:val="32"/>
        </w:rPr>
        <w:t>）统筹规划全县群众体育发展，</w:t>
      </w:r>
      <w:r>
        <w:rPr>
          <w:rFonts w:hint="eastAsia" w:ascii="Times New Roman" w:hAnsi="Times New Roman" w:eastAsia="仿宋_GB2312"/>
          <w:color w:val="000000"/>
          <w:spacing w:val="2"/>
          <w:sz w:val="32"/>
          <w:szCs w:val="32"/>
        </w:rPr>
        <w:t>负责</w:t>
      </w:r>
      <w:r>
        <w:rPr>
          <w:rFonts w:ascii="Times New Roman" w:hAnsi="Times New Roman" w:eastAsia="仿宋_GB2312"/>
          <w:color w:val="000000"/>
          <w:spacing w:val="2"/>
          <w:sz w:val="32"/>
          <w:szCs w:val="32"/>
        </w:rPr>
        <w:t>推行全民健身计划、指导群众性体育活动开展；推动国民体质监测</w:t>
      </w:r>
      <w:r>
        <w:rPr>
          <w:rFonts w:hint="eastAsia" w:ascii="Times New Roman" w:hAnsi="Times New Roman" w:eastAsia="仿宋_GB2312"/>
          <w:color w:val="000000"/>
          <w:spacing w:val="2"/>
          <w:sz w:val="32"/>
          <w:szCs w:val="32"/>
        </w:rPr>
        <w:t>和</w:t>
      </w:r>
      <w:r>
        <w:rPr>
          <w:rFonts w:ascii="Times New Roman" w:hAnsi="Times New Roman" w:eastAsia="仿宋_GB2312"/>
          <w:color w:val="000000"/>
          <w:spacing w:val="2"/>
          <w:sz w:val="32"/>
          <w:szCs w:val="32"/>
        </w:rPr>
        <w:t>社会体育指导工作队伍</w:t>
      </w:r>
      <w:r>
        <w:rPr>
          <w:rFonts w:hint="eastAsia" w:ascii="Times New Roman" w:hAnsi="Times New Roman" w:eastAsia="仿宋_GB2312"/>
          <w:color w:val="000000"/>
          <w:spacing w:val="2"/>
          <w:sz w:val="32"/>
          <w:szCs w:val="32"/>
        </w:rPr>
        <w:t>制度</w:t>
      </w:r>
      <w:r>
        <w:rPr>
          <w:rFonts w:ascii="Times New Roman" w:hAnsi="Times New Roman" w:eastAsia="仿宋_GB2312"/>
          <w:color w:val="000000"/>
          <w:spacing w:val="2"/>
          <w:sz w:val="32"/>
          <w:szCs w:val="32"/>
        </w:rPr>
        <w:t>建设</w:t>
      </w:r>
      <w:r>
        <w:rPr>
          <w:rFonts w:hint="eastAsia" w:ascii="Times New Roman" w:hAnsi="Times New Roman" w:eastAsia="仿宋_GB2312"/>
          <w:color w:val="000000"/>
          <w:spacing w:val="2"/>
          <w:sz w:val="32"/>
          <w:szCs w:val="32"/>
        </w:rPr>
        <w:t>；指导公共体育设施的建设，负责对公共体育设施的监督管理。</w:t>
      </w:r>
    </w:p>
    <w:p>
      <w:pPr>
        <w:spacing w:line="560" w:lineRule="exact"/>
        <w:ind w:firstLine="648" w:firstLineChars="200"/>
        <w:rPr>
          <w:rFonts w:ascii="Times New Roman" w:hAnsi="Times New Roman" w:eastAsia="仿宋_GB2312"/>
          <w:color w:val="000000"/>
          <w:spacing w:val="2"/>
          <w:sz w:val="32"/>
          <w:szCs w:val="32"/>
        </w:rPr>
      </w:pPr>
      <w:r>
        <w:rPr>
          <w:rFonts w:hint="eastAsia" w:ascii="Times New Roman" w:hAnsi="Times New Roman" w:eastAsia="仿宋_GB2312"/>
          <w:color w:val="000000"/>
          <w:spacing w:val="2"/>
          <w:sz w:val="32"/>
          <w:szCs w:val="32"/>
        </w:rPr>
        <w:t>（十四）统筹规划全县竞技体育发展，</w:t>
      </w:r>
      <w:r>
        <w:rPr>
          <w:rFonts w:ascii="Times New Roman" w:hAnsi="Times New Roman" w:eastAsia="仿宋_GB2312"/>
          <w:color w:val="000000"/>
          <w:spacing w:val="2"/>
          <w:sz w:val="32"/>
          <w:szCs w:val="32"/>
        </w:rPr>
        <w:t>承办全县综合性运动会</w:t>
      </w:r>
      <w:r>
        <w:rPr>
          <w:rFonts w:hint="eastAsia" w:ascii="Times New Roman" w:hAnsi="Times New Roman" w:eastAsia="仿宋_GB2312"/>
          <w:color w:val="000000"/>
          <w:spacing w:val="2"/>
          <w:sz w:val="32"/>
          <w:szCs w:val="32"/>
        </w:rPr>
        <w:t>，设置体育运动项目，指导协调体育训练和体育竞赛，指导运动队伍建设，协调运动员保障工作；统筹规划</w:t>
      </w:r>
      <w:r>
        <w:rPr>
          <w:rFonts w:ascii="Times New Roman" w:hAnsi="Times New Roman" w:eastAsia="仿宋_GB2312"/>
          <w:color w:val="000000"/>
          <w:spacing w:val="2"/>
          <w:sz w:val="32"/>
          <w:szCs w:val="32"/>
        </w:rPr>
        <w:t>全县青少年体育发展，</w:t>
      </w:r>
      <w:r>
        <w:rPr>
          <w:rFonts w:hint="eastAsia" w:ascii="Times New Roman" w:hAnsi="Times New Roman" w:eastAsia="仿宋_GB2312"/>
          <w:color w:val="000000"/>
          <w:spacing w:val="2"/>
          <w:sz w:val="32"/>
          <w:szCs w:val="32"/>
        </w:rPr>
        <w:t>指导和</w:t>
      </w:r>
      <w:r>
        <w:rPr>
          <w:rFonts w:ascii="Times New Roman" w:hAnsi="Times New Roman" w:eastAsia="仿宋_GB2312"/>
          <w:color w:val="000000"/>
          <w:spacing w:val="2"/>
          <w:sz w:val="32"/>
          <w:szCs w:val="32"/>
        </w:rPr>
        <w:t>推进青少年体育工作，加强体育后备人才队伍建设</w:t>
      </w:r>
      <w:r>
        <w:rPr>
          <w:rFonts w:hint="eastAsia" w:ascii="Times New Roman" w:hAnsi="Times New Roman" w:eastAsia="仿宋_GB2312"/>
          <w:color w:val="000000"/>
          <w:spacing w:val="2"/>
          <w:sz w:val="32"/>
          <w:szCs w:val="32"/>
        </w:rPr>
        <w:t>；负责规范体育服务管理，推动体育标准化建设，</w:t>
      </w:r>
      <w:r>
        <w:rPr>
          <w:rFonts w:ascii="Times New Roman" w:hAnsi="Times New Roman" w:eastAsia="仿宋_GB2312"/>
          <w:color w:val="000000"/>
          <w:spacing w:val="2"/>
          <w:sz w:val="32"/>
          <w:szCs w:val="32"/>
        </w:rPr>
        <w:t>负责体育彩票销售管理工作</w:t>
      </w:r>
      <w:r>
        <w:rPr>
          <w:rFonts w:hint="eastAsia" w:ascii="Times New Roman" w:hAnsi="Times New Roman" w:eastAsia="仿宋_GB2312"/>
          <w:color w:val="000000"/>
          <w:spacing w:val="2"/>
          <w:sz w:val="32"/>
          <w:szCs w:val="32"/>
        </w:rPr>
        <w:t>。</w:t>
      </w:r>
    </w:p>
    <w:p>
      <w:pPr>
        <w:spacing w:line="560" w:lineRule="exact"/>
        <w:ind w:firstLine="648" w:firstLineChars="200"/>
        <w:rPr>
          <w:rFonts w:ascii="Times New Roman" w:hAnsi="Times New Roman" w:eastAsia="仿宋_GB2312"/>
          <w:color w:val="000000"/>
          <w:spacing w:val="2"/>
          <w:sz w:val="32"/>
          <w:szCs w:val="32"/>
        </w:rPr>
      </w:pPr>
      <w:r>
        <w:rPr>
          <w:rFonts w:ascii="Times New Roman" w:hAnsi="Times New Roman" w:eastAsia="仿宋_GB2312"/>
          <w:color w:val="000000"/>
          <w:spacing w:val="2"/>
          <w:sz w:val="32"/>
          <w:szCs w:val="32"/>
        </w:rPr>
        <w:t>（十</w:t>
      </w:r>
      <w:r>
        <w:rPr>
          <w:rFonts w:hint="eastAsia" w:ascii="Times New Roman" w:hAnsi="Times New Roman" w:eastAsia="仿宋_GB2312"/>
          <w:color w:val="000000"/>
          <w:spacing w:val="2"/>
          <w:sz w:val="32"/>
          <w:szCs w:val="32"/>
        </w:rPr>
        <w:t>五</w:t>
      </w:r>
      <w:r>
        <w:rPr>
          <w:rFonts w:ascii="Times New Roman" w:hAnsi="Times New Roman" w:eastAsia="仿宋_GB2312"/>
          <w:color w:val="000000"/>
          <w:spacing w:val="2"/>
          <w:sz w:val="32"/>
          <w:szCs w:val="32"/>
        </w:rPr>
        <w:t>）负责文化文物、旅游要素体系建设，整合各类资源，优化配置，强化文化文物和旅游综合服务功能；建立健全旅游集散体系，咨询服务体系和旅游公共服务信息网络体系；指导文化和旅游体育行业精神文明建设和诚信体系建设。</w:t>
      </w:r>
    </w:p>
    <w:p>
      <w:pPr>
        <w:spacing w:line="560" w:lineRule="exact"/>
        <w:ind w:firstLine="648" w:firstLineChars="200"/>
        <w:rPr>
          <w:rFonts w:ascii="Times New Roman" w:hAnsi="Times New Roman" w:eastAsia="仿宋_GB2312"/>
          <w:color w:val="000000"/>
          <w:spacing w:val="2"/>
          <w:sz w:val="32"/>
          <w:szCs w:val="32"/>
        </w:rPr>
      </w:pPr>
      <w:r>
        <w:rPr>
          <w:rFonts w:ascii="Times New Roman" w:hAnsi="Times New Roman" w:eastAsia="仿宋_GB2312"/>
          <w:color w:val="000000"/>
          <w:spacing w:val="2"/>
          <w:sz w:val="32"/>
          <w:szCs w:val="32"/>
        </w:rPr>
        <w:t>（十</w:t>
      </w:r>
      <w:r>
        <w:rPr>
          <w:rFonts w:hint="eastAsia" w:ascii="Times New Roman" w:hAnsi="Times New Roman" w:eastAsia="仿宋_GB2312"/>
          <w:color w:val="000000"/>
          <w:spacing w:val="2"/>
          <w:sz w:val="32"/>
          <w:szCs w:val="32"/>
        </w:rPr>
        <w:t>六</w:t>
      </w:r>
      <w:r>
        <w:rPr>
          <w:rFonts w:ascii="Times New Roman" w:hAnsi="Times New Roman" w:eastAsia="仿宋_GB2312"/>
          <w:color w:val="000000"/>
          <w:spacing w:val="2"/>
          <w:sz w:val="32"/>
          <w:szCs w:val="32"/>
        </w:rPr>
        <w:t>）组织实施文化文物和旅游体育人才规划，指导文化和旅游体育干部职工及从业人员培训工作；指导全县文化和旅游体育从业人员的职业资格标准和等级标准，并组织实施；负责全县文化和旅游体育行业人才管理和业务指导工作。</w:t>
      </w:r>
    </w:p>
    <w:p>
      <w:pPr>
        <w:spacing w:line="560" w:lineRule="exact"/>
        <w:ind w:firstLine="648" w:firstLineChars="200"/>
        <w:rPr>
          <w:rFonts w:ascii="Times New Roman" w:hAnsi="Times New Roman" w:eastAsia="仿宋_GB2312"/>
          <w:color w:val="000000"/>
          <w:spacing w:val="2"/>
          <w:sz w:val="32"/>
          <w:szCs w:val="32"/>
        </w:rPr>
      </w:pPr>
      <w:r>
        <w:rPr>
          <w:rFonts w:ascii="Times New Roman" w:hAnsi="Times New Roman" w:eastAsia="仿宋_GB2312"/>
          <w:color w:val="000000"/>
          <w:spacing w:val="2"/>
          <w:sz w:val="32"/>
          <w:szCs w:val="32"/>
        </w:rPr>
        <w:t>（十</w:t>
      </w:r>
      <w:r>
        <w:rPr>
          <w:rFonts w:hint="eastAsia" w:ascii="Times New Roman" w:hAnsi="Times New Roman" w:eastAsia="仿宋_GB2312"/>
          <w:color w:val="000000"/>
          <w:spacing w:val="2"/>
          <w:sz w:val="32"/>
          <w:szCs w:val="32"/>
        </w:rPr>
        <w:t>七</w:t>
      </w:r>
      <w:r>
        <w:rPr>
          <w:rFonts w:ascii="Times New Roman" w:hAnsi="Times New Roman" w:eastAsia="仿宋_GB2312"/>
          <w:color w:val="000000"/>
          <w:spacing w:val="2"/>
          <w:sz w:val="32"/>
          <w:szCs w:val="32"/>
        </w:rPr>
        <w:t>）履行文化、文物旅游和体育督察职责。依法组织查处涉及文化文物和旅游体育领域的违法行为；配合有关部门查处文化文物和旅游体育行业领域的重大案件；制定文化和旅游体育突发事件应急预案，指导文化文物、旅游和体育应急救援工作，并组织实施；监督管理文化和旅游</w:t>
      </w:r>
      <w:r>
        <w:rPr>
          <w:rFonts w:hint="eastAsia" w:ascii="Times New Roman" w:hAnsi="Times New Roman" w:eastAsia="仿宋_GB2312"/>
          <w:color w:val="000000"/>
          <w:spacing w:val="2"/>
          <w:sz w:val="32"/>
          <w:szCs w:val="32"/>
        </w:rPr>
        <w:t>市</w:t>
      </w:r>
      <w:r>
        <w:rPr>
          <w:rFonts w:ascii="Times New Roman" w:hAnsi="Times New Roman" w:eastAsia="仿宋_GB2312"/>
          <w:color w:val="000000"/>
          <w:spacing w:val="2"/>
          <w:sz w:val="32"/>
          <w:szCs w:val="32"/>
        </w:rPr>
        <w:t>场秩序和服务质量，规范文化、旅游、体育和文物企业、从业人员的经营和服务行为，受理文化、旅游、体育和文物投诉，维护消费者和经营者合法权益。</w:t>
      </w:r>
    </w:p>
    <w:p>
      <w:pPr>
        <w:spacing w:line="560" w:lineRule="exact"/>
        <w:ind w:firstLine="648" w:firstLineChars="200"/>
        <w:rPr>
          <w:rFonts w:ascii="Times New Roman" w:hAnsi="Times New Roman" w:eastAsia="仿宋_GB2312"/>
          <w:color w:val="000000"/>
          <w:spacing w:val="2"/>
          <w:sz w:val="32"/>
          <w:szCs w:val="32"/>
        </w:rPr>
      </w:pPr>
      <w:r>
        <w:rPr>
          <w:rFonts w:ascii="Times New Roman" w:hAnsi="Times New Roman" w:eastAsia="仿宋_GB2312"/>
          <w:color w:val="000000"/>
          <w:spacing w:val="2"/>
          <w:sz w:val="32"/>
          <w:szCs w:val="32"/>
        </w:rPr>
        <w:t>（十</w:t>
      </w:r>
      <w:r>
        <w:rPr>
          <w:rFonts w:hint="eastAsia" w:ascii="Times New Roman" w:hAnsi="Times New Roman" w:eastAsia="仿宋_GB2312"/>
          <w:color w:val="000000"/>
          <w:spacing w:val="2"/>
          <w:sz w:val="32"/>
          <w:szCs w:val="32"/>
        </w:rPr>
        <w:t>八</w:t>
      </w:r>
      <w:r>
        <w:rPr>
          <w:rFonts w:ascii="Times New Roman" w:hAnsi="Times New Roman" w:eastAsia="仿宋_GB2312"/>
          <w:color w:val="000000"/>
          <w:spacing w:val="2"/>
          <w:sz w:val="32"/>
          <w:szCs w:val="32"/>
        </w:rPr>
        <w:t>）负责机关及所属事业单位安全生产管理工作</w:t>
      </w:r>
      <w:r>
        <w:rPr>
          <w:rFonts w:hint="eastAsia" w:ascii="Times New Roman" w:hAnsi="Times New Roman" w:eastAsia="仿宋_GB2312"/>
          <w:color w:val="000000"/>
          <w:spacing w:val="2"/>
          <w:sz w:val="32"/>
          <w:szCs w:val="32"/>
        </w:rPr>
        <w:t>。</w:t>
      </w:r>
    </w:p>
    <w:p>
      <w:pPr>
        <w:spacing w:line="560" w:lineRule="exact"/>
        <w:ind w:firstLine="648" w:firstLineChars="200"/>
        <w:rPr>
          <w:rFonts w:ascii="Times New Roman" w:hAnsi="Times New Roman" w:eastAsia="仿宋_GB2312"/>
          <w:color w:val="000000"/>
          <w:spacing w:val="2"/>
          <w:sz w:val="32"/>
          <w:szCs w:val="32"/>
        </w:rPr>
      </w:pPr>
      <w:r>
        <w:rPr>
          <w:rFonts w:hint="eastAsia" w:ascii="Times New Roman" w:hAnsi="Times New Roman" w:eastAsia="仿宋_GB2312"/>
          <w:color w:val="000000"/>
          <w:spacing w:val="2"/>
          <w:sz w:val="32"/>
          <w:szCs w:val="32"/>
        </w:rPr>
        <w:t>（十九）完成县委、</w:t>
      </w:r>
      <w:r>
        <w:rPr>
          <w:rFonts w:ascii="Times New Roman" w:hAnsi="Times New Roman" w:eastAsia="仿宋_GB2312"/>
          <w:color w:val="000000"/>
          <w:spacing w:val="2"/>
          <w:sz w:val="32"/>
          <w:szCs w:val="32"/>
        </w:rPr>
        <w:t>县政府交办的其他任务。</w:t>
      </w:r>
    </w:p>
    <w:p>
      <w:pPr>
        <w:spacing w:line="560" w:lineRule="exact"/>
        <w:ind w:firstLine="648" w:firstLineChars="200"/>
        <w:rPr>
          <w:rFonts w:ascii="Times New Roman" w:hAnsi="Times New Roman" w:eastAsia="仿宋_GB2312"/>
          <w:spacing w:val="2"/>
          <w:sz w:val="32"/>
          <w:szCs w:val="32"/>
        </w:rPr>
      </w:pPr>
      <w:r>
        <w:rPr>
          <w:rFonts w:ascii="Times New Roman" w:hAnsi="Times New Roman" w:eastAsia="仿宋_GB2312"/>
          <w:spacing w:val="2"/>
          <w:sz w:val="32"/>
          <w:szCs w:val="32"/>
        </w:rPr>
        <w:t>蓝田县文化和旅游体育局</w:t>
      </w:r>
      <w:r>
        <w:rPr>
          <w:rFonts w:hint="eastAsia" w:ascii="Times New Roman" w:hAnsi="Times New Roman" w:eastAsia="仿宋_GB2312"/>
          <w:spacing w:val="2"/>
          <w:sz w:val="32"/>
          <w:szCs w:val="32"/>
        </w:rPr>
        <w:t>内设十个科室，分别是：办公室、旅游管理科、公共文化科、产业发展科、文物管理科、体育运动科、市场管理科、信息宣传科、文物稽查科、非物质文化遗产科。</w:t>
      </w:r>
    </w:p>
    <w:p>
      <w:pPr>
        <w:ind w:firstLine="640" w:firstLineChars="200"/>
        <w:rPr>
          <w:rFonts w:ascii="仿宋" w:hAnsi="仿宋" w:eastAsia="仿宋"/>
          <w:sz w:val="32"/>
          <w:szCs w:val="32"/>
        </w:rPr>
      </w:pPr>
      <w:r>
        <w:rPr>
          <w:rFonts w:hint="eastAsia" w:ascii="仿宋" w:hAnsi="仿宋" w:eastAsia="仿宋"/>
          <w:sz w:val="32"/>
          <w:szCs w:val="32"/>
        </w:rPr>
        <w:t>二、2020年度部门工作任务</w:t>
      </w:r>
    </w:p>
    <w:p>
      <w:pPr>
        <w:spacing w:line="560" w:lineRule="exact"/>
        <w:ind w:firstLine="640" w:firstLineChars="200"/>
        <w:rPr>
          <w:rFonts w:eastAsia="仿宋_GB2312"/>
          <w:color w:val="000000"/>
          <w:kern w:val="0"/>
          <w:sz w:val="32"/>
          <w:szCs w:val="32"/>
          <w:shd w:val="clear" w:color="auto" w:fill="FFFFFF"/>
        </w:rPr>
      </w:pPr>
      <w:r>
        <w:rPr>
          <w:rFonts w:hint="eastAsia" w:eastAsia="楷体_GB2312"/>
          <w:color w:val="000000"/>
          <w:sz w:val="32"/>
          <w:szCs w:val="32"/>
        </w:rPr>
        <w:t>（一）</w:t>
      </w:r>
      <w:r>
        <w:rPr>
          <w:rFonts w:eastAsia="楷体_GB2312"/>
          <w:color w:val="000000"/>
          <w:sz w:val="32"/>
          <w:szCs w:val="32"/>
        </w:rPr>
        <w:t>创建国家全域旅游示范区。</w:t>
      </w:r>
      <w:r>
        <w:rPr>
          <w:rFonts w:eastAsia="仿宋_GB2312"/>
          <w:color w:val="000000"/>
          <w:kern w:val="0"/>
          <w:sz w:val="32"/>
          <w:szCs w:val="32"/>
          <w:shd w:val="clear" w:color="auto" w:fill="FFFFFF"/>
        </w:rPr>
        <w:t>对标创建国家全域旅游示范区标准和指标，进一步创新机制、强化规划引领、优化全域旅游基础及公共配套设施。</w:t>
      </w:r>
      <w:r>
        <w:rPr>
          <w:rFonts w:hint="eastAsia" w:ascii="楷体_GB2312" w:eastAsia="楷体_GB2312"/>
          <w:color w:val="000000"/>
          <w:kern w:val="0"/>
          <w:sz w:val="32"/>
          <w:szCs w:val="32"/>
          <w:shd w:val="clear" w:color="auto" w:fill="FFFFFF"/>
        </w:rPr>
        <w:t>围绕“两园区、四中心、七场馆、两街区”建设，打好“全域旅游二次革命”突围战。</w:t>
      </w:r>
      <w:r>
        <w:rPr>
          <w:rFonts w:hint="eastAsia" w:eastAsia="仿宋_GB2312"/>
          <w:color w:val="000000"/>
          <w:kern w:val="0"/>
          <w:sz w:val="32"/>
          <w:szCs w:val="32"/>
          <w:shd w:val="clear" w:color="auto" w:fill="FFFFFF"/>
        </w:rPr>
        <w:t>编制《全域旅游发展总体规划》《全域旅游示范区创建实施意见》《文旅融合发展实施意见》，做好文旅产业顶层规划。启建蓝田猿人遗址、王顺山孝文化“两个园区”，实施县旅游集散中心、汪锋故居游客服务中心等“四个游客中心”建设。启建县博物馆，提升水陆庵壁塑博物馆、葛牌镇区苏维埃政府纪念馆等“六个场馆”，保护好县城老城墙遗址。</w:t>
      </w:r>
      <w:r>
        <w:rPr>
          <w:rFonts w:eastAsia="仿宋_GB2312"/>
          <w:color w:val="000000"/>
          <w:kern w:val="0"/>
          <w:sz w:val="32"/>
          <w:szCs w:val="32"/>
          <w:shd w:val="clear" w:color="auto" w:fill="FFFFFF"/>
        </w:rPr>
        <w:t>实施白鹿原文化村、辋川溶洞、水陆庵、汤峪温泉度假区等提升改造。设计开发精品旅游线路5条。在重点乡村旅游点、游客聚集区域和主要道路沿线建设一批小型停车场、旅游公厕和游客接待中心。提升景区、乡村旅游点的趣味性及附加值，打造便捷高效的“慢城”旅游功能体系。夯实国家全域旅游示范区创建基础。</w:t>
      </w:r>
    </w:p>
    <w:p>
      <w:pPr>
        <w:spacing w:line="560" w:lineRule="exact"/>
        <w:ind w:firstLine="640" w:firstLineChars="200"/>
        <w:rPr>
          <w:rFonts w:eastAsia="仿宋_GB2312"/>
          <w:sz w:val="32"/>
          <w:szCs w:val="32"/>
        </w:rPr>
      </w:pPr>
      <w:r>
        <w:rPr>
          <w:rFonts w:hint="eastAsia" w:eastAsia="楷体_GB2312"/>
          <w:color w:val="000000"/>
          <w:sz w:val="32"/>
          <w:szCs w:val="32"/>
        </w:rPr>
        <w:t>（二）</w:t>
      </w:r>
      <w:r>
        <w:rPr>
          <w:rFonts w:eastAsia="楷体_GB2312"/>
          <w:color w:val="000000"/>
          <w:sz w:val="32"/>
          <w:szCs w:val="32"/>
        </w:rPr>
        <w:t>提升文化内涵，全面做好旅游保障工作。</w:t>
      </w:r>
      <w:r>
        <w:rPr>
          <w:rFonts w:eastAsia="仿宋_GB2312"/>
          <w:sz w:val="32"/>
          <w:szCs w:val="32"/>
        </w:rPr>
        <w:t>强化A级景区动态监管，通过提升内外环境、完善基础设施和公共服务配套，</w:t>
      </w:r>
      <w:r>
        <w:rPr>
          <w:rFonts w:eastAsia="仿宋_GB2312"/>
          <w:color w:val="000000"/>
          <w:kern w:val="0"/>
          <w:sz w:val="32"/>
          <w:szCs w:val="32"/>
          <w:shd w:val="clear" w:color="auto" w:fill="FFFFFF"/>
        </w:rPr>
        <w:t>推动白鹿原影视城、王顺山、水陆庵等重点旅游景区以及汤峪镇、玉山镇、普化镇、九间房镇等重点旅游镇深挖特色资源，开发文化旅游演艺产品。支持县剧团、剧院、文化馆等专业表演团体与旅游企业加强合作，打造高品质的旅游演艺产品，进行常态化演出。通过举办全民读书月、经典诵读、诗词大会、重大节日特色阅读推广活动，为旅游提供可挖掘的文化资源、可供驻场演艺的文化模式、可供分享的文化体验。</w:t>
      </w:r>
    </w:p>
    <w:p>
      <w:pPr>
        <w:widowControl/>
        <w:shd w:val="clear" w:color="auto" w:fill="FFFFFF"/>
        <w:spacing w:line="560" w:lineRule="exact"/>
        <w:ind w:firstLine="640" w:firstLineChars="200"/>
        <w:rPr>
          <w:rFonts w:eastAsia="仿宋_GB2312"/>
          <w:sz w:val="32"/>
          <w:szCs w:val="32"/>
        </w:rPr>
      </w:pPr>
      <w:r>
        <w:rPr>
          <w:rFonts w:hint="eastAsia" w:eastAsia="楷体_GB2312"/>
          <w:color w:val="000000"/>
          <w:sz w:val="32"/>
          <w:szCs w:val="32"/>
        </w:rPr>
        <w:t>（三）</w:t>
      </w:r>
      <w:r>
        <w:rPr>
          <w:rFonts w:eastAsia="楷体_GB2312"/>
          <w:color w:val="000000"/>
          <w:sz w:val="32"/>
          <w:szCs w:val="32"/>
        </w:rPr>
        <w:t>推动文旅融合，创新发展模式。</w:t>
      </w:r>
      <w:r>
        <w:rPr>
          <w:rFonts w:eastAsia="仿宋_GB2312"/>
          <w:sz w:val="32"/>
          <w:szCs w:val="32"/>
        </w:rPr>
        <w:t>围绕“最中国·看西安 过大年·来蓝田”主题，组织策划包装新春系列民俗文化旅游活动。持续叫响“春季踏春赏花、夏季纳凉避暑、秋季登高探幽、冬季滑雪泡汤”四季旅游品牌，策划实施一系列主题节庆文旅活动，形成以文化为灵魂、旅游为载体的发展模式。</w:t>
      </w:r>
      <w:r>
        <w:rPr>
          <w:rFonts w:eastAsia="仿宋_GB2312"/>
          <w:color w:val="000000"/>
          <w:kern w:val="0"/>
          <w:sz w:val="32"/>
          <w:szCs w:val="32"/>
          <w:shd w:val="clear" w:color="auto" w:fill="FFFFFF"/>
        </w:rPr>
        <w:t>抓好五一、国庆等重大节假日文化旅游体育主题活动设计开发，提升蓝田旅游的附加值和吸引力。全面振兴</w:t>
      </w:r>
      <w:r>
        <w:rPr>
          <w:rFonts w:hint="eastAsia" w:eastAsia="仿宋_GB2312"/>
          <w:color w:val="000000"/>
          <w:kern w:val="0"/>
          <w:sz w:val="32"/>
          <w:szCs w:val="32"/>
          <w:shd w:val="clear" w:color="auto" w:fill="FFFFFF"/>
        </w:rPr>
        <w:t>“厨师之乡”“陕菜之乡”金名片，开展“网红店”“口碑店”“星级名店”评选活动，建设特色美食文化体验街区，叫响“食在蓝田”。建成玉雕创意文化街区，打造系列精品玉雕旅游作品，建设美食美玉城。</w:t>
      </w:r>
    </w:p>
    <w:p>
      <w:pPr>
        <w:spacing w:line="560" w:lineRule="exact"/>
        <w:ind w:firstLine="640" w:firstLineChars="200"/>
        <w:rPr>
          <w:rFonts w:eastAsia="仿宋_GB2312"/>
          <w:sz w:val="32"/>
          <w:szCs w:val="32"/>
        </w:rPr>
      </w:pPr>
      <w:r>
        <w:rPr>
          <w:rFonts w:hint="eastAsia" w:eastAsia="楷体_GB2312"/>
          <w:color w:val="000000"/>
          <w:sz w:val="32"/>
          <w:szCs w:val="32"/>
        </w:rPr>
        <w:t>（四）</w:t>
      </w:r>
      <w:r>
        <w:rPr>
          <w:rFonts w:eastAsia="楷体_GB2312"/>
          <w:color w:val="000000"/>
          <w:sz w:val="32"/>
          <w:szCs w:val="32"/>
        </w:rPr>
        <w:t>积极培育研学体验游。</w:t>
      </w:r>
      <w:r>
        <w:rPr>
          <w:rFonts w:eastAsia="仿宋_GB2312"/>
          <w:sz w:val="32"/>
          <w:szCs w:val="32"/>
        </w:rPr>
        <w:t>以蓝田猿人遗址为依托开展西安印记研学游，以葛牌镇区苏维埃纪念馆为依托开展革命传统研学游，以蓝田玉文化博物馆为依托开展成长实践研学游;以伊利乳业产业园为依托开展工业体验研学游；在暑假期间推荐开展研学旅行主题夏令营，探索以学校为主导的研学旅行主题夏令营组织模式，丰富研学旅行组织形式和内容。</w:t>
      </w:r>
    </w:p>
    <w:p>
      <w:pPr>
        <w:widowControl/>
        <w:shd w:val="clear" w:color="auto" w:fill="FFFFFF"/>
        <w:spacing w:line="560" w:lineRule="exact"/>
        <w:ind w:firstLine="640"/>
        <w:rPr>
          <w:rFonts w:eastAsia="仿宋_GB2312"/>
          <w:color w:val="000000"/>
          <w:kern w:val="0"/>
          <w:sz w:val="32"/>
          <w:szCs w:val="32"/>
          <w:shd w:val="clear" w:color="auto" w:fill="FFFFFF"/>
        </w:rPr>
      </w:pPr>
      <w:r>
        <w:rPr>
          <w:rFonts w:hint="eastAsia" w:eastAsia="楷体_GB2312"/>
          <w:color w:val="000000"/>
          <w:sz w:val="32"/>
          <w:szCs w:val="32"/>
        </w:rPr>
        <w:t>（五）</w:t>
      </w:r>
      <w:r>
        <w:rPr>
          <w:rFonts w:eastAsia="楷体_GB2312"/>
          <w:color w:val="000000"/>
          <w:sz w:val="32"/>
          <w:szCs w:val="32"/>
        </w:rPr>
        <w:t>优化红色旅游服务功能。</w:t>
      </w:r>
      <w:r>
        <w:rPr>
          <w:rFonts w:eastAsia="仿宋_GB2312"/>
          <w:color w:val="000000"/>
          <w:kern w:val="0"/>
          <w:sz w:val="32"/>
          <w:szCs w:val="32"/>
          <w:shd w:val="clear" w:color="auto" w:fill="FFFFFF"/>
        </w:rPr>
        <w:t>整合葛牌镇红二十五军军部旧址、葛牌镇区苏维埃政府纪念馆、葛牌革命会议旧址、文公岭战斗遗址，九间房镇汪锋故居，灞源镇青坪烈士墓、革命纪念馆、孟村特支等红色革命遗存，建设“不忘初心、牢记使命”红色文化传承带，讲好蓝田红色故事，传承红色基因。开发编制葛牌红色革命遗迹保护规划，抓好葛牌红二十五军军部旧址展陈、文公岭战斗遗址建设，进一步完善红色旅游功能。</w:t>
      </w:r>
    </w:p>
    <w:p>
      <w:pPr>
        <w:spacing w:line="560" w:lineRule="exact"/>
        <w:ind w:firstLine="640" w:firstLineChars="200"/>
        <w:rPr>
          <w:rFonts w:eastAsia="仿宋_GB2312"/>
          <w:sz w:val="32"/>
          <w:szCs w:val="32"/>
        </w:rPr>
      </w:pPr>
      <w:r>
        <w:rPr>
          <w:rFonts w:hint="eastAsia" w:eastAsia="楷体_GB2312"/>
          <w:color w:val="000000"/>
          <w:sz w:val="32"/>
          <w:szCs w:val="32"/>
        </w:rPr>
        <w:t>（六）</w:t>
      </w:r>
      <w:r>
        <w:rPr>
          <w:rFonts w:eastAsia="楷体_GB2312"/>
          <w:color w:val="000000"/>
          <w:sz w:val="32"/>
          <w:szCs w:val="32"/>
        </w:rPr>
        <w:t>扎实推进民宿产业发展。</w:t>
      </w:r>
      <w:r>
        <w:rPr>
          <w:rFonts w:eastAsia="仿宋_GB2312"/>
          <w:color w:val="000000"/>
          <w:sz w:val="32"/>
          <w:szCs w:val="32"/>
        </w:rPr>
        <w:t>大力推进普化镇下杨寨百美村宿、孟村镇姚村（惠家环自然村）民宿集群、三里镇杨岩村见南山民宿集群等民宿集群建设，以玉山井宇</w:t>
      </w:r>
      <w:r>
        <w:rPr>
          <w:rFonts w:hint="eastAsia" w:eastAsia="仿宋_GB2312"/>
          <w:color w:val="000000"/>
          <w:sz w:val="32"/>
          <w:szCs w:val="32"/>
        </w:rPr>
        <w:t>、</w:t>
      </w:r>
      <w:r>
        <w:rPr>
          <w:rFonts w:eastAsia="仿宋_GB2312"/>
          <w:color w:val="000000"/>
          <w:sz w:val="32"/>
          <w:szCs w:val="32"/>
        </w:rPr>
        <w:t>小寨董岭</w:t>
      </w:r>
      <w:r>
        <w:rPr>
          <w:rFonts w:hint="eastAsia" w:eastAsia="仿宋_GB2312"/>
          <w:color w:val="000000"/>
          <w:sz w:val="32"/>
          <w:szCs w:val="32"/>
        </w:rPr>
        <w:t>、</w:t>
      </w:r>
      <w:r>
        <w:rPr>
          <w:rFonts w:eastAsia="仿宋_GB2312"/>
          <w:color w:val="000000"/>
          <w:sz w:val="32"/>
          <w:szCs w:val="32"/>
        </w:rPr>
        <w:t>白鹿原王府等民宿为代表</w:t>
      </w:r>
      <w:r>
        <w:rPr>
          <w:rFonts w:hint="eastAsia" w:eastAsia="仿宋_GB2312"/>
          <w:color w:val="000000"/>
          <w:sz w:val="32"/>
          <w:szCs w:val="32"/>
        </w:rPr>
        <w:t>，</w:t>
      </w:r>
      <w:r>
        <w:rPr>
          <w:rFonts w:eastAsia="仿宋_GB2312"/>
          <w:color w:val="000000"/>
          <w:sz w:val="32"/>
          <w:szCs w:val="32"/>
        </w:rPr>
        <w:t>年度发展民宿300户、床位2800张。</w:t>
      </w:r>
    </w:p>
    <w:p>
      <w:pPr>
        <w:spacing w:line="560" w:lineRule="exact"/>
        <w:ind w:firstLine="640" w:firstLineChars="200"/>
        <w:rPr>
          <w:rFonts w:eastAsia="仿宋_GB2312"/>
          <w:color w:val="000000"/>
          <w:sz w:val="32"/>
          <w:szCs w:val="32"/>
        </w:rPr>
      </w:pPr>
      <w:r>
        <w:rPr>
          <w:rFonts w:hint="eastAsia" w:eastAsia="楷体_GB2312"/>
          <w:color w:val="000000"/>
          <w:sz w:val="32"/>
          <w:szCs w:val="32"/>
        </w:rPr>
        <w:t>（七）</w:t>
      </w:r>
      <w:r>
        <w:rPr>
          <w:rFonts w:eastAsia="楷体_GB2312"/>
          <w:color w:val="000000"/>
          <w:sz w:val="32"/>
          <w:szCs w:val="32"/>
        </w:rPr>
        <w:t>丰富群众文化生活，推进相约文化新时代传承和发展。</w:t>
      </w:r>
      <w:r>
        <w:rPr>
          <w:rFonts w:eastAsia="仿宋_GB2312"/>
          <w:color w:val="000000"/>
          <w:sz w:val="32"/>
          <w:szCs w:val="32"/>
        </w:rPr>
        <w:t>年度完成惠民演出350场次，举办重大节日文化旅游活动150场次；加强政府购买文化服务力度，扎实开展文化惠民系列演出，让群众真正享受到文化精神食粮。深入开展文化共建、文化共享、“结对子、送文化”活动，形成送文化下乡、进社区的长效机制；扎实推进农村文化礼堂建设，夯实公共文化服务体系基础；积极探索县图书馆、文化馆新型管理运行模式，配套完善县城社区公共文化综合服务中心，建立以县级馆为中心，社区文化服务中心和乡镇文化站为辐射，村级文化阵地为延伸的公共文化服务网络。到2020年底，实现两馆总分馆制全覆盖。</w:t>
      </w:r>
      <w:r>
        <w:rPr>
          <w:rFonts w:eastAsia="仿宋_GB2312"/>
          <w:color w:val="000000"/>
          <w:kern w:val="0"/>
          <w:sz w:val="32"/>
          <w:szCs w:val="32"/>
          <w:shd w:val="clear" w:color="auto" w:fill="FFFFFF"/>
        </w:rPr>
        <w:t>推进“书香之城”建设，建设实体书店35家、摩诘书屋23家、咖啡+书吧10家，构建“图书阅读+借阅销售+咖啡音乐+休闲体验”为一体的新业态。</w:t>
      </w:r>
    </w:p>
    <w:p>
      <w:pPr>
        <w:spacing w:line="560" w:lineRule="exact"/>
        <w:ind w:firstLine="630"/>
        <w:rPr>
          <w:rFonts w:eastAsia="仿宋_GB2312"/>
          <w:sz w:val="32"/>
          <w:szCs w:val="32"/>
        </w:rPr>
      </w:pPr>
      <w:r>
        <w:rPr>
          <w:rFonts w:hint="eastAsia" w:eastAsia="楷体_GB2312"/>
          <w:color w:val="000000"/>
          <w:sz w:val="32"/>
          <w:szCs w:val="32"/>
        </w:rPr>
        <w:t>（八）</w:t>
      </w:r>
      <w:r>
        <w:rPr>
          <w:rFonts w:eastAsia="楷体_GB2312"/>
          <w:color w:val="000000"/>
          <w:sz w:val="32"/>
          <w:szCs w:val="32"/>
        </w:rPr>
        <w:t>加大文物保护工作。</w:t>
      </w:r>
      <w:r>
        <w:rPr>
          <w:rFonts w:eastAsia="仿宋_GB2312"/>
          <w:sz w:val="32"/>
          <w:szCs w:val="32"/>
        </w:rPr>
        <w:t>完成市级文物保护单位穆家堰戏楼、齐王庙、罗军武民居文物保护修复工作；完成蓝田猿人遗址、蔡文姬纪念馆、葛牌纪念馆、汪锋故居纪念馆微型消防站建设工程；完成红二十五军军部旧址陈列布展、鄂豫陕省委扩大会议旧址保护维修工程和红色革命旧址设施监控监测、安装工作。做好博物馆进校园、进社区、进军营、进企业、进农村等活动，发挥博物馆宣传教育功能。</w:t>
      </w:r>
    </w:p>
    <w:p>
      <w:pPr>
        <w:spacing w:line="560" w:lineRule="exact"/>
        <w:ind w:firstLine="630"/>
        <w:rPr>
          <w:rFonts w:eastAsia="仿宋_GB2312"/>
          <w:color w:val="000000"/>
          <w:sz w:val="32"/>
          <w:szCs w:val="32"/>
        </w:rPr>
      </w:pPr>
      <w:r>
        <w:rPr>
          <w:rFonts w:hint="eastAsia" w:eastAsia="楷体_GB2312"/>
          <w:color w:val="000000"/>
          <w:sz w:val="32"/>
          <w:szCs w:val="32"/>
        </w:rPr>
        <w:t>（九）</w:t>
      </w:r>
      <w:r>
        <w:rPr>
          <w:rFonts w:eastAsia="楷体_GB2312"/>
          <w:color w:val="000000"/>
          <w:sz w:val="32"/>
          <w:szCs w:val="32"/>
        </w:rPr>
        <w:t>体育健身工作。</w:t>
      </w:r>
      <w:r>
        <w:rPr>
          <w:rFonts w:eastAsia="仿宋_GB2312"/>
          <w:color w:val="000000"/>
          <w:sz w:val="32"/>
          <w:szCs w:val="32"/>
        </w:rPr>
        <w:t>扎实推进蓝田县体育中心建设，策划组织举办环秦岭·中国自行车联赛和白鹿原全民健康跑活动，举办新春体育大拜年活动</w:t>
      </w:r>
      <w:r>
        <w:rPr>
          <w:rFonts w:hint="eastAsia" w:eastAsia="仿宋_GB2312"/>
          <w:color w:val="000000"/>
          <w:sz w:val="32"/>
          <w:szCs w:val="32"/>
        </w:rPr>
        <w:t>（</w:t>
      </w:r>
      <w:r>
        <w:rPr>
          <w:rFonts w:eastAsia="仿宋_GB2312"/>
          <w:color w:val="000000"/>
          <w:sz w:val="32"/>
          <w:szCs w:val="32"/>
        </w:rPr>
        <w:t>农民、职工趣味运动会、新春象棋、篮球赛</w:t>
      </w:r>
      <w:r>
        <w:rPr>
          <w:rFonts w:hint="eastAsia" w:eastAsia="仿宋_GB2312"/>
          <w:color w:val="000000"/>
          <w:sz w:val="32"/>
          <w:szCs w:val="32"/>
        </w:rPr>
        <w:t>）</w:t>
      </w:r>
      <w:r>
        <w:rPr>
          <w:rFonts w:eastAsia="仿宋_GB2312"/>
          <w:color w:val="000000"/>
          <w:sz w:val="32"/>
          <w:szCs w:val="32"/>
        </w:rPr>
        <w:t>， 积极参加舞动长安全民健身技能大赛</w:t>
      </w:r>
      <w:r>
        <w:rPr>
          <w:rFonts w:hint="eastAsia" w:eastAsia="仿宋_GB2312"/>
          <w:color w:val="000000"/>
          <w:sz w:val="32"/>
          <w:szCs w:val="32"/>
        </w:rPr>
        <w:t>（</w:t>
      </w:r>
      <w:r>
        <w:rPr>
          <w:rFonts w:eastAsia="仿宋_GB2312"/>
          <w:color w:val="000000"/>
          <w:sz w:val="32"/>
          <w:szCs w:val="32"/>
        </w:rPr>
        <w:t>全县广场舞大赛</w:t>
      </w:r>
      <w:r>
        <w:rPr>
          <w:rFonts w:hint="eastAsia" w:eastAsia="仿宋_GB2312"/>
          <w:color w:val="000000"/>
          <w:sz w:val="32"/>
          <w:szCs w:val="32"/>
        </w:rPr>
        <w:t>）</w:t>
      </w:r>
      <w:r>
        <w:rPr>
          <w:rFonts w:eastAsia="仿宋_GB2312"/>
          <w:color w:val="000000"/>
          <w:sz w:val="32"/>
          <w:szCs w:val="32"/>
        </w:rPr>
        <w:t>，市老体协体育示范村、示范社区大连展、西安市首届全民健身大会，积极、参加市第三届农民趣味运动会，继续做好县三级社会体育指导员培训、国民体质监测工作</w:t>
      </w:r>
      <w:r>
        <w:rPr>
          <w:rFonts w:hint="eastAsia" w:eastAsia="仿宋_GB2312"/>
          <w:color w:val="000000"/>
          <w:sz w:val="32"/>
          <w:szCs w:val="32"/>
        </w:rPr>
        <w:t>。</w:t>
      </w:r>
      <w:r>
        <w:rPr>
          <w:rFonts w:eastAsia="仿宋_GB2312"/>
          <w:color w:val="000000"/>
          <w:sz w:val="32"/>
          <w:szCs w:val="32"/>
        </w:rPr>
        <w:t>紧抓</w:t>
      </w:r>
      <w:r>
        <w:rPr>
          <w:rFonts w:hint="eastAsia" w:eastAsia="仿宋_GB2312"/>
          <w:color w:val="000000"/>
          <w:sz w:val="32"/>
          <w:szCs w:val="32"/>
        </w:rPr>
        <w:t>“十四运”举办契机，以“文旅+赛事”“运动+康养”，打造环山路旅游观光带、白鹿原旅游专线赛事大道、灞河运动长廊、蓝关古道慢步廊道“一带一道两廊运动品牌。实施</w:t>
      </w:r>
      <w:r>
        <w:rPr>
          <w:rFonts w:eastAsia="仿宋_GB2312"/>
          <w:color w:val="000000"/>
          <w:sz w:val="32"/>
          <w:szCs w:val="32"/>
        </w:rPr>
        <w:t xml:space="preserve"> “我要上全运”全民健身月系列活动，推动全民健身工作再上新台阶。</w:t>
      </w:r>
    </w:p>
    <w:p>
      <w:pPr>
        <w:spacing w:line="560" w:lineRule="exact"/>
        <w:ind w:firstLine="640" w:firstLineChars="200"/>
        <w:rPr>
          <w:rFonts w:eastAsia="仿宋_GB2312"/>
          <w:sz w:val="32"/>
          <w:szCs w:val="32"/>
        </w:rPr>
      </w:pPr>
      <w:r>
        <w:rPr>
          <w:rFonts w:hint="eastAsia" w:eastAsia="楷体_GB2312"/>
          <w:color w:val="000000"/>
          <w:sz w:val="32"/>
          <w:szCs w:val="32"/>
        </w:rPr>
        <w:t>（十）</w:t>
      </w:r>
      <w:r>
        <w:rPr>
          <w:rFonts w:eastAsia="楷体_GB2312"/>
          <w:color w:val="000000"/>
          <w:sz w:val="32"/>
          <w:szCs w:val="32"/>
        </w:rPr>
        <w:t>加强景区环境治理和旅游市场秩序整顿工作。</w:t>
      </w:r>
      <w:r>
        <w:rPr>
          <w:rFonts w:eastAsia="仿宋_GB2312"/>
          <w:sz w:val="32"/>
          <w:szCs w:val="32"/>
        </w:rPr>
        <w:t>加强对无证经营、零负团费、欺骗或强迫消费等严重扰乱旅游市场秩序行为的查处，形成旅游业全域共建氛围，不断提高文明旅游程度和游客满意度，全面提升旅游景区形象。</w:t>
      </w:r>
    </w:p>
    <w:p>
      <w:pPr>
        <w:spacing w:line="560" w:lineRule="exact"/>
        <w:ind w:firstLine="640" w:firstLineChars="200"/>
        <w:rPr>
          <w:rFonts w:eastAsia="仿宋_GB2312"/>
          <w:sz w:val="32"/>
          <w:szCs w:val="32"/>
        </w:rPr>
      </w:pPr>
      <w:r>
        <w:rPr>
          <w:rFonts w:hint="eastAsia" w:eastAsia="楷体_GB2312"/>
          <w:color w:val="000000"/>
          <w:sz w:val="32"/>
          <w:szCs w:val="32"/>
        </w:rPr>
        <w:t>（十一）</w:t>
      </w:r>
      <w:r>
        <w:rPr>
          <w:rFonts w:eastAsia="楷体_GB2312"/>
          <w:color w:val="000000"/>
          <w:sz w:val="32"/>
          <w:szCs w:val="32"/>
        </w:rPr>
        <w:t>建设智慧旅游管理服务平台。</w:t>
      </w:r>
      <w:r>
        <w:rPr>
          <w:rFonts w:eastAsia="仿宋_GB2312"/>
          <w:sz w:val="32"/>
          <w:szCs w:val="32"/>
        </w:rPr>
        <w:t>完善来蓝田国内外游客抽样调查制度，适时开展分层次的旅游市场大数据应用研究与第三方效益评估，强化蓝田旅游市场营销推广的针对性和精准性。积极借助腾讯、阿里巴巴、驴妈妈、携程网等平台，加强旅游宣传推广合作，推出蓝田特色旅游特色产品。激活宣传效应，在报刊、杂志、网络媒体及新媒体、自媒体平台上宣传蓝田旅游资源和热点事件50次以上。</w:t>
      </w:r>
    </w:p>
    <w:p>
      <w:pPr>
        <w:spacing w:line="560" w:lineRule="exact"/>
        <w:ind w:firstLine="640" w:firstLineChars="200"/>
        <w:rPr>
          <w:rFonts w:eastAsia="仿宋_GB2312"/>
          <w:sz w:val="32"/>
          <w:szCs w:val="32"/>
        </w:rPr>
      </w:pPr>
      <w:r>
        <w:rPr>
          <w:rFonts w:hint="eastAsia" w:eastAsia="楷体_GB2312"/>
          <w:color w:val="000000"/>
          <w:sz w:val="32"/>
          <w:szCs w:val="32"/>
        </w:rPr>
        <w:t>（十二）</w:t>
      </w:r>
      <w:r>
        <w:rPr>
          <w:rFonts w:eastAsia="楷体_GB2312"/>
          <w:color w:val="000000"/>
          <w:sz w:val="32"/>
          <w:szCs w:val="32"/>
        </w:rPr>
        <w:t>优化旅游功能体系建设。</w:t>
      </w:r>
      <w:r>
        <w:rPr>
          <w:rFonts w:eastAsia="仿宋_GB2312"/>
          <w:sz w:val="32"/>
          <w:szCs w:val="32"/>
        </w:rPr>
        <w:t>因地制宜、高点谋划，在重点旅游景区、重点旅游村、游客聚集的区域及主要旅游道路沿线建设一批风格独特、数量充足、满足需求的停车场、旅游公厕、游客中心等</w:t>
      </w:r>
      <w:r>
        <w:rPr>
          <w:rFonts w:hint="eastAsia" w:eastAsia="仿宋_GB2312"/>
          <w:sz w:val="32"/>
          <w:szCs w:val="32"/>
        </w:rPr>
        <w:t>，</w:t>
      </w:r>
      <w:r>
        <w:rPr>
          <w:rFonts w:eastAsia="仿宋_GB2312"/>
          <w:sz w:val="32"/>
          <w:szCs w:val="32"/>
        </w:rPr>
        <w:t>提升县内景区</w:t>
      </w:r>
      <w:r>
        <w:rPr>
          <w:rFonts w:hint="eastAsia" w:eastAsia="仿宋_GB2312"/>
          <w:sz w:val="32"/>
          <w:szCs w:val="32"/>
        </w:rPr>
        <w:t>、</w:t>
      </w:r>
      <w:r>
        <w:rPr>
          <w:rFonts w:eastAsia="仿宋_GB2312"/>
          <w:sz w:val="32"/>
          <w:szCs w:val="32"/>
        </w:rPr>
        <w:t>旅游示范村</w:t>
      </w:r>
      <w:r>
        <w:rPr>
          <w:rFonts w:hint="eastAsia" w:eastAsia="仿宋_GB2312"/>
          <w:sz w:val="32"/>
          <w:szCs w:val="32"/>
        </w:rPr>
        <w:t>、</w:t>
      </w:r>
      <w:r>
        <w:rPr>
          <w:rFonts w:eastAsia="仿宋_GB2312"/>
          <w:sz w:val="32"/>
          <w:szCs w:val="32"/>
        </w:rPr>
        <w:t>旅游道路和标识</w:t>
      </w:r>
      <w:r>
        <w:rPr>
          <w:rFonts w:hint="eastAsia" w:eastAsia="仿宋_GB2312"/>
          <w:sz w:val="32"/>
          <w:szCs w:val="32"/>
        </w:rPr>
        <w:t>，</w:t>
      </w:r>
      <w:r>
        <w:rPr>
          <w:rFonts w:eastAsia="仿宋_GB2312"/>
          <w:sz w:val="32"/>
          <w:szCs w:val="32"/>
        </w:rPr>
        <w:t>建成智慧旅游平台</w:t>
      </w:r>
      <w:r>
        <w:rPr>
          <w:rFonts w:hint="eastAsia" w:eastAsia="仿宋_GB2312"/>
          <w:sz w:val="32"/>
          <w:szCs w:val="32"/>
        </w:rPr>
        <w:t>，</w:t>
      </w:r>
      <w:r>
        <w:rPr>
          <w:rFonts w:eastAsia="仿宋_GB2312"/>
          <w:sz w:val="32"/>
          <w:szCs w:val="32"/>
        </w:rPr>
        <w:t>实现旅游景区智慧圈覆盖。加快科技与旅游的深度融合，引入VR、AR等体验互动型科技，提升景区、乡村旅游点的趣味性及附加值，打造便捷高效的“慢城”旅游功能体系。实施</w:t>
      </w:r>
      <w:r>
        <w:rPr>
          <w:rFonts w:hint="eastAsia" w:eastAsia="仿宋_GB2312"/>
          <w:sz w:val="32"/>
          <w:szCs w:val="32"/>
        </w:rPr>
        <w:t>:“2+10+100”旅游酒店配套，引进四季长虹等“四星级”酒店2家，改造提升品质酒店10家，打造精品民宿100家，全面提升旅游承载力。</w:t>
      </w:r>
    </w:p>
    <w:p>
      <w:pPr>
        <w:ind w:firstLine="640" w:firstLineChars="200"/>
        <w:rPr>
          <w:rFonts w:ascii="仿宋" w:hAnsi="仿宋" w:eastAsia="仿宋"/>
          <w:sz w:val="32"/>
          <w:szCs w:val="32"/>
        </w:rPr>
      </w:pPr>
      <w:r>
        <w:rPr>
          <w:rFonts w:hint="eastAsia" w:eastAsia="楷体_GB2312"/>
          <w:color w:val="000000"/>
          <w:sz w:val="32"/>
          <w:szCs w:val="32"/>
        </w:rPr>
        <w:t>（十三）</w:t>
      </w:r>
      <w:r>
        <w:rPr>
          <w:rFonts w:eastAsia="楷体_GB2312"/>
          <w:color w:val="000000"/>
          <w:sz w:val="32"/>
          <w:szCs w:val="32"/>
        </w:rPr>
        <w:t>加强文化旅游行业队伍建设。</w:t>
      </w:r>
      <w:r>
        <w:rPr>
          <w:rFonts w:eastAsia="仿宋_GB2312"/>
          <w:sz w:val="32"/>
          <w:szCs w:val="32"/>
        </w:rPr>
        <w:t>建立旅游从业人员培训常态化机制，针对导游，酒店、餐饮管理人员，农家乐民宿业主、管家，乡村旅游等各类旅游从业人员开展专业培训。</w:t>
      </w:r>
      <w:r>
        <w:rPr>
          <w:rFonts w:eastAsia="仿宋_GB2312"/>
          <w:color w:val="000000"/>
          <w:sz w:val="32"/>
          <w:szCs w:val="32"/>
        </w:rPr>
        <w:t>完善基层公共文化服务人才培训和激励机制，抓好文化人才队伍建设和培养。加大协调力度，配齐村农家书屋管理员，促进农村文化工作扎实开展。通过“走出去、请进来”和举办文化培训班、选派文艺专业人员到基层开展文艺骨干培训和送文化下乡等方式，全力做好群众文化培训和辅导工作，提升现有文化人才队伍的整体素质。大力发展文化志愿服务队伍，构建参与广泛、内容丰富、形式多样、机制健全的文化志愿服务体系。</w:t>
      </w:r>
    </w:p>
    <w:p>
      <w:pPr>
        <w:ind w:firstLine="640" w:firstLineChars="200"/>
        <w:rPr>
          <w:rFonts w:ascii="仿宋" w:hAnsi="仿宋" w:eastAsia="仿宋"/>
          <w:sz w:val="32"/>
          <w:szCs w:val="32"/>
        </w:rPr>
      </w:pPr>
      <w:r>
        <w:rPr>
          <w:rFonts w:hint="eastAsia" w:ascii="仿宋" w:hAnsi="仿宋" w:eastAsia="仿宋"/>
          <w:sz w:val="32"/>
          <w:szCs w:val="32"/>
        </w:rPr>
        <w:t>三、部门预算单位构成</w:t>
      </w:r>
    </w:p>
    <w:p>
      <w:pPr>
        <w:ind w:firstLine="640" w:firstLineChars="200"/>
        <w:rPr>
          <w:rFonts w:ascii="仿宋" w:hAnsi="仿宋" w:eastAsia="仿宋"/>
          <w:sz w:val="32"/>
          <w:szCs w:val="32"/>
        </w:rPr>
      </w:pPr>
      <w:r>
        <w:rPr>
          <w:rFonts w:hint="eastAsia" w:ascii="仿宋" w:hAnsi="仿宋" w:eastAsia="仿宋"/>
          <w:sz w:val="32"/>
          <w:szCs w:val="32"/>
        </w:rPr>
        <w:t>从预算单位构成看，本部门的部门预算包括部门本级（机关）预算和所属事业单位预算。</w:t>
      </w:r>
    </w:p>
    <w:p>
      <w:pPr>
        <w:ind w:firstLine="640" w:firstLineChars="200"/>
        <w:rPr>
          <w:rFonts w:ascii="仿宋" w:hAnsi="仿宋" w:eastAsia="仿宋"/>
          <w:sz w:val="32"/>
          <w:szCs w:val="32"/>
        </w:rPr>
      </w:pPr>
      <w:r>
        <w:rPr>
          <w:rFonts w:hint="eastAsia" w:ascii="仿宋" w:hAnsi="仿宋" w:eastAsia="仿宋"/>
          <w:sz w:val="32"/>
          <w:szCs w:val="32"/>
        </w:rPr>
        <w:t>纳入本部门2020年部门预算编制范围的二级预算单位共有10个，包括：</w:t>
      </w:r>
    </w:p>
    <w:tbl>
      <w:tblPr>
        <w:tblStyle w:val="5"/>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234"/>
        <w:gridCol w:w="6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序号</w:t>
            </w:r>
          </w:p>
        </w:tc>
        <w:tc>
          <w:tcPr>
            <w:tcW w:w="6293"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单位名称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1</w:t>
            </w:r>
          </w:p>
        </w:tc>
        <w:tc>
          <w:tcPr>
            <w:tcW w:w="6293"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蓝田县文物管理所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2</w:t>
            </w:r>
          </w:p>
        </w:tc>
        <w:tc>
          <w:tcPr>
            <w:tcW w:w="6293"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蔡文姬纪念馆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3</w:t>
            </w:r>
          </w:p>
        </w:tc>
        <w:tc>
          <w:tcPr>
            <w:tcW w:w="6293"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葛牌苏维埃政府纪念馆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4</w:t>
            </w:r>
          </w:p>
        </w:tc>
        <w:tc>
          <w:tcPr>
            <w:tcW w:w="6293"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蓝田猿人遗址文管所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5</w:t>
            </w:r>
          </w:p>
        </w:tc>
        <w:tc>
          <w:tcPr>
            <w:tcW w:w="6293"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水陆庵文物管理所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6</w:t>
            </w:r>
          </w:p>
        </w:tc>
        <w:tc>
          <w:tcPr>
            <w:tcW w:w="6293" w:type="dxa"/>
          </w:tcPr>
          <w:p>
            <w:pPr>
              <w:spacing w:line="560" w:lineRule="exact"/>
              <w:jc w:val="center"/>
              <w:rPr>
                <w:rFonts w:ascii="仿宋_GB2312" w:hAnsi="Calibri" w:eastAsia="仿宋_GB2312" w:cs="Times New Roman"/>
                <w:sz w:val="32"/>
              </w:rPr>
            </w:pPr>
            <w:r>
              <w:rPr>
                <w:rFonts w:hint="eastAsia" w:ascii="仿宋_GB2312" w:hAnsi="Calibri" w:eastAsia="仿宋_GB2312" w:cs="Times New Roman"/>
                <w:sz w:val="32"/>
              </w:rPr>
              <w:t>辋川溶洞管理处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eastAsia="仿宋_GB2312"/>
                <w:sz w:val="32"/>
              </w:rPr>
            </w:pPr>
            <w:r>
              <w:rPr>
                <w:rFonts w:hint="eastAsia" w:ascii="仿宋_GB2312" w:eastAsia="仿宋_GB2312"/>
                <w:sz w:val="32"/>
              </w:rPr>
              <w:t>7</w:t>
            </w:r>
          </w:p>
        </w:tc>
        <w:tc>
          <w:tcPr>
            <w:tcW w:w="6293" w:type="dxa"/>
          </w:tcPr>
          <w:p>
            <w:pPr>
              <w:spacing w:line="560" w:lineRule="exact"/>
              <w:jc w:val="center"/>
              <w:rPr>
                <w:rFonts w:ascii="仿宋_GB2312" w:eastAsia="仿宋_GB2312"/>
                <w:sz w:val="32"/>
              </w:rPr>
            </w:pPr>
            <w:r>
              <w:rPr>
                <w:rFonts w:hint="eastAsia" w:ascii="仿宋_GB2312" w:eastAsia="仿宋_GB2312"/>
                <w:sz w:val="32"/>
              </w:rPr>
              <w:t>蓝田县文化馆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eastAsia="仿宋_GB2312"/>
                <w:sz w:val="32"/>
              </w:rPr>
            </w:pPr>
            <w:r>
              <w:rPr>
                <w:rFonts w:hint="eastAsia" w:ascii="仿宋_GB2312" w:eastAsia="仿宋_GB2312"/>
                <w:sz w:val="32"/>
              </w:rPr>
              <w:t>8</w:t>
            </w:r>
          </w:p>
        </w:tc>
        <w:tc>
          <w:tcPr>
            <w:tcW w:w="6293" w:type="dxa"/>
          </w:tcPr>
          <w:p>
            <w:pPr>
              <w:spacing w:line="560" w:lineRule="exact"/>
              <w:jc w:val="center"/>
              <w:rPr>
                <w:rFonts w:ascii="仿宋_GB2312" w:eastAsia="仿宋_GB2312"/>
                <w:sz w:val="32"/>
              </w:rPr>
            </w:pPr>
            <w:r>
              <w:rPr>
                <w:rFonts w:hint="eastAsia" w:ascii="仿宋_GB2312" w:eastAsia="仿宋_GB2312"/>
                <w:sz w:val="32"/>
              </w:rPr>
              <w:t>蓝田县文化市场行政执法队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eastAsia="仿宋_GB2312"/>
                <w:sz w:val="32"/>
              </w:rPr>
            </w:pPr>
            <w:r>
              <w:rPr>
                <w:rFonts w:hint="eastAsia" w:ascii="仿宋_GB2312" w:eastAsia="仿宋_GB2312"/>
                <w:sz w:val="32"/>
              </w:rPr>
              <w:t>9</w:t>
            </w:r>
          </w:p>
        </w:tc>
        <w:tc>
          <w:tcPr>
            <w:tcW w:w="6293" w:type="dxa"/>
          </w:tcPr>
          <w:p>
            <w:pPr>
              <w:spacing w:line="560" w:lineRule="exact"/>
              <w:jc w:val="center"/>
              <w:rPr>
                <w:rFonts w:ascii="仿宋_GB2312" w:eastAsia="仿宋_GB2312"/>
                <w:sz w:val="32"/>
              </w:rPr>
            </w:pPr>
            <w:r>
              <w:rPr>
                <w:rFonts w:hint="eastAsia" w:ascii="仿宋_GB2312" w:eastAsia="仿宋_GB2312"/>
                <w:sz w:val="32"/>
              </w:rPr>
              <w:t>蓝田县体育场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235" w:type="dxa"/>
          </w:tcPr>
          <w:p>
            <w:pPr>
              <w:spacing w:line="560" w:lineRule="exact"/>
              <w:jc w:val="center"/>
              <w:rPr>
                <w:rFonts w:ascii="仿宋_GB2312" w:eastAsia="仿宋_GB2312"/>
                <w:sz w:val="32"/>
              </w:rPr>
            </w:pPr>
            <w:r>
              <w:rPr>
                <w:rFonts w:hint="eastAsia" w:ascii="仿宋_GB2312" w:eastAsia="仿宋_GB2312"/>
                <w:sz w:val="32"/>
              </w:rPr>
              <w:t>10</w:t>
            </w:r>
          </w:p>
        </w:tc>
        <w:tc>
          <w:tcPr>
            <w:tcW w:w="6293" w:type="dxa"/>
          </w:tcPr>
          <w:p>
            <w:pPr>
              <w:spacing w:line="560" w:lineRule="exact"/>
              <w:jc w:val="center"/>
              <w:rPr>
                <w:rFonts w:ascii="仿宋_GB2312" w:eastAsia="仿宋_GB2312"/>
                <w:sz w:val="32"/>
              </w:rPr>
            </w:pPr>
            <w:r>
              <w:rPr>
                <w:rFonts w:hint="eastAsia" w:ascii="仿宋_GB2312" w:eastAsia="仿宋_GB2312"/>
                <w:sz w:val="32"/>
              </w:rPr>
              <w:t>蓝田县图书馆</w:t>
            </w:r>
          </w:p>
        </w:tc>
      </w:tr>
    </w:tbl>
    <w:p>
      <w:pPr>
        <w:ind w:firstLine="640" w:firstLineChars="200"/>
        <w:rPr>
          <w:rFonts w:ascii="仿宋" w:hAnsi="仿宋" w:eastAsia="仿宋"/>
          <w:sz w:val="32"/>
          <w:szCs w:val="32"/>
        </w:rPr>
      </w:pPr>
      <w:r>
        <w:rPr>
          <w:rFonts w:hint="eastAsia" w:ascii="仿宋" w:hAnsi="仿宋" w:eastAsia="仿宋"/>
          <w:sz w:val="32"/>
          <w:szCs w:val="32"/>
        </w:rPr>
        <w:t>四、部门人员情况说明</w:t>
      </w:r>
    </w:p>
    <w:p>
      <w:pPr>
        <w:spacing w:line="560" w:lineRule="exact"/>
        <w:ind w:firstLine="640" w:firstLineChars="200"/>
        <w:rPr>
          <w:rFonts w:ascii="仿宋_GB2312" w:hAnsi="Calibri" w:eastAsia="仿宋_GB2312" w:cs="Times New Roman"/>
          <w:sz w:val="32"/>
        </w:rPr>
      </w:pPr>
      <w:r>
        <w:rPr>
          <w:rFonts w:hint="eastAsia" w:ascii="仿宋_GB2312" w:hAnsi="Calibri" w:eastAsia="仿宋_GB2312" w:cs="Times New Roman"/>
          <w:sz w:val="32"/>
        </w:rPr>
        <w:t>截止201</w:t>
      </w:r>
      <w:r>
        <w:rPr>
          <w:rFonts w:hint="eastAsia" w:ascii="仿宋_GB2312" w:eastAsia="仿宋_GB2312"/>
          <w:sz w:val="32"/>
        </w:rPr>
        <w:t>9</w:t>
      </w:r>
      <w:r>
        <w:rPr>
          <w:rFonts w:hint="eastAsia" w:ascii="仿宋_GB2312" w:hAnsi="Calibri" w:eastAsia="仿宋_GB2312" w:cs="Times New Roman"/>
          <w:sz w:val="32"/>
        </w:rPr>
        <w:t>年底，本部门人员编制</w:t>
      </w:r>
      <w:r>
        <w:rPr>
          <w:rFonts w:hint="eastAsia" w:ascii="仿宋_GB2312" w:eastAsia="仿宋_GB2312"/>
          <w:sz w:val="32"/>
        </w:rPr>
        <w:t>144</w:t>
      </w:r>
      <w:r>
        <w:rPr>
          <w:rFonts w:hint="eastAsia" w:ascii="仿宋_GB2312" w:hAnsi="Calibri" w:eastAsia="仿宋_GB2312" w:cs="Times New Roman"/>
          <w:sz w:val="32"/>
        </w:rPr>
        <w:t>人，其中行政编制</w:t>
      </w:r>
      <w:r>
        <w:rPr>
          <w:rFonts w:hint="eastAsia" w:ascii="仿宋_GB2312" w:eastAsia="仿宋_GB2312"/>
          <w:sz w:val="32"/>
        </w:rPr>
        <w:t>13</w:t>
      </w:r>
      <w:r>
        <w:rPr>
          <w:rFonts w:hint="eastAsia" w:ascii="仿宋_GB2312" w:hAnsi="Calibri" w:eastAsia="仿宋_GB2312" w:cs="Times New Roman"/>
          <w:sz w:val="32"/>
        </w:rPr>
        <w:t>人，事业编制</w:t>
      </w:r>
      <w:r>
        <w:rPr>
          <w:rFonts w:hint="eastAsia" w:ascii="仿宋_GB2312" w:eastAsia="仿宋_GB2312"/>
          <w:sz w:val="32"/>
        </w:rPr>
        <w:t>131</w:t>
      </w:r>
      <w:r>
        <w:rPr>
          <w:rFonts w:hint="eastAsia" w:ascii="仿宋_GB2312" w:hAnsi="Calibri" w:eastAsia="仿宋_GB2312" w:cs="Times New Roman"/>
          <w:sz w:val="32"/>
        </w:rPr>
        <w:t>人；实有人员</w:t>
      </w:r>
      <w:r>
        <w:rPr>
          <w:rFonts w:hint="eastAsia" w:ascii="仿宋_GB2312" w:eastAsia="仿宋_GB2312"/>
          <w:sz w:val="32"/>
        </w:rPr>
        <w:t>186</w:t>
      </w:r>
      <w:r>
        <w:rPr>
          <w:rFonts w:hint="eastAsia" w:ascii="仿宋_GB2312" w:hAnsi="Calibri" w:eastAsia="仿宋_GB2312" w:cs="Times New Roman"/>
          <w:sz w:val="32"/>
        </w:rPr>
        <w:t>人，其中行政</w:t>
      </w:r>
      <w:r>
        <w:rPr>
          <w:rFonts w:hint="eastAsia" w:ascii="仿宋_GB2312" w:eastAsia="仿宋_GB2312"/>
          <w:sz w:val="32"/>
        </w:rPr>
        <w:t>32</w:t>
      </w:r>
      <w:r>
        <w:rPr>
          <w:rFonts w:hint="eastAsia" w:ascii="仿宋_GB2312" w:hAnsi="Calibri" w:eastAsia="仿宋_GB2312" w:cs="Times New Roman"/>
          <w:sz w:val="32"/>
        </w:rPr>
        <w:t>人，事业</w:t>
      </w:r>
      <w:r>
        <w:rPr>
          <w:rFonts w:hint="eastAsia" w:ascii="仿宋_GB2312" w:eastAsia="仿宋_GB2312"/>
          <w:sz w:val="32"/>
        </w:rPr>
        <w:t>154</w:t>
      </w:r>
      <w:r>
        <w:rPr>
          <w:rFonts w:hint="eastAsia" w:ascii="仿宋_GB2312" w:hAnsi="Calibri" w:eastAsia="仿宋_GB2312" w:cs="Times New Roman"/>
          <w:sz w:val="32"/>
        </w:rPr>
        <w:t>人。单位管理的离退休人员</w:t>
      </w:r>
      <w:r>
        <w:rPr>
          <w:rFonts w:hint="eastAsia" w:ascii="仿宋_GB2312" w:eastAsia="仿宋_GB2312"/>
          <w:sz w:val="32"/>
        </w:rPr>
        <w:t>31</w:t>
      </w:r>
      <w:r>
        <w:rPr>
          <w:rFonts w:hint="eastAsia" w:ascii="仿宋_GB2312" w:hAnsi="Calibri" w:eastAsia="仿宋_GB2312" w:cs="Times New Roman"/>
          <w:sz w:val="32"/>
        </w:rPr>
        <w:t>人。</w:t>
      </w:r>
    </w:p>
    <w:p>
      <w:pPr>
        <w:ind w:firstLine="640" w:firstLineChars="200"/>
        <w:rPr>
          <w:rFonts w:ascii="仿宋" w:hAnsi="仿宋" w:eastAsia="仿宋"/>
          <w:sz w:val="32"/>
          <w:szCs w:val="32"/>
        </w:rPr>
      </w:pPr>
      <w:r>
        <w:rPr>
          <w:rFonts w:ascii="仿宋" w:hAnsi="仿宋" w:eastAsia="仿宋"/>
          <w:sz w:val="32"/>
          <w:szCs w:val="32"/>
        </w:rPr>
        <w:drawing>
          <wp:inline distT="0" distB="0" distL="0" distR="0">
            <wp:extent cx="4572000" cy="2743200"/>
            <wp:effectExtent l="19050" t="0" r="1905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
              </a:graphicData>
            </a:graphic>
          </wp:inline>
        </w:drawing>
      </w:r>
    </w:p>
    <w:p>
      <w:pPr>
        <w:ind w:firstLine="640" w:firstLineChars="200"/>
        <w:rPr>
          <w:rFonts w:ascii="仿宋" w:hAnsi="仿宋" w:eastAsia="仿宋"/>
          <w:sz w:val="32"/>
          <w:szCs w:val="32"/>
        </w:rPr>
      </w:pPr>
    </w:p>
    <w:p>
      <w:pPr>
        <w:ind w:firstLine="640" w:firstLineChars="200"/>
        <w:rPr>
          <w:rFonts w:ascii="仿宋" w:hAnsi="仿宋" w:eastAsia="仿宋"/>
          <w:sz w:val="32"/>
          <w:szCs w:val="32"/>
        </w:rPr>
      </w:pPr>
      <w:r>
        <w:rPr>
          <w:rFonts w:hint="eastAsia" w:ascii="仿宋" w:hAnsi="仿宋" w:eastAsia="仿宋"/>
          <w:sz w:val="32"/>
          <w:szCs w:val="32"/>
        </w:rPr>
        <w:t>五、2020年部门预算收支说明</w:t>
      </w:r>
    </w:p>
    <w:p>
      <w:pPr>
        <w:ind w:firstLine="640" w:firstLineChars="200"/>
        <w:rPr>
          <w:rFonts w:ascii="仿宋" w:hAnsi="仿宋" w:eastAsia="仿宋"/>
          <w:sz w:val="32"/>
          <w:szCs w:val="32"/>
        </w:rPr>
      </w:pPr>
      <w:r>
        <w:rPr>
          <w:rFonts w:hint="eastAsia" w:ascii="仿宋" w:hAnsi="仿宋" w:eastAsia="仿宋"/>
          <w:sz w:val="32"/>
          <w:szCs w:val="32"/>
        </w:rPr>
        <w:t>（一）收支预算总体情况</w:t>
      </w:r>
    </w:p>
    <w:p>
      <w:pPr>
        <w:ind w:firstLine="645"/>
        <w:rPr>
          <w:rFonts w:ascii="仿宋_GB2312" w:eastAsia="仿宋_GB2312"/>
          <w:sz w:val="32"/>
          <w:szCs w:val="32"/>
        </w:rPr>
      </w:pPr>
      <w:r>
        <w:rPr>
          <w:rFonts w:hint="eastAsia" w:ascii="仿宋_GB2312" w:eastAsia="仿宋_GB2312"/>
          <w:sz w:val="32"/>
          <w:szCs w:val="32"/>
        </w:rPr>
        <w:t>按照综合预算的原则，本 部门所有收入和支出均纳入部门预算管理。2020</w:t>
      </w:r>
      <w:r>
        <w:rPr>
          <w:rFonts w:hint="eastAsia" w:ascii="仿宋_GB2312" w:hAnsi="Calibri" w:eastAsia="仿宋_GB2312" w:cs="Times New Roman"/>
          <w:sz w:val="32"/>
          <w:szCs w:val="32"/>
        </w:rPr>
        <w:t>年本部门预算收入</w:t>
      </w:r>
      <w:r>
        <w:rPr>
          <w:rFonts w:hint="eastAsia" w:ascii="仿宋_GB2312" w:eastAsia="仿宋_GB2312"/>
          <w:sz w:val="32"/>
        </w:rPr>
        <w:t>1617.80</w:t>
      </w:r>
      <w:r>
        <w:rPr>
          <w:rFonts w:hint="eastAsia" w:ascii="仿宋_GB2312" w:hAnsi="Calibri" w:eastAsia="仿宋_GB2312" w:cs="Times New Roman"/>
          <w:sz w:val="32"/>
          <w:szCs w:val="32"/>
        </w:rPr>
        <w:t>万元，其中一般公共预算拨款收入</w:t>
      </w:r>
      <w:r>
        <w:rPr>
          <w:rFonts w:hint="eastAsia" w:ascii="仿宋_GB2312" w:eastAsia="仿宋_GB2312"/>
          <w:sz w:val="32"/>
          <w:szCs w:val="32"/>
        </w:rPr>
        <w:t>1617.80</w:t>
      </w:r>
      <w:r>
        <w:rPr>
          <w:rFonts w:hint="eastAsia" w:ascii="仿宋_GB2312" w:hAnsi="Calibri" w:eastAsia="仿宋_GB2312" w:cs="Times New Roman"/>
          <w:sz w:val="32"/>
          <w:szCs w:val="32"/>
        </w:rPr>
        <w:t>万元，政府性基金拨款收入0万元，</w:t>
      </w:r>
      <w:r>
        <w:rPr>
          <w:rFonts w:hint="eastAsia" w:ascii="仿宋_GB2312" w:eastAsia="仿宋_GB2312"/>
          <w:sz w:val="32"/>
          <w:szCs w:val="32"/>
        </w:rPr>
        <w:t>2020</w:t>
      </w:r>
      <w:r>
        <w:rPr>
          <w:rFonts w:hint="eastAsia" w:ascii="仿宋_GB2312" w:hAnsi="Calibri" w:eastAsia="仿宋_GB2312" w:cs="Times New Roman"/>
          <w:sz w:val="32"/>
          <w:szCs w:val="32"/>
        </w:rPr>
        <w:t>年本部门预算收入</w:t>
      </w:r>
      <w:r>
        <w:rPr>
          <w:rFonts w:hint="eastAsia" w:ascii="仿宋_GB2312" w:eastAsia="仿宋_GB2312"/>
          <w:sz w:val="32"/>
          <w:szCs w:val="32"/>
        </w:rPr>
        <w:t>较</w:t>
      </w:r>
      <w:r>
        <w:rPr>
          <w:rFonts w:hint="eastAsia" w:ascii="仿宋_GB2312" w:hAnsi="Calibri" w:eastAsia="仿宋_GB2312" w:cs="Times New Roman"/>
          <w:sz w:val="32"/>
          <w:szCs w:val="32"/>
        </w:rPr>
        <w:t>上年</w:t>
      </w:r>
      <w:r>
        <w:rPr>
          <w:rFonts w:hint="eastAsia" w:ascii="仿宋_GB2312" w:eastAsia="仿宋_GB2312"/>
          <w:sz w:val="32"/>
          <w:szCs w:val="32"/>
        </w:rPr>
        <w:t>减少35.38</w:t>
      </w:r>
      <w:r>
        <w:rPr>
          <w:rFonts w:hint="eastAsia" w:ascii="仿宋_GB2312" w:hAnsi="Calibri" w:eastAsia="仿宋_GB2312" w:cs="Times New Roman"/>
          <w:sz w:val="32"/>
          <w:szCs w:val="32"/>
        </w:rPr>
        <w:t>万元，主要原因</w:t>
      </w:r>
      <w:r>
        <w:rPr>
          <w:rFonts w:hint="eastAsia" w:ascii="仿宋_GB2312" w:eastAsia="仿宋_GB2312"/>
          <w:sz w:val="32"/>
          <w:szCs w:val="32"/>
        </w:rPr>
        <w:t>是</w:t>
      </w:r>
      <w:r>
        <w:rPr>
          <w:rFonts w:hint="eastAsia" w:ascii="仿宋_GB2312" w:hAnsi="Calibri" w:eastAsia="仿宋_GB2312" w:cs="Times New Roman"/>
          <w:sz w:val="32"/>
          <w:szCs w:val="32"/>
        </w:rPr>
        <w:t>基本支出收入</w:t>
      </w:r>
      <w:r>
        <w:rPr>
          <w:rFonts w:hint="eastAsia" w:ascii="仿宋_GB2312" w:eastAsia="仿宋_GB2312"/>
          <w:sz w:val="32"/>
          <w:szCs w:val="32"/>
        </w:rPr>
        <w:t>减少</w:t>
      </w:r>
      <w:r>
        <w:rPr>
          <w:rFonts w:hint="eastAsia" w:ascii="仿宋_GB2312" w:hAnsi="Calibri" w:eastAsia="仿宋_GB2312" w:cs="Times New Roman"/>
          <w:sz w:val="32"/>
          <w:szCs w:val="32"/>
        </w:rPr>
        <w:t>。</w:t>
      </w:r>
      <w:r>
        <w:rPr>
          <w:rFonts w:hint="eastAsia" w:ascii="仿宋_GB2312" w:eastAsia="仿宋_GB2312"/>
          <w:sz w:val="32"/>
          <w:szCs w:val="32"/>
        </w:rPr>
        <w:t>2020</w:t>
      </w:r>
      <w:r>
        <w:rPr>
          <w:rFonts w:hint="eastAsia" w:ascii="仿宋_GB2312" w:hAnsi="Calibri" w:eastAsia="仿宋_GB2312" w:cs="Times New Roman"/>
          <w:sz w:val="32"/>
          <w:szCs w:val="32"/>
        </w:rPr>
        <w:t>年本部门预算支出</w:t>
      </w:r>
      <w:r>
        <w:rPr>
          <w:rFonts w:hint="eastAsia" w:ascii="仿宋_GB2312" w:eastAsia="仿宋_GB2312"/>
          <w:sz w:val="32"/>
          <w:szCs w:val="32"/>
        </w:rPr>
        <w:t>1617.80</w:t>
      </w:r>
      <w:r>
        <w:rPr>
          <w:rFonts w:hint="eastAsia" w:ascii="仿宋_GB2312" w:hAnsi="Calibri" w:eastAsia="仿宋_GB2312" w:cs="Times New Roman"/>
          <w:sz w:val="32"/>
          <w:szCs w:val="32"/>
        </w:rPr>
        <w:t>万元，其中一般公共预算拨款支出</w:t>
      </w:r>
      <w:r>
        <w:rPr>
          <w:rFonts w:hint="eastAsia" w:ascii="仿宋_GB2312" w:eastAsia="仿宋_GB2312"/>
          <w:sz w:val="32"/>
          <w:szCs w:val="32"/>
        </w:rPr>
        <w:t>1617.80</w:t>
      </w:r>
      <w:r>
        <w:rPr>
          <w:rFonts w:hint="eastAsia" w:ascii="仿宋_GB2312" w:hAnsi="Calibri" w:eastAsia="仿宋_GB2312" w:cs="Times New Roman"/>
          <w:sz w:val="32"/>
          <w:szCs w:val="32"/>
        </w:rPr>
        <w:t>万元，政府性基金拨款支出0万元，</w:t>
      </w:r>
      <w:r>
        <w:rPr>
          <w:rFonts w:hint="eastAsia" w:ascii="仿宋_GB2312" w:eastAsia="仿宋_GB2312"/>
          <w:sz w:val="32"/>
          <w:szCs w:val="32"/>
        </w:rPr>
        <w:t>2020</w:t>
      </w:r>
      <w:r>
        <w:rPr>
          <w:rFonts w:hint="eastAsia" w:ascii="仿宋_GB2312" w:hAnsi="Calibri" w:eastAsia="仿宋_GB2312" w:cs="Times New Roman"/>
          <w:sz w:val="32"/>
          <w:szCs w:val="32"/>
        </w:rPr>
        <w:t>年本部门预算支出</w:t>
      </w:r>
      <w:r>
        <w:rPr>
          <w:rFonts w:hint="eastAsia" w:ascii="仿宋_GB2312" w:eastAsia="仿宋_GB2312"/>
          <w:sz w:val="32"/>
          <w:szCs w:val="32"/>
        </w:rPr>
        <w:t>较</w:t>
      </w:r>
      <w:r>
        <w:rPr>
          <w:rFonts w:hint="eastAsia" w:ascii="仿宋_GB2312" w:hAnsi="Calibri" w:eastAsia="仿宋_GB2312" w:cs="Times New Roman"/>
          <w:sz w:val="32"/>
          <w:szCs w:val="32"/>
        </w:rPr>
        <w:t>上年相比</w:t>
      </w:r>
      <w:r>
        <w:rPr>
          <w:rFonts w:hint="eastAsia" w:ascii="仿宋_GB2312" w:eastAsia="仿宋_GB2312"/>
          <w:sz w:val="32"/>
          <w:szCs w:val="32"/>
        </w:rPr>
        <w:t>减少35.38</w:t>
      </w:r>
      <w:r>
        <w:rPr>
          <w:rFonts w:hint="eastAsia" w:ascii="仿宋_GB2312" w:hAnsi="Calibri" w:eastAsia="仿宋_GB2312" w:cs="Times New Roman"/>
          <w:sz w:val="32"/>
          <w:szCs w:val="32"/>
        </w:rPr>
        <w:t>万元，主要</w:t>
      </w:r>
      <w:r>
        <w:rPr>
          <w:rFonts w:hint="eastAsia" w:ascii="仿宋_GB2312" w:eastAsia="仿宋_GB2312"/>
          <w:sz w:val="32"/>
          <w:szCs w:val="32"/>
        </w:rPr>
        <w:t>减少</w:t>
      </w:r>
      <w:r>
        <w:rPr>
          <w:rFonts w:hint="eastAsia" w:ascii="仿宋_GB2312" w:hAnsi="Calibri" w:eastAsia="仿宋_GB2312" w:cs="Times New Roman"/>
          <w:sz w:val="32"/>
          <w:szCs w:val="32"/>
        </w:rPr>
        <w:t>原因</w:t>
      </w:r>
      <w:r>
        <w:rPr>
          <w:rFonts w:hint="eastAsia" w:ascii="仿宋_GB2312" w:eastAsia="仿宋_GB2312"/>
          <w:sz w:val="32"/>
          <w:szCs w:val="32"/>
        </w:rPr>
        <w:t>是</w:t>
      </w:r>
      <w:r>
        <w:rPr>
          <w:rFonts w:hint="eastAsia" w:ascii="仿宋_GB2312" w:hAnsi="Calibri" w:eastAsia="仿宋_GB2312" w:cs="Times New Roman"/>
          <w:sz w:val="32"/>
          <w:szCs w:val="32"/>
        </w:rPr>
        <w:t>基本支出</w:t>
      </w:r>
      <w:r>
        <w:rPr>
          <w:rFonts w:hint="eastAsia" w:ascii="仿宋_GB2312" w:eastAsia="仿宋_GB2312"/>
          <w:sz w:val="32"/>
          <w:szCs w:val="32"/>
        </w:rPr>
        <w:t>减少。</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（二）财政拨款收支情况</w:t>
      </w:r>
    </w:p>
    <w:p>
      <w:pPr>
        <w:ind w:firstLine="645"/>
        <w:rPr>
          <w:rFonts w:ascii="仿宋_GB2312" w:hAnsi="Calibri" w:eastAsia="仿宋_GB2312" w:cs="Times New Roman"/>
          <w:sz w:val="32"/>
          <w:szCs w:val="32"/>
        </w:rPr>
      </w:pPr>
      <w:r>
        <w:rPr>
          <w:rFonts w:hint="eastAsia" w:ascii="仿宋_GB2312" w:eastAsia="仿宋_GB2312"/>
          <w:sz w:val="32"/>
          <w:szCs w:val="32"/>
        </w:rPr>
        <w:t>2020</w:t>
      </w:r>
      <w:r>
        <w:rPr>
          <w:rFonts w:hint="eastAsia" w:ascii="仿宋_GB2312" w:hAnsi="Calibri" w:eastAsia="仿宋_GB2312" w:cs="Times New Roman"/>
          <w:sz w:val="32"/>
          <w:szCs w:val="32"/>
        </w:rPr>
        <w:t>年本部门财政拨款收入</w:t>
      </w:r>
      <w:r>
        <w:rPr>
          <w:rFonts w:hint="eastAsia" w:ascii="仿宋_GB2312" w:eastAsia="仿宋_GB2312"/>
          <w:sz w:val="32"/>
        </w:rPr>
        <w:t>1617.80</w:t>
      </w:r>
      <w:r>
        <w:rPr>
          <w:rFonts w:hint="eastAsia" w:ascii="仿宋_GB2312" w:hAnsi="Calibri" w:eastAsia="仿宋_GB2312" w:cs="Times New Roman"/>
          <w:sz w:val="32"/>
          <w:szCs w:val="32"/>
        </w:rPr>
        <w:t>万元，其中一般公共预算拨款收入</w:t>
      </w:r>
      <w:r>
        <w:rPr>
          <w:rFonts w:hint="eastAsia" w:ascii="仿宋_GB2312" w:eastAsia="仿宋_GB2312"/>
          <w:sz w:val="32"/>
          <w:szCs w:val="32"/>
        </w:rPr>
        <w:t>1617.80</w:t>
      </w:r>
      <w:r>
        <w:rPr>
          <w:rFonts w:hint="eastAsia" w:ascii="仿宋_GB2312" w:hAnsi="Calibri" w:eastAsia="仿宋_GB2312" w:cs="Times New Roman"/>
          <w:sz w:val="32"/>
          <w:szCs w:val="32"/>
        </w:rPr>
        <w:t>万元，政府性基金拨款收入0万元，</w:t>
      </w:r>
      <w:r>
        <w:rPr>
          <w:rFonts w:hint="eastAsia" w:ascii="仿宋_GB2312" w:eastAsia="仿宋_GB2312"/>
          <w:sz w:val="32"/>
          <w:szCs w:val="32"/>
        </w:rPr>
        <w:t>2020</w:t>
      </w:r>
      <w:r>
        <w:rPr>
          <w:rFonts w:hint="eastAsia" w:ascii="仿宋_GB2312" w:hAnsi="Calibri" w:eastAsia="仿宋_GB2312" w:cs="Times New Roman"/>
          <w:sz w:val="32"/>
          <w:szCs w:val="32"/>
        </w:rPr>
        <w:t>年本部门财政拨款收入</w:t>
      </w:r>
      <w:r>
        <w:rPr>
          <w:rFonts w:hint="eastAsia" w:ascii="仿宋_GB2312" w:eastAsia="仿宋_GB2312"/>
          <w:sz w:val="32"/>
          <w:szCs w:val="32"/>
        </w:rPr>
        <w:t>较</w:t>
      </w:r>
      <w:r>
        <w:rPr>
          <w:rFonts w:hint="eastAsia" w:ascii="仿宋_GB2312" w:hAnsi="Calibri" w:eastAsia="仿宋_GB2312" w:cs="Times New Roman"/>
          <w:sz w:val="32"/>
          <w:szCs w:val="32"/>
        </w:rPr>
        <w:t>上年</w:t>
      </w:r>
      <w:r>
        <w:rPr>
          <w:rFonts w:hint="eastAsia" w:ascii="仿宋_GB2312" w:eastAsia="仿宋_GB2312"/>
          <w:sz w:val="32"/>
          <w:szCs w:val="32"/>
        </w:rPr>
        <w:t>减少35.38万元，主要</w:t>
      </w:r>
      <w:r>
        <w:rPr>
          <w:rFonts w:hint="eastAsia" w:ascii="仿宋_GB2312" w:hAnsi="Calibri" w:eastAsia="仿宋_GB2312" w:cs="Times New Roman"/>
          <w:sz w:val="32"/>
          <w:szCs w:val="32"/>
        </w:rPr>
        <w:t>原因</w:t>
      </w:r>
      <w:r>
        <w:rPr>
          <w:rFonts w:hint="eastAsia" w:ascii="仿宋_GB2312" w:eastAsia="仿宋_GB2312"/>
          <w:sz w:val="32"/>
          <w:szCs w:val="32"/>
        </w:rPr>
        <w:t>是</w:t>
      </w:r>
      <w:r>
        <w:rPr>
          <w:rFonts w:hint="eastAsia" w:ascii="仿宋_GB2312" w:hAnsi="Calibri" w:eastAsia="仿宋_GB2312" w:cs="Times New Roman"/>
          <w:sz w:val="32"/>
          <w:szCs w:val="32"/>
        </w:rPr>
        <w:t>基本支出收入</w:t>
      </w:r>
      <w:r>
        <w:rPr>
          <w:rFonts w:hint="eastAsia" w:ascii="仿宋_GB2312" w:eastAsia="仿宋_GB2312"/>
          <w:sz w:val="32"/>
          <w:szCs w:val="32"/>
        </w:rPr>
        <w:t>减少</w:t>
      </w:r>
      <w:r>
        <w:rPr>
          <w:rFonts w:hint="eastAsia" w:ascii="仿宋_GB2312" w:hAnsi="Calibri" w:eastAsia="仿宋_GB2312" w:cs="Times New Roman"/>
          <w:sz w:val="32"/>
          <w:szCs w:val="32"/>
        </w:rPr>
        <w:t>。</w:t>
      </w:r>
      <w:r>
        <w:rPr>
          <w:rFonts w:hint="eastAsia" w:ascii="仿宋_GB2312" w:eastAsia="仿宋_GB2312"/>
          <w:sz w:val="32"/>
          <w:szCs w:val="32"/>
        </w:rPr>
        <w:t>2020</w:t>
      </w:r>
      <w:r>
        <w:rPr>
          <w:rFonts w:hint="eastAsia" w:ascii="仿宋_GB2312" w:hAnsi="Calibri" w:eastAsia="仿宋_GB2312" w:cs="Times New Roman"/>
          <w:sz w:val="32"/>
          <w:szCs w:val="32"/>
        </w:rPr>
        <w:t>年本部门财政拨款支出</w:t>
      </w:r>
      <w:r>
        <w:rPr>
          <w:rFonts w:hint="eastAsia" w:ascii="仿宋_GB2312" w:eastAsia="仿宋_GB2312"/>
          <w:sz w:val="32"/>
          <w:szCs w:val="32"/>
        </w:rPr>
        <w:t>1617.80</w:t>
      </w:r>
      <w:r>
        <w:rPr>
          <w:rFonts w:hint="eastAsia" w:ascii="仿宋_GB2312" w:hAnsi="Calibri" w:eastAsia="仿宋_GB2312" w:cs="Times New Roman"/>
          <w:sz w:val="32"/>
          <w:szCs w:val="32"/>
        </w:rPr>
        <w:t>万元，其中一般公共预算拨款支出</w:t>
      </w:r>
      <w:r>
        <w:rPr>
          <w:rFonts w:hint="eastAsia" w:ascii="仿宋_GB2312" w:eastAsia="仿宋_GB2312"/>
          <w:sz w:val="32"/>
          <w:szCs w:val="32"/>
        </w:rPr>
        <w:t>1617.80</w:t>
      </w:r>
      <w:r>
        <w:rPr>
          <w:rFonts w:hint="eastAsia" w:ascii="仿宋_GB2312" w:hAnsi="Calibri" w:eastAsia="仿宋_GB2312" w:cs="Times New Roman"/>
          <w:sz w:val="32"/>
          <w:szCs w:val="32"/>
        </w:rPr>
        <w:t>万元，政府性基金拨款支出0万元，</w:t>
      </w:r>
      <w:r>
        <w:rPr>
          <w:rFonts w:hint="eastAsia" w:ascii="仿宋_GB2312" w:eastAsia="仿宋_GB2312"/>
          <w:sz w:val="32"/>
          <w:szCs w:val="32"/>
        </w:rPr>
        <w:t>2020</w:t>
      </w:r>
      <w:r>
        <w:rPr>
          <w:rFonts w:hint="eastAsia" w:ascii="仿宋_GB2312" w:hAnsi="Calibri" w:eastAsia="仿宋_GB2312" w:cs="Times New Roman"/>
          <w:sz w:val="32"/>
          <w:szCs w:val="32"/>
        </w:rPr>
        <w:t>年本部门财政拨款支出</w:t>
      </w:r>
      <w:r>
        <w:rPr>
          <w:rFonts w:hint="eastAsia" w:ascii="仿宋_GB2312" w:eastAsia="仿宋_GB2312"/>
          <w:sz w:val="32"/>
          <w:szCs w:val="32"/>
        </w:rPr>
        <w:t>较</w:t>
      </w:r>
      <w:r>
        <w:rPr>
          <w:rFonts w:hint="eastAsia" w:ascii="仿宋_GB2312" w:hAnsi="Calibri" w:eastAsia="仿宋_GB2312" w:cs="Times New Roman"/>
          <w:sz w:val="32"/>
          <w:szCs w:val="32"/>
        </w:rPr>
        <w:t>上年</w:t>
      </w:r>
      <w:r>
        <w:rPr>
          <w:rFonts w:hint="eastAsia" w:ascii="仿宋_GB2312" w:eastAsia="仿宋_GB2312"/>
          <w:sz w:val="32"/>
          <w:szCs w:val="32"/>
        </w:rPr>
        <w:t>减少35.38</w:t>
      </w:r>
      <w:r>
        <w:rPr>
          <w:rFonts w:hint="eastAsia" w:ascii="仿宋_GB2312" w:hAnsi="Calibri" w:eastAsia="仿宋_GB2312" w:cs="Times New Roman"/>
          <w:sz w:val="32"/>
          <w:szCs w:val="32"/>
        </w:rPr>
        <w:t>万元，主要</w:t>
      </w:r>
      <w:r>
        <w:rPr>
          <w:rFonts w:hint="eastAsia" w:ascii="仿宋_GB2312" w:eastAsia="仿宋_GB2312"/>
          <w:sz w:val="32"/>
          <w:szCs w:val="32"/>
        </w:rPr>
        <w:t>减少</w:t>
      </w:r>
      <w:r>
        <w:rPr>
          <w:rFonts w:hint="eastAsia" w:ascii="仿宋_GB2312" w:hAnsi="Calibri" w:eastAsia="仿宋_GB2312" w:cs="Times New Roman"/>
          <w:sz w:val="32"/>
          <w:szCs w:val="32"/>
        </w:rPr>
        <w:t>原因</w:t>
      </w:r>
      <w:r>
        <w:rPr>
          <w:rFonts w:hint="eastAsia" w:ascii="仿宋_GB2312" w:eastAsia="仿宋_GB2312"/>
          <w:sz w:val="32"/>
          <w:szCs w:val="32"/>
        </w:rPr>
        <w:t>是</w:t>
      </w:r>
      <w:r>
        <w:rPr>
          <w:rFonts w:hint="eastAsia" w:ascii="仿宋_GB2312" w:hAnsi="Calibri" w:eastAsia="仿宋_GB2312" w:cs="Times New Roman"/>
          <w:sz w:val="32"/>
          <w:szCs w:val="32"/>
        </w:rPr>
        <w:t>基本支出</w:t>
      </w:r>
      <w:r>
        <w:rPr>
          <w:rFonts w:hint="eastAsia" w:ascii="仿宋_GB2312" w:eastAsia="仿宋_GB2312"/>
          <w:sz w:val="32"/>
          <w:szCs w:val="32"/>
        </w:rPr>
        <w:t>减少。</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（三）一般公共预算当年拨款支出明细情况</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1、一般公共预算当年拨款规模变化情况</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2020年本部门当年一般公共预算拨款支出</w:t>
      </w:r>
      <w:r>
        <w:rPr>
          <w:rFonts w:hint="eastAsia" w:ascii="仿宋_GB2312" w:hAnsi="Calibri" w:eastAsia="仿宋_GB2312" w:cs="Times New Roman"/>
          <w:sz w:val="32"/>
        </w:rPr>
        <w:t>1617.80</w:t>
      </w:r>
      <w:r>
        <w:rPr>
          <w:rFonts w:hint="eastAsia" w:ascii="仿宋_GB2312" w:hAnsi="Calibri" w:eastAsia="仿宋_GB2312" w:cs="Times New Roman"/>
          <w:sz w:val="32"/>
          <w:szCs w:val="32"/>
        </w:rPr>
        <w:t>万元，较上年减少35.38万元，主要原因是基本支出减少。</w:t>
      </w:r>
    </w:p>
    <w:p>
      <w:pPr>
        <w:ind w:firstLine="645"/>
        <w:rPr>
          <w:rFonts w:ascii="仿宋_GB2312" w:hAnsi="仿宋_GB2312" w:eastAsia="仿宋_GB2312" w:cs="仿宋_GB2312"/>
          <w:b/>
          <w:bCs/>
          <w:sz w:val="32"/>
          <w:szCs w:val="32"/>
        </w:rPr>
      </w:pPr>
      <w:r>
        <w:rPr>
          <w:rFonts w:hint="eastAsia" w:ascii="仿宋_GB2312" w:hAnsi="Calibri" w:eastAsia="仿宋_GB2312" w:cs="Times New Roman"/>
          <w:sz w:val="32"/>
          <w:szCs w:val="32"/>
        </w:rPr>
        <w:t>2、支出按功能科目分类的明细情况</w:t>
      </w:r>
    </w:p>
    <w:p>
      <w:pPr>
        <w:adjustRightInd w:val="0"/>
        <w:snapToGrid w:val="0"/>
        <w:spacing w:line="360" w:lineRule="auto"/>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本部门2020年当年一般公共预算支出1617.80万元，其中：</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（1）行政运行（2070101）330.02万元，较上年增加6.67万元，原因是本年人员工资增加。</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（2）图书馆（2070104）172.69万元，较上年减少0.24万元，原因是人员工资减少。</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（3）群众文化（2070109）118.64万元，较上年增加3.08万元，原因是人员工资增加。</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（4）文化和旅游市场管理（2070112）76.23万元，较上年减少2.41万元，原因是人员工资减少。</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（5）其他文化和旅游支出（2070199）103.50万元，较上年增加103.50万元，原因是上年没有列支此功能科目支出，</w:t>
      </w:r>
      <w:r>
        <w:rPr>
          <w:rFonts w:hint="eastAsia" w:ascii="仿宋_GB2312" w:eastAsia="仿宋_GB2312"/>
          <w:sz w:val="32"/>
          <w:szCs w:val="32"/>
        </w:rPr>
        <w:t>今年把辋川溶洞管理处的费用列入到此科目中。</w:t>
      </w:r>
    </w:p>
    <w:p>
      <w:pPr>
        <w:ind w:firstLine="645"/>
        <w:rPr>
          <w:rFonts w:ascii="仿宋_GB2312" w:eastAsia="仿宋_GB2312"/>
          <w:sz w:val="32"/>
          <w:szCs w:val="32"/>
        </w:rPr>
      </w:pPr>
      <w:r>
        <w:rPr>
          <w:rFonts w:hint="eastAsia" w:ascii="仿宋_GB2312" w:hAnsi="Calibri" w:eastAsia="仿宋_GB2312" w:cs="Times New Roman"/>
          <w:sz w:val="32"/>
          <w:szCs w:val="32"/>
        </w:rPr>
        <w:t>（6）文物保护（2070204）273.21万元，较上年减少107.95万元，原因是去年</w:t>
      </w:r>
      <w:r>
        <w:rPr>
          <w:rFonts w:hint="eastAsia" w:ascii="仿宋_GB2312" w:eastAsia="仿宋_GB2312"/>
          <w:sz w:val="32"/>
          <w:szCs w:val="32"/>
        </w:rPr>
        <w:t>我局下属自收自支事业单位水陆庵文管所和辋川溶洞管理处的费用全部在此科目列支，今年把辋川溶洞管理处的费用列入到其他文化和旅游支出中，因此，今年文物保护费用减少。</w:t>
      </w:r>
    </w:p>
    <w:p>
      <w:pPr>
        <w:ind w:firstLine="645"/>
        <w:rPr>
          <w:rFonts w:ascii="仿宋_GB2312" w:eastAsia="仿宋_GB2312"/>
          <w:sz w:val="32"/>
          <w:szCs w:val="32"/>
        </w:rPr>
      </w:pPr>
      <w:r>
        <w:rPr>
          <w:rFonts w:hint="eastAsia" w:ascii="仿宋_GB2312" w:eastAsia="仿宋_GB2312"/>
          <w:sz w:val="32"/>
          <w:szCs w:val="32"/>
        </w:rPr>
        <w:t>（7）博物馆（2070205）290.30万元，较上年增加11.85万元，原因是我局系统博物馆单位基本支出增加。</w:t>
      </w:r>
    </w:p>
    <w:p>
      <w:pPr>
        <w:ind w:firstLine="645"/>
        <w:rPr>
          <w:rFonts w:ascii="仿宋_GB2312" w:eastAsia="仿宋_GB2312"/>
          <w:sz w:val="32"/>
          <w:szCs w:val="32"/>
        </w:rPr>
      </w:pPr>
      <w:r>
        <w:rPr>
          <w:rFonts w:hint="eastAsia" w:ascii="仿宋_GB2312" w:eastAsia="仿宋_GB2312"/>
          <w:sz w:val="32"/>
          <w:szCs w:val="32"/>
        </w:rPr>
        <w:t>（8）体育场馆（2070307）46.99万元，较上年减少9.94万元，原因是今年体育场人员比去年减少。</w:t>
      </w:r>
    </w:p>
    <w:p>
      <w:pPr>
        <w:ind w:firstLine="645"/>
        <w:rPr>
          <w:rFonts w:ascii="仿宋_GB2312" w:eastAsia="仿宋_GB2312"/>
          <w:sz w:val="32"/>
          <w:szCs w:val="32"/>
        </w:rPr>
      </w:pPr>
      <w:r>
        <w:rPr>
          <w:rFonts w:hint="eastAsia" w:ascii="仿宋_GB2312" w:eastAsia="仿宋_GB2312"/>
          <w:sz w:val="32"/>
          <w:szCs w:val="32"/>
        </w:rPr>
        <w:t>（9）机关事业单位基本养老保险缴费支出（2080505）156.73万元，较上年减少85.35万元，原因是去年预算大，今年按实际预算减少。</w:t>
      </w:r>
    </w:p>
    <w:p>
      <w:pPr>
        <w:ind w:firstLine="645"/>
        <w:rPr>
          <w:rFonts w:ascii="仿宋_GB2312" w:eastAsia="仿宋_GB2312"/>
          <w:sz w:val="32"/>
          <w:szCs w:val="32"/>
        </w:rPr>
      </w:pPr>
      <w:r>
        <w:rPr>
          <w:rFonts w:hint="eastAsia" w:ascii="仿宋_GB2312" w:eastAsia="仿宋_GB2312"/>
          <w:sz w:val="32"/>
          <w:szCs w:val="32"/>
        </w:rPr>
        <w:t>（10）机关事业单位职业年金缴费支出（2080506）10.72万元，较上年增加7.62万元，原因是今年退休人员增多。</w:t>
      </w:r>
    </w:p>
    <w:p>
      <w:pPr>
        <w:ind w:firstLine="645"/>
        <w:rPr>
          <w:rFonts w:ascii="仿宋_GB2312" w:eastAsia="仿宋_GB2312"/>
          <w:sz w:val="32"/>
          <w:szCs w:val="32"/>
        </w:rPr>
      </w:pPr>
      <w:r>
        <w:rPr>
          <w:rFonts w:hint="eastAsia" w:ascii="仿宋_GB2312" w:eastAsia="仿宋_GB2312"/>
          <w:sz w:val="32"/>
          <w:szCs w:val="32"/>
        </w:rPr>
        <w:t>（11）行政单位医疗（2101101）10.41万元，较上年增加10.41万元，原因是上年没有提前预算此项支出。</w:t>
      </w:r>
    </w:p>
    <w:p>
      <w:pPr>
        <w:ind w:firstLine="645"/>
        <w:rPr>
          <w:rFonts w:ascii="仿宋_GB2312" w:eastAsia="仿宋_GB2312"/>
          <w:sz w:val="32"/>
          <w:szCs w:val="32"/>
        </w:rPr>
      </w:pPr>
      <w:r>
        <w:rPr>
          <w:rFonts w:hint="eastAsia" w:ascii="仿宋_GB2312" w:eastAsia="仿宋_GB2312"/>
          <w:sz w:val="32"/>
          <w:szCs w:val="32"/>
        </w:rPr>
        <w:t>（12）事业单位医疗（2101102）22.86万元，较上年增加22.86万元，原因是上年没有提前预算此项支出。</w:t>
      </w:r>
    </w:p>
    <w:p>
      <w:pPr>
        <w:ind w:firstLine="645"/>
        <w:rPr>
          <w:rFonts w:ascii="仿宋_GB2312" w:eastAsia="仿宋_GB2312"/>
          <w:sz w:val="32"/>
          <w:szCs w:val="32"/>
        </w:rPr>
      </w:pPr>
      <w:r>
        <w:rPr>
          <w:rFonts w:hint="eastAsia" w:ascii="仿宋_GB2312" w:eastAsia="仿宋_GB2312"/>
          <w:sz w:val="32"/>
          <w:szCs w:val="32"/>
        </w:rPr>
        <w:t>（13）公务员医疗补助（2101103）2.08万元，较上年增加2.08万元，原因是上年没有提前预算此项支出。</w:t>
      </w:r>
    </w:p>
    <w:p>
      <w:pPr>
        <w:ind w:firstLine="645"/>
        <w:rPr>
          <w:rFonts w:ascii="仿宋_GB2312" w:eastAsia="仿宋_GB2312"/>
          <w:sz w:val="32"/>
          <w:szCs w:val="32"/>
        </w:rPr>
      </w:pPr>
      <w:r>
        <w:rPr>
          <w:rFonts w:hint="eastAsia" w:ascii="仿宋_GB2312" w:eastAsia="仿宋_GB2312"/>
          <w:sz w:val="32"/>
          <w:szCs w:val="32"/>
        </w:rPr>
        <w:t>（14）其他卫生健康支出（2109901）3.42万元，较上年增加3.42万元，原因是上年没有提前预算此项支出。</w:t>
      </w:r>
    </w:p>
    <w:p>
      <w:pPr>
        <w:rPr>
          <w:rFonts w:ascii="仿宋_GB2312" w:eastAsia="仿宋_GB2312"/>
          <w:sz w:val="32"/>
          <w:szCs w:val="32"/>
        </w:rPr>
      </w:pPr>
      <w:r>
        <w:rPr>
          <w:rFonts w:ascii="仿宋_GB2312" w:eastAsia="仿宋_GB2312"/>
          <w:sz w:val="32"/>
          <w:szCs w:val="32"/>
        </w:rPr>
        <w:drawing>
          <wp:inline distT="0" distB="0" distL="0" distR="0">
            <wp:extent cx="5274310" cy="2968625"/>
            <wp:effectExtent l="19050" t="0" r="21590" b="3169"/>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pPr>
        <w:ind w:firstLine="645"/>
        <w:rPr>
          <w:rFonts w:ascii="仿宋_GB2312" w:eastAsia="仿宋_GB2312"/>
          <w:sz w:val="32"/>
          <w:szCs w:val="32"/>
        </w:rPr>
      </w:pPr>
      <w:r>
        <w:rPr>
          <w:rFonts w:hint="eastAsia" w:ascii="仿宋_GB2312" w:eastAsia="仿宋_GB2312"/>
          <w:sz w:val="32"/>
          <w:szCs w:val="32"/>
        </w:rPr>
        <w:t>3、支出按经济科目分类的明细情况</w:t>
      </w:r>
    </w:p>
    <w:p>
      <w:pPr>
        <w:ind w:firstLine="645"/>
        <w:rPr>
          <w:rFonts w:ascii="仿宋_GB2312" w:eastAsia="仿宋_GB2312"/>
          <w:sz w:val="32"/>
          <w:szCs w:val="32"/>
        </w:rPr>
      </w:pPr>
      <w:r>
        <w:rPr>
          <w:rFonts w:hint="eastAsia" w:ascii="仿宋_GB2312" w:eastAsia="仿宋_GB2312"/>
          <w:sz w:val="32"/>
          <w:szCs w:val="32"/>
        </w:rPr>
        <w:t>（1）按照部门预算支出经济分类的类级科目说明</w:t>
      </w:r>
    </w:p>
    <w:p>
      <w:pPr>
        <w:ind w:firstLine="645"/>
        <w:rPr>
          <w:rFonts w:ascii="仿宋_GB2312" w:eastAsia="仿宋_GB2312"/>
          <w:sz w:val="32"/>
          <w:szCs w:val="32"/>
        </w:rPr>
      </w:pPr>
      <w:r>
        <w:rPr>
          <w:rFonts w:hint="eastAsia" w:ascii="仿宋_GB2312" w:eastAsia="仿宋_GB2312"/>
          <w:sz w:val="32"/>
          <w:szCs w:val="32"/>
        </w:rPr>
        <w:t>2020年本部门当年一般公共预算支出1617.80万元，其中：</w:t>
      </w:r>
    </w:p>
    <w:p>
      <w:pPr>
        <w:ind w:firstLine="630"/>
        <w:rPr>
          <w:rFonts w:ascii="仿宋_GB2312" w:eastAsia="仿宋_GB2312"/>
          <w:sz w:val="32"/>
          <w:szCs w:val="32"/>
        </w:rPr>
      </w:pPr>
      <w:r>
        <w:rPr>
          <w:rFonts w:hint="eastAsia" w:ascii="仿宋_GB2312" w:eastAsia="仿宋_GB2312"/>
          <w:sz w:val="32"/>
          <w:szCs w:val="32"/>
        </w:rPr>
        <w:t>工资福利支出（301）1541.87万元，较上年减少42.92万元，原因是本年人员工资减少。</w:t>
      </w:r>
    </w:p>
    <w:p>
      <w:pPr>
        <w:ind w:firstLine="630"/>
        <w:rPr>
          <w:rFonts w:ascii="仿宋_GB2312" w:eastAsia="仿宋_GB2312"/>
          <w:sz w:val="32"/>
          <w:szCs w:val="32"/>
        </w:rPr>
      </w:pPr>
      <w:r>
        <w:rPr>
          <w:rFonts w:hint="eastAsia" w:ascii="仿宋_GB2312" w:eastAsia="仿宋_GB2312"/>
          <w:sz w:val="32"/>
          <w:szCs w:val="32"/>
        </w:rPr>
        <w:t>商品和服务支出（302）69.87万元，较上年增加7.9万元，原因是今年公用经费增加。</w:t>
      </w:r>
    </w:p>
    <w:p>
      <w:pPr>
        <w:ind w:firstLine="630"/>
        <w:rPr>
          <w:rFonts w:ascii="仿宋_GB2312" w:eastAsia="仿宋_GB2312"/>
          <w:sz w:val="32"/>
          <w:szCs w:val="32"/>
        </w:rPr>
      </w:pPr>
      <w:r>
        <w:rPr>
          <w:rFonts w:hint="eastAsia" w:ascii="仿宋_GB2312" w:eastAsia="仿宋_GB2312"/>
          <w:sz w:val="32"/>
          <w:szCs w:val="32"/>
        </w:rPr>
        <w:t>对个人和家庭的补助支出（303）6.06万元，较上年减少0.36万元，原因是今年遗属补助预算减少。</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（2）按照政府预算支出经济分类的类级科目说明</w:t>
      </w:r>
    </w:p>
    <w:p>
      <w:pPr>
        <w:ind w:firstLine="645"/>
        <w:rPr>
          <w:rFonts w:ascii="仿宋_GB2312" w:hAnsi="Calibri" w:eastAsia="仿宋_GB2312" w:cs="Times New Roman"/>
          <w:sz w:val="32"/>
          <w:szCs w:val="32"/>
        </w:rPr>
      </w:pPr>
      <w:r>
        <w:rPr>
          <w:rFonts w:hint="eastAsia" w:ascii="仿宋_GB2312" w:hAnsi="Calibri" w:eastAsia="仿宋_GB2312" w:cs="Times New Roman"/>
          <w:sz w:val="32"/>
          <w:szCs w:val="32"/>
        </w:rPr>
        <w:t>2020年本部门当年一般公共预算支出1617.80万元，其中：</w:t>
      </w:r>
    </w:p>
    <w:p>
      <w:pPr>
        <w:ind w:firstLine="640" w:firstLineChars="200"/>
        <w:rPr>
          <w:rFonts w:hint="eastAsia" w:ascii="仿宋" w:hAnsi="仿宋" w:eastAsia="仿宋"/>
          <w:sz w:val="32"/>
          <w:szCs w:val="32"/>
        </w:rPr>
      </w:pPr>
      <w:r>
        <w:rPr>
          <w:rFonts w:hint="eastAsia" w:ascii="仿宋" w:hAnsi="仿宋" w:eastAsia="仿宋"/>
          <w:sz w:val="32"/>
          <w:szCs w:val="32"/>
        </w:rPr>
        <w:t>机关工资福利支出（501）296.53万元，较上年减少122.64万元，原因是今年机关工资福利支出减少。</w:t>
      </w:r>
    </w:p>
    <w:p>
      <w:pPr>
        <w:ind w:firstLine="640" w:firstLineChars="200"/>
        <w:rPr>
          <w:rFonts w:hint="eastAsia" w:ascii="仿宋" w:hAnsi="仿宋" w:eastAsia="仿宋"/>
          <w:sz w:val="32"/>
          <w:szCs w:val="32"/>
        </w:rPr>
      </w:pPr>
      <w:r>
        <w:rPr>
          <w:rFonts w:hint="eastAsia" w:ascii="仿宋" w:hAnsi="仿宋" w:eastAsia="仿宋"/>
          <w:sz w:val="32"/>
          <w:szCs w:val="32"/>
        </w:rPr>
        <w:t>机关商品和服务支出（502）33.53万元，较上年减少9.97万元，原因是今年财政预算紧张，基本支出缩减。</w:t>
      </w:r>
    </w:p>
    <w:p>
      <w:pPr>
        <w:ind w:firstLine="640" w:firstLineChars="200"/>
        <w:rPr>
          <w:rFonts w:hint="eastAsia" w:ascii="仿宋" w:hAnsi="仿宋" w:eastAsia="仿宋"/>
          <w:sz w:val="32"/>
          <w:szCs w:val="32"/>
        </w:rPr>
      </w:pPr>
      <w:r>
        <w:rPr>
          <w:rFonts w:hint="eastAsia" w:ascii="仿宋" w:hAnsi="仿宋" w:eastAsia="仿宋"/>
          <w:sz w:val="32"/>
          <w:szCs w:val="32"/>
        </w:rPr>
        <w:t>对事业单位经常性补助（505）1281.68万元，较上年增加97.59万元，原因是事业单位人员工资增加。</w:t>
      </w:r>
    </w:p>
    <w:p>
      <w:pPr>
        <w:ind w:firstLine="630"/>
        <w:rPr>
          <w:rFonts w:hint="eastAsia" w:ascii="仿宋_GB2312" w:eastAsia="仿宋_GB2312"/>
          <w:sz w:val="32"/>
          <w:szCs w:val="32"/>
        </w:rPr>
      </w:pPr>
      <w:r>
        <w:rPr>
          <w:rFonts w:hint="eastAsia" w:ascii="仿宋" w:hAnsi="仿宋" w:eastAsia="仿宋"/>
          <w:sz w:val="32"/>
          <w:szCs w:val="32"/>
        </w:rPr>
        <w:t>对个人和家庭的补助支出（509）6.06万元，</w:t>
      </w:r>
      <w:r>
        <w:rPr>
          <w:rFonts w:hint="eastAsia" w:ascii="仿宋_GB2312" w:eastAsia="仿宋_GB2312"/>
          <w:sz w:val="32"/>
          <w:szCs w:val="32"/>
        </w:rPr>
        <w:t>较上年减少0.36万元，原因是今年遗属补助预算减少。</w:t>
      </w:r>
    </w:p>
    <w:p>
      <w:pPr>
        <w:ind w:firstLine="630"/>
        <w:rPr>
          <w:rFonts w:hint="eastAsia" w:ascii="仿宋_GB2312" w:eastAsia="仿宋_GB2312"/>
          <w:sz w:val="32"/>
          <w:szCs w:val="32"/>
        </w:rPr>
      </w:pPr>
      <w:r>
        <w:rPr>
          <w:rFonts w:hint="eastAsia" w:ascii="仿宋_GB2312" w:eastAsia="仿宋_GB2312"/>
          <w:sz w:val="32"/>
          <w:szCs w:val="32"/>
        </w:rPr>
        <w:t>4、2019年结转财政资金一般公共预算拨款支出情况</w:t>
      </w:r>
    </w:p>
    <w:p>
      <w:pPr>
        <w:ind w:firstLine="630"/>
        <w:rPr>
          <w:rFonts w:hint="eastAsia" w:ascii="仿宋_GB2312" w:eastAsia="仿宋_GB2312"/>
          <w:sz w:val="32"/>
          <w:szCs w:val="32"/>
        </w:rPr>
      </w:pPr>
      <w:r>
        <w:rPr>
          <w:rFonts w:hint="eastAsia" w:ascii="仿宋_GB2312" w:eastAsia="仿宋_GB2312"/>
          <w:sz w:val="32"/>
          <w:szCs w:val="32"/>
        </w:rPr>
        <w:t>本部门无2019年结转的一般公共预算拨款资金支出。</w:t>
      </w:r>
    </w:p>
    <w:p>
      <w:pPr>
        <w:ind w:firstLine="630"/>
        <w:rPr>
          <w:rFonts w:hint="eastAsia" w:ascii="仿宋_GB2312" w:eastAsia="仿宋_GB2312"/>
          <w:sz w:val="32"/>
          <w:szCs w:val="32"/>
        </w:rPr>
      </w:pPr>
      <w:r>
        <w:rPr>
          <w:rFonts w:hint="eastAsia" w:ascii="仿宋_GB2312" w:eastAsia="仿宋_GB2312"/>
          <w:sz w:val="32"/>
          <w:szCs w:val="32"/>
        </w:rPr>
        <w:t>（四）政府性基金预算支出情况</w:t>
      </w:r>
    </w:p>
    <w:p>
      <w:pPr>
        <w:ind w:firstLine="640" w:firstLineChars="200"/>
        <w:rPr>
          <w:rFonts w:hint="eastAsia" w:ascii="仿宋_GB2312" w:eastAsia="仿宋_GB2312"/>
          <w:sz w:val="32"/>
          <w:szCs w:val="32"/>
          <w:lang w:val="en-US"/>
        </w:rPr>
      </w:pPr>
      <w:r>
        <w:rPr>
          <w:rFonts w:hint="eastAsia" w:ascii="仿宋_GB2312" w:eastAsia="仿宋_GB2312"/>
          <w:sz w:val="32"/>
          <w:szCs w:val="32"/>
          <w:lang w:val="en-US"/>
        </w:rPr>
        <w:t>1、当年政府性基金预算支出情况</w:t>
      </w:r>
    </w:p>
    <w:p>
      <w:pPr>
        <w:ind w:firstLine="640" w:firstLineChars="200"/>
        <w:rPr>
          <w:rFonts w:hint="eastAsia" w:ascii="仿宋_GB2312" w:eastAsia="仿宋_GB2312"/>
          <w:sz w:val="32"/>
          <w:szCs w:val="32"/>
          <w:lang w:val="en-US"/>
        </w:rPr>
      </w:pPr>
      <w:r>
        <w:rPr>
          <w:rFonts w:hint="eastAsia" w:ascii="仿宋_GB2312" w:eastAsia="仿宋_GB2312"/>
          <w:sz w:val="32"/>
          <w:szCs w:val="32"/>
          <w:lang w:val="en-US" w:eastAsia="zh-CN"/>
        </w:rPr>
        <w:t>本部门无</w:t>
      </w:r>
      <w:r>
        <w:rPr>
          <w:rFonts w:hint="eastAsia" w:ascii="仿宋_GB2312" w:eastAsia="仿宋_GB2312"/>
          <w:sz w:val="32"/>
          <w:szCs w:val="32"/>
          <w:lang w:val="en-US"/>
        </w:rPr>
        <w:t>当年</w:t>
      </w:r>
      <w:r>
        <w:rPr>
          <w:rFonts w:hint="eastAsia" w:ascii="仿宋_GB2312" w:eastAsia="仿宋_GB2312"/>
          <w:sz w:val="32"/>
          <w:szCs w:val="32"/>
          <w:lang w:val="en-US" w:eastAsia="zh-CN"/>
        </w:rPr>
        <w:t>政府性基金预算收支，并已公开空表。</w:t>
      </w:r>
    </w:p>
    <w:p>
      <w:pPr>
        <w:ind w:firstLine="640" w:firstLineChars="200"/>
        <w:rPr>
          <w:rFonts w:hint="eastAsia" w:ascii="仿宋_GB2312" w:eastAsia="仿宋_GB2312"/>
          <w:sz w:val="32"/>
          <w:szCs w:val="32"/>
          <w:lang w:val="en-US"/>
        </w:rPr>
      </w:pPr>
      <w:r>
        <w:rPr>
          <w:rFonts w:hint="eastAsia" w:ascii="仿宋_GB2312" w:eastAsia="仿宋_GB2312"/>
          <w:sz w:val="32"/>
          <w:szCs w:val="32"/>
          <w:lang w:val="en-US"/>
        </w:rPr>
        <w:t>2、上年结转政府性基金预算支出情况</w:t>
      </w:r>
    </w:p>
    <w:p>
      <w:pPr>
        <w:ind w:firstLine="640" w:firstLineChars="200"/>
        <w:rPr>
          <w:rFonts w:hint="eastAsia" w:ascii="仿宋_GB2312" w:eastAsia="仿宋_GB2312"/>
          <w:sz w:val="32"/>
          <w:szCs w:val="32"/>
          <w:lang w:val="en-US"/>
        </w:rPr>
      </w:pPr>
      <w:r>
        <w:rPr>
          <w:rFonts w:hint="eastAsia" w:ascii="仿宋_GB2312" w:eastAsia="仿宋_GB2312"/>
          <w:sz w:val="32"/>
          <w:szCs w:val="32"/>
          <w:lang w:val="en-US"/>
        </w:rPr>
        <w:t>本部门无2019年结转的政府性基金预算拨款支出。</w:t>
      </w:r>
    </w:p>
    <w:p>
      <w:pPr>
        <w:ind w:firstLine="480" w:firstLineChars="150"/>
        <w:rPr>
          <w:rFonts w:hint="eastAsia" w:ascii="仿宋_GB2312" w:eastAsia="仿宋_GB2312"/>
          <w:sz w:val="32"/>
          <w:szCs w:val="32"/>
          <w:lang w:val="en-US" w:eastAsia="zh-CN"/>
        </w:rPr>
      </w:pPr>
      <w:r>
        <w:rPr>
          <w:rFonts w:hint="eastAsia" w:ascii="仿宋_GB2312" w:eastAsia="仿宋_GB2312"/>
          <w:sz w:val="32"/>
          <w:szCs w:val="32"/>
          <w:lang w:val="en-US" w:eastAsia="zh-CN"/>
        </w:rPr>
        <w:t>（五）国有资本经营预算拨款收支情况</w:t>
      </w:r>
    </w:p>
    <w:p>
      <w:pPr>
        <w:ind w:firstLine="640" w:firstLineChars="200"/>
        <w:rPr>
          <w:rFonts w:hint="eastAsia" w:ascii="仿宋_GB2312" w:eastAsia="仿宋_GB2312"/>
          <w:sz w:val="32"/>
          <w:szCs w:val="32"/>
          <w:lang w:val="en-US"/>
        </w:rPr>
      </w:pPr>
      <w:r>
        <w:rPr>
          <w:rFonts w:hint="eastAsia" w:ascii="仿宋_GB2312" w:eastAsia="仿宋_GB2312"/>
          <w:sz w:val="32"/>
          <w:szCs w:val="32"/>
          <w:lang w:val="en-US" w:eastAsia="zh-CN"/>
        </w:rPr>
        <w:t>本部门无</w:t>
      </w:r>
      <w:r>
        <w:rPr>
          <w:rFonts w:hint="eastAsia" w:ascii="仿宋_GB2312" w:eastAsia="仿宋_GB2312"/>
          <w:sz w:val="32"/>
          <w:szCs w:val="32"/>
          <w:lang w:val="en-US"/>
        </w:rPr>
        <w:t>当年</w:t>
      </w:r>
      <w:r>
        <w:rPr>
          <w:rFonts w:hint="eastAsia" w:ascii="仿宋_GB2312" w:eastAsia="仿宋_GB2312"/>
          <w:sz w:val="32"/>
          <w:szCs w:val="32"/>
          <w:lang w:val="en-US" w:eastAsia="zh-CN"/>
        </w:rPr>
        <w:t>国有资本经营预算拨款收支</w:t>
      </w:r>
      <w:r>
        <w:rPr>
          <w:rFonts w:hint="eastAsia" w:ascii="仿宋_GB2312" w:eastAsia="仿宋_GB2312"/>
          <w:sz w:val="32"/>
          <w:szCs w:val="32"/>
          <w:lang w:val="en-US"/>
        </w:rPr>
        <w:t>，并在财政拨款收支总体情况表中列示。</w:t>
      </w:r>
    </w:p>
    <w:p>
      <w:pPr>
        <w:ind w:firstLine="640" w:firstLineChars="200"/>
        <w:rPr>
          <w:rFonts w:hint="eastAsia" w:ascii="仿宋_GB2312" w:eastAsia="仿宋_GB2312"/>
          <w:sz w:val="32"/>
          <w:szCs w:val="32"/>
          <w:lang w:val="en-US"/>
        </w:rPr>
      </w:pPr>
      <w:r>
        <w:rPr>
          <w:rFonts w:hint="eastAsia" w:ascii="仿宋_GB2312" w:eastAsia="仿宋_GB2312"/>
          <w:sz w:val="32"/>
          <w:szCs w:val="32"/>
          <w:lang w:val="en-US"/>
        </w:rPr>
        <w:t>本部门无2019年结转的国有资本经营预算拨款支出。</w:t>
      </w:r>
    </w:p>
    <w:p>
      <w:pPr>
        <w:ind w:firstLine="640" w:firstLineChars="200"/>
        <w:rPr>
          <w:rFonts w:hint="eastAsia" w:ascii="仿宋_GB2312" w:eastAsia="仿宋_GB2312"/>
          <w:sz w:val="32"/>
          <w:szCs w:val="32"/>
          <w:lang w:val="en-US"/>
        </w:rPr>
      </w:pPr>
      <w:r>
        <w:rPr>
          <w:rFonts w:hint="eastAsia" w:ascii="仿宋_GB2312" w:eastAsia="仿宋_GB2312"/>
          <w:sz w:val="32"/>
          <w:szCs w:val="32"/>
          <w:lang w:val="en-US"/>
        </w:rPr>
        <w:t>六、部门预算“三公”经费等预算情况说明</w:t>
      </w:r>
    </w:p>
    <w:p>
      <w:pPr>
        <w:widowControl/>
        <w:shd w:val="clear" w:color="auto" w:fill="FFFFFF"/>
        <w:spacing w:line="375" w:lineRule="atLeast"/>
        <w:ind w:firstLine="640" w:firstLineChars="200"/>
        <w:jc w:val="left"/>
        <w:rPr>
          <w:rFonts w:hint="eastAsia" w:ascii="仿宋_GB2312" w:eastAsia="仿宋_GB2312"/>
          <w:sz w:val="32"/>
          <w:szCs w:val="32"/>
          <w:lang w:val="en-US"/>
        </w:rPr>
      </w:pPr>
      <w:r>
        <w:rPr>
          <w:rFonts w:hint="eastAsia" w:ascii="仿宋_GB2312" w:eastAsia="仿宋_GB2312"/>
          <w:sz w:val="32"/>
          <w:szCs w:val="32"/>
          <w:lang w:val="en-US"/>
        </w:rPr>
        <w:t>2020</w:t>
      </w:r>
      <w:r>
        <w:rPr>
          <w:rFonts w:hint="eastAsia" w:ascii="仿宋_GB2312" w:eastAsia="仿宋_GB2312"/>
          <w:sz w:val="32"/>
          <w:szCs w:val="32"/>
          <w:lang w:val="en-US" w:eastAsia="zh-CN"/>
        </w:rPr>
        <w:t>年本部门</w:t>
      </w:r>
      <w:r>
        <w:rPr>
          <w:rFonts w:hint="eastAsia" w:ascii="仿宋_GB2312" w:eastAsia="仿宋_GB2312"/>
          <w:sz w:val="32"/>
          <w:szCs w:val="32"/>
          <w:lang w:val="en-US"/>
        </w:rPr>
        <w:t>当年</w:t>
      </w:r>
      <w:r>
        <w:rPr>
          <w:rFonts w:hint="eastAsia" w:ascii="仿宋_GB2312" w:eastAsia="仿宋_GB2312"/>
          <w:sz w:val="32"/>
          <w:szCs w:val="32"/>
          <w:lang w:val="en-US" w:eastAsia="zh-CN"/>
        </w:rPr>
        <w:t>一般公共预算“三公”经费预算支出</w:t>
      </w:r>
      <w:r>
        <w:rPr>
          <w:rFonts w:hint="eastAsia" w:ascii="仿宋_GB2312" w:eastAsia="仿宋_GB2312"/>
          <w:sz w:val="32"/>
          <w:szCs w:val="32"/>
          <w:lang w:val="en-US"/>
        </w:rPr>
        <w:t>0.1</w:t>
      </w:r>
      <w:r>
        <w:rPr>
          <w:rFonts w:hint="eastAsia" w:ascii="仿宋_GB2312" w:eastAsia="仿宋_GB2312"/>
          <w:sz w:val="32"/>
          <w:szCs w:val="32"/>
          <w:lang w:val="en-US" w:eastAsia="zh-CN"/>
        </w:rPr>
        <w:t>万元，较上年</w:t>
      </w:r>
      <w:r>
        <w:rPr>
          <w:rFonts w:hint="eastAsia" w:ascii="仿宋_GB2312" w:eastAsia="仿宋_GB2312"/>
          <w:sz w:val="32"/>
          <w:szCs w:val="32"/>
          <w:lang w:val="en-US"/>
        </w:rPr>
        <w:t>减少</w:t>
      </w:r>
      <w:r>
        <w:rPr>
          <w:rFonts w:hint="eastAsia" w:ascii="仿宋_GB2312" w:eastAsia="仿宋_GB2312"/>
          <w:sz w:val="32"/>
          <w:szCs w:val="32"/>
          <w:lang w:val="en-US" w:eastAsia="zh-CN"/>
        </w:rPr>
        <w:t>了</w:t>
      </w:r>
      <w:r>
        <w:rPr>
          <w:rFonts w:hint="eastAsia" w:ascii="仿宋_GB2312" w:eastAsia="仿宋_GB2312"/>
          <w:sz w:val="32"/>
          <w:szCs w:val="32"/>
          <w:lang w:val="en-US"/>
        </w:rPr>
        <w:t>1.9</w:t>
      </w:r>
      <w:r>
        <w:rPr>
          <w:rFonts w:hint="eastAsia" w:ascii="仿宋_GB2312" w:eastAsia="仿宋_GB2312"/>
          <w:sz w:val="32"/>
          <w:szCs w:val="32"/>
          <w:lang w:val="en-US" w:eastAsia="zh-CN"/>
        </w:rPr>
        <w:t>万元（</w:t>
      </w:r>
      <w:r>
        <w:rPr>
          <w:rFonts w:hint="eastAsia" w:ascii="仿宋_GB2312" w:eastAsia="仿宋_GB2312"/>
          <w:sz w:val="32"/>
          <w:szCs w:val="32"/>
          <w:lang w:val="en-US"/>
        </w:rPr>
        <w:t>95</w:t>
      </w:r>
      <w:r>
        <w:rPr>
          <w:rFonts w:hint="eastAsia" w:ascii="仿宋_GB2312" w:eastAsia="仿宋_GB2312"/>
          <w:sz w:val="32"/>
          <w:szCs w:val="32"/>
          <w:lang w:val="en-US" w:eastAsia="zh-CN"/>
        </w:rPr>
        <w:t>％），</w:t>
      </w:r>
      <w:r>
        <w:rPr>
          <w:rFonts w:hint="eastAsia" w:ascii="仿宋_GB2312" w:eastAsia="仿宋_GB2312"/>
          <w:sz w:val="32"/>
          <w:szCs w:val="32"/>
          <w:lang w:val="en-US"/>
        </w:rPr>
        <w:t>减少</w:t>
      </w:r>
      <w:r>
        <w:rPr>
          <w:rFonts w:hint="eastAsia" w:ascii="仿宋_GB2312" w:eastAsia="仿宋_GB2312"/>
          <w:sz w:val="32"/>
          <w:szCs w:val="32"/>
          <w:lang w:val="en-US" w:eastAsia="zh-CN"/>
        </w:rPr>
        <w:t>的</w:t>
      </w:r>
      <w:r>
        <w:rPr>
          <w:rFonts w:hint="eastAsia" w:ascii="仿宋_GB2312" w:eastAsia="仿宋_GB2312"/>
          <w:sz w:val="32"/>
          <w:szCs w:val="32"/>
          <w:lang w:val="en-US"/>
        </w:rPr>
        <w:t>主要</w:t>
      </w:r>
      <w:r>
        <w:rPr>
          <w:rFonts w:hint="eastAsia" w:ascii="仿宋_GB2312" w:eastAsia="仿宋_GB2312"/>
          <w:sz w:val="32"/>
          <w:szCs w:val="32"/>
          <w:lang w:val="en-US" w:eastAsia="zh-CN"/>
        </w:rPr>
        <w:t>原因是</w:t>
      </w:r>
      <w:r>
        <w:rPr>
          <w:rFonts w:hint="eastAsia" w:ascii="仿宋_GB2312" w:eastAsia="仿宋_GB2312"/>
          <w:sz w:val="32"/>
          <w:szCs w:val="32"/>
          <w:lang w:val="en-US"/>
        </w:rPr>
        <w:t>今年无公务接待费用预算，公务用车运行维护费预算减少</w:t>
      </w:r>
      <w:r>
        <w:rPr>
          <w:rFonts w:hint="eastAsia" w:ascii="仿宋_GB2312" w:eastAsia="仿宋_GB2312"/>
          <w:sz w:val="32"/>
          <w:szCs w:val="32"/>
          <w:lang w:val="en-US" w:eastAsia="zh-CN"/>
        </w:rPr>
        <w:t>。其中</w:t>
      </w:r>
      <w:r>
        <w:rPr>
          <w:rFonts w:hint="eastAsia" w:ascii="仿宋_GB2312" w:eastAsia="仿宋_GB2312"/>
          <w:sz w:val="32"/>
          <w:szCs w:val="32"/>
          <w:lang w:val="en-US"/>
        </w:rPr>
        <w:t>：</w:t>
      </w:r>
      <w:r>
        <w:rPr>
          <w:rFonts w:hint="eastAsia" w:ascii="仿宋_GB2312" w:eastAsia="仿宋_GB2312"/>
          <w:sz w:val="32"/>
          <w:szCs w:val="32"/>
          <w:lang w:val="en-US" w:eastAsia="zh-CN"/>
        </w:rPr>
        <w:t>因公出国（境）费用</w:t>
      </w:r>
      <w:r>
        <w:rPr>
          <w:rFonts w:hint="eastAsia" w:ascii="仿宋_GB2312" w:eastAsia="仿宋_GB2312"/>
          <w:sz w:val="32"/>
          <w:szCs w:val="32"/>
          <w:lang w:val="en-US"/>
        </w:rPr>
        <w:t>0</w:t>
      </w:r>
      <w:r>
        <w:rPr>
          <w:rFonts w:hint="eastAsia" w:ascii="仿宋_GB2312" w:eastAsia="仿宋_GB2312"/>
          <w:sz w:val="32"/>
          <w:szCs w:val="32"/>
          <w:lang w:val="en-US" w:eastAsia="zh-CN"/>
        </w:rPr>
        <w:t>万元，较上年</w:t>
      </w:r>
      <w:r>
        <w:rPr>
          <w:rFonts w:hint="eastAsia" w:ascii="仿宋_GB2312" w:eastAsia="仿宋_GB2312"/>
          <w:sz w:val="32"/>
          <w:szCs w:val="32"/>
          <w:lang w:val="en-US"/>
        </w:rPr>
        <w:t>减少</w:t>
      </w:r>
      <w:r>
        <w:rPr>
          <w:rFonts w:hint="eastAsia" w:ascii="仿宋_GB2312" w:eastAsia="仿宋_GB2312"/>
          <w:sz w:val="32"/>
          <w:szCs w:val="32"/>
          <w:lang w:val="en-US" w:eastAsia="zh-CN"/>
        </w:rPr>
        <w:t>0.1万元（100％），</w:t>
      </w:r>
      <w:r>
        <w:rPr>
          <w:rFonts w:hint="eastAsia" w:ascii="仿宋_GB2312" w:eastAsia="仿宋_GB2312"/>
          <w:sz w:val="32"/>
          <w:szCs w:val="32"/>
          <w:lang w:val="en-US"/>
        </w:rPr>
        <w:t>减少的主要</w:t>
      </w:r>
      <w:r>
        <w:rPr>
          <w:rFonts w:hint="eastAsia" w:ascii="仿宋_GB2312" w:eastAsia="仿宋_GB2312"/>
          <w:sz w:val="32"/>
          <w:szCs w:val="32"/>
          <w:lang w:val="en-US" w:eastAsia="zh-CN"/>
        </w:rPr>
        <w:t>原因</w:t>
      </w:r>
      <w:r>
        <w:rPr>
          <w:rFonts w:hint="eastAsia" w:ascii="仿宋_GB2312" w:eastAsia="仿宋_GB2312"/>
          <w:sz w:val="32"/>
          <w:szCs w:val="32"/>
          <w:lang w:val="en-US"/>
        </w:rPr>
        <w:t>是今</w:t>
      </w:r>
      <w:r>
        <w:rPr>
          <w:rFonts w:hint="eastAsia" w:ascii="仿宋_GB2312" w:eastAsia="仿宋_GB2312"/>
          <w:sz w:val="32"/>
          <w:szCs w:val="32"/>
          <w:lang w:val="en-US" w:eastAsia="zh-CN"/>
        </w:rPr>
        <w:t>年</w:t>
      </w:r>
      <w:r>
        <w:rPr>
          <w:rFonts w:hint="eastAsia" w:ascii="仿宋_GB2312" w:eastAsia="仿宋_GB2312"/>
          <w:sz w:val="32"/>
          <w:szCs w:val="32"/>
          <w:lang w:val="en-US"/>
        </w:rPr>
        <w:t>无</w:t>
      </w:r>
      <w:r>
        <w:rPr>
          <w:rFonts w:hint="eastAsia" w:ascii="仿宋_GB2312" w:eastAsia="仿宋_GB2312"/>
          <w:sz w:val="32"/>
          <w:szCs w:val="32"/>
          <w:lang w:val="en-US" w:eastAsia="zh-CN"/>
        </w:rPr>
        <w:t>预算因公出国境费用；</w:t>
      </w:r>
      <w:r>
        <w:rPr>
          <w:rFonts w:hint="eastAsia" w:ascii="仿宋_GB2312" w:eastAsia="仿宋_GB2312"/>
          <w:sz w:val="32"/>
          <w:szCs w:val="32"/>
        </w:rPr>
        <w:t>公务接待费0万元，较上年减少1万元</w:t>
      </w:r>
      <w:r>
        <w:rPr>
          <w:rFonts w:hint="eastAsia" w:ascii="仿宋_GB2312" w:eastAsia="仿宋_GB2312"/>
          <w:sz w:val="32"/>
          <w:szCs w:val="32"/>
          <w:lang w:val="en-US" w:eastAsia="zh-CN"/>
        </w:rPr>
        <w:t>（100％）</w:t>
      </w:r>
      <w:r>
        <w:rPr>
          <w:rFonts w:hint="eastAsia" w:ascii="仿宋_GB2312" w:eastAsia="仿宋_GB2312"/>
          <w:sz w:val="32"/>
          <w:szCs w:val="32"/>
          <w:lang w:val="en-US"/>
        </w:rPr>
        <w:t>，减少的主要</w:t>
      </w:r>
      <w:r>
        <w:rPr>
          <w:rFonts w:hint="eastAsia" w:ascii="仿宋_GB2312" w:eastAsia="仿宋_GB2312"/>
          <w:sz w:val="32"/>
          <w:szCs w:val="32"/>
          <w:lang w:val="en-US" w:eastAsia="zh-CN"/>
        </w:rPr>
        <w:t>原因</w:t>
      </w:r>
      <w:r>
        <w:rPr>
          <w:rFonts w:hint="eastAsia" w:ascii="仿宋_GB2312" w:eastAsia="仿宋_GB2312"/>
          <w:sz w:val="32"/>
          <w:szCs w:val="32"/>
          <w:lang w:val="en-US"/>
        </w:rPr>
        <w:t>是我局严格按照中央八项规定执行，减少公务接待；</w:t>
      </w:r>
      <w:r>
        <w:rPr>
          <w:rFonts w:hint="eastAsia" w:ascii="仿宋_GB2312" w:eastAsia="仿宋_GB2312"/>
          <w:sz w:val="32"/>
          <w:szCs w:val="32"/>
          <w:lang w:val="en-US" w:eastAsia="zh-CN"/>
        </w:rPr>
        <w:t>公务用车运行费0.</w:t>
      </w:r>
      <w:r>
        <w:rPr>
          <w:rFonts w:hint="eastAsia" w:ascii="仿宋_GB2312" w:eastAsia="仿宋_GB2312"/>
          <w:sz w:val="32"/>
          <w:szCs w:val="32"/>
          <w:lang w:val="en-US"/>
        </w:rPr>
        <w:t>1</w:t>
      </w:r>
      <w:r>
        <w:rPr>
          <w:rFonts w:hint="eastAsia" w:ascii="仿宋_GB2312" w:eastAsia="仿宋_GB2312"/>
          <w:sz w:val="32"/>
          <w:szCs w:val="32"/>
          <w:lang w:val="en-US" w:eastAsia="zh-CN"/>
        </w:rPr>
        <w:t>万元，</w:t>
      </w:r>
      <w:r>
        <w:rPr>
          <w:rFonts w:hint="eastAsia" w:ascii="仿宋_GB2312" w:eastAsia="仿宋_GB2312"/>
          <w:sz w:val="32"/>
          <w:szCs w:val="32"/>
          <w:lang w:val="en-US"/>
        </w:rPr>
        <w:t>较</w:t>
      </w:r>
      <w:r>
        <w:rPr>
          <w:rFonts w:hint="eastAsia" w:ascii="仿宋_GB2312" w:eastAsia="仿宋_GB2312"/>
          <w:sz w:val="32"/>
          <w:szCs w:val="32"/>
          <w:lang w:val="en-US" w:eastAsia="zh-CN"/>
        </w:rPr>
        <w:t>上年减少0.</w:t>
      </w:r>
      <w:r>
        <w:rPr>
          <w:rFonts w:hint="eastAsia" w:ascii="仿宋_GB2312" w:eastAsia="仿宋_GB2312"/>
          <w:sz w:val="32"/>
          <w:szCs w:val="32"/>
          <w:lang w:val="en-US"/>
        </w:rPr>
        <w:t>4</w:t>
      </w:r>
      <w:r>
        <w:rPr>
          <w:rFonts w:hint="eastAsia" w:ascii="仿宋_GB2312" w:eastAsia="仿宋_GB2312"/>
          <w:sz w:val="32"/>
          <w:szCs w:val="32"/>
          <w:lang w:val="en-US" w:eastAsia="zh-CN"/>
        </w:rPr>
        <w:t>万元（</w:t>
      </w:r>
      <w:r>
        <w:rPr>
          <w:rFonts w:hint="eastAsia" w:ascii="仿宋_GB2312" w:eastAsia="仿宋_GB2312"/>
          <w:sz w:val="32"/>
          <w:szCs w:val="32"/>
          <w:lang w:val="en-US"/>
        </w:rPr>
        <w:t>80</w:t>
      </w:r>
      <w:r>
        <w:rPr>
          <w:rFonts w:hint="eastAsia" w:ascii="仿宋_GB2312" w:eastAsia="仿宋_GB2312"/>
          <w:sz w:val="32"/>
          <w:szCs w:val="32"/>
          <w:lang w:val="en-US" w:eastAsia="zh-CN"/>
        </w:rPr>
        <w:t>％），减少</w:t>
      </w:r>
      <w:r>
        <w:rPr>
          <w:rFonts w:hint="eastAsia" w:ascii="仿宋_GB2312" w:eastAsia="仿宋_GB2312"/>
          <w:sz w:val="32"/>
          <w:szCs w:val="32"/>
          <w:lang w:val="en-US"/>
        </w:rPr>
        <w:t>的主要</w:t>
      </w:r>
      <w:r>
        <w:rPr>
          <w:rFonts w:hint="eastAsia" w:ascii="仿宋_GB2312" w:eastAsia="仿宋_GB2312"/>
          <w:sz w:val="32"/>
          <w:szCs w:val="32"/>
          <w:lang w:val="en-US" w:eastAsia="zh-CN"/>
        </w:rPr>
        <w:t>原因是严格按照财政要求逐年递减；</w:t>
      </w:r>
      <w:r>
        <w:rPr>
          <w:rFonts w:hint="eastAsia" w:ascii="仿宋_GB2312" w:eastAsia="仿宋_GB2312"/>
          <w:sz w:val="32"/>
          <w:szCs w:val="32"/>
          <w:lang w:val="en-US"/>
        </w:rPr>
        <w:t>2020</w:t>
      </w:r>
      <w:r>
        <w:rPr>
          <w:rFonts w:hint="eastAsia" w:ascii="仿宋_GB2312" w:eastAsia="仿宋_GB2312"/>
          <w:sz w:val="32"/>
          <w:szCs w:val="32"/>
          <w:lang w:val="en-US" w:eastAsia="zh-CN"/>
        </w:rPr>
        <w:t>年本部门无公务用车购置费预算。</w:t>
      </w:r>
    </w:p>
    <w:p>
      <w:pPr>
        <w:widowControl/>
        <w:shd w:val="clear" w:color="auto" w:fill="FFFFFF"/>
        <w:spacing w:line="375" w:lineRule="atLeast"/>
        <w:ind w:firstLine="640" w:firstLineChars="200"/>
        <w:jc w:val="left"/>
        <w:rPr>
          <w:rFonts w:hint="eastAsia" w:ascii="仿宋_GB2312" w:eastAsia="仿宋_GB2312"/>
          <w:sz w:val="32"/>
          <w:szCs w:val="32"/>
        </w:rPr>
      </w:pPr>
      <w:r>
        <w:rPr>
          <w:rFonts w:hint="eastAsia" w:ascii="仿宋_GB2312" w:eastAsia="仿宋_GB2312"/>
          <w:sz w:val="32"/>
          <w:szCs w:val="32"/>
          <w:lang w:val="en-US"/>
        </w:rPr>
        <w:t>本部门无2019年结转的财政拨款“三公”经费支出。</w:t>
      </w:r>
    </w:p>
    <w:p>
      <w:pPr>
        <w:ind w:firstLine="640" w:firstLineChars="200"/>
        <w:rPr>
          <w:rFonts w:hint="eastAsia" w:ascii="仿宋_GB2312" w:eastAsia="仿宋_GB2312"/>
          <w:sz w:val="32"/>
          <w:szCs w:val="32"/>
        </w:rPr>
      </w:pPr>
      <w:r>
        <w:rPr>
          <w:rFonts w:hint="eastAsia" w:ascii="仿宋_GB2312" w:eastAsia="仿宋_GB2312"/>
          <w:sz w:val="32"/>
          <w:szCs w:val="32"/>
        </w:rPr>
        <w:t>七、部门国有资产占有使用及资产购置情况说明</w:t>
      </w:r>
    </w:p>
    <w:p>
      <w:pPr>
        <w:ind w:firstLine="640" w:firstLineChars="200"/>
        <w:rPr>
          <w:rFonts w:hint="eastAsia" w:ascii="仿宋_GB2312" w:eastAsia="仿宋_GB2312"/>
          <w:sz w:val="32"/>
          <w:szCs w:val="32"/>
        </w:rPr>
      </w:pPr>
      <w:r>
        <w:rPr>
          <w:rFonts w:hint="eastAsia" w:ascii="仿宋_GB2312" w:eastAsia="仿宋_GB2312"/>
          <w:sz w:val="32"/>
          <w:szCs w:val="32"/>
        </w:rPr>
        <w:t>截止2019年底，本部门所属预算单位共有车辆1辆，单价20万元以上的设备0台（套）。2020年当年部门预算安排购置车辆0辆；安排购置单价20万元以上的设备0台（套）。</w:t>
      </w:r>
    </w:p>
    <w:p>
      <w:pPr>
        <w:ind w:firstLine="640" w:firstLineChars="200"/>
        <w:rPr>
          <w:rFonts w:hint="eastAsia" w:ascii="仿宋_GB2312" w:eastAsia="仿宋_GB2312"/>
          <w:sz w:val="32"/>
          <w:szCs w:val="32"/>
        </w:rPr>
      </w:pPr>
      <w:r>
        <w:rPr>
          <w:rFonts w:hint="eastAsia" w:ascii="仿宋_GB2312" w:eastAsia="仿宋_GB2312"/>
          <w:sz w:val="32"/>
          <w:szCs w:val="32"/>
        </w:rPr>
        <w:t>本部门无2019年结转的财政拨款支出资产购置。</w:t>
      </w:r>
    </w:p>
    <w:p>
      <w:pPr>
        <w:ind w:firstLine="640" w:firstLineChars="200"/>
        <w:rPr>
          <w:rFonts w:hint="eastAsia" w:ascii="仿宋_GB2312" w:eastAsia="仿宋_GB2312"/>
          <w:sz w:val="32"/>
          <w:szCs w:val="32"/>
        </w:rPr>
      </w:pPr>
      <w:r>
        <w:rPr>
          <w:rFonts w:hint="eastAsia" w:ascii="仿宋_GB2312" w:eastAsia="仿宋_GB2312"/>
          <w:sz w:val="32"/>
          <w:szCs w:val="32"/>
        </w:rPr>
        <w:t>八、部门政府采购情况说明</w:t>
      </w:r>
    </w:p>
    <w:p>
      <w:pPr>
        <w:ind w:firstLine="640" w:firstLineChars="200"/>
        <w:rPr>
          <w:rFonts w:hint="eastAsia" w:ascii="仿宋_GB2312" w:eastAsia="仿宋_GB2312"/>
          <w:sz w:val="32"/>
          <w:szCs w:val="32"/>
        </w:rPr>
      </w:pPr>
      <w:r>
        <w:rPr>
          <w:rFonts w:hint="eastAsia" w:ascii="仿宋_GB2312" w:eastAsia="仿宋_GB2312"/>
          <w:sz w:val="32"/>
          <w:szCs w:val="32"/>
        </w:rPr>
        <w:t>本部门2020年无政府采购预算，并已公开空表</w:t>
      </w:r>
    </w:p>
    <w:p>
      <w:pPr>
        <w:ind w:firstLine="640" w:firstLineChars="200"/>
        <w:rPr>
          <w:rFonts w:hint="eastAsia" w:ascii="仿宋_GB2312" w:eastAsia="仿宋_GB2312"/>
          <w:sz w:val="32"/>
          <w:szCs w:val="32"/>
        </w:rPr>
      </w:pPr>
      <w:r>
        <w:rPr>
          <w:rFonts w:hint="eastAsia" w:ascii="仿宋_GB2312" w:eastAsia="仿宋_GB2312"/>
          <w:sz w:val="32"/>
          <w:szCs w:val="32"/>
        </w:rPr>
        <w:t>本部门无2019年结转的政府采购资金支出</w:t>
      </w:r>
    </w:p>
    <w:p>
      <w:pPr>
        <w:ind w:firstLine="640" w:firstLineChars="200"/>
        <w:rPr>
          <w:rFonts w:hint="eastAsia" w:ascii="仿宋_GB2312" w:eastAsia="仿宋_GB2312"/>
          <w:sz w:val="32"/>
          <w:szCs w:val="32"/>
        </w:rPr>
      </w:pPr>
      <w:r>
        <w:rPr>
          <w:rFonts w:hint="eastAsia" w:ascii="仿宋_GB2312" w:eastAsia="仿宋_GB2312"/>
          <w:sz w:val="32"/>
          <w:szCs w:val="32"/>
        </w:rPr>
        <w:t>九、部门预算绩效目标说明</w:t>
      </w:r>
    </w:p>
    <w:p>
      <w:pPr>
        <w:ind w:firstLine="640" w:firstLineChars="200"/>
        <w:rPr>
          <w:rFonts w:hint="eastAsia" w:ascii="仿宋_GB2312" w:eastAsia="仿宋_GB2312"/>
          <w:sz w:val="32"/>
          <w:szCs w:val="32"/>
        </w:rPr>
      </w:pPr>
      <w:r>
        <w:rPr>
          <w:rFonts w:hint="eastAsia" w:ascii="仿宋_GB2312" w:eastAsia="仿宋_GB2312"/>
          <w:sz w:val="32"/>
          <w:szCs w:val="32"/>
        </w:rPr>
        <w:t>2020年本部门绩效目标管理全覆盖，涉及当年一般公共预算拨款1617.80万元，当年政府性基金预算拨款0万元，当年国有资本经营预算拨款0万元（详见公开报表中的绩效目标表）。</w:t>
      </w:r>
    </w:p>
    <w:p>
      <w:pPr>
        <w:ind w:firstLine="640" w:firstLineChars="200"/>
        <w:rPr>
          <w:rFonts w:hint="eastAsia" w:ascii="仿宋_GB2312" w:eastAsia="仿宋_GB2312"/>
          <w:sz w:val="32"/>
          <w:szCs w:val="32"/>
        </w:rPr>
      </w:pPr>
      <w:r>
        <w:rPr>
          <w:rFonts w:hint="eastAsia" w:ascii="仿宋_GB2312" w:eastAsia="仿宋_GB2312"/>
          <w:sz w:val="32"/>
          <w:szCs w:val="32"/>
        </w:rPr>
        <w:t>本部门无2019年结转的财政拨款支出涉及的绩效目标管理。</w:t>
      </w:r>
    </w:p>
    <w:p>
      <w:pPr>
        <w:ind w:firstLine="640" w:firstLineChars="200"/>
        <w:rPr>
          <w:rFonts w:hint="eastAsia" w:ascii="仿宋_GB2312" w:eastAsia="仿宋_GB2312"/>
          <w:sz w:val="32"/>
          <w:szCs w:val="32"/>
        </w:rPr>
      </w:pPr>
      <w:r>
        <w:rPr>
          <w:rFonts w:hint="eastAsia" w:ascii="仿宋_GB2312" w:eastAsia="仿宋_GB2312"/>
          <w:sz w:val="32"/>
          <w:szCs w:val="32"/>
        </w:rPr>
        <w:t>十、机关运行经费安排说明</w:t>
      </w:r>
    </w:p>
    <w:p>
      <w:pPr>
        <w:ind w:firstLine="640" w:firstLineChars="200"/>
        <w:rPr>
          <w:rFonts w:hint="eastAsia" w:ascii="仿宋_GB2312" w:eastAsia="仿宋_GB2312"/>
          <w:sz w:val="32"/>
          <w:szCs w:val="32"/>
        </w:rPr>
      </w:pPr>
      <w:r>
        <w:rPr>
          <w:rFonts w:hint="eastAsia" w:ascii="仿宋_GB2312" w:eastAsia="仿宋_GB2312"/>
          <w:sz w:val="32"/>
          <w:szCs w:val="32"/>
        </w:rPr>
        <w:t>本部门当年机关运行经费预算安排33.53万元，较上年减少</w:t>
      </w:r>
      <w:r>
        <w:rPr>
          <w:rFonts w:hint="eastAsia" w:ascii="仿宋" w:hAnsi="仿宋" w:eastAsia="仿宋"/>
          <w:sz w:val="32"/>
          <w:szCs w:val="32"/>
        </w:rPr>
        <w:t>9.97万元，主要原因是今年财政预算紧张，基本支出缩减。</w:t>
      </w:r>
    </w:p>
    <w:p>
      <w:pPr>
        <w:ind w:firstLine="630"/>
        <w:rPr>
          <w:rFonts w:hint="eastAsia" w:ascii="仿宋" w:hAnsi="仿宋" w:eastAsia="仿宋"/>
          <w:sz w:val="32"/>
          <w:szCs w:val="32"/>
        </w:rPr>
      </w:pPr>
      <w:r>
        <w:rPr>
          <w:rFonts w:hint="eastAsia" w:ascii="仿宋" w:hAnsi="仿宋" w:eastAsia="仿宋"/>
          <w:sz w:val="32"/>
          <w:szCs w:val="32"/>
        </w:rPr>
        <w:t>本部门无2019年结转的财政拨款机关运行经费支出。</w:t>
      </w:r>
    </w:p>
    <w:p>
      <w:pPr>
        <w:ind w:firstLine="630"/>
        <w:rPr>
          <w:rFonts w:hint="eastAsia" w:ascii="仿宋" w:hAnsi="仿宋" w:eastAsia="仿宋"/>
          <w:sz w:val="32"/>
          <w:szCs w:val="32"/>
        </w:rPr>
      </w:pPr>
      <w:r>
        <w:rPr>
          <w:rFonts w:hint="eastAsia" w:ascii="仿宋" w:hAnsi="仿宋" w:eastAsia="仿宋"/>
          <w:sz w:val="32"/>
          <w:szCs w:val="32"/>
        </w:rPr>
        <w:t>十一、专业名词解释</w:t>
      </w:r>
    </w:p>
    <w:p>
      <w:pPr>
        <w:ind w:firstLine="640" w:firstLineChars="200"/>
        <w:rPr>
          <w:rFonts w:ascii="仿宋_GB2312" w:hAnsi="宋体" w:eastAsia="仿宋_GB2312"/>
          <w:sz w:val="32"/>
          <w:szCs w:val="32"/>
        </w:rPr>
      </w:pPr>
      <w:r>
        <w:rPr>
          <w:rFonts w:hint="eastAsia" w:ascii="仿宋_GB2312" w:hAnsi="宋体" w:eastAsia="仿宋_GB2312"/>
          <w:sz w:val="32"/>
          <w:szCs w:val="32"/>
        </w:rPr>
        <w:t>1、基本支出：指为保障机构正常运转、完成日常工作任务而发生的各项支出。</w:t>
      </w:r>
    </w:p>
    <w:p>
      <w:pPr>
        <w:ind w:firstLine="640" w:firstLineChars="200"/>
        <w:rPr>
          <w:rFonts w:ascii="仿宋_GB2312" w:hAnsi="宋体" w:eastAsia="仿宋_GB2312"/>
          <w:sz w:val="32"/>
          <w:szCs w:val="32"/>
        </w:rPr>
      </w:pPr>
      <w:r>
        <w:rPr>
          <w:rFonts w:hint="eastAsia" w:ascii="仿宋_GB2312" w:hAnsi="宋体" w:eastAsia="仿宋_GB2312"/>
          <w:sz w:val="32"/>
          <w:szCs w:val="32"/>
        </w:rPr>
        <w:t>2、项目支出：指单位为完成特定的行政工作任务或事业发展目标所发生的各项支出。</w:t>
      </w:r>
    </w:p>
    <w:p>
      <w:pPr>
        <w:ind w:firstLine="640" w:firstLineChars="200"/>
        <w:rPr>
          <w:rFonts w:ascii="仿宋_GB2312" w:hAnsi="宋体" w:eastAsia="仿宋_GB2312"/>
          <w:sz w:val="32"/>
          <w:szCs w:val="32"/>
        </w:rPr>
      </w:pPr>
      <w:r>
        <w:rPr>
          <w:rFonts w:hint="eastAsia" w:ascii="仿宋_GB2312" w:hAnsi="宋体" w:eastAsia="仿宋_GB2312"/>
          <w:sz w:val="32"/>
          <w:szCs w:val="32"/>
        </w:rPr>
        <w:t>3、三公经费：指部门使用一般公共预算财政拨款安排的因公出国（境）费、公务用车购置及运行费和公务接待费支出。</w:t>
      </w:r>
    </w:p>
    <w:p>
      <w:pPr>
        <w:ind w:firstLine="630"/>
        <w:rPr>
          <w:rFonts w:hint="eastAsia" w:ascii="仿宋_GB2312" w:hAnsi="宋体" w:eastAsia="仿宋_GB2312"/>
          <w:sz w:val="32"/>
          <w:szCs w:val="32"/>
        </w:rPr>
      </w:pPr>
      <w:r>
        <w:rPr>
          <w:rFonts w:hint="eastAsia" w:ascii="仿宋_GB2312" w:hAnsi="宋体" w:eastAsia="仿宋_GB2312"/>
          <w:sz w:val="32"/>
          <w:szCs w:val="32"/>
        </w:rPr>
        <w:t>4、机关运行经费：指行政单位和参照公务员法管理的事业单位使用一般公共预算财政拨款安排的日常公务经费。</w:t>
      </w:r>
    </w:p>
    <w:p>
      <w:pPr>
        <w:ind w:firstLine="630"/>
        <w:rPr>
          <w:rFonts w:hint="eastAsia" w:ascii="仿宋_GB2312" w:hAnsi="宋体" w:eastAsia="仿宋_GB2312"/>
          <w:sz w:val="32"/>
          <w:szCs w:val="32"/>
        </w:rPr>
      </w:pPr>
    </w:p>
    <w:p>
      <w:pPr>
        <w:ind w:firstLine="630"/>
        <w:rPr>
          <w:rFonts w:hint="eastAsia" w:ascii="仿宋_GB2312" w:hAnsi="宋体" w:eastAsia="仿宋_GB2312"/>
          <w:sz w:val="32"/>
          <w:szCs w:val="32"/>
        </w:rPr>
      </w:pPr>
      <w:r>
        <w:rPr>
          <w:rFonts w:hint="eastAsia" w:ascii="仿宋_GB2312" w:hAnsi="宋体" w:eastAsia="仿宋_GB2312"/>
          <w:sz w:val="32"/>
          <w:szCs w:val="32"/>
        </w:rPr>
        <w:t>公开空表（见附件2内容）</w:t>
      </w:r>
    </w:p>
    <w:p>
      <w:pPr>
        <w:ind w:firstLine="630"/>
        <w:rPr>
          <w:rFonts w:hint="eastAsia" w:ascii="仿宋_GB2312" w:hAnsi="宋体" w:eastAsia="仿宋_GB2312"/>
          <w:sz w:val="32"/>
          <w:szCs w:val="32"/>
        </w:rPr>
      </w:pPr>
    </w:p>
    <w:p>
      <w:pPr>
        <w:ind w:firstLine="630"/>
        <w:rPr>
          <w:rFonts w:hint="eastAsia" w:ascii="仿宋_GB2312" w:hAnsi="宋体" w:eastAsia="仿宋_GB2312"/>
          <w:sz w:val="32"/>
          <w:szCs w:val="32"/>
        </w:rPr>
      </w:pPr>
      <w:r>
        <w:rPr>
          <w:rFonts w:hint="eastAsia" w:ascii="仿宋_GB2312" w:hAnsi="宋体" w:eastAsia="仿宋_GB2312"/>
          <w:sz w:val="32"/>
          <w:szCs w:val="32"/>
        </w:rPr>
        <w:t xml:space="preserve">                   蓝田县文化和旅游体育局</w:t>
      </w:r>
    </w:p>
    <w:p>
      <w:pPr>
        <w:ind w:firstLine="4320" w:firstLineChars="1350"/>
        <w:rPr>
          <w:rFonts w:ascii="仿宋" w:hAnsi="仿宋" w:eastAsia="仿宋"/>
          <w:sz w:val="32"/>
          <w:szCs w:val="32"/>
        </w:rPr>
      </w:pPr>
      <w:r>
        <w:rPr>
          <w:rFonts w:hint="eastAsia" w:ascii="Times New Roman" w:hAnsi="Times New Roman" w:eastAsia="仿宋_GB2312"/>
          <w:sz w:val="32"/>
          <w:szCs w:val="32"/>
        </w:rPr>
        <w:t>2020年2月1</w:t>
      </w:r>
      <w:r>
        <w:rPr>
          <w:rFonts w:hint="eastAsia" w:ascii="Times New Roman" w:hAnsi="Times New Roman" w:eastAsia="仿宋_GB2312"/>
          <w:sz w:val="32"/>
          <w:szCs w:val="32"/>
          <w:lang w:val="en-US" w:eastAsia="zh-CN"/>
        </w:rPr>
        <w:t>1</w:t>
      </w:r>
      <w:bookmarkStart w:id="5" w:name="_GoBack"/>
      <w:bookmarkEnd w:id="5"/>
      <w:r>
        <w:rPr>
          <w:rFonts w:hint="eastAsia" w:ascii="Times New Roman" w:hAnsi="Times New Roman" w:eastAsia="仿宋_GB2312"/>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80564"/>
    <w:rsid w:val="00046451"/>
    <w:rsid w:val="001C1146"/>
    <w:rsid w:val="002105B2"/>
    <w:rsid w:val="00226387"/>
    <w:rsid w:val="00264E4D"/>
    <w:rsid w:val="002D0E73"/>
    <w:rsid w:val="00335169"/>
    <w:rsid w:val="0036627C"/>
    <w:rsid w:val="003E0D61"/>
    <w:rsid w:val="004136A9"/>
    <w:rsid w:val="00444B21"/>
    <w:rsid w:val="00485173"/>
    <w:rsid w:val="004C1654"/>
    <w:rsid w:val="004D29A6"/>
    <w:rsid w:val="004F6A08"/>
    <w:rsid w:val="00505D8A"/>
    <w:rsid w:val="00506BBE"/>
    <w:rsid w:val="00580564"/>
    <w:rsid w:val="005B2915"/>
    <w:rsid w:val="006258DB"/>
    <w:rsid w:val="00765C0B"/>
    <w:rsid w:val="00865CCA"/>
    <w:rsid w:val="008C4A18"/>
    <w:rsid w:val="00931622"/>
    <w:rsid w:val="0099701F"/>
    <w:rsid w:val="009E2BE4"/>
    <w:rsid w:val="00A51C61"/>
    <w:rsid w:val="00A7331C"/>
    <w:rsid w:val="00AA61E3"/>
    <w:rsid w:val="00AF39FC"/>
    <w:rsid w:val="00B46F4D"/>
    <w:rsid w:val="00BB2F29"/>
    <w:rsid w:val="00BC1544"/>
    <w:rsid w:val="00BD3882"/>
    <w:rsid w:val="00BE1718"/>
    <w:rsid w:val="00C61672"/>
    <w:rsid w:val="00C71C14"/>
    <w:rsid w:val="00C9472F"/>
    <w:rsid w:val="00CD6A1A"/>
    <w:rsid w:val="00DA0ED8"/>
    <w:rsid w:val="00E40E92"/>
    <w:rsid w:val="00EC5881"/>
    <w:rsid w:val="00EE57BE"/>
    <w:rsid w:val="00EF1568"/>
    <w:rsid w:val="00F26CDF"/>
    <w:rsid w:val="20AD2E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paragraph" w:styleId="9">
    <w:name w:val="List Paragraph"/>
    <w:basedOn w:val="1"/>
    <w:qFormat/>
    <w:uiPriority w:val="34"/>
    <w:pPr>
      <w:ind w:firstLine="420" w:firstLineChars="200"/>
    </w:pPr>
  </w:style>
  <w:style w:type="character" w:customStyle="1" w:styleId="10">
    <w:name w:val="批注框文本 Char"/>
    <w:basedOn w:val="6"/>
    <w:link w:val="2"/>
    <w:semiHidden/>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chart" Target="charts/chart2.xml"/><Relationship Id="rId4" Type="http://schemas.openxmlformats.org/officeDocument/2006/relationships/chart" Target="charts/chart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23435;&#33673;\Desktop\&#26032;&#24314;%20Microsoft%20Office%20Excel%20&#24037;&#20316;&#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部门人员情况图</a:t>
            </a:r>
            <a:endParaRPr lang="zh-CN" altLang="en-US"/>
          </a:p>
        </c:rich>
      </c:tx>
      <c:layout/>
      <c:overlay val="0"/>
    </c:title>
    <c:autoTitleDeleted val="0"/>
    <c:plotArea>
      <c:layout/>
      <c:barChart>
        <c:barDir val="col"/>
        <c:grouping val="clustered"/>
        <c:varyColors val="0"/>
        <c:ser>
          <c:idx val="0"/>
          <c:order val="0"/>
          <c:tx>
            <c:strRef>
              <c:f>Sheet1!$A$6</c:f>
              <c:strCache>
                <c:ptCount val="1"/>
                <c:pt idx="0">
                  <c:v>2019年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Sheet1!$B$5:$C$5</c:f>
              <c:strCache>
                <c:ptCount val="2"/>
                <c:pt idx="0">
                  <c:v>行政运行2070101</c:v>
                </c:pt>
                <c:pt idx="1">
                  <c:v>图书馆2070104</c:v>
                </c:pt>
              </c:strCache>
            </c:strRef>
          </c:cat>
          <c:val>
            <c:numRef>
              <c:f>Sheet1!$B$6:$C$6</c:f>
              <c:numCache>
                <c:formatCode>General</c:formatCode>
                <c:ptCount val="2"/>
                <c:pt idx="0">
                  <c:v>323.35</c:v>
                </c:pt>
                <c:pt idx="1">
                  <c:v>172.93</c:v>
                </c:pt>
              </c:numCache>
            </c:numRef>
          </c:val>
        </c:ser>
        <c:ser>
          <c:idx val="1"/>
          <c:order val="1"/>
          <c:tx>
            <c:strRef>
              <c:f>Sheet1!$A$7</c:f>
              <c:strCache>
                <c:ptCount val="1"/>
                <c:pt idx="0">
                  <c:v>2020年</c:v>
                </c:pt>
              </c:strCache>
            </c:strRef>
          </c:tx>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0"/>
                <c15:leaderLines/>
              </c:ext>
            </c:extLst>
          </c:dLbls>
          <c:cat>
            <c:strRef>
              <c:f>Sheet1!$B$5:$C$5</c:f>
              <c:strCache>
                <c:ptCount val="2"/>
                <c:pt idx="0">
                  <c:v>行政运行2070101</c:v>
                </c:pt>
                <c:pt idx="1">
                  <c:v>图书馆2070104</c:v>
                </c:pt>
              </c:strCache>
            </c:strRef>
          </c:cat>
          <c:val>
            <c:numRef>
              <c:f>Sheet1!$B$7:$C$7</c:f>
              <c:numCache>
                <c:formatCode>General</c:formatCode>
                <c:ptCount val="2"/>
                <c:pt idx="0">
                  <c:v>330.02</c:v>
                </c:pt>
                <c:pt idx="1">
                  <c:v>172.69</c:v>
                </c:pt>
              </c:numCache>
            </c:numRef>
          </c:val>
        </c:ser>
        <c:dLbls>
          <c:showLegendKey val="0"/>
          <c:showVal val="1"/>
          <c:showCatName val="0"/>
          <c:showSerName val="0"/>
          <c:showPercent val="0"/>
          <c:showBubbleSize val="0"/>
        </c:dLbls>
        <c:gapWidth val="150"/>
        <c:axId val="52031872"/>
        <c:axId val="54139904"/>
      </c:barChart>
      <c:catAx>
        <c:axId val="52031872"/>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4139904"/>
        <c:crosses val="autoZero"/>
        <c:auto val="1"/>
        <c:lblAlgn val="ctr"/>
        <c:lblOffset val="100"/>
        <c:noMultiLvlLbl val="0"/>
      </c:catAx>
      <c:valAx>
        <c:axId val="54139904"/>
        <c:scaling>
          <c:orientation val="minMax"/>
        </c:scaling>
        <c:delete val="1"/>
        <c:axPos val="l"/>
        <c:numFmt formatCode="General" sourceLinked="1"/>
        <c:majorTickMark val="none"/>
        <c:minorTickMark val="none"/>
        <c:tickLblPos val="none"/>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2031872"/>
        <c:crosses val="autoZero"/>
        <c:crossBetween val="between"/>
      </c:valAx>
      <c:spPr>
        <a:solidFill>
          <a:schemeClr val="bg1"/>
        </a:solidFill>
        <a:ln>
          <a:noFill/>
        </a:ln>
        <a:effectLst/>
      </c:spPr>
    </c:plotArea>
    <c:legend>
      <c:legendPos val="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r>
              <a:rPr lang="zh-CN" altLang="en-US"/>
              <a:t>一般公共预算拨款支出明细表</a:t>
            </a:r>
            <a:endParaRPr lang="zh-CN" altLang="en-US"/>
          </a:p>
        </c:rich>
      </c:tx>
      <c:layout/>
      <c:overlay val="0"/>
    </c:title>
    <c:autoTitleDeleted val="0"/>
    <c:plotArea>
      <c:layout/>
      <c:barChart>
        <c:barDir val="col"/>
        <c:grouping val="clustered"/>
        <c:varyColors val="0"/>
        <c:ser>
          <c:idx val="0"/>
          <c:order val="0"/>
          <c:tx>
            <c:strRef>
              <c:f>Sheet1!$A$6</c:f>
              <c:strCache>
                <c:ptCount val="1"/>
                <c:pt idx="0">
                  <c:v>2019年</c:v>
                </c:pt>
              </c:strCache>
            </c:strRef>
          </c:tx>
          <c:invertIfNegative val="0"/>
          <c:dLbls>
            <c:delete val="1"/>
          </c:dLbls>
          <c:cat>
            <c:strRef>
              <c:f>Sheet1!$B$5:$O$5</c:f>
              <c:strCache>
                <c:ptCount val="14"/>
                <c:pt idx="0">
                  <c:v>行政运行2070101</c:v>
                </c:pt>
                <c:pt idx="1">
                  <c:v>图书馆2070104</c:v>
                </c:pt>
                <c:pt idx="2">
                  <c:v>群众文化2070109</c:v>
                </c:pt>
                <c:pt idx="3">
                  <c:v>文化和旅游市场管理2070112</c:v>
                </c:pt>
                <c:pt idx="4">
                  <c:v>其他文化和旅游支出2070199</c:v>
                </c:pt>
                <c:pt idx="5">
                  <c:v>文物保护2070204</c:v>
                </c:pt>
                <c:pt idx="6">
                  <c:v>博物馆2070205</c:v>
                </c:pt>
                <c:pt idx="7">
                  <c:v>体育场馆2070307</c:v>
                </c:pt>
                <c:pt idx="8">
                  <c:v>机关事业单位养老保险支出2080505</c:v>
                </c:pt>
                <c:pt idx="9">
                  <c:v>机关事业单位职业年金支出2080506</c:v>
                </c:pt>
                <c:pt idx="10">
                  <c:v>行政单位医疗2101101</c:v>
                </c:pt>
                <c:pt idx="11">
                  <c:v>事业单位医疗2101102</c:v>
                </c:pt>
                <c:pt idx="12">
                  <c:v>公务员医疗补助2101103</c:v>
                </c:pt>
                <c:pt idx="13">
                  <c:v>其他卫生健康支出2109901</c:v>
                </c:pt>
              </c:strCache>
            </c:strRef>
          </c:cat>
          <c:val>
            <c:numRef>
              <c:f>Sheet1!$B$6:$O$6</c:f>
              <c:numCache>
                <c:formatCode>General</c:formatCode>
                <c:ptCount val="14"/>
                <c:pt idx="0">
                  <c:v>323.35</c:v>
                </c:pt>
                <c:pt idx="1">
                  <c:v>172.93</c:v>
                </c:pt>
                <c:pt idx="2">
                  <c:v>115.56</c:v>
                </c:pt>
                <c:pt idx="3">
                  <c:v>78.64</c:v>
                </c:pt>
                <c:pt idx="4">
                  <c:v>0</c:v>
                </c:pt>
                <c:pt idx="5">
                  <c:v>381.16</c:v>
                </c:pt>
                <c:pt idx="6">
                  <c:v>278.45</c:v>
                </c:pt>
                <c:pt idx="7">
                  <c:v>56.93</c:v>
                </c:pt>
                <c:pt idx="8">
                  <c:v>242.08</c:v>
                </c:pt>
                <c:pt idx="9">
                  <c:v>3.1</c:v>
                </c:pt>
                <c:pt idx="10">
                  <c:v>0</c:v>
                </c:pt>
                <c:pt idx="11">
                  <c:v>0</c:v>
                </c:pt>
                <c:pt idx="12">
                  <c:v>0</c:v>
                </c:pt>
                <c:pt idx="13">
                  <c:v>0</c:v>
                </c:pt>
              </c:numCache>
            </c:numRef>
          </c:val>
        </c:ser>
        <c:ser>
          <c:idx val="1"/>
          <c:order val="1"/>
          <c:tx>
            <c:strRef>
              <c:f>Sheet1!$A$7</c:f>
              <c:strCache>
                <c:ptCount val="1"/>
                <c:pt idx="0">
                  <c:v>2020年</c:v>
                </c:pt>
              </c:strCache>
            </c:strRef>
          </c:tx>
          <c:invertIfNegative val="0"/>
          <c:dLbls>
            <c:delete val="1"/>
          </c:dLbls>
          <c:cat>
            <c:strRef>
              <c:f>Sheet1!$B$5:$O$5</c:f>
              <c:strCache>
                <c:ptCount val="14"/>
                <c:pt idx="0">
                  <c:v>行政运行2070101</c:v>
                </c:pt>
                <c:pt idx="1">
                  <c:v>图书馆2070104</c:v>
                </c:pt>
                <c:pt idx="2">
                  <c:v>群众文化2070109</c:v>
                </c:pt>
                <c:pt idx="3">
                  <c:v>文化和旅游市场管理2070112</c:v>
                </c:pt>
                <c:pt idx="4">
                  <c:v>其他文化和旅游支出2070199</c:v>
                </c:pt>
                <c:pt idx="5">
                  <c:v>文物保护2070204</c:v>
                </c:pt>
                <c:pt idx="6">
                  <c:v>博物馆2070205</c:v>
                </c:pt>
                <c:pt idx="7">
                  <c:v>体育场馆2070307</c:v>
                </c:pt>
                <c:pt idx="8">
                  <c:v>机关事业单位养老保险支出2080505</c:v>
                </c:pt>
                <c:pt idx="9">
                  <c:v>机关事业单位职业年金支出2080506</c:v>
                </c:pt>
                <c:pt idx="10">
                  <c:v>行政单位医疗2101101</c:v>
                </c:pt>
                <c:pt idx="11">
                  <c:v>事业单位医疗2101102</c:v>
                </c:pt>
                <c:pt idx="12">
                  <c:v>公务员医疗补助2101103</c:v>
                </c:pt>
                <c:pt idx="13">
                  <c:v>其他卫生健康支出2109901</c:v>
                </c:pt>
              </c:strCache>
            </c:strRef>
          </c:cat>
          <c:val>
            <c:numRef>
              <c:f>Sheet1!$B$7:$O$7</c:f>
              <c:numCache>
                <c:formatCode>General</c:formatCode>
                <c:ptCount val="14"/>
                <c:pt idx="0">
                  <c:v>330.02</c:v>
                </c:pt>
                <c:pt idx="1">
                  <c:v>172.69</c:v>
                </c:pt>
                <c:pt idx="2">
                  <c:v>118.64</c:v>
                </c:pt>
                <c:pt idx="3">
                  <c:v>76.23</c:v>
                </c:pt>
                <c:pt idx="4">
                  <c:v>103.5</c:v>
                </c:pt>
                <c:pt idx="5">
                  <c:v>273.21</c:v>
                </c:pt>
                <c:pt idx="6">
                  <c:v>0</c:v>
                </c:pt>
                <c:pt idx="7">
                  <c:v>0</c:v>
                </c:pt>
                <c:pt idx="8">
                  <c:v>0</c:v>
                </c:pt>
                <c:pt idx="9">
                  <c:v>0</c:v>
                </c:pt>
                <c:pt idx="10">
                  <c:v>0</c:v>
                </c:pt>
                <c:pt idx="11">
                  <c:v>0</c:v>
                </c:pt>
                <c:pt idx="12">
                  <c:v>0</c:v>
                </c:pt>
                <c:pt idx="13">
                  <c:v>0</c:v>
                </c:pt>
              </c:numCache>
            </c:numRef>
          </c:val>
        </c:ser>
        <c:dLbls>
          <c:showLegendKey val="0"/>
          <c:showVal val="0"/>
          <c:showCatName val="0"/>
          <c:showSerName val="0"/>
          <c:showPercent val="0"/>
          <c:showBubbleSize val="0"/>
        </c:dLbls>
        <c:gapWidth val="150"/>
        <c:axId val="112636288"/>
        <c:axId val="85905408"/>
      </c:barChart>
      <c:catAx>
        <c:axId val="112636288"/>
        <c:scaling>
          <c:orientation val="minMax"/>
        </c:scaling>
        <c:delete val="0"/>
        <c:axPos val="b"/>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85905408"/>
        <c:crosses val="autoZero"/>
        <c:auto val="1"/>
        <c:lblAlgn val="ctr"/>
        <c:lblOffset val="100"/>
        <c:noMultiLvlLbl val="0"/>
      </c:catAx>
      <c:valAx>
        <c:axId val="85905408"/>
        <c:scaling>
          <c:orientation val="minMax"/>
        </c:scaling>
        <c:delete val="0"/>
        <c:axPos val="l"/>
        <c:majorGridlines/>
        <c:numFmt formatCode="General" sourceLinked="1"/>
        <c:majorTickMark val="none"/>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2636288"/>
        <c:crosses val="autoZero"/>
        <c:crossBetween val="between"/>
      </c:valAx>
      <c:spPr>
        <a:solidFill>
          <a:schemeClr val="bg1"/>
        </a:solid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1272</Words>
  <Characters>7253</Characters>
  <Lines>60</Lines>
  <Paragraphs>17</Paragraphs>
  <TotalTime>1736</TotalTime>
  <ScaleCrop>false</ScaleCrop>
  <LinksUpToDate>false</LinksUpToDate>
  <CharactersWithSpaces>8508</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2020-02-12T01:31:00Z</dcterms:created>
  <dc:creator>宋莉</dc:creator>
  <cp:lastModifiedBy>雪候鸟</cp:lastModifiedBy>
  <dcterms:modified xsi:type="dcterms:W3CDTF">2020-07-21T02:01:30Z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