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40" w:lineRule="atLeast"/>
        <w:ind w:firstLine="480"/>
        <w:jc w:val="center"/>
        <w:rPr>
          <w:rFonts w:cs="宋体" w:asciiTheme="majorEastAsia" w:hAnsiTheme="majorEastAsia" w:eastAsiaTheme="majorEastAsia"/>
          <w:b/>
          <w:color w:val="3D3D3C"/>
          <w:kern w:val="0"/>
          <w:sz w:val="44"/>
          <w:szCs w:val="44"/>
        </w:rPr>
      </w:pPr>
      <w:r>
        <w:rPr>
          <w:rFonts w:hint="eastAsia" w:cs="宋体" w:asciiTheme="majorEastAsia" w:hAnsiTheme="majorEastAsia" w:eastAsiaTheme="majorEastAsia"/>
          <w:b/>
          <w:color w:val="3D3D3C"/>
          <w:kern w:val="0"/>
          <w:sz w:val="44"/>
          <w:szCs w:val="44"/>
        </w:rPr>
        <w:t>西安蓝田工业园管理委员会</w:t>
      </w:r>
    </w:p>
    <w:p>
      <w:pPr>
        <w:widowControl/>
        <w:shd w:val="clear" w:color="auto" w:fill="FFFFFF"/>
        <w:spacing w:line="340" w:lineRule="atLeast"/>
        <w:ind w:firstLine="480"/>
        <w:jc w:val="center"/>
        <w:rPr>
          <w:rFonts w:cs="宋体" w:asciiTheme="majorEastAsia" w:hAnsiTheme="majorEastAsia" w:eastAsiaTheme="majorEastAsia"/>
          <w:b/>
          <w:color w:val="3D3D3C"/>
          <w:kern w:val="0"/>
          <w:sz w:val="44"/>
          <w:szCs w:val="44"/>
        </w:rPr>
      </w:pPr>
      <w:r>
        <w:rPr>
          <w:rFonts w:hint="eastAsia" w:cs="宋体" w:asciiTheme="majorEastAsia" w:hAnsiTheme="majorEastAsia" w:eastAsiaTheme="majorEastAsia"/>
          <w:b/>
          <w:color w:val="3D3D3C"/>
          <w:kern w:val="0"/>
          <w:sz w:val="44"/>
          <w:szCs w:val="44"/>
        </w:rPr>
        <w:t>2018年度部门决算说明</w:t>
      </w:r>
    </w:p>
    <w:p>
      <w:pPr>
        <w:widowControl/>
        <w:shd w:val="clear" w:color="auto" w:fill="FFFFFF"/>
        <w:spacing w:line="340" w:lineRule="atLeast"/>
        <w:ind w:firstLine="480"/>
        <w:jc w:val="left"/>
        <w:rPr>
          <w:rFonts w:ascii="宋体" w:hAnsi="宋体" w:eastAsia="宋体" w:cs="宋体"/>
          <w:color w:val="3D3D3C"/>
          <w:kern w:val="0"/>
          <w:sz w:val="19"/>
          <w:szCs w:val="19"/>
        </w:rPr>
      </w:pPr>
    </w:p>
    <w:p>
      <w:pPr>
        <w:pStyle w:val="5"/>
        <w:shd w:val="clear" w:color="auto" w:fill="FFFFFF"/>
        <w:spacing w:before="0" w:beforeAutospacing="0" w:after="0" w:afterAutospacing="0"/>
        <w:ind w:firstLine="480"/>
        <w:rPr>
          <w:rFonts w:ascii="仿宋" w:hAnsi="仿宋" w:eastAsia="仿宋"/>
          <w:b/>
          <w:bCs/>
          <w:color w:val="3D3D3C"/>
          <w:sz w:val="32"/>
          <w:szCs w:val="32"/>
        </w:rPr>
      </w:pPr>
      <w:r>
        <w:rPr>
          <w:rFonts w:ascii="仿宋" w:hAnsi="仿宋" w:eastAsia="仿宋"/>
          <w:b/>
          <w:bCs/>
          <w:color w:val="3D3D3C"/>
          <w:sz w:val="32"/>
          <w:szCs w:val="32"/>
        </w:rPr>
        <w:t>一、</w:t>
      </w:r>
      <w:r>
        <w:rPr>
          <w:rFonts w:hint="eastAsia" w:ascii="仿宋" w:hAnsi="仿宋" w:eastAsia="仿宋"/>
          <w:b/>
          <w:bCs/>
          <w:color w:val="3D3D3C"/>
          <w:sz w:val="32"/>
          <w:szCs w:val="32"/>
        </w:rPr>
        <w:t>部门</w:t>
      </w:r>
      <w:r>
        <w:rPr>
          <w:rFonts w:ascii="仿宋" w:hAnsi="仿宋" w:eastAsia="仿宋"/>
          <w:b/>
          <w:bCs/>
          <w:color w:val="3D3D3C"/>
          <w:sz w:val="32"/>
          <w:szCs w:val="32"/>
        </w:rPr>
        <w:t>主要职责</w:t>
      </w:r>
      <w:r>
        <w:rPr>
          <w:rFonts w:hint="eastAsia" w:ascii="仿宋" w:hAnsi="仿宋" w:eastAsia="仿宋"/>
          <w:b/>
          <w:bCs/>
          <w:color w:val="3D3D3C"/>
          <w:sz w:val="32"/>
          <w:szCs w:val="32"/>
        </w:rPr>
        <w:t>及机构设置</w:t>
      </w:r>
    </w:p>
    <w:p>
      <w:pPr>
        <w:pStyle w:val="5"/>
        <w:shd w:val="clear" w:color="auto" w:fill="FFFFFF"/>
        <w:spacing w:before="0" w:beforeAutospacing="0" w:after="0" w:afterAutospacing="0"/>
        <w:ind w:firstLine="480"/>
        <w:rPr>
          <w:rFonts w:ascii="仿宋" w:hAnsi="仿宋" w:eastAsia="仿宋"/>
          <w:color w:val="3D3D3C"/>
          <w:sz w:val="32"/>
          <w:szCs w:val="32"/>
        </w:rPr>
      </w:pPr>
      <w:r>
        <w:rPr>
          <w:rFonts w:hint="eastAsia" w:ascii="仿宋" w:hAnsi="仿宋" w:eastAsia="仿宋"/>
          <w:color w:val="3D3D3C"/>
          <w:sz w:val="32"/>
          <w:szCs w:val="32"/>
        </w:rPr>
        <w:t>（一）部门主要职责</w:t>
      </w:r>
    </w:p>
    <w:p>
      <w:pPr>
        <w:pStyle w:val="5"/>
        <w:shd w:val="clear" w:color="auto" w:fill="FFFFFF"/>
        <w:spacing w:before="0" w:beforeAutospacing="0" w:after="0" w:afterAutospacing="0"/>
        <w:ind w:firstLine="480"/>
        <w:rPr>
          <w:rFonts w:ascii="仿宋" w:hAnsi="仿宋" w:eastAsia="仿宋"/>
          <w:color w:val="3D3D3C"/>
          <w:sz w:val="32"/>
          <w:szCs w:val="32"/>
        </w:rPr>
      </w:pPr>
      <w:r>
        <w:rPr>
          <w:rFonts w:ascii="仿宋" w:hAnsi="仿宋" w:eastAsia="仿宋"/>
          <w:color w:val="3D3D3C"/>
          <w:sz w:val="32"/>
          <w:szCs w:val="32"/>
        </w:rPr>
        <w:t>1、贯彻执行国家、省、市、县有关开发区建设的法律、法规和行政规章。</w:t>
      </w:r>
    </w:p>
    <w:p>
      <w:pPr>
        <w:pStyle w:val="5"/>
        <w:shd w:val="clear" w:color="auto" w:fill="FFFFFF"/>
        <w:spacing w:before="0" w:beforeAutospacing="0" w:after="0" w:afterAutospacing="0"/>
        <w:ind w:firstLine="480"/>
        <w:rPr>
          <w:rFonts w:ascii="仿宋" w:hAnsi="仿宋" w:eastAsia="仿宋"/>
          <w:color w:val="3D3D3C"/>
          <w:sz w:val="32"/>
          <w:szCs w:val="32"/>
        </w:rPr>
      </w:pPr>
      <w:r>
        <w:rPr>
          <w:rFonts w:ascii="仿宋" w:hAnsi="仿宋" w:eastAsia="仿宋"/>
          <w:color w:val="3D3D3C"/>
          <w:sz w:val="32"/>
          <w:szCs w:val="32"/>
        </w:rPr>
        <w:t>2、依据蓝田县城市总体规划和经济社会发展计划，编制开发区内的建设规划，制订园区产业发展，经批准后组织实施。</w:t>
      </w:r>
    </w:p>
    <w:p>
      <w:pPr>
        <w:pStyle w:val="5"/>
        <w:shd w:val="clear" w:color="auto" w:fill="FFFFFF"/>
        <w:spacing w:before="0" w:beforeAutospacing="0" w:after="0" w:afterAutospacing="0"/>
        <w:ind w:firstLine="480"/>
        <w:rPr>
          <w:rFonts w:ascii="仿宋" w:hAnsi="仿宋" w:eastAsia="仿宋"/>
          <w:color w:val="3D3D3C"/>
          <w:sz w:val="32"/>
          <w:szCs w:val="32"/>
        </w:rPr>
      </w:pPr>
      <w:r>
        <w:rPr>
          <w:rFonts w:ascii="仿宋" w:hAnsi="仿宋" w:eastAsia="仿宋"/>
          <w:color w:val="3D3D3C"/>
          <w:sz w:val="32"/>
          <w:szCs w:val="32"/>
        </w:rPr>
        <w:t>3、综合分析开发区建设和发展情况，指导开发区内所有单位的建设与管理，协调开发区建设中的重大问题。</w:t>
      </w:r>
    </w:p>
    <w:p>
      <w:pPr>
        <w:pStyle w:val="5"/>
        <w:shd w:val="clear" w:color="auto" w:fill="FFFFFF"/>
        <w:spacing w:before="0" w:beforeAutospacing="0" w:after="0" w:afterAutospacing="0"/>
        <w:ind w:firstLine="480"/>
        <w:rPr>
          <w:rFonts w:ascii="仿宋" w:hAnsi="仿宋" w:eastAsia="仿宋"/>
          <w:color w:val="3D3D3C"/>
          <w:sz w:val="32"/>
          <w:szCs w:val="32"/>
        </w:rPr>
      </w:pPr>
      <w:r>
        <w:rPr>
          <w:rFonts w:ascii="仿宋" w:hAnsi="仿宋" w:eastAsia="仿宋"/>
          <w:color w:val="3D3D3C"/>
          <w:sz w:val="32"/>
          <w:szCs w:val="32"/>
        </w:rPr>
        <w:t>4、根据县政府授权交办，行使相关管理职能。</w:t>
      </w:r>
    </w:p>
    <w:p>
      <w:pPr>
        <w:pStyle w:val="5"/>
        <w:shd w:val="clear" w:color="auto" w:fill="FFFFFF"/>
        <w:spacing w:before="0" w:beforeAutospacing="0" w:after="0" w:afterAutospacing="0"/>
        <w:ind w:firstLine="480"/>
        <w:rPr>
          <w:rFonts w:ascii="仿宋" w:hAnsi="仿宋" w:eastAsia="仿宋"/>
          <w:color w:val="3D3D3C"/>
          <w:sz w:val="32"/>
          <w:szCs w:val="32"/>
        </w:rPr>
      </w:pPr>
      <w:r>
        <w:rPr>
          <w:rFonts w:ascii="仿宋" w:hAnsi="仿宋" w:eastAsia="仿宋"/>
          <w:color w:val="3D3D3C"/>
          <w:sz w:val="32"/>
          <w:szCs w:val="32"/>
        </w:rPr>
        <w:t>5、负责行使园区内规划、建设管理职能。</w:t>
      </w:r>
    </w:p>
    <w:p>
      <w:pPr>
        <w:pStyle w:val="5"/>
        <w:shd w:val="clear" w:color="auto" w:fill="FFFFFF"/>
        <w:spacing w:before="0" w:beforeAutospacing="0" w:after="0" w:afterAutospacing="0"/>
        <w:ind w:firstLine="480"/>
        <w:rPr>
          <w:rFonts w:ascii="仿宋" w:hAnsi="仿宋" w:eastAsia="仿宋"/>
          <w:color w:val="3D3D3C"/>
          <w:sz w:val="32"/>
          <w:szCs w:val="32"/>
        </w:rPr>
      </w:pPr>
      <w:r>
        <w:rPr>
          <w:rFonts w:ascii="仿宋" w:hAnsi="仿宋" w:eastAsia="仿宋"/>
          <w:color w:val="3D3D3C"/>
          <w:sz w:val="32"/>
          <w:szCs w:val="32"/>
        </w:rPr>
        <w:t>6、负责园区土地的管理、征用，办理有关土地征用手续。</w:t>
      </w:r>
    </w:p>
    <w:p>
      <w:pPr>
        <w:pStyle w:val="5"/>
        <w:shd w:val="clear" w:color="auto" w:fill="FFFFFF"/>
        <w:spacing w:before="0" w:beforeAutospacing="0" w:after="0" w:afterAutospacing="0"/>
        <w:ind w:firstLine="480"/>
        <w:rPr>
          <w:rFonts w:ascii="仿宋" w:hAnsi="仿宋" w:eastAsia="仿宋"/>
          <w:color w:val="3D3D3C"/>
          <w:sz w:val="32"/>
          <w:szCs w:val="32"/>
        </w:rPr>
      </w:pPr>
      <w:r>
        <w:rPr>
          <w:rFonts w:ascii="仿宋" w:hAnsi="仿宋" w:eastAsia="仿宋"/>
          <w:color w:val="3D3D3C"/>
          <w:sz w:val="32"/>
          <w:szCs w:val="32"/>
        </w:rPr>
        <w:t>7、做好招商引资，项目实施及后期管理工作。</w:t>
      </w:r>
    </w:p>
    <w:p>
      <w:pPr>
        <w:pStyle w:val="5"/>
        <w:shd w:val="clear" w:color="auto" w:fill="FFFFFF"/>
        <w:spacing w:before="0" w:beforeAutospacing="0" w:after="0" w:afterAutospacing="0"/>
        <w:ind w:firstLine="480"/>
        <w:rPr>
          <w:rFonts w:ascii="仿宋" w:hAnsi="仿宋" w:eastAsia="仿宋"/>
          <w:color w:val="3D3D3C"/>
          <w:sz w:val="32"/>
          <w:szCs w:val="32"/>
        </w:rPr>
      </w:pPr>
      <w:r>
        <w:rPr>
          <w:rFonts w:ascii="仿宋" w:hAnsi="仿宋" w:eastAsia="仿宋"/>
          <w:color w:val="3D3D3C"/>
          <w:sz w:val="32"/>
          <w:szCs w:val="32"/>
        </w:rPr>
        <w:t>8、根据城市总体规划和土地利用总体规划，做好征地相关协调工作并做好区块开发建设的经济分析。</w:t>
      </w:r>
    </w:p>
    <w:p>
      <w:pPr>
        <w:pStyle w:val="5"/>
        <w:shd w:val="clear" w:color="auto" w:fill="FFFFFF"/>
        <w:spacing w:before="0" w:beforeAutospacing="0" w:after="0" w:afterAutospacing="0"/>
        <w:ind w:firstLine="480"/>
        <w:rPr>
          <w:rFonts w:ascii="仿宋" w:hAnsi="仿宋" w:eastAsia="仿宋"/>
          <w:color w:val="3D3D3C"/>
          <w:sz w:val="32"/>
          <w:szCs w:val="32"/>
        </w:rPr>
      </w:pPr>
      <w:r>
        <w:rPr>
          <w:rFonts w:ascii="仿宋" w:hAnsi="仿宋" w:eastAsia="仿宋"/>
          <w:color w:val="3D3D3C"/>
          <w:sz w:val="32"/>
          <w:szCs w:val="32"/>
        </w:rPr>
        <w:t>9、做好园区基础设施和公用设施的管理、环保及环境卫生工作，为入驻企业提供完善的设施服务。</w:t>
      </w:r>
    </w:p>
    <w:p>
      <w:pPr>
        <w:pStyle w:val="5"/>
        <w:shd w:val="clear" w:color="auto" w:fill="FFFFFF"/>
        <w:spacing w:before="0" w:beforeAutospacing="0" w:after="0" w:afterAutospacing="0"/>
        <w:ind w:firstLine="480"/>
        <w:rPr>
          <w:rFonts w:ascii="仿宋" w:hAnsi="仿宋" w:eastAsia="仿宋"/>
          <w:color w:val="3D3D3C"/>
          <w:sz w:val="32"/>
          <w:szCs w:val="32"/>
        </w:rPr>
      </w:pPr>
      <w:r>
        <w:rPr>
          <w:rFonts w:ascii="仿宋" w:hAnsi="仿宋" w:eastAsia="仿宋"/>
          <w:color w:val="3D3D3C"/>
          <w:sz w:val="32"/>
          <w:szCs w:val="32"/>
        </w:rPr>
        <w:t>10、对园区内的企业、事业单位进行协调和服务。</w:t>
      </w:r>
    </w:p>
    <w:p>
      <w:pPr>
        <w:pStyle w:val="5"/>
        <w:shd w:val="clear" w:color="auto" w:fill="FFFFFF"/>
        <w:spacing w:before="0" w:beforeAutospacing="0" w:after="0" w:afterAutospacing="0"/>
        <w:ind w:firstLine="480"/>
        <w:rPr>
          <w:rFonts w:ascii="仿宋" w:hAnsi="仿宋" w:eastAsia="仿宋"/>
          <w:color w:val="3D3D3C"/>
          <w:sz w:val="32"/>
          <w:szCs w:val="32"/>
        </w:rPr>
      </w:pPr>
      <w:r>
        <w:rPr>
          <w:rFonts w:ascii="仿宋" w:hAnsi="仿宋" w:eastAsia="仿宋"/>
          <w:color w:val="3D3D3C"/>
          <w:sz w:val="32"/>
          <w:szCs w:val="32"/>
        </w:rPr>
        <w:t>11、承办市、县人民政府交办的其他工作。</w:t>
      </w:r>
    </w:p>
    <w:p>
      <w:pPr>
        <w:pStyle w:val="5"/>
        <w:shd w:val="clear" w:color="auto" w:fill="FFFFFF"/>
        <w:spacing w:before="0" w:beforeAutospacing="0" w:after="0" w:afterAutospacing="0"/>
        <w:ind w:firstLine="480"/>
        <w:rPr>
          <w:rFonts w:ascii="仿宋" w:hAnsi="仿宋" w:eastAsia="仿宋"/>
          <w:color w:val="3D3D3C"/>
          <w:sz w:val="32"/>
          <w:szCs w:val="32"/>
        </w:rPr>
      </w:pPr>
      <w:r>
        <w:rPr>
          <w:rFonts w:hint="eastAsia" w:ascii="仿宋" w:hAnsi="仿宋" w:eastAsia="仿宋"/>
          <w:color w:val="3D3D3C"/>
          <w:sz w:val="32"/>
          <w:szCs w:val="32"/>
        </w:rPr>
        <w:t>（二）内设机构</w:t>
      </w:r>
    </w:p>
    <w:p>
      <w:pPr>
        <w:pStyle w:val="5"/>
        <w:shd w:val="clear" w:color="auto" w:fill="FFFFFF"/>
        <w:spacing w:before="0" w:beforeAutospacing="0" w:after="0" w:afterAutospacing="0"/>
        <w:ind w:firstLine="480"/>
        <w:rPr>
          <w:rFonts w:ascii="仿宋" w:hAnsi="仿宋" w:eastAsia="仿宋"/>
          <w:color w:val="3D3D3C"/>
          <w:sz w:val="32"/>
          <w:szCs w:val="32"/>
        </w:rPr>
      </w:pPr>
      <w:r>
        <w:rPr>
          <w:rFonts w:hint="eastAsia" w:ascii="仿宋" w:hAnsi="仿宋" w:eastAsia="仿宋"/>
          <w:color w:val="3D3D3C"/>
          <w:sz w:val="32"/>
          <w:szCs w:val="32"/>
        </w:rPr>
        <w:t>办公室：负责协调管委会内部关系，督促检查管委会决定事项的落实，负责管委会文件的起草、收发、打印及印章管理，负责管委会人事劳动工资管理、财产管理及档案管理，负责日常常务及日常接待工作；负责人大代表建议、政协委员提案的办理工作；负责干部年度考核和目标责任制考核工作；负责园区财务及报账工作；负责后勤服务、财产、车辆管理工作，兼管园区户籍管理工作。</w:t>
      </w:r>
    </w:p>
    <w:p>
      <w:pPr>
        <w:pStyle w:val="5"/>
        <w:shd w:val="clear" w:color="auto" w:fill="FFFFFF"/>
        <w:spacing w:before="0" w:beforeAutospacing="0" w:after="0" w:afterAutospacing="0"/>
        <w:ind w:firstLine="480"/>
        <w:rPr>
          <w:rFonts w:ascii="仿宋" w:hAnsi="仿宋" w:eastAsia="仿宋"/>
          <w:color w:val="3D3D3C"/>
          <w:sz w:val="32"/>
          <w:szCs w:val="32"/>
        </w:rPr>
      </w:pPr>
      <w:r>
        <w:rPr>
          <w:rFonts w:hint="eastAsia" w:ascii="仿宋" w:hAnsi="仿宋" w:eastAsia="仿宋"/>
          <w:color w:val="3D3D3C"/>
          <w:sz w:val="32"/>
          <w:szCs w:val="32"/>
        </w:rPr>
        <w:t>规划建设部：主要职责是负责土地及规划工作；负责工业园区的规划、建设、管理工作；负责入区项目土地的审批、征用及出让；负责征用土地的协调事宜；负责园区内项目的规划定点、基建任务的下达、工程建设及工程安全管理工作；负责园区内违章建筑的纠正工作。</w:t>
      </w:r>
    </w:p>
    <w:p>
      <w:pPr>
        <w:pStyle w:val="5"/>
        <w:shd w:val="clear" w:color="auto" w:fill="FFFFFF"/>
        <w:spacing w:before="0" w:beforeAutospacing="0" w:after="0" w:afterAutospacing="0"/>
        <w:ind w:firstLine="480"/>
        <w:rPr>
          <w:rFonts w:ascii="仿宋" w:hAnsi="仿宋" w:eastAsia="仿宋"/>
          <w:color w:val="3D3D3C"/>
          <w:sz w:val="32"/>
          <w:szCs w:val="32"/>
        </w:rPr>
      </w:pPr>
      <w:r>
        <w:rPr>
          <w:rFonts w:hint="eastAsia" w:ascii="仿宋" w:hAnsi="仿宋" w:eastAsia="仿宋"/>
          <w:color w:val="3D3D3C"/>
          <w:sz w:val="32"/>
          <w:szCs w:val="32"/>
        </w:rPr>
        <w:t>招商引资部：主要负责为园区引进项目；负责入区项目的洽谈、立项审查、审批工作；负责对外宣传工作；负责搞好园区内项目库的建设工作；负责区内各企事业单位关系的协调工作。查处县级有关单位乱检查、乱收费、乱摊派。</w:t>
      </w:r>
    </w:p>
    <w:p>
      <w:pPr>
        <w:widowControl/>
        <w:shd w:val="clear" w:color="auto" w:fill="FFFFFF"/>
        <w:spacing w:line="340" w:lineRule="atLeast"/>
        <w:ind w:firstLine="480"/>
        <w:jc w:val="left"/>
        <w:rPr>
          <w:rFonts w:ascii="华文仿宋" w:hAnsi="华文仿宋" w:eastAsia="华文仿宋" w:cs="宋体"/>
          <w:color w:val="3D3D3C"/>
          <w:kern w:val="0"/>
          <w:sz w:val="32"/>
          <w:szCs w:val="32"/>
        </w:rPr>
      </w:pPr>
      <w:r>
        <w:rPr>
          <w:rFonts w:hint="eastAsia" w:ascii="仿宋" w:hAnsi="仿宋" w:eastAsia="仿宋"/>
          <w:color w:val="3D3D3C"/>
          <w:sz w:val="32"/>
          <w:szCs w:val="32"/>
        </w:rPr>
        <w:t>企业信息服务部：负责入区企业的管理服务工作。负责园区的企业的统计工作；为入区企业搞好信息服务、技术咨询及中介服务工作；指导、检查园区内企业的财务管理工作；负责为入区企业搞好审计、验资和财务人员的业务培训工作，管好园区的基础设施。服务园区的绿化、市容卫生及环境保护工作。</w:t>
      </w:r>
      <w:r>
        <w:rPr>
          <w:rFonts w:ascii="华文仿宋" w:hAnsi="华文仿宋" w:eastAsia="华文仿宋" w:cs="宋体"/>
          <w:color w:val="3D3D3C"/>
          <w:kern w:val="0"/>
          <w:sz w:val="32"/>
          <w:szCs w:val="32"/>
        </w:rPr>
        <w:t xml:space="preserve"> </w:t>
      </w:r>
    </w:p>
    <w:p>
      <w:pPr>
        <w:widowControl/>
        <w:shd w:val="clear" w:color="auto" w:fill="FFFFFF"/>
        <w:spacing w:line="340" w:lineRule="atLeast"/>
        <w:ind w:firstLine="641" w:firstLineChars="200"/>
        <w:jc w:val="left"/>
        <w:rPr>
          <w:rFonts w:ascii="华文仿宋" w:hAnsi="华文仿宋" w:eastAsia="华文仿宋" w:cs="宋体"/>
          <w:b/>
          <w:color w:val="3D3D3C"/>
          <w:kern w:val="0"/>
          <w:sz w:val="32"/>
          <w:szCs w:val="32"/>
        </w:rPr>
      </w:pPr>
      <w:r>
        <w:rPr>
          <w:rFonts w:hint="eastAsia" w:ascii="华文仿宋" w:hAnsi="华文仿宋" w:eastAsia="华文仿宋" w:cs="宋体"/>
          <w:b/>
          <w:color w:val="3D3D3C"/>
          <w:kern w:val="0"/>
          <w:sz w:val="32"/>
          <w:szCs w:val="32"/>
        </w:rPr>
        <w:t>二、部门决算单位构成</w:t>
      </w:r>
    </w:p>
    <w:p>
      <w:pPr>
        <w:widowControl/>
        <w:shd w:val="clear" w:color="auto" w:fill="FFFFFF"/>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从决算单位构成看，本部门的决算包括西安蓝田工业园管理委员会本级决算。 </w:t>
      </w:r>
    </w:p>
    <w:tbl>
      <w:tblPr>
        <w:tblStyle w:val="6"/>
        <w:tblW w:w="7649" w:type="dxa"/>
        <w:jc w:val="center"/>
        <w:tblCellSpacing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0" w:type="dxa"/>
          <w:left w:w="0" w:type="dxa"/>
          <w:bottom w:w="0" w:type="dxa"/>
          <w:right w:w="0" w:type="dxa"/>
        </w:tblCellMar>
      </w:tblPr>
      <w:tblGrid>
        <w:gridCol w:w="1125"/>
        <w:gridCol w:w="6524"/>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25" w:type="dxa"/>
            <w:tcBorders>
              <w:top w:val="outset" w:color="000000" w:sz="6" w:space="0"/>
              <w:left w:val="outset" w:color="000000" w:sz="6" w:space="0"/>
              <w:bottom w:val="outset" w:color="000000" w:sz="6" w:space="0"/>
              <w:right w:val="outset" w:color="000000" w:sz="6" w:space="0"/>
            </w:tcBorders>
            <w:vAlign w:val="center"/>
          </w:tcPr>
          <w:p>
            <w:pPr>
              <w:widowControl/>
              <w:jc w:val="left"/>
              <w:rPr>
                <w:rFonts w:ascii="华文仿宋" w:hAnsi="华文仿宋" w:eastAsia="华文仿宋" w:cs="宋体"/>
                <w:color w:val="3D3D3C"/>
                <w:kern w:val="0"/>
                <w:sz w:val="32"/>
                <w:szCs w:val="32"/>
              </w:rPr>
            </w:pPr>
            <w:r>
              <w:rPr>
                <w:rFonts w:ascii="华文仿宋" w:hAnsi="华文仿宋" w:eastAsia="华文仿宋" w:cs="宋体"/>
                <w:color w:val="3D3D3C"/>
                <w:kern w:val="0"/>
                <w:sz w:val="32"/>
                <w:szCs w:val="32"/>
              </w:rPr>
              <w:t>序号</w:t>
            </w:r>
          </w:p>
        </w:tc>
        <w:tc>
          <w:tcPr>
            <w:tcW w:w="6524" w:type="dxa"/>
            <w:tcBorders>
              <w:top w:val="outset" w:color="000000" w:sz="6" w:space="0"/>
              <w:left w:val="outset" w:color="000000" w:sz="6" w:space="0"/>
              <w:bottom w:val="outset" w:color="000000" w:sz="6" w:space="0"/>
              <w:right w:val="outset" w:color="000000" w:sz="6" w:space="0"/>
            </w:tcBorders>
            <w:vAlign w:val="center"/>
          </w:tcPr>
          <w:p>
            <w:pPr>
              <w:widowControl/>
              <w:jc w:val="left"/>
              <w:rPr>
                <w:rFonts w:ascii="华文仿宋" w:hAnsi="华文仿宋" w:eastAsia="华文仿宋" w:cs="宋体"/>
                <w:color w:val="3D3D3C"/>
                <w:kern w:val="0"/>
                <w:sz w:val="32"/>
                <w:szCs w:val="32"/>
              </w:rPr>
            </w:pPr>
            <w:r>
              <w:rPr>
                <w:rFonts w:ascii="华文仿宋" w:hAnsi="华文仿宋" w:eastAsia="华文仿宋" w:cs="宋体"/>
                <w:color w:val="3D3D3C"/>
                <w:kern w:val="0"/>
                <w:sz w:val="32"/>
                <w:szCs w:val="32"/>
              </w:rPr>
              <w:t>单位名称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25" w:type="dxa"/>
            <w:tcBorders>
              <w:top w:val="outset" w:color="000000" w:sz="6" w:space="0"/>
              <w:left w:val="outset" w:color="000000" w:sz="6" w:space="0"/>
              <w:bottom w:val="outset" w:color="000000" w:sz="6" w:space="0"/>
              <w:right w:val="outset" w:color="000000" w:sz="6" w:space="0"/>
            </w:tcBorders>
            <w:vAlign w:val="center"/>
          </w:tcPr>
          <w:p>
            <w:pPr>
              <w:widowControl/>
              <w:jc w:val="left"/>
              <w:rPr>
                <w:rFonts w:ascii="华文仿宋" w:hAnsi="华文仿宋" w:eastAsia="华文仿宋" w:cs="宋体"/>
                <w:color w:val="3D3D3C"/>
                <w:kern w:val="0"/>
                <w:sz w:val="32"/>
                <w:szCs w:val="32"/>
              </w:rPr>
            </w:pPr>
            <w:r>
              <w:rPr>
                <w:rFonts w:ascii="华文仿宋" w:hAnsi="华文仿宋" w:eastAsia="华文仿宋" w:cs="宋体"/>
                <w:color w:val="3D3D3C"/>
                <w:kern w:val="0"/>
                <w:sz w:val="32"/>
                <w:szCs w:val="32"/>
              </w:rPr>
              <w:t>1</w:t>
            </w:r>
          </w:p>
        </w:tc>
        <w:tc>
          <w:tcPr>
            <w:tcW w:w="6524" w:type="dxa"/>
            <w:tcBorders>
              <w:top w:val="outset" w:color="000000" w:sz="6" w:space="0"/>
              <w:left w:val="outset" w:color="000000" w:sz="6" w:space="0"/>
              <w:bottom w:val="outset" w:color="000000" w:sz="6" w:space="0"/>
              <w:right w:val="outset" w:color="000000" w:sz="6" w:space="0"/>
            </w:tcBorders>
            <w:vAlign w:val="center"/>
          </w:tcPr>
          <w:p>
            <w:pPr>
              <w:widowControl/>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西安蓝田工业园管理委员会</w:t>
            </w:r>
            <w:r>
              <w:rPr>
                <w:rFonts w:ascii="华文仿宋" w:hAnsi="华文仿宋" w:eastAsia="华文仿宋" w:cs="宋体"/>
                <w:color w:val="3D3D3C"/>
                <w:kern w:val="0"/>
                <w:sz w:val="32"/>
                <w:szCs w:val="32"/>
              </w:rPr>
              <w:t>（本级）</w:t>
            </w:r>
          </w:p>
        </w:tc>
      </w:tr>
    </w:tbl>
    <w:p>
      <w:pPr>
        <w:pStyle w:val="5"/>
        <w:shd w:val="clear" w:color="auto" w:fill="FFFFFF"/>
        <w:spacing w:before="0" w:beforeAutospacing="0" w:after="0" w:afterAutospacing="0"/>
        <w:ind w:firstLine="641" w:firstLineChars="200"/>
        <w:rPr>
          <w:rFonts w:ascii="华文仿宋" w:hAnsi="华文仿宋" w:eastAsia="华文仿宋"/>
          <w:b/>
          <w:color w:val="3D3D3C"/>
          <w:sz w:val="32"/>
          <w:szCs w:val="32"/>
        </w:rPr>
      </w:pPr>
      <w:r>
        <w:rPr>
          <w:rFonts w:hint="eastAsia" w:ascii="华文仿宋" w:hAnsi="华文仿宋" w:eastAsia="华文仿宋"/>
          <w:b/>
          <w:color w:val="3D3D3C"/>
          <w:sz w:val="32"/>
          <w:szCs w:val="32"/>
        </w:rPr>
        <w:t>三、部门人员情况说明</w:t>
      </w:r>
    </w:p>
    <w:p>
      <w:pPr>
        <w:widowControl/>
        <w:shd w:val="clear" w:color="auto" w:fill="FFFFFF"/>
        <w:spacing w:line="340" w:lineRule="atLeast"/>
        <w:ind w:firstLine="480"/>
        <w:jc w:val="left"/>
        <w:rPr>
          <w:rFonts w:ascii="微软雅黑" w:hAnsi="微软雅黑" w:eastAsia="微软雅黑"/>
          <w:color w:val="3D3D3C"/>
          <w:szCs w:val="21"/>
          <w:shd w:val="clear" w:color="auto" w:fill="FFFFFF"/>
        </w:rPr>
      </w:pPr>
      <w:r>
        <w:rPr>
          <w:rFonts w:hint="eastAsia" w:ascii="华文仿宋" w:hAnsi="华文仿宋" w:eastAsia="华文仿宋"/>
          <w:color w:val="3D3D3C"/>
          <w:sz w:val="32"/>
          <w:szCs w:val="32"/>
        </w:rPr>
        <w:t>工业园</w:t>
      </w:r>
      <w:r>
        <w:rPr>
          <w:rFonts w:ascii="华文仿宋" w:hAnsi="华文仿宋" w:eastAsia="华文仿宋"/>
          <w:color w:val="3D3D3C"/>
          <w:sz w:val="32"/>
          <w:szCs w:val="32"/>
        </w:rPr>
        <w:t>管委会所属基层预算单位名称是</w:t>
      </w:r>
      <w:r>
        <w:rPr>
          <w:rFonts w:hint="eastAsia" w:ascii="华文仿宋" w:hAnsi="华文仿宋" w:eastAsia="华文仿宋"/>
          <w:color w:val="3D3D3C"/>
          <w:sz w:val="32"/>
          <w:szCs w:val="32"/>
        </w:rPr>
        <w:t>西安蓝田工业园管理</w:t>
      </w:r>
      <w:r>
        <w:rPr>
          <w:rFonts w:ascii="华文仿宋" w:hAnsi="华文仿宋" w:eastAsia="华文仿宋"/>
          <w:color w:val="3D3D3C"/>
          <w:sz w:val="32"/>
          <w:szCs w:val="32"/>
        </w:rPr>
        <w:t>委</w:t>
      </w:r>
      <w:r>
        <w:rPr>
          <w:rFonts w:hint="eastAsia" w:ascii="华文仿宋" w:hAnsi="华文仿宋" w:eastAsia="华文仿宋"/>
          <w:color w:val="3D3D3C"/>
          <w:sz w:val="32"/>
          <w:szCs w:val="32"/>
        </w:rPr>
        <w:t>员</w:t>
      </w:r>
      <w:r>
        <w:rPr>
          <w:rFonts w:ascii="华文仿宋" w:hAnsi="华文仿宋" w:eastAsia="华文仿宋"/>
          <w:color w:val="3D3D3C"/>
          <w:sz w:val="32"/>
          <w:szCs w:val="32"/>
        </w:rPr>
        <w:t>会机关，单位性质为县政府直属</w:t>
      </w:r>
      <w:r>
        <w:rPr>
          <w:rFonts w:hint="eastAsia" w:ascii="华文仿宋" w:hAnsi="华文仿宋" w:eastAsia="华文仿宋"/>
          <w:color w:val="3D3D3C"/>
          <w:sz w:val="32"/>
          <w:szCs w:val="32"/>
        </w:rPr>
        <w:t>参照公务员法管理</w:t>
      </w:r>
      <w:r>
        <w:rPr>
          <w:rFonts w:ascii="华文仿宋" w:hAnsi="华文仿宋" w:eastAsia="华文仿宋"/>
          <w:color w:val="3D3D3C"/>
          <w:sz w:val="32"/>
          <w:szCs w:val="32"/>
        </w:rPr>
        <w:t>事业单位，</w:t>
      </w:r>
      <w:r>
        <w:rPr>
          <w:rFonts w:hint="eastAsia" w:ascii="华文仿宋" w:hAnsi="华文仿宋" w:eastAsia="华文仿宋"/>
          <w:color w:val="3D3D3C"/>
          <w:sz w:val="32"/>
          <w:szCs w:val="32"/>
        </w:rPr>
        <w:t>工业园管委会</w:t>
      </w:r>
      <w:r>
        <w:rPr>
          <w:rFonts w:ascii="华文仿宋" w:hAnsi="华文仿宋" w:eastAsia="华文仿宋"/>
          <w:color w:val="3D3D3C"/>
          <w:sz w:val="32"/>
          <w:szCs w:val="32"/>
        </w:rPr>
        <w:t>经费管理方式为财政拨款</w:t>
      </w:r>
      <w:r>
        <w:rPr>
          <w:rFonts w:hint="eastAsia" w:ascii="华文仿宋" w:hAnsi="华文仿宋" w:eastAsia="华文仿宋"/>
          <w:color w:val="3D3D3C"/>
          <w:sz w:val="32"/>
          <w:szCs w:val="32"/>
        </w:rPr>
        <w:t>。截止2018年底，工业园管委会编制9人，实有18人。</w:t>
      </w:r>
    </w:p>
    <w:p>
      <w:pPr>
        <w:widowControl/>
        <w:shd w:val="clear" w:color="auto" w:fill="FFFFFF"/>
        <w:spacing w:line="340" w:lineRule="atLeast"/>
        <w:ind w:firstLine="420" w:firstLineChars="200"/>
        <w:jc w:val="left"/>
        <w:rPr>
          <w:rFonts w:ascii="微软雅黑" w:hAnsi="微软雅黑" w:eastAsia="微软雅黑"/>
          <w:color w:val="3D3D3C"/>
          <w:szCs w:val="21"/>
          <w:shd w:val="clear" w:color="auto" w:fill="FFFFFF"/>
        </w:rPr>
      </w:pPr>
      <w:r>
        <w:rPr>
          <w:rFonts w:ascii="微软雅黑" w:hAnsi="微软雅黑" w:eastAsia="微软雅黑"/>
          <w:color w:val="3D3D3C"/>
          <w:szCs w:val="21"/>
        </w:rPr>
        <w:drawing>
          <wp:anchor distT="0" distB="0" distL="114300" distR="114300" simplePos="0" relativeHeight="251658240" behindDoc="0" locked="0" layoutInCell="1" allowOverlap="1">
            <wp:simplePos x="0" y="0"/>
            <wp:positionH relativeFrom="column">
              <wp:posOffset>2085975</wp:posOffset>
            </wp:positionH>
            <wp:positionV relativeFrom="paragraph">
              <wp:posOffset>95250</wp:posOffset>
            </wp:positionV>
            <wp:extent cx="4076700" cy="2667000"/>
            <wp:effectExtent l="19050" t="0" r="19050" b="0"/>
            <wp:wrapSquare wrapText="bothSides"/>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anchor>
        </w:drawing>
      </w:r>
    </w:p>
    <w:p>
      <w:pPr>
        <w:widowControl/>
        <w:shd w:val="clear" w:color="auto" w:fill="FFFFFF"/>
        <w:spacing w:line="340" w:lineRule="atLeast"/>
        <w:ind w:firstLine="5880" w:firstLineChars="2800"/>
        <w:jc w:val="left"/>
        <w:rPr>
          <w:rFonts w:ascii="华文仿宋" w:hAnsi="华文仿宋" w:eastAsia="华文仿宋" w:cs="宋体"/>
          <w:color w:val="3D3D3C"/>
          <w:kern w:val="0"/>
          <w:sz w:val="32"/>
          <w:szCs w:val="32"/>
        </w:rPr>
      </w:pPr>
      <w:r>
        <w:rPr>
          <w:rFonts w:hint="eastAsia" w:ascii="微软雅黑" w:hAnsi="微软雅黑" w:eastAsia="微软雅黑"/>
          <w:color w:val="3D3D3C"/>
          <w:szCs w:val="21"/>
          <w:shd w:val="clear" w:color="auto" w:fill="FFFFFF"/>
        </w:rPr>
        <w:t>（人员情况柱状图或饼状图）</w:t>
      </w:r>
    </w:p>
    <w:p>
      <w:pPr>
        <w:widowControl/>
        <w:shd w:val="clear" w:color="auto" w:fill="FFFFFF"/>
        <w:spacing w:line="340" w:lineRule="atLeast"/>
        <w:ind w:firstLine="480"/>
        <w:jc w:val="left"/>
        <w:rPr>
          <w:rFonts w:ascii="华文仿宋" w:hAnsi="华文仿宋" w:eastAsia="华文仿宋" w:cs="宋体"/>
          <w:b/>
          <w:color w:val="3D3D3C"/>
          <w:kern w:val="0"/>
          <w:sz w:val="32"/>
          <w:szCs w:val="32"/>
        </w:rPr>
      </w:pPr>
      <w:r>
        <w:rPr>
          <w:rFonts w:hint="eastAsia" w:ascii="华文仿宋" w:hAnsi="华文仿宋" w:eastAsia="华文仿宋" w:cs="宋体"/>
          <w:b/>
          <w:color w:val="3D3D3C"/>
          <w:kern w:val="0"/>
          <w:sz w:val="32"/>
          <w:szCs w:val="32"/>
        </w:rPr>
        <w:t>四</w:t>
      </w:r>
      <w:r>
        <w:rPr>
          <w:rFonts w:ascii="华文仿宋" w:hAnsi="华文仿宋" w:eastAsia="华文仿宋" w:cs="宋体"/>
          <w:b/>
          <w:color w:val="3D3D3C"/>
          <w:kern w:val="0"/>
          <w:sz w:val="32"/>
          <w:szCs w:val="32"/>
        </w:rPr>
        <w:t>、201</w:t>
      </w:r>
      <w:r>
        <w:rPr>
          <w:rFonts w:hint="eastAsia" w:ascii="华文仿宋" w:hAnsi="华文仿宋" w:eastAsia="华文仿宋" w:cs="宋体"/>
          <w:b/>
          <w:color w:val="3D3D3C"/>
          <w:kern w:val="0"/>
          <w:sz w:val="32"/>
          <w:szCs w:val="32"/>
        </w:rPr>
        <w:t>8</w:t>
      </w:r>
      <w:r>
        <w:rPr>
          <w:rFonts w:ascii="华文仿宋" w:hAnsi="华文仿宋" w:eastAsia="华文仿宋" w:cs="宋体"/>
          <w:b/>
          <w:color w:val="3D3D3C"/>
          <w:kern w:val="0"/>
          <w:sz w:val="32"/>
          <w:szCs w:val="32"/>
        </w:rPr>
        <w:t>年</w:t>
      </w:r>
      <w:r>
        <w:rPr>
          <w:rFonts w:hint="eastAsia" w:ascii="华文仿宋" w:hAnsi="华文仿宋" w:eastAsia="华文仿宋" w:cs="宋体"/>
          <w:b/>
          <w:color w:val="3D3D3C"/>
          <w:kern w:val="0"/>
          <w:sz w:val="32"/>
          <w:szCs w:val="32"/>
        </w:rPr>
        <w:t>度</w:t>
      </w:r>
      <w:r>
        <w:rPr>
          <w:rFonts w:ascii="华文仿宋" w:hAnsi="华文仿宋" w:eastAsia="华文仿宋" w:cs="宋体"/>
          <w:b/>
          <w:color w:val="3D3D3C"/>
          <w:kern w:val="0"/>
          <w:sz w:val="32"/>
          <w:szCs w:val="32"/>
        </w:rPr>
        <w:t>工作任务完成情况</w:t>
      </w:r>
    </w:p>
    <w:p>
      <w:pPr>
        <w:ind w:firstLine="640" w:firstLineChars="200"/>
        <w:rPr>
          <w:rFonts w:ascii="仿宋" w:hAnsi="仿宋" w:eastAsia="仿宋" w:cs="宋体"/>
          <w:kern w:val="0"/>
          <w:sz w:val="30"/>
          <w:szCs w:val="30"/>
        </w:rPr>
      </w:pPr>
      <w:r>
        <w:rPr>
          <w:rFonts w:hint="eastAsia" w:ascii="仿宋" w:hAnsi="仿宋" w:eastAsia="仿宋" w:cs="宋体"/>
          <w:kern w:val="0"/>
          <w:sz w:val="32"/>
          <w:szCs w:val="32"/>
        </w:rPr>
        <w:t>1、亮化工程：为高速口安装84套仿古路灯， 3套高杆路灯，同时对交通广场、白牛河广场进行夜景亮化；实施</w:t>
      </w:r>
      <w:r>
        <w:rPr>
          <w:rFonts w:hint="eastAsia" w:ascii="仿宋" w:hAnsi="仿宋" w:eastAsia="仿宋" w:cs="宋体"/>
          <w:kern w:val="0"/>
          <w:sz w:val="30"/>
          <w:szCs w:val="30"/>
        </w:rPr>
        <w:t>高速口至迎宾路转盘工程示范街亮化工程，完成</w:t>
      </w:r>
      <w:r>
        <w:rPr>
          <w:rFonts w:hint="eastAsia" w:ascii="仿宋" w:hAnsi="仿宋" w:eastAsia="仿宋" w:cs="宋体"/>
          <w:kern w:val="0"/>
          <w:sz w:val="32"/>
          <w:szCs w:val="32"/>
        </w:rPr>
        <w:t>沿线千城万家、时代广场、玉王府、迎宾路转盘等标志性建筑物亮化提升。</w:t>
      </w:r>
    </w:p>
    <w:p>
      <w:pPr>
        <w:spacing w:line="600" w:lineRule="exact"/>
        <w:ind w:firstLine="640" w:firstLineChars="200"/>
        <w:rPr>
          <w:rFonts w:ascii="仿宋" w:hAnsi="仿宋" w:eastAsia="仿宋"/>
          <w:sz w:val="30"/>
          <w:szCs w:val="30"/>
        </w:rPr>
      </w:pPr>
      <w:r>
        <w:rPr>
          <w:rFonts w:hint="eastAsia" w:ascii="仿宋" w:hAnsi="仿宋" w:eastAsia="仿宋" w:cs="宋体"/>
          <w:kern w:val="0"/>
          <w:sz w:val="32"/>
          <w:szCs w:val="32"/>
        </w:rPr>
        <w:t>2、综合提升：对工业园道路进行提升改造。包括101省道综合提升，</w:t>
      </w:r>
      <w:r>
        <w:rPr>
          <w:rFonts w:hint="eastAsia" w:ascii="仿宋" w:hAnsi="仿宋" w:eastAsia="仿宋"/>
          <w:sz w:val="32"/>
          <w:szCs w:val="32"/>
        </w:rPr>
        <w:t>冯十路徐梁坡路两侧蓝砖砌花坛、</w:t>
      </w:r>
      <w:r>
        <w:rPr>
          <w:rFonts w:hint="eastAsia" w:ascii="仿宋" w:hAnsi="仿宋" w:eastAsia="仿宋" w:cs="宋体"/>
          <w:kern w:val="0"/>
          <w:sz w:val="32"/>
          <w:szCs w:val="32"/>
        </w:rPr>
        <w:t>规划一路、文姬路人行道渗水砖铺设、高速口及迎宾路栽植独杆月季、</w:t>
      </w:r>
      <w:r>
        <w:rPr>
          <w:rFonts w:hint="eastAsia" w:ascii="仿宋" w:hAnsi="仿宋" w:eastAsia="仿宋"/>
          <w:kern w:val="0"/>
          <w:sz w:val="32"/>
          <w:szCs w:val="32"/>
        </w:rPr>
        <w:t>白羊寨村民房立面改造、</w:t>
      </w:r>
      <w:r>
        <w:rPr>
          <w:rFonts w:hint="eastAsia" w:ascii="仿宋" w:hAnsi="仿宋" w:eastAsia="仿宋"/>
          <w:sz w:val="32"/>
          <w:szCs w:val="32"/>
        </w:rPr>
        <w:t>高速口广告牌改造、信天游桥文化元素布置及桥身造型改造等工程，这些工程的实施，进一步提升了园区品位。</w:t>
      </w:r>
    </w:p>
    <w:p>
      <w:pPr>
        <w:ind w:firstLine="640" w:firstLineChars="200"/>
        <w:rPr>
          <w:rFonts w:ascii="仿宋" w:hAnsi="仿宋" w:eastAsia="仿宋" w:cs="宋体"/>
          <w:kern w:val="0"/>
          <w:sz w:val="32"/>
          <w:szCs w:val="32"/>
        </w:rPr>
      </w:pPr>
      <w:r>
        <w:rPr>
          <w:rFonts w:hint="eastAsia" w:ascii="仿宋" w:hAnsi="仿宋" w:eastAsia="仿宋" w:cs="宋体"/>
          <w:kern w:val="0"/>
          <w:sz w:val="32"/>
          <w:szCs w:val="32"/>
        </w:rPr>
        <w:t xml:space="preserve">3、绿化美化：对园区迎宾路、规划一路、规划二路、冯十路、文姬路等主要道路进行绿化提升，年初至今共计栽植白皮松1200余棵，国槐140棵，安装绿化带护栏8600米，绿化带铺设草皮、栽植石楠球、独杆月季、小叶女贞、紫薇等，累积绿化面积达23000平方米。 </w:t>
      </w:r>
    </w:p>
    <w:p>
      <w:pPr>
        <w:ind w:firstLine="640" w:firstLineChars="200"/>
        <w:rPr>
          <w:rFonts w:ascii="仿宋" w:hAnsi="仿宋" w:eastAsia="仿宋" w:cs="宋体"/>
          <w:kern w:val="0"/>
          <w:sz w:val="32"/>
          <w:szCs w:val="32"/>
        </w:rPr>
      </w:pPr>
      <w:r>
        <w:rPr>
          <w:rFonts w:hint="eastAsia" w:ascii="仿宋" w:hAnsi="仿宋" w:eastAsia="仿宋" w:cs="宋体"/>
          <w:kern w:val="0"/>
          <w:sz w:val="32"/>
          <w:szCs w:val="32"/>
        </w:rPr>
        <w:t>4、雨污工程：为解决园区二期企业建成后排污问题，工业园积极与县政府及相关部门对接，目前工业园规划范围内污水管网基本铺设完毕，工业园污水处理站项目已进行围墙圈建，正在进行规划设计，待设计完毕后立即动工建设。</w:t>
      </w:r>
    </w:p>
    <w:p>
      <w:pPr>
        <w:ind w:firstLine="630"/>
        <w:jc w:val="left"/>
        <w:rPr>
          <w:rFonts w:ascii="仿宋" w:hAnsi="仿宋" w:eastAsia="仿宋" w:cs="宋体"/>
          <w:kern w:val="0"/>
          <w:sz w:val="32"/>
          <w:szCs w:val="32"/>
        </w:rPr>
      </w:pPr>
      <w:r>
        <w:rPr>
          <w:rFonts w:hint="eastAsia" w:ascii="仿宋" w:hAnsi="仿宋" w:eastAsia="仿宋" w:cs="宋体"/>
          <w:kern w:val="0"/>
          <w:sz w:val="32"/>
          <w:szCs w:val="32"/>
        </w:rPr>
        <w:t>6、其他工程：园区投入250万元对十里铺、席家河段辋灞渠进行改线，以满足阿喜、开拓、美力源等重点项目及文姬北路延伸段施工进地需求。南环线道路正在完善各项手续，力争尽快启动，为园区企业布局、路网格局打下基础。</w:t>
      </w:r>
    </w:p>
    <w:p>
      <w:pPr>
        <w:ind w:firstLine="640" w:firstLineChars="200"/>
        <w:rPr>
          <w:rFonts w:ascii="仿宋" w:hAnsi="仿宋" w:eastAsia="仿宋"/>
          <w:sz w:val="32"/>
          <w:szCs w:val="32"/>
        </w:rPr>
      </w:pPr>
      <w:r>
        <w:rPr>
          <w:rFonts w:hint="eastAsia" w:ascii="仿宋" w:hAnsi="仿宋" w:eastAsia="仿宋" w:cs="宋体"/>
          <w:kern w:val="0"/>
          <w:sz w:val="32"/>
          <w:szCs w:val="32"/>
        </w:rPr>
        <w:t>7、</w:t>
      </w:r>
      <w:r>
        <w:rPr>
          <w:rFonts w:hint="eastAsia" w:ascii="楷体" w:hAnsi="楷体" w:eastAsia="楷体"/>
          <w:sz w:val="32"/>
          <w:szCs w:val="32"/>
        </w:rPr>
        <w:t>高科幕墙项目：</w:t>
      </w:r>
      <w:r>
        <w:rPr>
          <w:rFonts w:hint="eastAsia" w:ascii="仿宋" w:hAnsi="仿宋" w:eastAsia="仿宋"/>
          <w:sz w:val="32"/>
          <w:szCs w:val="32"/>
        </w:rPr>
        <w:t>该项目用地</w:t>
      </w:r>
      <w:r>
        <w:rPr>
          <w:rFonts w:ascii="仿宋" w:hAnsi="仿宋" w:eastAsia="仿宋"/>
          <w:sz w:val="32"/>
          <w:szCs w:val="32"/>
        </w:rPr>
        <w:t>138</w:t>
      </w:r>
      <w:r>
        <w:rPr>
          <w:rFonts w:hint="eastAsia" w:ascii="仿宋" w:hAnsi="仿宋" w:eastAsia="仿宋"/>
          <w:sz w:val="32"/>
          <w:szCs w:val="32"/>
        </w:rPr>
        <w:t>亩，总建筑面积约</w:t>
      </w:r>
      <w:r>
        <w:rPr>
          <w:rFonts w:ascii="仿宋" w:hAnsi="仿宋" w:eastAsia="仿宋"/>
          <w:sz w:val="32"/>
          <w:szCs w:val="32"/>
        </w:rPr>
        <w:t>4</w:t>
      </w:r>
      <w:r>
        <w:rPr>
          <w:rFonts w:hint="eastAsia" w:ascii="仿宋" w:hAnsi="仿宋" w:eastAsia="仿宋"/>
          <w:sz w:val="32"/>
          <w:szCs w:val="32"/>
        </w:rPr>
        <w:t>万平方米，总投资</w:t>
      </w:r>
      <w:r>
        <w:rPr>
          <w:rFonts w:ascii="仿宋" w:hAnsi="仿宋" w:eastAsia="仿宋"/>
          <w:sz w:val="32"/>
          <w:szCs w:val="32"/>
        </w:rPr>
        <w:t>3</w:t>
      </w:r>
      <w:r>
        <w:rPr>
          <w:rFonts w:hint="eastAsia" w:ascii="仿宋" w:hAnsi="仿宋" w:eastAsia="仿宋"/>
          <w:sz w:val="32"/>
          <w:szCs w:val="32"/>
        </w:rPr>
        <w:t>亿元，</w:t>
      </w:r>
      <w:r>
        <w:rPr>
          <w:rFonts w:ascii="仿宋" w:hAnsi="仿宋" w:eastAsia="仿宋"/>
          <w:sz w:val="32"/>
          <w:szCs w:val="32"/>
        </w:rPr>
        <w:t>2018</w:t>
      </w:r>
      <w:r>
        <w:rPr>
          <w:rFonts w:hint="eastAsia" w:ascii="仿宋" w:hAnsi="仿宋" w:eastAsia="仿宋"/>
          <w:sz w:val="32"/>
          <w:szCs w:val="32"/>
        </w:rPr>
        <w:t>年计</w:t>
      </w:r>
    </w:p>
    <w:p>
      <w:pPr>
        <w:rPr>
          <w:rFonts w:ascii="仿宋" w:hAnsi="仿宋" w:eastAsia="仿宋"/>
          <w:sz w:val="32"/>
          <w:szCs w:val="32"/>
        </w:rPr>
      </w:pPr>
      <w:r>
        <w:rPr>
          <w:rFonts w:hint="eastAsia" w:ascii="仿宋" w:hAnsi="仿宋" w:eastAsia="仿宋"/>
          <w:sz w:val="32"/>
          <w:szCs w:val="32"/>
        </w:rPr>
        <w:t>划投资2950万元，已完成年度投资3363万元，目前完成宿舍楼3层4四层主体结构，办公楼3层4层主体，消防水池结构，1#2#厂房主体钢构，办公楼3层4层主体，主道路施工。</w:t>
      </w:r>
    </w:p>
    <w:p>
      <w:pPr>
        <w:ind w:firstLine="640" w:firstLineChars="200"/>
        <w:rPr>
          <w:rFonts w:ascii="仿宋" w:hAnsi="仿宋" w:eastAsia="仿宋"/>
          <w:sz w:val="32"/>
          <w:szCs w:val="32"/>
        </w:rPr>
      </w:pPr>
      <w:r>
        <w:rPr>
          <w:rFonts w:hint="eastAsia" w:ascii="楷体" w:hAnsi="楷体" w:eastAsia="楷体"/>
          <w:sz w:val="32"/>
          <w:szCs w:val="32"/>
        </w:rPr>
        <w:t>8、韵达西北快递电商总部基地项目：</w:t>
      </w:r>
      <w:r>
        <w:rPr>
          <w:rFonts w:hint="eastAsia" w:ascii="仿宋" w:hAnsi="仿宋" w:eastAsia="仿宋"/>
          <w:sz w:val="32"/>
          <w:szCs w:val="32"/>
        </w:rPr>
        <w:t>项目占地面积</w:t>
      </w:r>
      <w:r>
        <w:rPr>
          <w:rFonts w:ascii="仿宋" w:hAnsi="仿宋" w:eastAsia="仿宋"/>
          <w:sz w:val="32"/>
          <w:szCs w:val="32"/>
        </w:rPr>
        <w:t>270</w:t>
      </w:r>
      <w:r>
        <w:rPr>
          <w:rFonts w:hint="eastAsia" w:ascii="仿宋" w:hAnsi="仿宋" w:eastAsia="仿宋"/>
          <w:sz w:val="32"/>
          <w:szCs w:val="32"/>
        </w:rPr>
        <w:t>亩，总投资</w:t>
      </w:r>
      <w:r>
        <w:rPr>
          <w:rFonts w:ascii="仿宋" w:hAnsi="仿宋" w:eastAsia="仿宋"/>
          <w:sz w:val="32"/>
          <w:szCs w:val="32"/>
        </w:rPr>
        <w:t>5.4</w:t>
      </w:r>
      <w:r>
        <w:rPr>
          <w:rFonts w:hint="eastAsia" w:ascii="仿宋" w:hAnsi="仿宋" w:eastAsia="仿宋"/>
          <w:sz w:val="32"/>
          <w:szCs w:val="32"/>
        </w:rPr>
        <w:t>亿元，</w:t>
      </w:r>
      <w:r>
        <w:rPr>
          <w:rFonts w:ascii="仿宋" w:hAnsi="仿宋" w:eastAsia="仿宋"/>
          <w:sz w:val="32"/>
          <w:szCs w:val="32"/>
        </w:rPr>
        <w:t>2018</w:t>
      </w:r>
      <w:r>
        <w:rPr>
          <w:rFonts w:hint="eastAsia" w:ascii="仿宋" w:hAnsi="仿宋" w:eastAsia="仿宋"/>
          <w:sz w:val="32"/>
          <w:szCs w:val="32"/>
        </w:rPr>
        <w:t>年计划投资</w:t>
      </w:r>
      <w:r>
        <w:rPr>
          <w:rFonts w:ascii="仿宋" w:hAnsi="仿宋" w:eastAsia="仿宋"/>
          <w:sz w:val="32"/>
          <w:szCs w:val="32"/>
        </w:rPr>
        <w:t>3</w:t>
      </w:r>
      <w:r>
        <w:rPr>
          <w:rFonts w:hint="eastAsia" w:ascii="仿宋" w:hAnsi="仿宋" w:eastAsia="仿宋"/>
          <w:sz w:val="32"/>
          <w:szCs w:val="32"/>
        </w:rPr>
        <w:t>亿元，已完成年度投资8962.36 万元。取得土地使用证，费用5980万元，目前正在进行临时电、活动板房、临时道路、综合楼1、2#基础施工、快运车间基础施工、转运车间1基础施工、门卫2基础施工及城市配套费全部缴纳。</w:t>
      </w:r>
    </w:p>
    <w:p>
      <w:pPr>
        <w:pStyle w:val="11"/>
        <w:ind w:left="720" w:firstLine="0" w:firstLineChars="0"/>
        <w:rPr>
          <w:rFonts w:ascii="仿宋" w:hAnsi="仿宋" w:eastAsia="仿宋"/>
          <w:sz w:val="32"/>
          <w:szCs w:val="32"/>
        </w:rPr>
      </w:pPr>
      <w:r>
        <w:rPr>
          <w:rFonts w:hint="eastAsia" w:ascii="楷体" w:hAnsi="楷体" w:eastAsia="楷体"/>
          <w:sz w:val="32"/>
          <w:szCs w:val="32"/>
        </w:rPr>
        <w:t>9、天威食品项目：</w:t>
      </w:r>
      <w:r>
        <w:rPr>
          <w:rFonts w:hint="eastAsia" w:ascii="仿宋" w:hAnsi="仿宋" w:eastAsia="仿宋"/>
          <w:sz w:val="32"/>
          <w:szCs w:val="32"/>
        </w:rPr>
        <w:t>建筑面积</w:t>
      </w:r>
      <w:r>
        <w:rPr>
          <w:rFonts w:ascii="仿宋" w:hAnsi="仿宋" w:eastAsia="仿宋"/>
          <w:sz w:val="32"/>
          <w:szCs w:val="32"/>
        </w:rPr>
        <w:t>19954</w:t>
      </w:r>
      <w:r>
        <w:rPr>
          <w:rFonts w:hint="eastAsia" w:ascii="仿宋" w:hAnsi="仿宋" w:eastAsia="仿宋"/>
          <w:sz w:val="32"/>
          <w:szCs w:val="32"/>
        </w:rPr>
        <w:t>平方米，总投资</w:t>
      </w:r>
      <w:r>
        <w:rPr>
          <w:rFonts w:ascii="仿宋" w:hAnsi="仿宋" w:eastAsia="仿宋"/>
          <w:sz w:val="32"/>
          <w:szCs w:val="32"/>
        </w:rPr>
        <w:t>8500</w:t>
      </w:r>
      <w:r>
        <w:rPr>
          <w:rFonts w:hint="eastAsia" w:ascii="仿宋" w:hAnsi="仿宋" w:eastAsia="仿宋"/>
          <w:sz w:val="32"/>
          <w:szCs w:val="32"/>
        </w:rPr>
        <w:t>万元，</w:t>
      </w:r>
      <w:r>
        <w:rPr>
          <w:rFonts w:ascii="仿宋" w:hAnsi="仿宋" w:eastAsia="仿宋"/>
          <w:sz w:val="32"/>
          <w:szCs w:val="32"/>
        </w:rPr>
        <w:t>2018</w:t>
      </w:r>
      <w:r>
        <w:rPr>
          <w:rFonts w:hint="eastAsia" w:ascii="仿宋" w:hAnsi="仿宋" w:eastAsia="仿宋"/>
          <w:sz w:val="32"/>
          <w:szCs w:val="32"/>
        </w:rPr>
        <w:t>年计划投资</w:t>
      </w:r>
      <w:r>
        <w:rPr>
          <w:rFonts w:ascii="仿宋" w:hAnsi="仿宋" w:eastAsia="仿宋"/>
          <w:sz w:val="32"/>
          <w:szCs w:val="32"/>
        </w:rPr>
        <w:t>3500</w:t>
      </w:r>
      <w:r>
        <w:rPr>
          <w:rFonts w:hint="eastAsia" w:ascii="仿宋" w:hAnsi="仿宋" w:eastAsia="仿宋"/>
          <w:sz w:val="32"/>
          <w:szCs w:val="32"/>
        </w:rPr>
        <w:t>万元，已</w:t>
      </w:r>
    </w:p>
    <w:p>
      <w:pPr>
        <w:rPr>
          <w:rFonts w:ascii="仿宋" w:hAnsi="仿宋" w:eastAsia="仿宋"/>
          <w:sz w:val="32"/>
          <w:szCs w:val="32"/>
        </w:rPr>
      </w:pPr>
      <w:r>
        <w:rPr>
          <w:rFonts w:hint="eastAsia" w:ascii="仿宋" w:hAnsi="仿宋" w:eastAsia="仿宋"/>
          <w:sz w:val="32"/>
          <w:szCs w:val="32"/>
        </w:rPr>
        <w:t>完成年度投资1630   万元，厂房已经建成，生产车间正在装修，排污管道铺设已完成，目前正在做办公楼和综合楼措施，配电室、公寓楼施工封顶，门房施工完，道路铺设完成。本月室内装修。</w:t>
      </w:r>
    </w:p>
    <w:p>
      <w:pPr>
        <w:ind w:firstLine="640" w:firstLineChars="200"/>
        <w:rPr>
          <w:rFonts w:ascii="仿宋" w:hAnsi="仿宋" w:eastAsia="仿宋"/>
          <w:sz w:val="32"/>
          <w:szCs w:val="32"/>
        </w:rPr>
      </w:pPr>
      <w:r>
        <w:rPr>
          <w:rFonts w:hint="eastAsia" w:ascii="楷体" w:hAnsi="楷体" w:eastAsia="楷体"/>
          <w:sz w:val="32"/>
          <w:szCs w:val="32"/>
        </w:rPr>
        <w:t>10、上汽大通、依维柯专用车改装及物流建设项目：</w:t>
      </w:r>
      <w:r>
        <w:rPr>
          <w:rFonts w:hint="eastAsia" w:ascii="仿宋" w:hAnsi="仿宋" w:eastAsia="仿宋"/>
          <w:sz w:val="32"/>
          <w:szCs w:val="32"/>
        </w:rPr>
        <w:t>项目用地</w:t>
      </w:r>
      <w:r>
        <w:rPr>
          <w:rFonts w:ascii="仿宋" w:hAnsi="仿宋" w:eastAsia="仿宋"/>
          <w:sz w:val="32"/>
          <w:szCs w:val="32"/>
        </w:rPr>
        <w:t>93.864</w:t>
      </w:r>
      <w:r>
        <w:rPr>
          <w:rFonts w:hint="eastAsia" w:ascii="仿宋" w:hAnsi="仿宋" w:eastAsia="仿宋"/>
          <w:sz w:val="32"/>
          <w:szCs w:val="32"/>
        </w:rPr>
        <w:t>亩，总建筑面积</w:t>
      </w:r>
      <w:r>
        <w:rPr>
          <w:rFonts w:ascii="仿宋" w:hAnsi="仿宋" w:eastAsia="仿宋"/>
          <w:sz w:val="32"/>
          <w:szCs w:val="32"/>
        </w:rPr>
        <w:t>45000</w:t>
      </w:r>
      <w:r>
        <w:rPr>
          <w:rFonts w:hint="eastAsia" w:ascii="仿宋" w:hAnsi="仿宋" w:eastAsia="仿宋"/>
          <w:sz w:val="32"/>
          <w:szCs w:val="32"/>
        </w:rPr>
        <w:t>平方米，总投资</w:t>
      </w:r>
      <w:r>
        <w:rPr>
          <w:rFonts w:ascii="仿宋" w:hAnsi="仿宋" w:eastAsia="仿宋"/>
          <w:sz w:val="32"/>
          <w:szCs w:val="32"/>
        </w:rPr>
        <w:t>1.53</w:t>
      </w:r>
      <w:r>
        <w:rPr>
          <w:rFonts w:hint="eastAsia" w:ascii="仿宋" w:hAnsi="仿宋" w:eastAsia="仿宋"/>
          <w:sz w:val="32"/>
          <w:szCs w:val="32"/>
        </w:rPr>
        <w:t>亿元，</w:t>
      </w:r>
      <w:r>
        <w:rPr>
          <w:rFonts w:ascii="仿宋" w:hAnsi="仿宋" w:eastAsia="仿宋"/>
          <w:sz w:val="32"/>
          <w:szCs w:val="32"/>
        </w:rPr>
        <w:t>2018</w:t>
      </w:r>
      <w:r>
        <w:rPr>
          <w:rFonts w:hint="eastAsia" w:ascii="仿宋" w:hAnsi="仿宋" w:eastAsia="仿宋"/>
          <w:sz w:val="32"/>
          <w:szCs w:val="32"/>
        </w:rPr>
        <w:t>年计划投资</w:t>
      </w:r>
      <w:r>
        <w:rPr>
          <w:rFonts w:ascii="仿宋" w:hAnsi="仿宋" w:eastAsia="仿宋"/>
          <w:sz w:val="32"/>
          <w:szCs w:val="32"/>
        </w:rPr>
        <w:t>7050</w:t>
      </w:r>
      <w:r>
        <w:rPr>
          <w:rFonts w:hint="eastAsia" w:ascii="仿宋" w:hAnsi="仿宋" w:eastAsia="仿宋"/>
          <w:sz w:val="32"/>
          <w:szCs w:val="32"/>
        </w:rPr>
        <w:t>万元，已完成年度投资4400   万元，目前正在施工厂区道路铺设工程，建设二期厂房。3#厂房基础，4#5#厂房钢构，宿办楼钢构。</w:t>
      </w:r>
    </w:p>
    <w:p>
      <w:pPr>
        <w:ind w:firstLine="640" w:firstLineChars="200"/>
        <w:rPr>
          <w:rFonts w:ascii="仿宋" w:hAnsi="仿宋" w:eastAsia="仿宋"/>
          <w:sz w:val="32"/>
          <w:szCs w:val="32"/>
        </w:rPr>
      </w:pPr>
      <w:r>
        <w:rPr>
          <w:rFonts w:hint="eastAsia" w:ascii="楷体" w:hAnsi="楷体" w:eastAsia="楷体"/>
          <w:sz w:val="32"/>
          <w:szCs w:val="32"/>
        </w:rPr>
        <w:t>11</w:t>
      </w:r>
      <w:r>
        <w:rPr>
          <w:rFonts w:ascii="楷体" w:hAnsi="楷体" w:eastAsia="楷体"/>
          <w:sz w:val="32"/>
          <w:szCs w:val="32"/>
        </w:rPr>
        <w:t>.</w:t>
      </w:r>
      <w:r>
        <w:rPr>
          <w:rFonts w:hint="eastAsia" w:ascii="楷体" w:hAnsi="楷体" w:eastAsia="楷体"/>
          <w:sz w:val="32"/>
          <w:szCs w:val="32"/>
        </w:rPr>
        <w:t>西安润和食品产业园项目：</w:t>
      </w:r>
      <w:r>
        <w:rPr>
          <w:rFonts w:ascii="仿宋" w:hAnsi="仿宋" w:eastAsia="仿宋"/>
          <w:sz w:val="32"/>
          <w:szCs w:val="32"/>
        </w:rPr>
        <w:t>该项目位于工业园二期洩湖镇薛家河村，</w:t>
      </w:r>
      <w:r>
        <w:rPr>
          <w:rFonts w:hint="eastAsia" w:ascii="仿宋_GB2312" w:hAnsi="仿宋_GB2312" w:eastAsia="仿宋_GB2312" w:cs="仿宋_GB2312"/>
          <w:sz w:val="32"/>
          <w:szCs w:val="32"/>
        </w:rPr>
        <w:t>项目总规划面积3000亩，分四期开发，一期投资6.5亿元，供地318亩，</w:t>
      </w:r>
      <w:r>
        <w:rPr>
          <w:rFonts w:hint="eastAsia" w:ascii="仿宋" w:hAnsi="仿宋" w:eastAsia="仿宋"/>
          <w:sz w:val="32"/>
          <w:szCs w:val="32"/>
        </w:rPr>
        <w:t>已签约食品项目26个，开工建设</w:t>
      </w:r>
      <w:r>
        <w:rPr>
          <w:rFonts w:hint="eastAsia" w:ascii="仿宋_GB2312" w:hAnsi="仿宋_GB2312" w:eastAsia="仿宋_GB2312" w:cs="仿宋_GB2312"/>
          <w:sz w:val="32"/>
          <w:szCs w:val="32"/>
        </w:rPr>
        <w:t>项目12个，基本完成建设8个。目前园区办公大楼已完成建设，区内主干道路、</w:t>
      </w:r>
      <w:r>
        <w:rPr>
          <w:rFonts w:hint="eastAsia" w:ascii="仿宋" w:hAnsi="仿宋" w:eastAsia="仿宋"/>
          <w:sz w:val="32"/>
          <w:szCs w:val="32"/>
        </w:rPr>
        <w:t>雨污管网已完工，</w:t>
      </w:r>
      <w:r>
        <w:rPr>
          <w:rFonts w:hint="eastAsia" w:ascii="仿宋_GB2312" w:hAnsi="仿宋_GB2312" w:eastAsia="仿宋_GB2312" w:cs="仿宋_GB2312"/>
          <w:sz w:val="32"/>
          <w:szCs w:val="32"/>
        </w:rPr>
        <w:t>绿化、亮化、</w:t>
      </w:r>
      <w:r>
        <w:rPr>
          <w:rFonts w:hint="eastAsia" w:ascii="仿宋" w:hAnsi="仿宋" w:eastAsia="仿宋"/>
          <w:sz w:val="32"/>
          <w:szCs w:val="32"/>
        </w:rPr>
        <w:t>通讯、热力、天然气等基础设施</w:t>
      </w:r>
      <w:r>
        <w:rPr>
          <w:rFonts w:hint="eastAsia" w:ascii="仿宋_GB2312" w:hAnsi="仿宋_GB2312" w:eastAsia="仿宋_GB2312" w:cs="仿宋_GB2312"/>
          <w:sz w:val="32"/>
          <w:szCs w:val="32"/>
        </w:rPr>
        <w:t>正在完善</w:t>
      </w:r>
      <w:r>
        <w:rPr>
          <w:rFonts w:hint="eastAsia" w:ascii="仿宋" w:hAnsi="仿宋" w:eastAsia="仿宋"/>
          <w:sz w:val="32"/>
          <w:szCs w:val="32"/>
        </w:rPr>
        <w:t>。</w:t>
      </w:r>
    </w:p>
    <w:p>
      <w:pPr>
        <w:ind w:firstLine="640" w:firstLineChars="200"/>
        <w:rPr>
          <w:rFonts w:ascii="仿宋" w:hAnsi="仿宋" w:eastAsia="仿宋"/>
          <w:sz w:val="32"/>
          <w:szCs w:val="32"/>
        </w:rPr>
      </w:pPr>
      <w:r>
        <w:rPr>
          <w:rFonts w:hint="eastAsia" w:ascii="楷体" w:hAnsi="楷体" w:eastAsia="楷体"/>
          <w:sz w:val="32"/>
          <w:szCs w:val="32"/>
        </w:rPr>
        <w:t>12、永和豆制品项目：</w:t>
      </w:r>
      <w:r>
        <w:rPr>
          <w:rFonts w:hint="eastAsia" w:ascii="仿宋" w:hAnsi="仿宋" w:eastAsia="仿宋"/>
          <w:sz w:val="32"/>
          <w:szCs w:val="32"/>
        </w:rPr>
        <w:t>总建筑面积</w:t>
      </w:r>
      <w:r>
        <w:rPr>
          <w:rFonts w:ascii="仿宋" w:hAnsi="仿宋" w:eastAsia="仿宋"/>
          <w:sz w:val="32"/>
          <w:szCs w:val="32"/>
        </w:rPr>
        <w:t xml:space="preserve">21000 </w:t>
      </w:r>
      <w:r>
        <w:rPr>
          <w:rFonts w:hint="eastAsia" w:ascii="仿宋" w:hAnsi="仿宋" w:eastAsia="仿宋"/>
          <w:sz w:val="32"/>
          <w:szCs w:val="32"/>
        </w:rPr>
        <w:t>平方米，总投资</w:t>
      </w:r>
      <w:r>
        <w:rPr>
          <w:rFonts w:ascii="仿宋" w:hAnsi="仿宋" w:eastAsia="仿宋"/>
          <w:sz w:val="32"/>
          <w:szCs w:val="32"/>
        </w:rPr>
        <w:t>6950</w:t>
      </w:r>
      <w:r>
        <w:rPr>
          <w:rFonts w:hint="eastAsia" w:ascii="仿宋" w:hAnsi="仿宋" w:eastAsia="仿宋"/>
          <w:sz w:val="32"/>
          <w:szCs w:val="32"/>
        </w:rPr>
        <w:t>万元，</w:t>
      </w:r>
      <w:r>
        <w:rPr>
          <w:rFonts w:ascii="仿宋" w:hAnsi="仿宋" w:eastAsia="仿宋"/>
          <w:sz w:val="32"/>
          <w:szCs w:val="32"/>
        </w:rPr>
        <w:t>2018</w:t>
      </w:r>
      <w:r>
        <w:rPr>
          <w:rFonts w:hint="eastAsia" w:ascii="仿宋" w:hAnsi="仿宋" w:eastAsia="仿宋"/>
          <w:sz w:val="32"/>
          <w:szCs w:val="32"/>
        </w:rPr>
        <w:t>年计划投资</w:t>
      </w:r>
      <w:r>
        <w:rPr>
          <w:rFonts w:ascii="仿宋" w:hAnsi="仿宋" w:eastAsia="仿宋"/>
          <w:sz w:val="32"/>
          <w:szCs w:val="32"/>
        </w:rPr>
        <w:t>4600</w:t>
      </w:r>
      <w:r>
        <w:rPr>
          <w:rFonts w:hint="eastAsia" w:ascii="仿宋" w:hAnsi="仿宋" w:eastAsia="仿宋"/>
          <w:sz w:val="32"/>
          <w:szCs w:val="32"/>
        </w:rPr>
        <w:t>万元，已完成年度投资</w:t>
      </w:r>
      <w:r>
        <w:rPr>
          <w:rFonts w:ascii="仿宋" w:hAnsi="仿宋" w:eastAsia="仿宋"/>
          <w:sz w:val="32"/>
          <w:szCs w:val="32"/>
        </w:rPr>
        <w:t>4</w:t>
      </w:r>
      <w:r>
        <w:rPr>
          <w:rFonts w:hint="eastAsia" w:ascii="仿宋" w:hAnsi="仿宋" w:eastAsia="仿宋"/>
          <w:sz w:val="32"/>
          <w:szCs w:val="32"/>
        </w:rPr>
        <w:t>2</w:t>
      </w:r>
      <w:r>
        <w:rPr>
          <w:rFonts w:ascii="仿宋" w:hAnsi="仿宋" w:eastAsia="仿宋"/>
          <w:sz w:val="32"/>
          <w:szCs w:val="32"/>
        </w:rPr>
        <w:t>00</w:t>
      </w:r>
      <w:r>
        <w:rPr>
          <w:rFonts w:hint="eastAsia" w:ascii="仿宋" w:hAnsi="仿宋" w:eastAsia="仿宋"/>
          <w:sz w:val="32"/>
          <w:szCs w:val="32"/>
        </w:rPr>
        <w:t>万元。已完成征地、围墙的圈建以及土地平整工作，目前生产车间、办公楼、宿舍楼封顶，污水处理施工完成，钢构、砌筑、二次结构、水电安装。水电、消防、门窗、砌瓷砖、做防水。本月外墙真石漆、室外管网，围墙。内部装修，部分设备到位。</w:t>
      </w:r>
    </w:p>
    <w:p>
      <w:pPr>
        <w:ind w:firstLine="640" w:firstLineChars="200"/>
        <w:rPr>
          <w:rFonts w:ascii="仿宋" w:hAnsi="仿宋" w:eastAsia="仿宋"/>
          <w:sz w:val="32"/>
          <w:szCs w:val="32"/>
        </w:rPr>
      </w:pPr>
      <w:r>
        <w:rPr>
          <w:rFonts w:hint="eastAsia" w:ascii="楷体" w:hAnsi="楷体" w:eastAsia="楷体"/>
          <w:sz w:val="32"/>
          <w:szCs w:val="32"/>
        </w:rPr>
        <w:t>13、雷德热能项目：</w:t>
      </w:r>
      <w:r>
        <w:rPr>
          <w:rFonts w:hint="eastAsia" w:ascii="仿宋" w:hAnsi="仿宋" w:eastAsia="仿宋"/>
          <w:sz w:val="32"/>
          <w:szCs w:val="32"/>
        </w:rPr>
        <w:t>项目用地</w:t>
      </w:r>
      <w:r>
        <w:rPr>
          <w:rFonts w:ascii="仿宋" w:hAnsi="仿宋" w:eastAsia="仿宋"/>
          <w:sz w:val="32"/>
          <w:szCs w:val="32"/>
        </w:rPr>
        <w:t>30</w:t>
      </w:r>
      <w:r>
        <w:rPr>
          <w:rFonts w:hint="eastAsia" w:ascii="仿宋" w:hAnsi="仿宋" w:eastAsia="仿宋"/>
          <w:sz w:val="32"/>
          <w:szCs w:val="32"/>
        </w:rPr>
        <w:t>亩，总建筑面积</w:t>
      </w:r>
      <w:r>
        <w:rPr>
          <w:rFonts w:ascii="仿宋" w:hAnsi="仿宋" w:eastAsia="仿宋"/>
          <w:sz w:val="32"/>
          <w:szCs w:val="32"/>
        </w:rPr>
        <w:t>11850</w:t>
      </w:r>
      <w:r>
        <w:rPr>
          <w:rFonts w:hint="eastAsia" w:ascii="仿宋" w:hAnsi="仿宋" w:eastAsia="仿宋"/>
          <w:sz w:val="32"/>
          <w:szCs w:val="32"/>
        </w:rPr>
        <w:t>平方米，总投资</w:t>
      </w:r>
      <w:r>
        <w:rPr>
          <w:rFonts w:ascii="仿宋" w:hAnsi="仿宋" w:eastAsia="仿宋"/>
          <w:sz w:val="32"/>
          <w:szCs w:val="32"/>
        </w:rPr>
        <w:t>4000</w:t>
      </w:r>
      <w:r>
        <w:rPr>
          <w:rFonts w:hint="eastAsia" w:ascii="仿宋" w:hAnsi="仿宋" w:eastAsia="仿宋"/>
          <w:sz w:val="32"/>
          <w:szCs w:val="32"/>
        </w:rPr>
        <w:t>万元，</w:t>
      </w:r>
      <w:r>
        <w:rPr>
          <w:rFonts w:ascii="仿宋" w:hAnsi="仿宋" w:eastAsia="仿宋"/>
          <w:sz w:val="32"/>
          <w:szCs w:val="32"/>
        </w:rPr>
        <w:t>2018</w:t>
      </w:r>
      <w:r>
        <w:rPr>
          <w:rFonts w:hint="eastAsia" w:ascii="仿宋" w:hAnsi="仿宋" w:eastAsia="仿宋"/>
          <w:sz w:val="32"/>
          <w:szCs w:val="32"/>
        </w:rPr>
        <w:t>年计划投资</w:t>
      </w:r>
      <w:r>
        <w:rPr>
          <w:rFonts w:ascii="仿宋" w:hAnsi="仿宋" w:eastAsia="仿宋"/>
          <w:sz w:val="32"/>
          <w:szCs w:val="32"/>
        </w:rPr>
        <w:t>2263</w:t>
      </w:r>
      <w:r>
        <w:rPr>
          <w:rFonts w:hint="eastAsia" w:ascii="仿宋" w:hAnsi="仿宋" w:eastAsia="仿宋"/>
          <w:sz w:val="32"/>
          <w:szCs w:val="32"/>
        </w:rPr>
        <w:t>万元，已完成年度投资2265万元，办公楼及厂房已建完，目前正在做围墙及门房，变压器安装，设备安装，透视围墙施工，生产设备安装调试，路面硬化。</w:t>
      </w:r>
    </w:p>
    <w:p>
      <w:pPr>
        <w:pStyle w:val="11"/>
        <w:ind w:left="720" w:firstLine="0" w:firstLineChars="0"/>
        <w:rPr>
          <w:rFonts w:ascii="仿宋" w:hAnsi="仿宋" w:eastAsia="仿宋"/>
          <w:sz w:val="32"/>
          <w:szCs w:val="32"/>
        </w:rPr>
      </w:pPr>
      <w:r>
        <w:rPr>
          <w:rFonts w:hint="eastAsia" w:ascii="楷体" w:hAnsi="楷体" w:eastAsia="楷体"/>
          <w:sz w:val="32"/>
          <w:szCs w:val="32"/>
        </w:rPr>
        <w:t>14、蜀汉食品项目：</w:t>
      </w:r>
      <w:r>
        <w:rPr>
          <w:rFonts w:hint="eastAsia" w:ascii="仿宋" w:hAnsi="仿宋" w:eastAsia="仿宋"/>
          <w:sz w:val="32"/>
          <w:szCs w:val="32"/>
        </w:rPr>
        <w:t>项目占地</w:t>
      </w:r>
      <w:r>
        <w:rPr>
          <w:rFonts w:ascii="仿宋" w:hAnsi="仿宋" w:eastAsia="仿宋"/>
          <w:sz w:val="32"/>
          <w:szCs w:val="32"/>
        </w:rPr>
        <w:t>12</w:t>
      </w:r>
      <w:r>
        <w:rPr>
          <w:rFonts w:hint="eastAsia" w:ascii="仿宋" w:hAnsi="仿宋" w:eastAsia="仿宋"/>
          <w:sz w:val="32"/>
          <w:szCs w:val="32"/>
        </w:rPr>
        <w:t>亩，建筑总面积</w:t>
      </w:r>
      <w:r>
        <w:rPr>
          <w:rFonts w:ascii="仿宋" w:hAnsi="仿宋" w:eastAsia="仿宋"/>
          <w:sz w:val="32"/>
          <w:szCs w:val="32"/>
        </w:rPr>
        <w:t>8350</w:t>
      </w:r>
      <w:r>
        <w:rPr>
          <w:rFonts w:hint="eastAsia" w:ascii="仿宋" w:hAnsi="仿宋" w:eastAsia="仿宋"/>
          <w:sz w:val="32"/>
          <w:szCs w:val="32"/>
        </w:rPr>
        <w:t>平方米，总投资</w:t>
      </w:r>
      <w:r>
        <w:rPr>
          <w:rFonts w:ascii="仿宋" w:hAnsi="仿宋" w:eastAsia="仿宋"/>
          <w:sz w:val="32"/>
          <w:szCs w:val="32"/>
        </w:rPr>
        <w:t>2000</w:t>
      </w:r>
      <w:r>
        <w:rPr>
          <w:rFonts w:hint="eastAsia" w:ascii="仿宋" w:hAnsi="仿宋" w:eastAsia="仿宋"/>
          <w:sz w:val="32"/>
          <w:szCs w:val="32"/>
        </w:rPr>
        <w:t>万元，</w:t>
      </w:r>
      <w:r>
        <w:rPr>
          <w:rFonts w:ascii="仿宋" w:hAnsi="仿宋" w:eastAsia="仿宋"/>
          <w:sz w:val="32"/>
          <w:szCs w:val="32"/>
        </w:rPr>
        <w:t>2018</w:t>
      </w:r>
      <w:r>
        <w:rPr>
          <w:rFonts w:hint="eastAsia" w:ascii="仿宋" w:hAnsi="仿宋" w:eastAsia="仿宋"/>
          <w:sz w:val="32"/>
          <w:szCs w:val="32"/>
        </w:rPr>
        <w:t>年计划</w:t>
      </w:r>
    </w:p>
    <w:p>
      <w:pPr>
        <w:rPr>
          <w:rFonts w:ascii="仿宋" w:hAnsi="仿宋" w:eastAsia="仿宋"/>
          <w:sz w:val="32"/>
          <w:szCs w:val="32"/>
        </w:rPr>
      </w:pPr>
      <w:r>
        <w:rPr>
          <w:rFonts w:hint="eastAsia" w:ascii="仿宋" w:hAnsi="仿宋" w:eastAsia="仿宋"/>
          <w:sz w:val="32"/>
          <w:szCs w:val="32"/>
        </w:rPr>
        <w:t>投资</w:t>
      </w:r>
      <w:r>
        <w:rPr>
          <w:rFonts w:ascii="仿宋" w:hAnsi="仿宋" w:eastAsia="仿宋"/>
          <w:sz w:val="32"/>
          <w:szCs w:val="32"/>
        </w:rPr>
        <w:t>1700</w:t>
      </w:r>
      <w:r>
        <w:rPr>
          <w:rFonts w:hint="eastAsia" w:ascii="仿宋" w:hAnsi="仿宋" w:eastAsia="仿宋"/>
          <w:sz w:val="32"/>
          <w:szCs w:val="32"/>
        </w:rPr>
        <w:t>万元，已完成年度投资860万元，目前办公楼主体已完成，办公楼、厂房内部装修，外墙立面施工。</w:t>
      </w:r>
    </w:p>
    <w:p>
      <w:pPr>
        <w:rPr>
          <w:rFonts w:ascii="仿宋" w:hAnsi="仿宋" w:eastAsia="仿宋"/>
          <w:sz w:val="32"/>
          <w:szCs w:val="32"/>
        </w:rPr>
      </w:pPr>
      <w:r>
        <w:rPr>
          <w:rFonts w:ascii="仿宋" w:hAnsi="仿宋" w:eastAsia="仿宋" w:cs="仿宋"/>
          <w:color w:val="000000"/>
          <w:sz w:val="32"/>
          <w:szCs w:val="32"/>
        </w:rPr>
        <w:t xml:space="preserve">     </w:t>
      </w:r>
      <w:r>
        <w:rPr>
          <w:rFonts w:hint="eastAsia" w:ascii="楷体" w:hAnsi="楷体" w:eastAsia="楷体"/>
          <w:sz w:val="32"/>
          <w:szCs w:val="32"/>
        </w:rPr>
        <w:t>15、奇迹食品项目：</w:t>
      </w:r>
      <w:r>
        <w:rPr>
          <w:rFonts w:hint="eastAsia" w:ascii="仿宋" w:hAnsi="仿宋" w:eastAsia="仿宋"/>
          <w:sz w:val="32"/>
          <w:szCs w:val="32"/>
        </w:rPr>
        <w:t>项目用地</w:t>
      </w:r>
      <w:r>
        <w:rPr>
          <w:rFonts w:ascii="仿宋" w:hAnsi="仿宋" w:eastAsia="仿宋"/>
          <w:sz w:val="32"/>
          <w:szCs w:val="32"/>
        </w:rPr>
        <w:t>28.7</w:t>
      </w:r>
      <w:r>
        <w:rPr>
          <w:rFonts w:hint="eastAsia" w:ascii="仿宋" w:hAnsi="仿宋" w:eastAsia="仿宋"/>
          <w:sz w:val="32"/>
          <w:szCs w:val="32"/>
        </w:rPr>
        <w:t>亩，总建筑面积</w:t>
      </w:r>
      <w:r>
        <w:rPr>
          <w:rFonts w:ascii="仿宋" w:hAnsi="仿宋" w:eastAsia="仿宋"/>
          <w:sz w:val="32"/>
          <w:szCs w:val="32"/>
        </w:rPr>
        <w:t>11850</w:t>
      </w:r>
      <w:r>
        <w:rPr>
          <w:rFonts w:hint="eastAsia" w:ascii="仿宋" w:hAnsi="仿宋" w:eastAsia="仿宋"/>
          <w:sz w:val="32"/>
          <w:szCs w:val="32"/>
        </w:rPr>
        <w:t>平方米，总投资</w:t>
      </w:r>
      <w:r>
        <w:rPr>
          <w:rFonts w:ascii="仿宋" w:hAnsi="仿宋" w:eastAsia="仿宋"/>
          <w:sz w:val="32"/>
          <w:szCs w:val="32"/>
        </w:rPr>
        <w:t>6300</w:t>
      </w:r>
      <w:r>
        <w:rPr>
          <w:rFonts w:hint="eastAsia" w:ascii="仿宋" w:hAnsi="仿宋" w:eastAsia="仿宋"/>
          <w:sz w:val="32"/>
          <w:szCs w:val="32"/>
        </w:rPr>
        <w:t>万元，</w:t>
      </w:r>
      <w:r>
        <w:rPr>
          <w:rFonts w:ascii="仿宋" w:hAnsi="仿宋" w:eastAsia="仿宋"/>
          <w:sz w:val="32"/>
          <w:szCs w:val="32"/>
        </w:rPr>
        <w:t>2018</w:t>
      </w:r>
      <w:r>
        <w:rPr>
          <w:rFonts w:hint="eastAsia" w:ascii="仿宋" w:hAnsi="仿宋" w:eastAsia="仿宋"/>
          <w:sz w:val="32"/>
          <w:szCs w:val="32"/>
        </w:rPr>
        <w:t>年计划投资</w:t>
      </w:r>
      <w:r>
        <w:rPr>
          <w:rFonts w:ascii="仿宋" w:hAnsi="仿宋" w:eastAsia="仿宋"/>
          <w:sz w:val="32"/>
          <w:szCs w:val="32"/>
        </w:rPr>
        <w:t>1650</w:t>
      </w:r>
      <w:r>
        <w:rPr>
          <w:rFonts w:hint="eastAsia" w:ascii="仿宋" w:hAnsi="仿宋" w:eastAsia="仿宋"/>
          <w:sz w:val="32"/>
          <w:szCs w:val="32"/>
        </w:rPr>
        <w:t>万元，已完成年度投资1650万元，已进入投产试运行阶段，厂区天然气安装，引进新型设备，绿化、硬化、污水管网改造。</w:t>
      </w:r>
    </w:p>
    <w:p>
      <w:pPr>
        <w:ind w:firstLine="640" w:firstLineChars="200"/>
        <w:rPr>
          <w:rFonts w:ascii="仿宋" w:hAnsi="仿宋" w:eastAsia="仿宋"/>
          <w:sz w:val="32"/>
          <w:szCs w:val="32"/>
        </w:rPr>
      </w:pPr>
      <w:r>
        <w:rPr>
          <w:rFonts w:hint="eastAsia" w:ascii="楷体" w:hAnsi="楷体" w:eastAsia="楷体"/>
          <w:sz w:val="32"/>
          <w:szCs w:val="32"/>
        </w:rPr>
        <w:t>16、开拓产研基地项目：</w:t>
      </w:r>
      <w:r>
        <w:rPr>
          <w:rFonts w:hint="eastAsia" w:ascii="仿宋" w:hAnsi="仿宋" w:eastAsia="仿宋"/>
          <w:sz w:val="32"/>
          <w:szCs w:val="32"/>
        </w:rPr>
        <w:t>项目用地</w:t>
      </w:r>
      <w:r>
        <w:rPr>
          <w:rFonts w:ascii="仿宋" w:hAnsi="仿宋" w:eastAsia="仿宋"/>
          <w:sz w:val="32"/>
          <w:szCs w:val="32"/>
        </w:rPr>
        <w:t>100</w:t>
      </w:r>
      <w:r>
        <w:rPr>
          <w:rFonts w:hint="eastAsia" w:ascii="仿宋" w:hAnsi="仿宋" w:eastAsia="仿宋"/>
          <w:sz w:val="32"/>
          <w:szCs w:val="32"/>
        </w:rPr>
        <w:t>亩，总建筑面积</w:t>
      </w:r>
      <w:r>
        <w:rPr>
          <w:rFonts w:ascii="仿宋" w:hAnsi="仿宋" w:eastAsia="仿宋"/>
          <w:sz w:val="32"/>
          <w:szCs w:val="32"/>
        </w:rPr>
        <w:t>84205</w:t>
      </w:r>
      <w:r>
        <w:rPr>
          <w:rFonts w:hint="eastAsia" w:ascii="仿宋" w:hAnsi="仿宋" w:eastAsia="仿宋"/>
          <w:sz w:val="32"/>
          <w:szCs w:val="32"/>
        </w:rPr>
        <w:t>平方米，项目一期投资</w:t>
      </w:r>
      <w:r>
        <w:rPr>
          <w:rFonts w:ascii="仿宋" w:hAnsi="仿宋" w:eastAsia="仿宋"/>
          <w:sz w:val="32"/>
          <w:szCs w:val="32"/>
        </w:rPr>
        <w:t>10017</w:t>
      </w:r>
      <w:r>
        <w:rPr>
          <w:rFonts w:hint="eastAsia" w:ascii="仿宋" w:hAnsi="仿宋" w:eastAsia="仿宋"/>
          <w:sz w:val="32"/>
          <w:szCs w:val="32"/>
        </w:rPr>
        <w:t>万元，已完成年度投资    215万元，完成工商注册，正在建围墙，</w:t>
      </w:r>
    </w:p>
    <w:p>
      <w:pPr>
        <w:ind w:firstLine="630"/>
        <w:jc w:val="left"/>
        <w:rPr>
          <w:rFonts w:ascii="黑体" w:hAnsi="黑体" w:eastAsia="黑体"/>
          <w:sz w:val="32"/>
          <w:szCs w:val="32"/>
        </w:rPr>
      </w:pPr>
      <w:r>
        <w:rPr>
          <w:rFonts w:ascii="楷体" w:hAnsi="楷体" w:eastAsia="楷体"/>
          <w:sz w:val="32"/>
          <w:szCs w:val="32"/>
        </w:rPr>
        <w:t>1</w:t>
      </w:r>
      <w:r>
        <w:rPr>
          <w:rFonts w:hint="eastAsia" w:ascii="楷体" w:hAnsi="楷体" w:eastAsia="楷体"/>
          <w:sz w:val="32"/>
          <w:szCs w:val="32"/>
        </w:rPr>
        <w:t>7、蓝田县天然气利用项目：</w:t>
      </w:r>
      <w:r>
        <w:rPr>
          <w:rFonts w:hint="eastAsia" w:ascii="仿宋" w:hAnsi="仿宋" w:eastAsia="仿宋"/>
          <w:sz w:val="32"/>
          <w:szCs w:val="32"/>
        </w:rPr>
        <w:t>该项目建筑面积</w:t>
      </w:r>
      <w:r>
        <w:rPr>
          <w:rFonts w:ascii="仿宋" w:hAnsi="仿宋" w:eastAsia="仿宋"/>
          <w:sz w:val="32"/>
          <w:szCs w:val="32"/>
        </w:rPr>
        <w:t>1054.5</w:t>
      </w:r>
      <w:r>
        <w:rPr>
          <w:rFonts w:hint="eastAsia" w:ascii="仿宋" w:hAnsi="仿宋" w:eastAsia="仿宋"/>
          <w:sz w:val="32"/>
          <w:szCs w:val="32"/>
        </w:rPr>
        <w:t>平方米，总投资</w:t>
      </w:r>
      <w:r>
        <w:rPr>
          <w:rFonts w:ascii="仿宋" w:hAnsi="仿宋" w:eastAsia="仿宋"/>
          <w:sz w:val="32"/>
          <w:szCs w:val="32"/>
        </w:rPr>
        <w:t>6228</w:t>
      </w:r>
      <w:r>
        <w:rPr>
          <w:rFonts w:hint="eastAsia" w:ascii="仿宋" w:hAnsi="仿宋" w:eastAsia="仿宋"/>
          <w:sz w:val="32"/>
          <w:szCs w:val="32"/>
        </w:rPr>
        <w:t>万元，</w:t>
      </w:r>
      <w:r>
        <w:rPr>
          <w:rFonts w:ascii="仿宋" w:hAnsi="仿宋" w:eastAsia="仿宋"/>
          <w:sz w:val="32"/>
          <w:szCs w:val="32"/>
        </w:rPr>
        <w:t>2018</w:t>
      </w:r>
      <w:r>
        <w:rPr>
          <w:rFonts w:hint="eastAsia" w:ascii="仿宋" w:hAnsi="仿宋" w:eastAsia="仿宋"/>
          <w:sz w:val="32"/>
          <w:szCs w:val="32"/>
        </w:rPr>
        <w:t>年计划投资1128万元，已完成年度投资1160万元，园区12公里管网铺设工作，临时储增压站设备调试已投入使用，办公楼正在用地清点完成，已经进入赔付。共完成完成25.1公里中压管网铺设。</w:t>
      </w:r>
    </w:p>
    <w:p>
      <w:pPr>
        <w:pStyle w:val="5"/>
        <w:shd w:val="clear" w:color="auto" w:fill="FFFFFF"/>
        <w:spacing w:before="0" w:beforeAutospacing="0" w:after="0" w:afterAutospacing="0"/>
        <w:ind w:firstLine="640" w:firstLineChars="200"/>
        <w:rPr>
          <w:rFonts w:ascii="华文仿宋" w:hAnsi="华文仿宋" w:eastAsia="华文仿宋"/>
          <w:color w:val="3D3D3C"/>
          <w:sz w:val="32"/>
          <w:szCs w:val="32"/>
        </w:rPr>
      </w:pPr>
    </w:p>
    <w:p>
      <w:pPr>
        <w:widowControl/>
        <w:shd w:val="clear" w:color="auto" w:fill="FFFFFF"/>
        <w:spacing w:line="340" w:lineRule="atLeast"/>
        <w:ind w:firstLine="480"/>
        <w:jc w:val="left"/>
        <w:rPr>
          <w:rFonts w:ascii="华文仿宋" w:hAnsi="华文仿宋" w:eastAsia="华文仿宋" w:cs="宋体"/>
          <w:b/>
          <w:color w:val="3D3D3C"/>
          <w:kern w:val="0"/>
          <w:sz w:val="32"/>
          <w:szCs w:val="32"/>
        </w:rPr>
      </w:pPr>
      <w:r>
        <w:rPr>
          <w:rFonts w:hint="eastAsia" w:ascii="华文仿宋" w:hAnsi="华文仿宋" w:eastAsia="华文仿宋" w:cs="宋体"/>
          <w:b/>
          <w:color w:val="3D3D3C"/>
          <w:kern w:val="0"/>
          <w:sz w:val="32"/>
          <w:szCs w:val="32"/>
        </w:rPr>
        <w:t>五、部门决算收支情况说明</w:t>
      </w:r>
    </w:p>
    <w:p>
      <w:pPr>
        <w:widowControl/>
        <w:shd w:val="clear" w:color="auto" w:fill="FFFFFF"/>
        <w:spacing w:line="340" w:lineRule="atLeast"/>
        <w:ind w:firstLine="48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（－）2018年度收入支出总体情况说明</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1、2018年收入3435.22万元，支出3435.22万元，2017年收入1358.23万元，支出1358.23万元。总体收入支出比上年增加2076.99万元。增加原因为人员增加，经费增加，园区基础设施建设项目增加。</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2、本年度收入构成情况</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2018年收入3435.22万元，主要包括一般公共服务收入915.16万元，城乡社区收入2368.87万元，农林水收入150万元，资源勘探信息等收入1.2万元。</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3、本年度支出构成情况</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2018年支出3435.22万元，其中基本支出146.70万元，项目支出3288.53万元。</w:t>
      </w:r>
    </w:p>
    <w:p>
      <w:pPr>
        <w:widowControl/>
        <w:shd w:val="clear" w:color="auto" w:fill="FFFFFF"/>
        <w:spacing w:line="340" w:lineRule="atLeast"/>
        <w:ind w:firstLine="48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（二）2018年度财政拨款收入支出总体情况说明</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1、2018年财政拨款收入3435.22万元，支出3435.22万元，2017年财政拨款收入1358.23万元，支出1358.23万元。总体收入比上年增加2076.99万元，其中一般公共服务支出比上年增加1004.07万元，主要原因为人员增加，经费增加，同时增加解决温泉职工退出费用，增加县脱贫攻坚指挥部后勤保障费用，增加招商引资经费、除雪经费等。</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2、一般公共预算财政拨款支出情况</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2018年一般公共预算财政拨款支出3435.22万元，主要包括行政运行146.71万元，其他相关机构事务618.46万元，招商引资150万元，其他城乡社区公共设施支出1894.04万元，土地出让业务支出52.47万元，其他城市基础设施配套费支出422.36万元，其他扶贫支出150万元，其他制造业支出1.20万元。</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3、一般公共预算财政拨款基本支出决算情况</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2018年一般公共预算财政拨款基本支出146.70万元，其中人员经费128.70万元，公用经费18万元。</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4、一般公共预算财政拨款项目支出决算情况（公开文件未涉及）</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2018年一般公共预算财政拨款项目支出3288.53万元，其中其他相关机构事务618.46万元，招商引资150万元，其他城乡社区公共设施支出1894.04万元，土地出让业务支出52.47万元，其他城市基础设施配套费支出422.36万元，其他扶贫支出150万元，其他制造业支出1.20万元。</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5、政府性基金财政拨款收支情说明</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2018年我单位政府性基金财政拨款收入数为474.82万元，支出数为474.82万元，其中对国有土地使用权出让收入及对应专项债务收入安排的支出数为52.47万元，其他城市基础设施配套费支出422.36万元，详见附表8</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6、国有资本经营财政拨款收支情况说明</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本部门无国有资本经营决算拨款收支。</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7、政府采购支出情况。</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2018年度本部门政府采购支出总额为0万元，其中政府采购货物类支出为0万元。授予中小企业的合同金额</w:t>
      </w:r>
      <w:r>
        <w:rPr>
          <w:rFonts w:hint="eastAsia" w:ascii="仿宋" w:hAnsi="仿宋" w:eastAsia="仿宋" w:cs="仿宋"/>
          <w:sz w:val="32"/>
          <w:szCs w:val="32"/>
          <w:lang w:val="en-US" w:eastAsia="zh-CN"/>
        </w:rPr>
        <w:t>为</w:t>
      </w:r>
      <w:r>
        <w:rPr>
          <w:rFonts w:hint="eastAsia" w:ascii="仿宋" w:hAnsi="仿宋" w:eastAsia="仿宋" w:cs="仿宋"/>
          <w:sz w:val="32"/>
          <w:szCs w:val="32"/>
        </w:rPr>
        <w:t>0万元占政府采购支出的100%。</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p>
    <w:p>
      <w:pPr>
        <w:widowControl/>
        <w:shd w:val="clear" w:color="auto" w:fill="FFFFFF"/>
        <w:spacing w:line="340" w:lineRule="atLeast"/>
        <w:ind w:firstLine="640" w:firstLineChars="200"/>
        <w:jc w:val="left"/>
        <w:rPr>
          <w:rFonts w:hint="eastAsia" w:ascii="华文仿宋" w:hAnsi="华文仿宋" w:eastAsia="华文仿宋" w:cs="宋体"/>
          <w:color w:val="3D3D3C"/>
          <w:kern w:val="0"/>
          <w:sz w:val="32"/>
          <w:szCs w:val="32"/>
        </w:rPr>
      </w:pPr>
    </w:p>
    <w:p>
      <w:pPr>
        <w:spacing w:line="600" w:lineRule="exact"/>
        <w:ind w:firstLine="320" w:firstLineChars="100"/>
        <w:rPr>
          <w:rFonts w:hint="eastAsia" w:ascii="仿宋" w:hAnsi="仿宋" w:eastAsia="仿宋" w:cs="仿宋"/>
          <w:b w:val="0"/>
          <w:bCs w:val="0"/>
          <w:sz w:val="32"/>
          <w:szCs w:val="32"/>
        </w:rPr>
      </w:pPr>
      <w:r>
        <w:rPr>
          <w:rFonts w:hint="eastAsia" w:ascii="仿宋" w:hAnsi="仿宋" w:eastAsia="仿宋" w:cs="仿宋"/>
          <w:b w:val="0"/>
          <w:bCs w:val="0"/>
          <w:sz w:val="32"/>
          <w:szCs w:val="32"/>
        </w:rPr>
        <w:t>（三）2018年度“三公”经费支出情况说明</w:t>
      </w:r>
    </w:p>
    <w:p>
      <w:pPr>
        <w:spacing w:line="600" w:lineRule="exact"/>
        <w:ind w:firstLine="642"/>
        <w:rPr>
          <w:rFonts w:hint="eastAsia" w:ascii="仿宋" w:hAnsi="仿宋" w:eastAsia="仿宋" w:cs="Times New Roman"/>
          <w:sz w:val="32"/>
          <w:szCs w:val="32"/>
        </w:rPr>
      </w:pPr>
      <w:r>
        <w:rPr>
          <w:rFonts w:ascii="仿宋" w:hAnsi="仿宋" w:eastAsia="仿宋" w:cs="Times New Roman"/>
          <w:sz w:val="32"/>
          <w:szCs w:val="32"/>
        </w:rPr>
        <w:t>201</w:t>
      </w:r>
      <w:r>
        <w:rPr>
          <w:rFonts w:hint="eastAsia" w:ascii="仿宋" w:hAnsi="仿宋" w:eastAsia="仿宋" w:cs="Times New Roman"/>
          <w:sz w:val="32"/>
          <w:szCs w:val="32"/>
        </w:rPr>
        <w:t>8年度一般公共预算财政拨款安排的“三公”经费支出中，因公出国（境）费支出 0元，公务接待费支出0元，公务用车购置及运行维护费支出0元。具体情况如下：</w:t>
      </w:r>
    </w:p>
    <w:p>
      <w:pPr>
        <w:numPr>
          <w:ilvl w:val="0"/>
          <w:numId w:val="0"/>
        </w:numPr>
        <w:spacing w:line="600" w:lineRule="exact"/>
        <w:ind w:firstLine="640" w:firstLineChars="200"/>
        <w:rPr>
          <w:rFonts w:hint="eastAsia" w:ascii="仿宋" w:hAnsi="仿宋" w:eastAsia="仿宋" w:cs="Times New Roman"/>
          <w:sz w:val="32"/>
          <w:szCs w:val="32"/>
        </w:rPr>
      </w:pPr>
      <w:r>
        <w:rPr>
          <w:rFonts w:hint="eastAsia" w:ascii="仿宋" w:hAnsi="仿宋" w:eastAsia="仿宋" w:cs="Times New Roman"/>
          <w:sz w:val="32"/>
          <w:szCs w:val="32"/>
          <w:lang w:val="en-US" w:eastAsia="zh-CN"/>
        </w:rPr>
        <w:t>1、</w:t>
      </w:r>
      <w:r>
        <w:rPr>
          <w:rFonts w:hint="eastAsia" w:ascii="仿宋" w:hAnsi="仿宋" w:eastAsia="仿宋" w:cs="Times New Roman"/>
          <w:sz w:val="32"/>
          <w:szCs w:val="32"/>
        </w:rPr>
        <w:t xml:space="preserve">因公出国（境）费支出0元，与上年决算一致，无增减变化；与当年预算一致，无增减变化。全年使用一般公共预算财政拨款安排的出国（境）团组0个，累计0人次。 </w:t>
      </w:r>
    </w:p>
    <w:p>
      <w:pPr>
        <w:numPr>
          <w:ilvl w:val="0"/>
          <w:numId w:val="0"/>
        </w:numPr>
        <w:spacing w:line="600" w:lineRule="exact"/>
        <w:ind w:firstLine="640" w:firstLineChars="200"/>
        <w:rPr>
          <w:rFonts w:hint="eastAsia" w:ascii="仿宋" w:hAnsi="仿宋" w:eastAsia="仿宋" w:cs="仿宋"/>
          <w:sz w:val="32"/>
          <w:szCs w:val="32"/>
        </w:rPr>
      </w:pPr>
      <w:r>
        <w:rPr>
          <w:rFonts w:hint="eastAsia" w:ascii="仿宋" w:hAnsi="仿宋" w:eastAsia="仿宋" w:cs="Times New Roman"/>
          <w:sz w:val="32"/>
          <w:szCs w:val="32"/>
          <w:lang w:val="en-US" w:eastAsia="zh-CN"/>
        </w:rPr>
        <w:t>2、</w:t>
      </w:r>
      <w:r>
        <w:rPr>
          <w:rFonts w:hint="eastAsia" w:ascii="仿宋" w:hAnsi="仿宋" w:eastAsia="仿宋" w:cs="Times New Roman"/>
          <w:sz w:val="32"/>
          <w:szCs w:val="32"/>
        </w:rPr>
        <w:t>公务接待费支出0元，与上年决算一致，无增减变化；与当年预算一致，无增减变化。全年使用一般公共预算财政拨款安排的公务接待0批次，0人次。</w:t>
      </w:r>
    </w:p>
    <w:p>
      <w:pPr>
        <w:numPr>
          <w:ilvl w:val="0"/>
          <w:numId w:val="0"/>
        </w:numPr>
        <w:spacing w:line="600" w:lineRule="exact"/>
        <w:ind w:firstLine="640" w:firstLineChars="200"/>
        <w:rPr>
          <w:rFonts w:hint="eastAsia" w:ascii="仿宋" w:hAnsi="仿宋" w:eastAsia="仿宋" w:cs="仿宋"/>
          <w:sz w:val="32"/>
          <w:szCs w:val="32"/>
        </w:rPr>
      </w:pPr>
      <w:r>
        <w:rPr>
          <w:rFonts w:hint="eastAsia" w:ascii="仿宋" w:hAnsi="仿宋" w:eastAsia="仿宋" w:cs="Times New Roman"/>
          <w:sz w:val="32"/>
          <w:szCs w:val="32"/>
          <w:lang w:val="en-US" w:eastAsia="zh-CN"/>
        </w:rPr>
        <w:t>3、</w:t>
      </w:r>
      <w:r>
        <w:rPr>
          <w:rFonts w:hint="eastAsia" w:ascii="仿宋" w:hAnsi="仿宋" w:eastAsia="仿宋" w:cs="Times New Roman"/>
          <w:sz w:val="32"/>
          <w:szCs w:val="32"/>
        </w:rPr>
        <w:t>公务用车购置及运行费支出0元。其中：（1）公务用车购置支出0元，与上年决算一致，无增减变化；与当年预算一致，无增减变化。本年度使用一般公共预算财政拨款购置公务用车0辆。（2）公务用车运行维护费支出0元，与上年决算一致，无增减变化；与当年预算一致，无增减变化。2018年度使用一般公共预算财政拨款开支维护费的公务用车保有量0辆。</w:t>
      </w:r>
    </w:p>
    <w:p>
      <w:pPr>
        <w:numPr>
          <w:ilvl w:val="0"/>
          <w:numId w:val="0"/>
        </w:num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会议费支出为0元。</w:t>
      </w:r>
      <w:r>
        <w:rPr>
          <w:rFonts w:hint="eastAsia" w:ascii="仿宋" w:hAnsi="仿宋" w:eastAsia="仿宋" w:cs="Times New Roman"/>
          <w:sz w:val="32"/>
          <w:szCs w:val="32"/>
        </w:rPr>
        <w:t>与上年</w:t>
      </w:r>
      <w:bookmarkStart w:id="0" w:name="_Hlk47543971"/>
      <w:r>
        <w:rPr>
          <w:rFonts w:hint="eastAsia" w:ascii="仿宋" w:hAnsi="仿宋" w:eastAsia="仿宋" w:cs="Times New Roman"/>
          <w:sz w:val="32"/>
          <w:szCs w:val="32"/>
        </w:rPr>
        <w:t>决算一致，无增减变化；与当年预算一致，无增减变化。</w:t>
      </w:r>
      <w:bookmarkEnd w:id="0"/>
    </w:p>
    <w:p>
      <w:pPr>
        <w:widowControl/>
        <w:numPr>
          <w:ilvl w:val="0"/>
          <w:numId w:val="0"/>
        </w:numPr>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培训费支出为0元。与上年</w:t>
      </w:r>
      <w:r>
        <w:rPr>
          <w:rFonts w:hint="eastAsia" w:ascii="仿宋" w:hAnsi="仿宋" w:eastAsia="仿宋" w:cs="Times New Roman"/>
          <w:sz w:val="32"/>
          <w:szCs w:val="32"/>
        </w:rPr>
        <w:t>决算一致，无增减变化；与当年预算一致，无增减变化。</w:t>
      </w:r>
      <w:r>
        <w:rPr>
          <w:rFonts w:ascii="华文仿宋" w:hAnsi="华文仿宋" w:eastAsia="华文仿宋" w:cs="宋体"/>
          <w:color w:val="3D3D3C"/>
          <w:kern w:val="0"/>
          <w:sz w:val="32"/>
          <w:szCs w:val="32"/>
        </w:rPr>
        <w:t xml:space="preserve">                                                                                                    </w:t>
      </w:r>
    </w:p>
    <w:p>
      <w:pPr>
        <w:widowControl/>
        <w:shd w:val="clear" w:color="auto" w:fill="FFFFFF"/>
        <w:spacing w:line="340" w:lineRule="atLeast"/>
        <w:ind w:firstLine="641" w:firstLineChars="200"/>
        <w:jc w:val="left"/>
        <w:rPr>
          <w:rFonts w:ascii="华文仿宋" w:hAnsi="华文仿宋" w:eastAsia="华文仿宋" w:cs="宋体"/>
          <w:b/>
          <w:color w:val="3D3D3C"/>
          <w:kern w:val="0"/>
          <w:sz w:val="32"/>
          <w:szCs w:val="32"/>
        </w:rPr>
      </w:pPr>
      <w:r>
        <w:rPr>
          <w:rFonts w:hint="eastAsia" w:ascii="华文仿宋" w:hAnsi="华文仿宋" w:eastAsia="华文仿宋" w:cs="宋体"/>
          <w:b/>
          <w:color w:val="3D3D3C"/>
          <w:kern w:val="0"/>
          <w:sz w:val="32"/>
          <w:szCs w:val="32"/>
        </w:rPr>
        <w:t>六、2018年度部门绩效管理情况说明</w:t>
      </w:r>
    </w:p>
    <w:p>
      <w:pPr>
        <w:spacing w:line="550" w:lineRule="exact"/>
        <w:ind w:firstLine="640" w:firstLineChars="200"/>
        <w:rPr>
          <w:rFonts w:ascii="仿宋" w:hAnsi="仿宋" w:eastAsia="仿宋"/>
          <w:sz w:val="32"/>
          <w:szCs w:val="32"/>
        </w:rPr>
      </w:pPr>
      <w:r>
        <w:rPr>
          <w:rFonts w:hint="eastAsia" w:ascii="仿宋" w:hAnsi="仿宋" w:eastAsia="仿宋" w:cs="仿宋"/>
          <w:sz w:val="32"/>
          <w:szCs w:val="32"/>
        </w:rPr>
        <w:t>根据预算绩效管理要求，本部门组织对2018年度一般公共预算项目支出全面开展绩效自评，</w:t>
      </w:r>
      <w:r>
        <w:rPr>
          <w:rFonts w:ascii="仿宋" w:hAnsi="仿宋" w:eastAsia="仿宋"/>
          <w:sz w:val="32"/>
          <w:szCs w:val="32"/>
        </w:rPr>
        <w:t>其中，一级项目</w:t>
      </w:r>
      <w:r>
        <w:rPr>
          <w:rFonts w:hint="eastAsia" w:ascii="仿宋" w:hAnsi="仿宋" w:eastAsia="仿宋"/>
          <w:sz w:val="32"/>
          <w:szCs w:val="32"/>
        </w:rPr>
        <w:t>0</w:t>
      </w:r>
      <w:r>
        <w:rPr>
          <w:rFonts w:ascii="仿宋" w:hAnsi="仿宋" w:eastAsia="仿宋"/>
          <w:sz w:val="32"/>
          <w:szCs w:val="32"/>
        </w:rPr>
        <w:t>个，二级项目</w:t>
      </w:r>
      <w:r>
        <w:rPr>
          <w:rFonts w:hint="eastAsia" w:ascii="仿宋" w:hAnsi="仿宋" w:eastAsia="仿宋"/>
          <w:sz w:val="32"/>
          <w:szCs w:val="32"/>
        </w:rPr>
        <w:t>1</w:t>
      </w:r>
      <w:r>
        <w:rPr>
          <w:rFonts w:ascii="仿宋" w:hAnsi="仿宋" w:eastAsia="仿宋"/>
          <w:sz w:val="32"/>
          <w:szCs w:val="32"/>
        </w:rPr>
        <w:t>个，共涉及资</w:t>
      </w:r>
      <w:r>
        <w:rPr>
          <w:rFonts w:ascii="仿宋" w:hAnsi="仿宋" w:eastAsia="仿宋"/>
          <w:color w:val="000000" w:themeColor="text1"/>
          <w:sz w:val="32"/>
          <w:szCs w:val="32"/>
          <w14:textFill>
            <w14:solidFill>
              <w14:schemeClr w14:val="tx1"/>
            </w14:solidFill>
          </w14:textFill>
        </w:rPr>
        <w:t>金</w:t>
      </w:r>
      <w:r>
        <w:rPr>
          <w:rFonts w:ascii="华文仿宋" w:hAnsi="华文仿宋" w:eastAsia="华文仿宋" w:cs="宋体"/>
          <w:color w:val="000000" w:themeColor="text1"/>
          <w:kern w:val="0"/>
          <w:sz w:val="32"/>
          <w:szCs w:val="32"/>
          <w14:textFill>
            <w14:solidFill>
              <w14:schemeClr w14:val="tx1"/>
            </w14:solidFill>
          </w14:textFill>
        </w:rPr>
        <w:t>3288.53</w:t>
      </w:r>
      <w:r>
        <w:rPr>
          <w:rFonts w:ascii="仿宋" w:hAnsi="仿宋" w:eastAsia="仿宋"/>
          <w:color w:val="000000" w:themeColor="text1"/>
          <w:sz w:val="32"/>
          <w:szCs w:val="32"/>
          <w14:textFill>
            <w14:solidFill>
              <w14:schemeClr w14:val="tx1"/>
            </w14:solidFill>
          </w14:textFill>
        </w:rPr>
        <w:t>万</w:t>
      </w:r>
      <w:r>
        <w:rPr>
          <w:rFonts w:ascii="仿宋" w:hAnsi="仿宋" w:eastAsia="仿宋"/>
          <w:sz w:val="32"/>
          <w:szCs w:val="32"/>
        </w:rPr>
        <w:t>元，占一般公共预算项目支出总额的95%。</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2018年西安蓝田工业园管理委员会部门整体支出评价得分为 96 </w:t>
      </w:r>
      <w:r>
        <w:rPr>
          <w:rFonts w:hint="eastAsia" w:ascii="仿宋" w:hAnsi="仿宋" w:eastAsia="仿宋" w:cs="仿宋"/>
          <w:b/>
          <w:sz w:val="32"/>
          <w:szCs w:val="32"/>
        </w:rPr>
        <w:t>分</w:t>
      </w:r>
      <w:r>
        <w:rPr>
          <w:rFonts w:hint="eastAsia" w:ascii="仿宋" w:hAnsi="仿宋" w:eastAsia="仿宋" w:cs="仿宋"/>
          <w:sz w:val="32"/>
          <w:szCs w:val="32"/>
        </w:rPr>
        <w:t xml:space="preserve">，评价结果为“ 优 </w:t>
      </w:r>
      <w:r>
        <w:rPr>
          <w:rFonts w:hint="eastAsia" w:ascii="仿宋" w:hAnsi="仿宋" w:eastAsia="仿宋" w:cs="仿宋"/>
          <w:b/>
          <w:sz w:val="32"/>
          <w:szCs w:val="32"/>
        </w:rPr>
        <w:t>”</w:t>
      </w:r>
      <w:r>
        <w:rPr>
          <w:rFonts w:hint="eastAsia" w:ascii="仿宋" w:hAnsi="仿宋" w:eastAsia="仿宋" w:cs="仿宋"/>
          <w:sz w:val="32"/>
          <w:szCs w:val="32"/>
        </w:rPr>
        <w:t>。</w:t>
      </w:r>
    </w:p>
    <w:p>
      <w:pPr>
        <w:ind w:firstLine="602"/>
        <w:rPr>
          <w:rFonts w:hint="eastAsia" w:ascii="仿宋" w:hAnsi="仿宋" w:eastAsia="仿宋" w:cs="仿宋"/>
          <w:b/>
          <w:sz w:val="32"/>
          <w:szCs w:val="32"/>
        </w:rPr>
      </w:pPr>
      <w:r>
        <w:rPr>
          <w:rFonts w:hint="eastAsia" w:ascii="仿宋" w:hAnsi="仿宋" w:eastAsia="仿宋" w:cs="仿宋"/>
          <w:bCs/>
          <w:sz w:val="32"/>
          <w:szCs w:val="32"/>
        </w:rPr>
        <w:t>部门整体评价综合得分表：</w:t>
      </w:r>
    </w:p>
    <w:tbl>
      <w:tblPr>
        <w:tblStyle w:val="6"/>
        <w:tblW w:w="21314" w:type="dxa"/>
        <w:tblInd w:w="-2"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2945"/>
        <w:gridCol w:w="3261"/>
        <w:gridCol w:w="15108"/>
      </w:tblGrid>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90" w:hRule="atLeast"/>
        </w:trPr>
        <w:tc>
          <w:tcPr>
            <w:tcW w:w="2945" w:type="dxa"/>
            <w:tcBorders>
              <w:top w:val="single" w:color="auto" w:sz="12" w:space="0"/>
            </w:tcBorders>
            <w:vAlign w:val="center"/>
          </w:tcPr>
          <w:p>
            <w:pPr>
              <w:ind w:firstLine="198" w:firstLineChars="71"/>
              <w:rPr>
                <w:rFonts w:hint="eastAsia" w:ascii="仿宋" w:hAnsi="仿宋" w:eastAsia="仿宋" w:cs="仿宋"/>
                <w:kern w:val="0"/>
                <w:sz w:val="28"/>
                <w:szCs w:val="28"/>
              </w:rPr>
            </w:pPr>
            <w:r>
              <w:rPr>
                <w:rFonts w:hint="eastAsia" w:ascii="仿宋" w:hAnsi="仿宋" w:eastAsia="仿宋" w:cs="仿宋"/>
                <w:kern w:val="0"/>
                <w:sz w:val="28"/>
                <w:szCs w:val="28"/>
              </w:rPr>
              <w:t>项目</w:t>
            </w:r>
          </w:p>
        </w:tc>
        <w:tc>
          <w:tcPr>
            <w:tcW w:w="3261" w:type="dxa"/>
            <w:tcBorders>
              <w:top w:val="single" w:color="auto" w:sz="12" w:space="0"/>
            </w:tcBorders>
            <w:vAlign w:val="center"/>
          </w:tcPr>
          <w:p>
            <w:pPr>
              <w:rPr>
                <w:rFonts w:hint="eastAsia" w:ascii="仿宋" w:hAnsi="仿宋" w:eastAsia="仿宋" w:cs="仿宋"/>
                <w:kern w:val="0"/>
                <w:sz w:val="28"/>
                <w:szCs w:val="28"/>
              </w:rPr>
            </w:pPr>
            <w:r>
              <w:rPr>
                <w:rFonts w:hint="eastAsia" w:ascii="仿宋" w:hAnsi="仿宋" w:eastAsia="仿宋" w:cs="仿宋"/>
                <w:kern w:val="0"/>
                <w:sz w:val="28"/>
                <w:szCs w:val="28"/>
              </w:rPr>
              <w:t>标准分值</w:t>
            </w:r>
          </w:p>
        </w:tc>
        <w:tc>
          <w:tcPr>
            <w:tcW w:w="15108" w:type="dxa"/>
            <w:tcBorders>
              <w:top w:val="single" w:color="auto" w:sz="12" w:space="0"/>
            </w:tcBorders>
            <w:vAlign w:val="center"/>
          </w:tcPr>
          <w:p>
            <w:pPr>
              <w:wordWrap w:val="0"/>
              <w:ind w:right="420"/>
              <w:rPr>
                <w:rFonts w:hint="eastAsia" w:ascii="仿宋" w:hAnsi="仿宋" w:eastAsia="仿宋" w:cs="仿宋"/>
                <w:kern w:val="0"/>
                <w:sz w:val="28"/>
                <w:szCs w:val="28"/>
              </w:rPr>
            </w:pPr>
            <w:r>
              <w:rPr>
                <w:rFonts w:hint="eastAsia" w:ascii="仿宋" w:hAnsi="仿宋" w:eastAsia="仿宋" w:cs="仿宋"/>
                <w:kern w:val="0"/>
                <w:sz w:val="28"/>
                <w:szCs w:val="28"/>
              </w:rPr>
              <w:t>项目得分</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54" w:hRule="atLeast"/>
        </w:trPr>
        <w:tc>
          <w:tcPr>
            <w:tcW w:w="2945" w:type="dxa"/>
            <w:vAlign w:val="center"/>
          </w:tcPr>
          <w:p>
            <w:pPr>
              <w:rPr>
                <w:rFonts w:hint="eastAsia" w:ascii="仿宋" w:hAnsi="仿宋" w:eastAsia="仿宋" w:cs="仿宋"/>
                <w:kern w:val="0"/>
                <w:sz w:val="28"/>
                <w:szCs w:val="28"/>
              </w:rPr>
            </w:pPr>
            <w:r>
              <w:rPr>
                <w:rFonts w:hint="eastAsia" w:ascii="仿宋" w:hAnsi="仿宋" w:eastAsia="仿宋" w:cs="仿宋"/>
                <w:kern w:val="0"/>
                <w:sz w:val="28"/>
                <w:szCs w:val="28"/>
              </w:rPr>
              <w:t>一、投入类</w:t>
            </w:r>
          </w:p>
        </w:tc>
        <w:tc>
          <w:tcPr>
            <w:tcW w:w="3261" w:type="dxa"/>
            <w:vAlign w:val="center"/>
          </w:tcPr>
          <w:p>
            <w:pPr>
              <w:ind w:firstLine="420"/>
              <w:rPr>
                <w:rFonts w:hint="eastAsia" w:ascii="仿宋" w:hAnsi="仿宋" w:eastAsia="仿宋" w:cs="仿宋"/>
                <w:sz w:val="28"/>
                <w:szCs w:val="28"/>
              </w:rPr>
            </w:pPr>
            <w:r>
              <w:rPr>
                <w:rFonts w:hint="eastAsia" w:ascii="仿宋" w:hAnsi="仿宋" w:eastAsia="仿宋" w:cs="仿宋"/>
                <w:sz w:val="28"/>
                <w:szCs w:val="28"/>
              </w:rPr>
              <w:t>15.00</w:t>
            </w:r>
          </w:p>
        </w:tc>
        <w:tc>
          <w:tcPr>
            <w:tcW w:w="15108" w:type="dxa"/>
            <w:vAlign w:val="center"/>
          </w:tcPr>
          <w:p>
            <w:pPr>
              <w:ind w:firstLine="420"/>
              <w:rPr>
                <w:rFonts w:hint="eastAsia" w:ascii="仿宋" w:hAnsi="仿宋" w:eastAsia="仿宋" w:cs="仿宋"/>
                <w:sz w:val="28"/>
                <w:szCs w:val="28"/>
              </w:rPr>
            </w:pPr>
            <w:r>
              <w:rPr>
                <w:rFonts w:hint="eastAsia" w:ascii="仿宋" w:hAnsi="仿宋" w:eastAsia="仿宋" w:cs="仿宋"/>
                <w:sz w:val="28"/>
                <w:szCs w:val="28"/>
              </w:rPr>
              <w:t xml:space="preserve"> 13 </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54" w:hRule="atLeast"/>
        </w:trPr>
        <w:tc>
          <w:tcPr>
            <w:tcW w:w="2945" w:type="dxa"/>
            <w:vAlign w:val="center"/>
          </w:tcPr>
          <w:p>
            <w:pPr>
              <w:rPr>
                <w:rFonts w:hint="eastAsia" w:ascii="仿宋" w:hAnsi="仿宋" w:eastAsia="仿宋" w:cs="仿宋"/>
                <w:kern w:val="0"/>
                <w:sz w:val="28"/>
                <w:szCs w:val="28"/>
              </w:rPr>
            </w:pPr>
            <w:r>
              <w:rPr>
                <w:rFonts w:hint="eastAsia" w:ascii="仿宋" w:hAnsi="仿宋" w:eastAsia="仿宋" w:cs="仿宋"/>
                <w:kern w:val="0"/>
                <w:sz w:val="28"/>
                <w:szCs w:val="28"/>
              </w:rPr>
              <w:t>二、过程类</w:t>
            </w:r>
          </w:p>
        </w:tc>
        <w:tc>
          <w:tcPr>
            <w:tcW w:w="3261" w:type="dxa"/>
            <w:vAlign w:val="center"/>
          </w:tcPr>
          <w:p>
            <w:pPr>
              <w:ind w:firstLine="420"/>
              <w:rPr>
                <w:rFonts w:hint="eastAsia" w:ascii="仿宋" w:hAnsi="仿宋" w:eastAsia="仿宋" w:cs="仿宋"/>
                <w:sz w:val="28"/>
                <w:szCs w:val="28"/>
              </w:rPr>
            </w:pPr>
            <w:r>
              <w:rPr>
                <w:rFonts w:hint="eastAsia" w:ascii="仿宋" w:hAnsi="仿宋" w:eastAsia="仿宋" w:cs="仿宋"/>
                <w:sz w:val="28"/>
                <w:szCs w:val="28"/>
              </w:rPr>
              <w:t>40.00</w:t>
            </w:r>
          </w:p>
        </w:tc>
        <w:tc>
          <w:tcPr>
            <w:tcW w:w="15108" w:type="dxa"/>
            <w:vAlign w:val="center"/>
          </w:tcPr>
          <w:p>
            <w:pPr>
              <w:ind w:firstLine="420"/>
              <w:rPr>
                <w:rFonts w:hint="eastAsia" w:ascii="仿宋" w:hAnsi="仿宋" w:eastAsia="仿宋" w:cs="仿宋"/>
                <w:sz w:val="28"/>
                <w:szCs w:val="28"/>
              </w:rPr>
            </w:pPr>
            <w:r>
              <w:rPr>
                <w:rFonts w:hint="eastAsia" w:ascii="仿宋" w:hAnsi="仿宋" w:eastAsia="仿宋" w:cs="仿宋"/>
                <w:sz w:val="28"/>
                <w:szCs w:val="28"/>
              </w:rPr>
              <w:t xml:space="preserve"> 38</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54" w:hRule="atLeast"/>
        </w:trPr>
        <w:tc>
          <w:tcPr>
            <w:tcW w:w="2945" w:type="dxa"/>
            <w:vAlign w:val="center"/>
          </w:tcPr>
          <w:p>
            <w:pPr>
              <w:rPr>
                <w:rFonts w:hint="eastAsia" w:ascii="仿宋" w:hAnsi="仿宋" w:eastAsia="仿宋" w:cs="仿宋"/>
                <w:kern w:val="0"/>
                <w:sz w:val="28"/>
                <w:szCs w:val="28"/>
              </w:rPr>
            </w:pPr>
            <w:r>
              <w:rPr>
                <w:rFonts w:hint="eastAsia" w:ascii="仿宋" w:hAnsi="仿宋" w:eastAsia="仿宋" w:cs="仿宋"/>
                <w:kern w:val="0"/>
                <w:sz w:val="28"/>
                <w:szCs w:val="28"/>
              </w:rPr>
              <w:t>三、产出类</w:t>
            </w:r>
          </w:p>
        </w:tc>
        <w:tc>
          <w:tcPr>
            <w:tcW w:w="3261" w:type="dxa"/>
            <w:vAlign w:val="center"/>
          </w:tcPr>
          <w:p>
            <w:pPr>
              <w:ind w:firstLine="420"/>
              <w:rPr>
                <w:rFonts w:hint="eastAsia" w:ascii="仿宋" w:hAnsi="仿宋" w:eastAsia="仿宋" w:cs="仿宋"/>
                <w:sz w:val="28"/>
                <w:szCs w:val="28"/>
              </w:rPr>
            </w:pPr>
            <w:r>
              <w:rPr>
                <w:rFonts w:hint="eastAsia" w:ascii="仿宋" w:hAnsi="仿宋" w:eastAsia="仿宋" w:cs="仿宋"/>
                <w:sz w:val="28"/>
                <w:szCs w:val="28"/>
              </w:rPr>
              <w:t>20.00</w:t>
            </w:r>
          </w:p>
        </w:tc>
        <w:tc>
          <w:tcPr>
            <w:tcW w:w="15108" w:type="dxa"/>
            <w:vAlign w:val="center"/>
          </w:tcPr>
          <w:p>
            <w:pPr>
              <w:ind w:firstLine="420"/>
              <w:rPr>
                <w:rFonts w:hint="eastAsia" w:ascii="仿宋" w:hAnsi="仿宋" w:eastAsia="仿宋" w:cs="仿宋"/>
                <w:sz w:val="28"/>
                <w:szCs w:val="28"/>
              </w:rPr>
            </w:pPr>
            <w:r>
              <w:rPr>
                <w:rFonts w:hint="eastAsia" w:ascii="仿宋" w:hAnsi="仿宋" w:eastAsia="仿宋" w:cs="仿宋"/>
                <w:sz w:val="28"/>
                <w:szCs w:val="28"/>
              </w:rPr>
              <w:t xml:space="preserve"> 20</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34" w:hRule="atLeast"/>
        </w:trPr>
        <w:tc>
          <w:tcPr>
            <w:tcW w:w="2945" w:type="dxa"/>
            <w:vAlign w:val="center"/>
          </w:tcPr>
          <w:p>
            <w:pPr>
              <w:rPr>
                <w:rFonts w:hint="eastAsia" w:ascii="仿宋" w:hAnsi="仿宋" w:eastAsia="仿宋" w:cs="仿宋"/>
                <w:kern w:val="0"/>
                <w:sz w:val="28"/>
                <w:szCs w:val="28"/>
              </w:rPr>
            </w:pPr>
            <w:r>
              <w:rPr>
                <w:rFonts w:hint="eastAsia" w:ascii="仿宋" w:hAnsi="仿宋" w:eastAsia="仿宋" w:cs="仿宋"/>
                <w:kern w:val="0"/>
                <w:sz w:val="28"/>
                <w:szCs w:val="28"/>
              </w:rPr>
              <w:t>四、效果类</w:t>
            </w:r>
          </w:p>
        </w:tc>
        <w:tc>
          <w:tcPr>
            <w:tcW w:w="3261" w:type="dxa"/>
            <w:vAlign w:val="center"/>
          </w:tcPr>
          <w:p>
            <w:pPr>
              <w:ind w:firstLine="420"/>
              <w:rPr>
                <w:rFonts w:hint="eastAsia" w:ascii="仿宋" w:hAnsi="仿宋" w:eastAsia="仿宋" w:cs="仿宋"/>
                <w:sz w:val="28"/>
                <w:szCs w:val="28"/>
              </w:rPr>
            </w:pPr>
            <w:r>
              <w:rPr>
                <w:rFonts w:hint="eastAsia" w:ascii="仿宋" w:hAnsi="仿宋" w:eastAsia="仿宋" w:cs="仿宋"/>
                <w:sz w:val="28"/>
                <w:szCs w:val="28"/>
              </w:rPr>
              <w:t>25.00</w:t>
            </w:r>
          </w:p>
        </w:tc>
        <w:tc>
          <w:tcPr>
            <w:tcW w:w="15108" w:type="dxa"/>
            <w:vAlign w:val="center"/>
          </w:tcPr>
          <w:p>
            <w:pPr>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25 </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4" w:hRule="atLeast"/>
        </w:trPr>
        <w:tc>
          <w:tcPr>
            <w:tcW w:w="2945" w:type="dxa"/>
            <w:vAlign w:val="center"/>
          </w:tcPr>
          <w:p>
            <w:pPr>
              <w:rPr>
                <w:rFonts w:hint="eastAsia" w:ascii="仿宋" w:hAnsi="仿宋" w:eastAsia="仿宋" w:cs="仿宋"/>
                <w:b/>
                <w:bCs/>
                <w:kern w:val="0"/>
                <w:sz w:val="28"/>
                <w:szCs w:val="28"/>
              </w:rPr>
            </w:pPr>
            <w:r>
              <w:rPr>
                <w:rFonts w:hint="eastAsia" w:ascii="仿宋" w:hAnsi="仿宋" w:eastAsia="仿宋" w:cs="仿宋"/>
                <w:b/>
                <w:bCs/>
                <w:kern w:val="0"/>
                <w:sz w:val="28"/>
                <w:szCs w:val="28"/>
              </w:rPr>
              <w:t>合计</w:t>
            </w:r>
          </w:p>
        </w:tc>
        <w:tc>
          <w:tcPr>
            <w:tcW w:w="3261" w:type="dxa"/>
            <w:vAlign w:val="center"/>
          </w:tcPr>
          <w:p>
            <w:pPr>
              <w:ind w:firstLine="420"/>
              <w:rPr>
                <w:rFonts w:hint="eastAsia" w:ascii="仿宋" w:hAnsi="仿宋" w:eastAsia="仿宋" w:cs="仿宋"/>
                <w:sz w:val="28"/>
                <w:szCs w:val="28"/>
              </w:rPr>
            </w:pPr>
            <w:r>
              <w:rPr>
                <w:rFonts w:hint="eastAsia" w:ascii="仿宋" w:hAnsi="仿宋" w:eastAsia="仿宋" w:cs="仿宋"/>
                <w:sz w:val="28"/>
                <w:szCs w:val="28"/>
              </w:rPr>
              <w:t>100.00</w:t>
            </w:r>
          </w:p>
        </w:tc>
        <w:tc>
          <w:tcPr>
            <w:tcW w:w="15108" w:type="dxa"/>
            <w:vAlign w:val="center"/>
          </w:tcPr>
          <w:p>
            <w:pPr>
              <w:ind w:firstLine="560" w:firstLineChars="200"/>
              <w:rPr>
                <w:rFonts w:hint="eastAsia" w:ascii="仿宋" w:hAnsi="仿宋" w:eastAsia="仿宋" w:cs="仿宋"/>
                <w:sz w:val="28"/>
                <w:szCs w:val="28"/>
              </w:rPr>
            </w:pPr>
            <w:r>
              <w:rPr>
                <w:rFonts w:hint="eastAsia" w:ascii="仿宋" w:hAnsi="仿宋" w:eastAsia="仿宋" w:cs="仿宋"/>
                <w:sz w:val="28"/>
                <w:szCs w:val="28"/>
              </w:rPr>
              <w:t>96</w:t>
            </w:r>
          </w:p>
        </w:tc>
      </w:tr>
    </w:tbl>
    <w:p>
      <w:pPr>
        <w:widowControl/>
        <w:shd w:val="clear" w:color="auto" w:fill="FFFFFF"/>
        <w:spacing w:line="340" w:lineRule="atLeast"/>
        <w:ind w:firstLine="640" w:firstLineChars="200"/>
        <w:jc w:val="left"/>
        <w:rPr>
          <w:rFonts w:hint="eastAsia" w:ascii="华文仿宋" w:hAnsi="华文仿宋" w:eastAsia="华文仿宋" w:cs="宋体"/>
          <w:color w:val="3D3D3C"/>
          <w:kern w:val="0"/>
          <w:sz w:val="32"/>
          <w:szCs w:val="32"/>
        </w:rPr>
      </w:pPr>
    </w:p>
    <w:p>
      <w:pPr>
        <w:widowControl/>
        <w:shd w:val="clear" w:color="auto" w:fill="FFFFFF"/>
        <w:spacing w:line="340" w:lineRule="atLeast"/>
        <w:ind w:firstLine="641" w:firstLineChars="200"/>
        <w:jc w:val="left"/>
        <w:rPr>
          <w:rFonts w:ascii="华文仿宋" w:hAnsi="华文仿宋" w:eastAsia="华文仿宋" w:cs="宋体"/>
          <w:b/>
          <w:color w:val="3D3D3C"/>
          <w:kern w:val="0"/>
          <w:sz w:val="32"/>
          <w:szCs w:val="32"/>
        </w:rPr>
      </w:pPr>
      <w:r>
        <w:rPr>
          <w:rFonts w:hint="eastAsia" w:ascii="华文仿宋" w:hAnsi="华文仿宋" w:eastAsia="华文仿宋" w:cs="宋体"/>
          <w:b/>
          <w:color w:val="3D3D3C"/>
          <w:kern w:val="0"/>
          <w:sz w:val="32"/>
          <w:szCs w:val="32"/>
        </w:rPr>
        <w:t>七、其他重要事项的情况说明</w:t>
      </w:r>
    </w:p>
    <w:p>
      <w:pPr>
        <w:widowControl/>
        <w:shd w:val="clear" w:color="auto" w:fill="FFFFFF"/>
        <w:spacing w:line="340" w:lineRule="atLeast"/>
        <w:ind w:firstLine="48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（一）机关运行经费支出情况。</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2018年机关运行费用146.70万元，比上年减少340.17万元。主要为： 2017年机关运行费用486.87万元，其中人员经费127.74万元，公用经费14.16万元，温泉职工改制补助安置345万元；2018年机关运行费用146.70元，其中人员工资支出123.42万元，商品和服务支出18万元，对个人和家庭的补助5.28万元，主要减少原因为2018年无温泉职工改制补助安置费用。</w:t>
      </w:r>
    </w:p>
    <w:p>
      <w:pPr>
        <w:widowControl/>
        <w:shd w:val="clear" w:color="auto" w:fill="FFFFFF"/>
        <w:spacing w:line="340" w:lineRule="atLeast"/>
        <w:ind w:firstLine="48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（二）国有资产占用及购置情况说明。</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截至2018年末，本部门无公务车辆；单价50万元以上的通用设备0台（套）；单价100万元以上的通用设备0台（套）。2018年当年购置车辆0辆；购置单价50万元以上的设备0台（套）；购置单价100万元以上的通用设备0台（套）。</w:t>
      </w:r>
    </w:p>
    <w:p>
      <w:pPr>
        <w:widowControl/>
        <w:shd w:val="clear" w:color="auto" w:fill="FFFFFF"/>
        <w:spacing w:line="340" w:lineRule="atLeast"/>
        <w:ind w:firstLine="641" w:firstLineChars="200"/>
        <w:jc w:val="left"/>
        <w:rPr>
          <w:rFonts w:ascii="华文仿宋" w:hAnsi="华文仿宋" w:eastAsia="华文仿宋" w:cs="宋体"/>
          <w:b/>
          <w:color w:val="3D3D3C"/>
          <w:kern w:val="0"/>
          <w:sz w:val="32"/>
          <w:szCs w:val="32"/>
        </w:rPr>
      </w:pPr>
      <w:r>
        <w:rPr>
          <w:rFonts w:hint="eastAsia" w:ascii="华文仿宋" w:hAnsi="华文仿宋" w:eastAsia="华文仿宋" w:cs="宋体"/>
          <w:b/>
          <w:color w:val="3D3D3C"/>
          <w:kern w:val="0"/>
          <w:sz w:val="32"/>
          <w:szCs w:val="32"/>
        </w:rPr>
        <w:t>八、专业名词解释</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1、基本支出：指为保障机构正常运转、完成日常工作任务而发生的各项支出。</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2、项目支出：指单位为完成特定的行政工作任务或事业发展目标所发生的各项支出。</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3、“三公”经费：指部门使用一般公共预算财政拨款安排的因公出国（境）费、公务用车购置及运行费和公务接待费支出。</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4、机关运行经费：指行政单位和参照公务员法管理的事业单位使用一般公共预算财政拨款安排的日常公用经费支出。</w:t>
      </w:r>
    </w:p>
    <w:p>
      <w:pPr>
        <w:widowControl/>
        <w:shd w:val="clear" w:color="auto" w:fill="FFFFFF"/>
        <w:spacing w:line="340" w:lineRule="atLeast"/>
        <w:ind w:firstLine="641" w:firstLineChars="200"/>
        <w:jc w:val="left"/>
        <w:rPr>
          <w:rFonts w:ascii="华文仿宋" w:hAnsi="华文仿宋" w:eastAsia="华文仿宋" w:cs="宋体"/>
          <w:b/>
          <w:bCs/>
          <w:color w:val="3D3D3C"/>
          <w:kern w:val="0"/>
          <w:sz w:val="32"/>
          <w:szCs w:val="32"/>
        </w:rPr>
      </w:pPr>
      <w:r>
        <w:rPr>
          <w:rFonts w:hint="eastAsia" w:ascii="华文仿宋" w:hAnsi="华文仿宋" w:eastAsia="华文仿宋" w:cs="宋体"/>
          <w:b/>
          <w:bCs/>
          <w:color w:val="3D3D3C"/>
          <w:kern w:val="0"/>
          <w:sz w:val="32"/>
          <w:szCs w:val="32"/>
        </w:rPr>
        <w:t>九、部门决算表</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封面、目录</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（一）收支决算总表。(公开01表)</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（二）收入决算表。(公开02表)</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（三）支出决算表。(公开03表)</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（四）财政拨款收入支出决算总表。(公开04表)</w:t>
      </w:r>
      <w:bookmarkStart w:id="1" w:name="_GoBack"/>
      <w:bookmarkEnd w:id="1"/>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（五）一般公共预算财政拨款支出决算表。(公开05表)</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（六）一般公共预算财政拨款基本支出决算表。（公开06表)</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（七）一般公共预算财政拨款安排的“三公经费”支出表。(公开07表)</w:t>
      </w:r>
    </w:p>
    <w:p>
      <w:pPr>
        <w:widowControl/>
        <w:shd w:val="clear" w:color="auto" w:fill="FFFFFF"/>
        <w:spacing w:line="340" w:lineRule="atLeast"/>
        <w:ind w:firstLine="640" w:firstLineChars="200"/>
        <w:jc w:val="left"/>
        <w:rPr>
          <w:rFonts w:ascii="华文仿宋" w:hAnsi="华文仿宋" w:eastAsia="华文仿宋" w:cs="宋体"/>
          <w:color w:val="3D3D3C"/>
          <w:kern w:val="0"/>
          <w:sz w:val="32"/>
          <w:szCs w:val="32"/>
        </w:rPr>
      </w:pPr>
      <w:r>
        <w:rPr>
          <w:rFonts w:hint="eastAsia" w:ascii="华文仿宋" w:hAnsi="华文仿宋" w:eastAsia="华文仿宋" w:cs="宋体"/>
          <w:color w:val="3D3D3C"/>
          <w:kern w:val="0"/>
          <w:sz w:val="32"/>
          <w:szCs w:val="32"/>
        </w:rPr>
        <w:t>（八）政府性基金预算财政拨款收入支出决算表。(公开08表)</w:t>
      </w:r>
    </w:p>
    <w:p>
      <w:pPr>
        <w:widowControl/>
        <w:shd w:val="clear" w:color="auto" w:fill="FFFFFF"/>
        <w:spacing w:line="340" w:lineRule="atLeast"/>
        <w:ind w:firstLine="640" w:firstLineChars="200"/>
        <w:jc w:val="left"/>
        <w:rPr>
          <w:rFonts w:ascii="微软雅黑" w:hAnsi="微软雅黑" w:eastAsia="微软雅黑"/>
          <w:color w:val="3D3D3C"/>
          <w:szCs w:val="21"/>
        </w:rPr>
      </w:pPr>
      <w:r>
        <w:rPr>
          <w:rFonts w:hint="eastAsia" w:ascii="华文仿宋" w:hAnsi="华文仿宋" w:eastAsia="华文仿宋" w:cs="宋体"/>
          <w:color w:val="3D3D3C"/>
          <w:kern w:val="0"/>
          <w:sz w:val="32"/>
          <w:szCs w:val="32"/>
        </w:rPr>
        <w:t>（九）政府采购决算表。（公开09表）</w:t>
      </w:r>
    </w:p>
    <w:p>
      <w:pPr>
        <w:pStyle w:val="5"/>
        <w:shd w:val="clear" w:color="auto" w:fill="FFFFFF"/>
        <w:spacing w:before="0" w:beforeAutospacing="0" w:after="0" w:afterAutospacing="0"/>
        <w:ind w:firstLine="640" w:firstLineChars="200"/>
        <w:rPr>
          <w:rFonts w:ascii="华文仿宋" w:hAnsi="华文仿宋" w:eastAsia="华文仿宋"/>
          <w:color w:val="3D3D3C"/>
          <w:sz w:val="32"/>
          <w:szCs w:val="32"/>
          <w:highlight w:val="yellow"/>
        </w:rPr>
      </w:pPr>
    </w:p>
    <w:p>
      <w:pPr>
        <w:pStyle w:val="5"/>
        <w:shd w:val="clear" w:color="auto" w:fill="FFFFFF"/>
        <w:spacing w:before="0" w:beforeAutospacing="0" w:after="0" w:afterAutospacing="0"/>
        <w:ind w:firstLine="640" w:firstLineChars="200"/>
        <w:rPr>
          <w:rFonts w:ascii="华文仿宋" w:hAnsi="华文仿宋" w:eastAsia="华文仿宋"/>
          <w:color w:val="3D3D3C"/>
          <w:sz w:val="32"/>
          <w:szCs w:val="32"/>
          <w:highlight w:val="yellow"/>
        </w:rPr>
      </w:pPr>
    </w:p>
    <w:p>
      <w:pPr>
        <w:pStyle w:val="5"/>
        <w:shd w:val="clear" w:color="auto" w:fill="FFFFFF"/>
        <w:spacing w:before="0" w:beforeAutospacing="0" w:after="0" w:afterAutospacing="0"/>
        <w:ind w:firstLine="640" w:firstLineChars="200"/>
        <w:rPr>
          <w:rFonts w:ascii="华文仿宋" w:hAnsi="华文仿宋" w:eastAsia="华文仿宋"/>
          <w:color w:val="3D3D3C"/>
          <w:sz w:val="32"/>
          <w:szCs w:val="32"/>
          <w:highlight w:val="yellow"/>
        </w:rPr>
      </w:pPr>
    </w:p>
    <w:p>
      <w:pPr>
        <w:pStyle w:val="5"/>
        <w:shd w:val="clear" w:color="auto" w:fill="FFFFFF"/>
        <w:spacing w:before="0" w:beforeAutospacing="0" w:after="0" w:afterAutospacing="0"/>
        <w:ind w:firstLine="640" w:firstLineChars="200"/>
        <w:rPr>
          <w:rFonts w:ascii="华文仿宋" w:hAnsi="华文仿宋" w:eastAsia="华文仿宋"/>
          <w:color w:val="3D3D3C"/>
          <w:sz w:val="32"/>
          <w:szCs w:val="32"/>
          <w:highlight w:val="yellow"/>
        </w:rPr>
      </w:pPr>
    </w:p>
    <w:p>
      <w:pPr>
        <w:widowControl/>
        <w:shd w:val="clear" w:color="auto" w:fill="FFFFFF"/>
        <w:ind w:firstLine="480"/>
        <w:jc w:val="center"/>
        <w:rPr>
          <w:rFonts w:ascii="微软雅黑" w:hAnsi="微软雅黑" w:eastAsia="微软雅黑" w:cs="宋体"/>
          <w:color w:val="3D3D3C"/>
          <w:kern w:val="0"/>
          <w:szCs w:val="21"/>
        </w:rPr>
      </w:pPr>
      <w:r>
        <w:rPr>
          <w:rFonts w:hint="eastAsia" w:ascii="微软雅黑" w:hAnsi="微软雅黑" w:eastAsia="微软雅黑" w:cs="宋体"/>
          <w:b/>
          <w:bCs/>
          <w:color w:val="3D3D3C"/>
          <w:kern w:val="0"/>
          <w:sz w:val="48"/>
        </w:rPr>
        <w:t>2018年部门决算公开报表</w:t>
      </w:r>
    </w:p>
    <w:p>
      <w:pPr>
        <w:widowControl/>
        <w:shd w:val="clear" w:color="auto" w:fill="FFFFFF"/>
        <w:ind w:firstLine="480"/>
        <w:jc w:val="center"/>
        <w:rPr>
          <w:rFonts w:ascii="微软雅黑" w:hAnsi="微软雅黑" w:eastAsia="微软雅黑" w:cs="宋体"/>
          <w:color w:val="3D3D3C"/>
          <w:kern w:val="0"/>
          <w:szCs w:val="21"/>
        </w:rPr>
      </w:pPr>
      <w:r>
        <w:rPr>
          <w:rFonts w:hint="eastAsia" w:ascii="微软雅黑" w:hAnsi="微软雅黑" w:eastAsia="微软雅黑" w:cs="宋体"/>
          <w:color w:val="3D3D3C"/>
          <w:kern w:val="0"/>
          <w:szCs w:val="21"/>
        </w:rPr>
        <w:t> </w:t>
      </w:r>
    </w:p>
    <w:p>
      <w:pPr>
        <w:widowControl/>
        <w:shd w:val="clear" w:color="auto" w:fill="FFFFFF"/>
        <w:ind w:firstLine="480"/>
        <w:jc w:val="center"/>
        <w:rPr>
          <w:rFonts w:ascii="微软雅黑" w:hAnsi="微软雅黑" w:eastAsia="微软雅黑" w:cs="宋体"/>
          <w:color w:val="3D3D3C"/>
          <w:kern w:val="0"/>
          <w:szCs w:val="21"/>
        </w:rPr>
      </w:pPr>
      <w:r>
        <w:rPr>
          <w:rFonts w:hint="eastAsia" w:ascii="微软雅黑" w:hAnsi="微软雅黑" w:eastAsia="微软雅黑" w:cs="宋体"/>
          <w:color w:val="3D3D3C"/>
          <w:kern w:val="0"/>
          <w:szCs w:val="21"/>
        </w:rPr>
        <w:t> </w:t>
      </w:r>
    </w:p>
    <w:p>
      <w:pPr>
        <w:widowControl/>
        <w:shd w:val="clear" w:color="auto" w:fill="FFFFFF"/>
        <w:ind w:firstLine="480"/>
        <w:jc w:val="left"/>
        <w:rPr>
          <w:rFonts w:ascii="微软雅黑" w:hAnsi="微软雅黑" w:eastAsia="微软雅黑" w:cs="宋体"/>
          <w:color w:val="3D3D3C"/>
          <w:kern w:val="0"/>
          <w:szCs w:val="21"/>
        </w:rPr>
      </w:pPr>
      <w:r>
        <w:rPr>
          <w:rFonts w:hint="eastAsia" w:ascii="微软雅黑" w:hAnsi="微软雅黑" w:eastAsia="微软雅黑" w:cs="宋体"/>
          <w:color w:val="3D3D3C"/>
          <w:kern w:val="0"/>
          <w:sz w:val="27"/>
          <w:szCs w:val="27"/>
        </w:rPr>
        <w:t>部门名称：西安蓝田工业园管理委员会</w:t>
      </w:r>
    </w:p>
    <w:p>
      <w:pPr>
        <w:widowControl/>
        <w:shd w:val="clear" w:color="auto" w:fill="FFFFFF"/>
        <w:ind w:firstLine="480"/>
        <w:jc w:val="left"/>
        <w:rPr>
          <w:rFonts w:ascii="微软雅黑" w:hAnsi="微软雅黑" w:eastAsia="微软雅黑" w:cs="宋体"/>
          <w:color w:val="3D3D3C"/>
          <w:kern w:val="0"/>
          <w:szCs w:val="21"/>
        </w:rPr>
      </w:pPr>
      <w:r>
        <w:rPr>
          <w:rFonts w:hint="eastAsia" w:ascii="微软雅黑" w:hAnsi="微软雅黑" w:eastAsia="微软雅黑" w:cs="宋体"/>
          <w:color w:val="3D3D3C"/>
          <w:kern w:val="0"/>
          <w:sz w:val="27"/>
          <w:szCs w:val="27"/>
        </w:rPr>
        <w:t>保密审查情况：已审查</w:t>
      </w:r>
    </w:p>
    <w:p>
      <w:pPr>
        <w:widowControl/>
        <w:shd w:val="clear" w:color="auto" w:fill="FFFFFF"/>
        <w:ind w:firstLine="480"/>
        <w:jc w:val="left"/>
        <w:rPr>
          <w:rFonts w:hint="default" w:ascii="微软雅黑" w:hAnsi="微软雅黑" w:eastAsia="微软雅黑" w:cs="宋体"/>
          <w:color w:val="3D3D3C"/>
          <w:kern w:val="0"/>
          <w:szCs w:val="21"/>
          <w:lang w:val="en-US" w:eastAsia="zh-CN"/>
        </w:rPr>
      </w:pPr>
      <w:r>
        <w:rPr>
          <w:rFonts w:hint="eastAsia" w:ascii="微软雅黑" w:hAnsi="微软雅黑" w:eastAsia="微软雅黑" w:cs="宋体"/>
          <w:color w:val="3D3D3C"/>
          <w:kern w:val="0"/>
          <w:sz w:val="27"/>
          <w:szCs w:val="27"/>
        </w:rPr>
        <w:t>部门主要负责人审签情况：已</w:t>
      </w:r>
      <w:r>
        <w:rPr>
          <w:rFonts w:hint="eastAsia" w:ascii="微软雅黑" w:hAnsi="微软雅黑" w:eastAsia="微软雅黑" w:cs="宋体"/>
          <w:color w:val="3D3D3C"/>
          <w:kern w:val="0"/>
          <w:sz w:val="27"/>
          <w:szCs w:val="27"/>
          <w:lang w:val="en-US" w:eastAsia="zh-CN"/>
        </w:rPr>
        <w:t>审签</w:t>
      </w:r>
    </w:p>
    <w:tbl>
      <w:tblPr>
        <w:tblStyle w:val="6"/>
        <w:tblW w:w="13471" w:type="dxa"/>
        <w:jc w:val="center"/>
        <w:tblCellSpacing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91"/>
        <w:gridCol w:w="8876"/>
        <w:gridCol w:w="1435"/>
        <w:gridCol w:w="2469"/>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84" w:hRule="atLeast"/>
          <w:tblCellSpacing w:w="0" w:type="dxa"/>
          <w:jc w:val="center"/>
        </w:trPr>
        <w:tc>
          <w:tcPr>
            <w:tcW w:w="0" w:type="auto"/>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目             录</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84" w:hRule="atLeast"/>
          <w:tblCellSpacing w:w="0" w:type="dxa"/>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　</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报表名称</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是否空表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公开空表理由</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84" w:hRule="atLeast"/>
          <w:tblCellSpacing w:w="0" w:type="dxa"/>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表1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2018年收支决算总表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　</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84" w:hRule="atLeast"/>
          <w:tblCellSpacing w:w="0" w:type="dxa"/>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表2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2018年收入决算表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　</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70" w:hRule="atLeast"/>
          <w:tblCellSpacing w:w="0" w:type="dxa"/>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表3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2018年支出决算表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　</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84" w:hRule="atLeast"/>
          <w:tblCellSpacing w:w="0" w:type="dxa"/>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表4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2018年财政拨款收入支出决算总表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　</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84" w:hRule="atLeast"/>
          <w:tblCellSpacing w:w="0" w:type="dxa"/>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表5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2018年一般公共预算财政拨款支出决算表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　</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84" w:hRule="atLeast"/>
          <w:tblCellSpacing w:w="0" w:type="dxa"/>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表6</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2018年一般公共预算财政拨款基本支出决算表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　</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84" w:hRule="atLeast"/>
          <w:tblCellSpacing w:w="0" w:type="dxa"/>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表7</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2018年一般公共预算财政拨款安排的“三公经费”支出表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70" w:hRule="atLeast"/>
          <w:tblCellSpacing w:w="0" w:type="dxa"/>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表8</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2018年政府性基金预算财政拨款收入支出决算表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　</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84" w:hRule="atLeast"/>
          <w:tblCellSpacing w:w="0" w:type="dxa"/>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表9</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2018年政府采购决算表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微软雅黑" w:hAnsi="微软雅黑" w:eastAsia="微软雅黑" w:cs="宋体"/>
                <w:color w:val="3D3D3C"/>
                <w:kern w:val="0"/>
                <w:sz w:val="18"/>
                <w:szCs w:val="18"/>
              </w:rPr>
            </w:pPr>
            <w:r>
              <w:rPr>
                <w:rFonts w:hint="eastAsia" w:ascii="微软雅黑" w:hAnsi="微软雅黑" w:eastAsia="微软雅黑" w:cs="宋体"/>
                <w:color w:val="3D3D3C"/>
                <w:kern w:val="0"/>
                <w:sz w:val="18"/>
                <w:szCs w:val="18"/>
              </w:rPr>
              <w:t>无政府采购项目</w:t>
            </w:r>
          </w:p>
        </w:tc>
      </w:tr>
    </w:tbl>
    <w:p>
      <w:pPr>
        <w:pStyle w:val="5"/>
        <w:shd w:val="clear" w:color="auto" w:fill="FFFFFF"/>
        <w:spacing w:before="0" w:beforeAutospacing="0" w:after="0" w:afterAutospacing="0"/>
        <w:rPr>
          <w:sz w:val="13"/>
          <w:szCs w:val="13"/>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6BC7"/>
    <w:rsid w:val="00000FAD"/>
    <w:rsid w:val="00023772"/>
    <w:rsid w:val="00057A97"/>
    <w:rsid w:val="001407E7"/>
    <w:rsid w:val="00181796"/>
    <w:rsid w:val="001918AA"/>
    <w:rsid w:val="00196387"/>
    <w:rsid w:val="001F1C14"/>
    <w:rsid w:val="00214066"/>
    <w:rsid w:val="00220C44"/>
    <w:rsid w:val="00247CF0"/>
    <w:rsid w:val="002A37EE"/>
    <w:rsid w:val="002A72D5"/>
    <w:rsid w:val="002B155D"/>
    <w:rsid w:val="002F74A9"/>
    <w:rsid w:val="00334982"/>
    <w:rsid w:val="003529E1"/>
    <w:rsid w:val="0036123E"/>
    <w:rsid w:val="003B5F39"/>
    <w:rsid w:val="00427EA6"/>
    <w:rsid w:val="00442ED7"/>
    <w:rsid w:val="00452414"/>
    <w:rsid w:val="00471682"/>
    <w:rsid w:val="00494C72"/>
    <w:rsid w:val="004B0B8A"/>
    <w:rsid w:val="004C1DFA"/>
    <w:rsid w:val="0051466E"/>
    <w:rsid w:val="0052648F"/>
    <w:rsid w:val="00557DA7"/>
    <w:rsid w:val="00590CD3"/>
    <w:rsid w:val="00595500"/>
    <w:rsid w:val="005C59E5"/>
    <w:rsid w:val="005D5DB6"/>
    <w:rsid w:val="005E29FD"/>
    <w:rsid w:val="005E78EF"/>
    <w:rsid w:val="00616BBC"/>
    <w:rsid w:val="00632D61"/>
    <w:rsid w:val="006B1140"/>
    <w:rsid w:val="006B4FB9"/>
    <w:rsid w:val="007411DB"/>
    <w:rsid w:val="007A2806"/>
    <w:rsid w:val="007D64B2"/>
    <w:rsid w:val="008266D8"/>
    <w:rsid w:val="0086439E"/>
    <w:rsid w:val="00895A59"/>
    <w:rsid w:val="008F7AF5"/>
    <w:rsid w:val="00915DA8"/>
    <w:rsid w:val="009206F2"/>
    <w:rsid w:val="009607D5"/>
    <w:rsid w:val="0096342C"/>
    <w:rsid w:val="009B3763"/>
    <w:rsid w:val="009B6D9F"/>
    <w:rsid w:val="00A25C34"/>
    <w:rsid w:val="00A31EB2"/>
    <w:rsid w:val="00A7199F"/>
    <w:rsid w:val="00AD6707"/>
    <w:rsid w:val="00AF2747"/>
    <w:rsid w:val="00B05B80"/>
    <w:rsid w:val="00B07776"/>
    <w:rsid w:val="00B44800"/>
    <w:rsid w:val="00B805B8"/>
    <w:rsid w:val="00B834DE"/>
    <w:rsid w:val="00BA6450"/>
    <w:rsid w:val="00BE5DD7"/>
    <w:rsid w:val="00C06044"/>
    <w:rsid w:val="00C14B87"/>
    <w:rsid w:val="00C34DA5"/>
    <w:rsid w:val="00C8083B"/>
    <w:rsid w:val="00D2599C"/>
    <w:rsid w:val="00D33FAC"/>
    <w:rsid w:val="00D870E2"/>
    <w:rsid w:val="00D91C9F"/>
    <w:rsid w:val="00D95231"/>
    <w:rsid w:val="00EC5BA1"/>
    <w:rsid w:val="00F31261"/>
    <w:rsid w:val="00F373DE"/>
    <w:rsid w:val="00F560F6"/>
    <w:rsid w:val="00FA066A"/>
    <w:rsid w:val="00FC6AC2"/>
    <w:rsid w:val="00FE2AA4"/>
    <w:rsid w:val="00FE5315"/>
    <w:rsid w:val="00FE65D5"/>
    <w:rsid w:val="00FE6BC7"/>
    <w:rsid w:val="1C0810F5"/>
    <w:rsid w:val="32FD035E"/>
    <w:rsid w:val="395E7617"/>
    <w:rsid w:val="51A853B2"/>
    <w:rsid w:val="5F494F81"/>
    <w:rsid w:val="61A12A07"/>
    <w:rsid w:val="6D70182B"/>
    <w:rsid w:val="7A1543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批注框文本 字符"/>
    <w:basedOn w:val="7"/>
    <w:link w:val="2"/>
    <w:semiHidden/>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Sheet1!$B$1</c:f>
              <c:strCache>
                <c:ptCount val="1"/>
                <c:pt idx="0">
                  <c:v>列1</c:v>
                </c:pt>
              </c:strCache>
            </c:strRef>
          </c:tx>
          <c:invertIfNegative val="0"/>
          <c:dLbls>
            <c:delete val="1"/>
          </c:dLbls>
          <c:cat>
            <c:strRef>
              <c:f>Sheet1!$A$2:$A$5</c:f>
              <c:strCache>
                <c:ptCount val="2"/>
                <c:pt idx="0">
                  <c:v>编制人数</c:v>
                </c:pt>
                <c:pt idx="1">
                  <c:v>实有人数</c:v>
                </c:pt>
              </c:strCache>
            </c:strRef>
          </c:cat>
          <c:val>
            <c:numRef>
              <c:f>Sheet1!$B$2:$B$5</c:f>
              <c:numCache>
                <c:formatCode>General</c:formatCode>
                <c:ptCount val="4"/>
                <c:pt idx="0">
                  <c:v>9</c:v>
                </c:pt>
                <c:pt idx="1">
                  <c:v>18</c:v>
                </c:pt>
              </c:numCache>
            </c:numRef>
          </c:val>
        </c:ser>
        <c:dLbls>
          <c:showLegendKey val="0"/>
          <c:showVal val="0"/>
          <c:showCatName val="0"/>
          <c:showSerName val="0"/>
          <c:showPercent val="0"/>
          <c:showBubbleSize val="0"/>
        </c:dLbls>
        <c:gapWidth val="150"/>
        <c:overlap val="100"/>
        <c:axId val="211096704"/>
        <c:axId val="211099008"/>
      </c:barChart>
      <c:catAx>
        <c:axId val="211096704"/>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11099008"/>
        <c:crosses val="autoZero"/>
        <c:auto val="1"/>
        <c:lblAlgn val="ctr"/>
        <c:lblOffset val="100"/>
        <c:noMultiLvlLbl val="0"/>
      </c:catAx>
      <c:valAx>
        <c:axId val="21109900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11096704"/>
        <c:crosses val="autoZero"/>
        <c:crossBetween val="between"/>
      </c:valAx>
      <c:spPr>
        <a:solidFill>
          <a:schemeClr val="bg1"/>
        </a:solidFill>
        <a:ln>
          <a:noFill/>
        </a:ln>
        <a:effectLst/>
      </c:spPr>
    </c:plotArea>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17</Pages>
  <Words>950</Words>
  <Characters>5419</Characters>
  <Lines>45</Lines>
  <Paragraphs>12</Paragraphs>
  <TotalTime>13</TotalTime>
  <ScaleCrop>false</ScaleCrop>
  <LinksUpToDate>false</LinksUpToDate>
  <CharactersWithSpaces>6357</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2020-08-05T10:26:00Z</dcterms:created>
  <dc:creator>lenovo</dc:creator>
  <cp:lastModifiedBy>lenovo</cp:lastModifiedBy>
  <dcterms:modified xsi:type="dcterms:W3CDTF">2020-08-06T01:34:54Z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