
<file path=[Content_Types].xml><?xml version="1.0" encoding="utf-8"?>
<Types xmlns="http://schemas.openxmlformats.org/package/2006/content-types">
  <Default Extension="xml" ContentType="application/xml"/>
  <Default Extension="xlsx" ContentType="application/vnd.openxmlformats-officedocument.spreadsheetml.sheet"/>
  <Default Extension="bin" ContentType="application/vnd.openxmlformats-officedocument.oleObject"/>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rPr>
          <w:rFonts w:ascii="宋体" w:hAnsi="宋体" w:eastAsia="宋体"/>
          <w:szCs w:val="32"/>
        </w:rPr>
      </w:pPr>
    </w:p>
    <w:p>
      <w:pPr>
        <w:jc w:val="center"/>
        <w:rPr>
          <w:rFonts w:hint="default" w:ascii="宋体" w:hAnsi="宋体" w:eastAsia="宋体" w:cs="宋体"/>
          <w:b/>
          <w:bCs/>
          <w:sz w:val="44"/>
          <w:szCs w:val="44"/>
          <w:lang w:val="en-US" w:eastAsia="zh-CN"/>
        </w:rPr>
      </w:pPr>
      <w:r>
        <w:rPr>
          <w:rFonts w:hint="eastAsia" w:ascii="宋体" w:hAnsi="宋体" w:eastAsia="宋体" w:cs="宋体"/>
          <w:b/>
          <w:bCs/>
          <w:sz w:val="44"/>
          <w:szCs w:val="44"/>
          <w:lang w:val="en-US" w:eastAsia="zh-CN"/>
        </w:rPr>
        <w:t>陕西蓝田西北家具工业园管委会</w:t>
      </w:r>
    </w:p>
    <w:p>
      <w:pPr>
        <w:spacing w:line="440" w:lineRule="exact"/>
        <w:jc w:val="center"/>
        <w:rPr>
          <w:rFonts w:ascii="宋体" w:hAnsi="宋体" w:eastAsia="宋体" w:cs="宋体"/>
          <w:b/>
          <w:bCs/>
          <w:sz w:val="44"/>
          <w:szCs w:val="44"/>
        </w:rPr>
      </w:pPr>
    </w:p>
    <w:p>
      <w:pPr>
        <w:spacing w:line="560" w:lineRule="exact"/>
        <w:jc w:val="center"/>
        <w:rPr>
          <w:rFonts w:ascii="宋体" w:hAnsi="宋体" w:eastAsia="宋体" w:cstheme="majorEastAsia"/>
          <w:b/>
          <w:bCs/>
          <w:sz w:val="48"/>
          <w:szCs w:val="48"/>
        </w:rPr>
      </w:pPr>
      <w:r>
        <w:rPr>
          <w:rFonts w:hint="eastAsia" w:ascii="宋体" w:hAnsi="宋体" w:eastAsia="宋体" w:cstheme="majorEastAsia"/>
          <w:b/>
          <w:bCs/>
          <w:sz w:val="48"/>
          <w:szCs w:val="48"/>
        </w:rPr>
        <w:t>2019年度部门决算</w:t>
      </w: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400" w:lineRule="exact"/>
        <w:ind w:firstLine="2570" w:firstLineChars="800"/>
        <w:rPr>
          <w:rFonts w:asciiTheme="majorEastAsia" w:hAnsiTheme="majorEastAsia" w:eastAsiaTheme="majorEastAsia" w:cstheme="majorEastAsia"/>
          <w:b/>
          <w:bCs/>
          <w:szCs w:val="32"/>
        </w:rPr>
      </w:pPr>
    </w:p>
    <w:p>
      <w:pPr>
        <w:spacing w:line="400" w:lineRule="exact"/>
        <w:ind w:firstLine="2570" w:firstLineChars="800"/>
        <w:rPr>
          <w:rFonts w:asciiTheme="majorEastAsia" w:hAnsiTheme="majorEastAsia" w:eastAsiaTheme="majorEastAsia" w:cstheme="majorEastAsia"/>
          <w:b/>
          <w:bCs/>
          <w:szCs w:val="32"/>
        </w:rPr>
      </w:pPr>
    </w:p>
    <w:p>
      <w:pPr>
        <w:spacing w:line="400" w:lineRule="exact"/>
        <w:ind w:firstLine="2088" w:firstLineChars="650"/>
        <w:rPr>
          <w:rFonts w:hint="default" w:ascii="宋体" w:hAnsi="宋体" w:eastAsia="宋体" w:cstheme="minorEastAsia"/>
          <w:b w:val="0"/>
          <w:bCs w:val="0"/>
          <w:szCs w:val="32"/>
          <w:lang w:val="en-US" w:eastAsia="zh-CN"/>
        </w:rPr>
      </w:pPr>
      <w:r>
        <w:rPr>
          <w:rFonts w:hint="eastAsia" w:ascii="宋体" w:hAnsi="宋体" w:eastAsia="宋体" w:cstheme="minorEastAsia"/>
          <w:b/>
          <w:bCs/>
          <w:szCs w:val="32"/>
        </w:rPr>
        <w:t>保密审查情况：</w:t>
      </w:r>
      <w:r>
        <w:rPr>
          <w:rFonts w:hint="eastAsia" w:ascii="宋体" w:hAnsi="宋体" w:eastAsia="宋体" w:cstheme="minorEastAsia"/>
          <w:b/>
          <w:bCs/>
          <w:szCs w:val="32"/>
          <w:lang w:val="en-US" w:eastAsia="zh-CN"/>
        </w:rPr>
        <w:t>已审查</w:t>
      </w:r>
    </w:p>
    <w:p>
      <w:pPr>
        <w:spacing w:line="400" w:lineRule="exact"/>
        <w:jc w:val="center"/>
        <w:rPr>
          <w:rFonts w:ascii="宋体" w:hAnsi="宋体" w:eastAsia="宋体" w:cstheme="minorEastAsia"/>
          <w:b/>
          <w:bCs/>
          <w:szCs w:val="32"/>
        </w:rPr>
      </w:pPr>
    </w:p>
    <w:p>
      <w:pPr>
        <w:spacing w:line="400" w:lineRule="exact"/>
        <w:ind w:firstLine="2088" w:firstLineChars="650"/>
        <w:rPr>
          <w:rFonts w:hint="default" w:ascii="宋体" w:hAnsi="宋体" w:eastAsia="宋体" w:cs="宋体"/>
          <w:b/>
          <w:bCs/>
          <w:szCs w:val="32"/>
          <w:lang w:val="en-US" w:eastAsia="zh-CN"/>
        </w:rPr>
      </w:pPr>
      <w:r>
        <w:rPr>
          <w:rFonts w:hint="eastAsia" w:ascii="宋体" w:hAnsi="宋体" w:eastAsia="宋体" w:cstheme="minorEastAsia"/>
          <w:b/>
          <w:bCs/>
          <w:szCs w:val="32"/>
        </w:rPr>
        <w:t>部门主要负责人审签情况：</w:t>
      </w:r>
      <w:r>
        <w:rPr>
          <w:rFonts w:hint="eastAsia" w:ascii="宋体" w:hAnsi="宋体" w:eastAsia="宋体" w:cstheme="minorEastAsia"/>
          <w:b/>
          <w:bCs/>
          <w:szCs w:val="32"/>
          <w:lang w:val="en-US" w:eastAsia="zh-CN"/>
        </w:rPr>
        <w:t>已同意</w:t>
      </w:r>
    </w:p>
    <w:p>
      <w:pPr>
        <w:spacing w:line="400" w:lineRule="exact"/>
        <w:rPr>
          <w:rFonts w:ascii="宋体" w:hAnsi="宋体" w:cs="宋体"/>
          <w:b/>
          <w:bCs/>
          <w:szCs w:val="32"/>
        </w:rPr>
      </w:pPr>
    </w:p>
    <w:p>
      <w:pPr>
        <w:spacing w:line="400" w:lineRule="exact"/>
        <w:rPr>
          <w:rFonts w:ascii="宋体" w:hAnsi="宋体" w:cs="宋体"/>
          <w:b/>
          <w:bCs/>
          <w:szCs w:val="32"/>
        </w:rPr>
      </w:pPr>
    </w:p>
    <w:p>
      <w:pPr>
        <w:rPr>
          <w:rFonts w:ascii="黑体" w:hAnsi="宋体" w:eastAsia="黑体"/>
          <w:b/>
          <w:color w:val="000000"/>
          <w:kern w:val="0"/>
          <w:sz w:val="56"/>
          <w:szCs w:val="56"/>
        </w:rPr>
      </w:pPr>
    </w:p>
    <w:p>
      <w:pPr>
        <w:jc w:val="center"/>
        <w:rPr>
          <w:rFonts w:ascii="黑体" w:hAnsi="宋体" w:eastAsia="黑体"/>
          <w:bCs/>
          <w:color w:val="000000"/>
          <w:kern w:val="0"/>
          <w:sz w:val="36"/>
          <w:szCs w:val="36"/>
        </w:rPr>
      </w:pPr>
    </w:p>
    <w:p>
      <w:pPr>
        <w:jc w:val="center"/>
        <w:rPr>
          <w:rFonts w:ascii="黑体" w:hAnsi="宋体" w:eastAsia="黑体"/>
          <w:bCs/>
          <w:color w:val="000000"/>
          <w:kern w:val="0"/>
          <w:sz w:val="36"/>
          <w:szCs w:val="36"/>
        </w:rPr>
      </w:pPr>
      <w:r>
        <w:rPr>
          <w:rFonts w:ascii="黑体" w:hAnsi="宋体" w:eastAsia="黑体"/>
          <w:bCs/>
          <w:color w:val="000000"/>
          <w:kern w:val="0"/>
          <w:sz w:val="36"/>
          <w:szCs w:val="36"/>
        </w:rPr>
        <w:t>目录</w:t>
      </w:r>
    </w:p>
    <w:p>
      <w:pPr>
        <w:jc w:val="center"/>
        <w:rPr>
          <w:rFonts w:ascii="黑体" w:hAnsi="宋体" w:eastAsia="黑体"/>
          <w:bCs/>
          <w:color w:val="000000"/>
          <w:kern w:val="0"/>
          <w:sz w:val="36"/>
          <w:szCs w:val="36"/>
        </w:rPr>
      </w:pPr>
    </w:p>
    <w:p>
      <w:pPr>
        <w:widowControl/>
        <w:jc w:val="center"/>
      </w:pPr>
      <w:r>
        <w:rPr>
          <w:rFonts w:hint="eastAsia" w:ascii="黑体" w:hAnsi="宋体" w:eastAsia="黑体"/>
          <w:color w:val="000000"/>
          <w:kern w:val="0"/>
          <w:szCs w:val="32"/>
        </w:rPr>
        <w:t>第一部分 部门概况</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一、部门主要职责及内设机构</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二、部门决算单位构成</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三、部门人员情况</w:t>
      </w:r>
    </w:p>
    <w:p>
      <w:pPr>
        <w:widowControl/>
        <w:jc w:val="center"/>
      </w:pPr>
      <w:r>
        <w:rPr>
          <w:rFonts w:hint="eastAsia" w:ascii="黑体" w:hAnsi="宋体" w:eastAsia="黑体"/>
          <w:color w:val="000000"/>
          <w:kern w:val="0"/>
          <w:szCs w:val="32"/>
        </w:rPr>
        <w:t>第二部分  2019年度部门决算表</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一、收入支出决算总表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二、收入决算总表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三、支出决算总表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四、财政拨款收入支出决算总表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五、一般公共预算财政拨款支出决算表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六、一般公共预算财政拨款基本支出决算表    </w:t>
      </w:r>
    </w:p>
    <w:p>
      <w:pPr>
        <w:widowControl/>
        <w:ind w:left="640" w:hanging="640" w:hangingChars="200"/>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七、一般公共预算财政拨款“三公”经费及会议费、培训费支出决算表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八、政府性基金预算财政拨款收入支出决算表</w:t>
      </w:r>
    </w:p>
    <w:p>
      <w:pPr>
        <w:widowControl/>
        <w:jc w:val="center"/>
      </w:pPr>
      <w:r>
        <w:rPr>
          <w:rFonts w:hint="eastAsia" w:ascii="黑体" w:hAnsi="宋体" w:eastAsia="黑体"/>
          <w:color w:val="000000"/>
          <w:kern w:val="0"/>
          <w:szCs w:val="32"/>
        </w:rPr>
        <w:t>第三部分 2019年度部门决算情况说明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一、收入支出决算总体情况说明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二、收入决算情况说明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三、支出决算情况说明</w:t>
      </w:r>
    </w:p>
    <w:p>
      <w:pPr>
        <w:widowControl/>
        <w:jc w:val="left"/>
        <w:rPr>
          <w:rFonts w:ascii="楷体" w:hAnsi="楷体" w:eastAsia="楷体" w:cs="楷体"/>
        </w:rPr>
      </w:pPr>
      <w:r>
        <w:rPr>
          <w:rFonts w:hint="eastAsia" w:ascii="仿宋" w:hAnsi="仿宋" w:eastAsia="仿宋" w:cs="楷体"/>
          <w:color w:val="000000"/>
          <w:kern w:val="0"/>
          <w:szCs w:val="32"/>
        </w:rPr>
        <w:t>四、财政拨款收入支出决算总体情况说明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五、一般公共预算财政拨款支出决算情况说明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（一）财政拨款支出决算总体情况说明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（二）财政拨款支出决算具体情况说明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六、一般公共预算财政拨款基本支出决算情况说明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七、一般公共预算财政拨款“三公”经费及会议费、培训费支出决算情况说明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（一）“三公”经费财政拨款支出决算总体情况说明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（二）“三公”经费财政拨款支出决算具体情况说明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（三）培训费支出情况说明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（四）会议费支出情况说明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九、国有资本经营财政拨款收入支出情况说明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十、预算绩效情况说明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（一）预算绩效管理工作开展情况说明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（二）部门决算中项目绩效自评结果</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（三）部门决算中整体支出绩效自评结果</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 十一、其他重要事项说明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（一）机关运行经费支出情况说明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（二）政府采购支出情况说明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（三）国有资产占用及购置情况说明</w:t>
      </w:r>
    </w:p>
    <w:p>
      <w:pPr>
        <w:jc w:val="center"/>
        <w:rPr>
          <w:rFonts w:ascii="黑体" w:hAnsi="宋体" w:eastAsia="黑体"/>
          <w:color w:val="000000"/>
          <w:kern w:val="0"/>
          <w:szCs w:val="32"/>
        </w:rPr>
      </w:pPr>
      <w:r>
        <w:rPr>
          <w:rFonts w:hint="eastAsia" w:ascii="黑体" w:hAnsi="宋体" w:eastAsia="黑体"/>
          <w:color w:val="000000"/>
          <w:kern w:val="0"/>
          <w:szCs w:val="32"/>
        </w:rPr>
        <w:t>第四部分 专业名词解释</w:t>
      </w:r>
    </w:p>
    <w:p>
      <w:pPr>
        <w:rPr>
          <w:rFonts w:ascii="黑体" w:hAnsi="宋体" w:eastAsia="黑体"/>
          <w:color w:val="000000"/>
          <w:kern w:val="0"/>
          <w:szCs w:val="32"/>
        </w:rPr>
      </w:pPr>
    </w:p>
    <w:p>
      <w:pPr>
        <w:jc w:val="center"/>
        <w:rPr>
          <w:rFonts w:ascii="黑体" w:hAnsi="宋体" w:eastAsia="黑体"/>
          <w:color w:val="000000"/>
          <w:kern w:val="0"/>
          <w:sz w:val="44"/>
          <w:szCs w:val="44"/>
        </w:rPr>
      </w:pPr>
    </w:p>
    <w:p>
      <w:pPr>
        <w:numPr>
          <w:ilvl w:val="0"/>
          <w:numId w:val="1"/>
        </w:numPr>
        <w:jc w:val="center"/>
        <w:rPr>
          <w:rFonts w:ascii="黑体" w:hAnsi="宋体" w:eastAsia="黑体"/>
          <w:color w:val="000000"/>
          <w:kern w:val="0"/>
          <w:sz w:val="44"/>
          <w:szCs w:val="44"/>
        </w:rPr>
      </w:pPr>
      <w:r>
        <w:rPr>
          <w:rFonts w:hint="eastAsia" w:ascii="黑体" w:hAnsi="宋体" w:eastAsia="黑体"/>
          <w:color w:val="000000"/>
          <w:kern w:val="0"/>
          <w:sz w:val="44"/>
          <w:szCs w:val="44"/>
        </w:rPr>
        <w:t>部门</w:t>
      </w:r>
      <w:r>
        <w:rPr>
          <w:rFonts w:ascii="黑体" w:hAnsi="宋体" w:eastAsia="黑体"/>
          <w:color w:val="000000"/>
          <w:kern w:val="0"/>
          <w:sz w:val="44"/>
          <w:szCs w:val="44"/>
        </w:rPr>
        <w:t>概况</w:t>
      </w:r>
    </w:p>
    <w:p>
      <w:pPr>
        <w:rPr>
          <w:rFonts w:ascii="黑体" w:hAnsi="宋体" w:eastAsia="黑体"/>
          <w:color w:val="000000"/>
          <w:kern w:val="0"/>
          <w:sz w:val="44"/>
          <w:szCs w:val="44"/>
        </w:rPr>
      </w:pPr>
    </w:p>
    <w:p>
      <w:pPr>
        <w:widowControl/>
        <w:ind w:firstLine="640" w:firstLineChars="200"/>
        <w:jc w:val="left"/>
        <w:rPr>
          <w:rFonts w:ascii="黑体" w:hAnsi="宋体" w:eastAsia="黑体"/>
          <w:color w:val="000000"/>
          <w:kern w:val="0"/>
          <w:szCs w:val="32"/>
        </w:rPr>
      </w:pPr>
      <w:r>
        <w:rPr>
          <w:rFonts w:hint="eastAsia" w:ascii="黑体" w:hAnsi="宋体" w:eastAsia="黑体"/>
          <w:color w:val="000000"/>
          <w:kern w:val="0"/>
          <w:szCs w:val="32"/>
        </w:rPr>
        <w:t>一、部门主要职责及内设机构</w:t>
      </w:r>
    </w:p>
    <w:p>
      <w:pPr>
        <w:widowControl/>
        <w:ind w:firstLine="643" w:firstLineChars="200"/>
        <w:jc w:val="left"/>
        <w:rPr>
          <w:rFonts w:ascii="楷体" w:hAnsi="楷体" w:eastAsia="楷体" w:cs="楷体"/>
          <w:b/>
          <w:bCs/>
          <w:color w:val="000000"/>
          <w:kern w:val="0"/>
          <w:szCs w:val="32"/>
        </w:rPr>
      </w:pPr>
      <w:r>
        <w:rPr>
          <w:rFonts w:hint="eastAsia" w:ascii="楷体" w:hAnsi="楷体" w:eastAsia="楷体" w:cs="楷体"/>
          <w:b/>
          <w:bCs/>
          <w:color w:val="000000"/>
          <w:kern w:val="0"/>
          <w:szCs w:val="32"/>
        </w:rPr>
        <w:t>（一）主要职责</w:t>
      </w:r>
    </w:p>
    <w:p>
      <w:pPr>
        <w:jc w:val="left"/>
        <w:rPr>
          <w:rFonts w:hint="eastAsia" w:ascii="仿宋" w:hAnsi="仿宋" w:eastAsia="仿宋" w:cs="仿宋"/>
          <w:sz w:val="32"/>
          <w:szCs w:val="32"/>
        </w:rPr>
      </w:pPr>
      <w:r>
        <w:rPr>
          <w:rFonts w:hint="eastAsia" w:ascii="仿宋" w:hAnsi="仿宋" w:eastAsia="仿宋" w:cs="仿宋"/>
          <w:sz w:val="32"/>
          <w:szCs w:val="32"/>
        </w:rPr>
        <w:t>（1）贯彻执行中央、省、市、县关于工业园区的各项工作方针、政策，依法制定园区有关行政管理办法，并组织实施。</w:t>
      </w:r>
    </w:p>
    <w:p>
      <w:pPr>
        <w:jc w:val="left"/>
        <w:rPr>
          <w:rFonts w:hint="eastAsia" w:ascii="仿宋" w:hAnsi="仿宋" w:eastAsia="仿宋" w:cs="仿宋"/>
          <w:sz w:val="32"/>
          <w:szCs w:val="32"/>
        </w:rPr>
      </w:pPr>
      <w:r>
        <w:rPr>
          <w:rFonts w:hint="eastAsia" w:ascii="仿宋" w:hAnsi="仿宋" w:eastAsia="仿宋" w:cs="仿宋"/>
          <w:sz w:val="32"/>
          <w:szCs w:val="32"/>
        </w:rPr>
        <w:t>（2）负责组织制定并实施园区发展规划和开发建设计划。</w:t>
      </w:r>
    </w:p>
    <w:p>
      <w:pPr>
        <w:jc w:val="left"/>
        <w:rPr>
          <w:rFonts w:hint="eastAsia" w:ascii="仿宋" w:hAnsi="仿宋" w:eastAsia="仿宋" w:cs="仿宋"/>
          <w:sz w:val="32"/>
          <w:szCs w:val="32"/>
        </w:rPr>
      </w:pPr>
      <w:r>
        <w:rPr>
          <w:rFonts w:hint="eastAsia" w:ascii="仿宋" w:hAnsi="仿宋" w:eastAsia="仿宋" w:cs="仿宋"/>
          <w:sz w:val="32"/>
          <w:szCs w:val="32"/>
        </w:rPr>
        <w:t>（3）负责园区基础设施的规划、建设与管理。</w:t>
      </w:r>
    </w:p>
    <w:p>
      <w:pPr>
        <w:jc w:val="left"/>
        <w:rPr>
          <w:rFonts w:hint="eastAsia" w:ascii="仿宋" w:hAnsi="仿宋" w:eastAsia="仿宋" w:cs="仿宋"/>
          <w:sz w:val="32"/>
          <w:szCs w:val="32"/>
        </w:rPr>
      </w:pPr>
      <w:r>
        <w:rPr>
          <w:rFonts w:hint="eastAsia" w:ascii="仿宋" w:hAnsi="仿宋" w:eastAsia="仿宋" w:cs="仿宋"/>
          <w:sz w:val="32"/>
          <w:szCs w:val="32"/>
        </w:rPr>
        <w:t>（4）负责园区财政收支预算及组织管理工作；负责管理和经营园区国有资产，确保保值增值；负责管委会的财务管理和投融资工作。</w:t>
      </w:r>
    </w:p>
    <w:p>
      <w:pPr>
        <w:jc w:val="left"/>
        <w:rPr>
          <w:rFonts w:hint="eastAsia" w:ascii="仿宋" w:hAnsi="仿宋" w:eastAsia="仿宋" w:cs="仿宋"/>
          <w:sz w:val="32"/>
          <w:szCs w:val="32"/>
        </w:rPr>
      </w:pPr>
      <w:r>
        <w:rPr>
          <w:rFonts w:hint="eastAsia" w:ascii="仿宋" w:hAnsi="仿宋" w:eastAsia="仿宋" w:cs="仿宋"/>
          <w:sz w:val="32"/>
          <w:szCs w:val="32"/>
        </w:rPr>
        <w:t>（5）负责入园项目的把关、项目投资合同的签订、园区内项目合同履约及建设管理等工作。</w:t>
      </w:r>
    </w:p>
    <w:p>
      <w:pPr>
        <w:jc w:val="left"/>
        <w:rPr>
          <w:rFonts w:hint="eastAsia" w:ascii="仿宋" w:hAnsi="仿宋" w:eastAsia="仿宋" w:cs="仿宋"/>
          <w:sz w:val="32"/>
          <w:szCs w:val="32"/>
        </w:rPr>
      </w:pPr>
      <w:r>
        <w:rPr>
          <w:rFonts w:hint="eastAsia" w:ascii="仿宋" w:hAnsi="仿宋" w:eastAsia="仿宋" w:cs="仿宋"/>
          <w:sz w:val="32"/>
          <w:szCs w:val="32"/>
        </w:rPr>
        <w:t>（6）依法保障园内企业自主经营，为园区企业提供“保姆式”服务，创造良好的招商引资环境。</w:t>
      </w:r>
    </w:p>
    <w:p>
      <w:pPr>
        <w:jc w:val="left"/>
        <w:rPr>
          <w:rFonts w:hint="eastAsia" w:ascii="仿宋" w:hAnsi="仿宋" w:eastAsia="仿宋" w:cs="仿宋"/>
          <w:sz w:val="32"/>
          <w:szCs w:val="32"/>
        </w:rPr>
      </w:pPr>
      <w:r>
        <w:rPr>
          <w:rFonts w:hint="eastAsia" w:ascii="仿宋" w:hAnsi="仿宋" w:eastAsia="仿宋" w:cs="仿宋"/>
          <w:sz w:val="32"/>
          <w:szCs w:val="32"/>
        </w:rPr>
        <w:t>（7）负责园区党建和社会事业管理工作。</w:t>
      </w:r>
    </w:p>
    <w:p>
      <w:pPr>
        <w:jc w:val="left"/>
        <w:rPr>
          <w:rFonts w:hint="eastAsia" w:ascii="仿宋" w:hAnsi="仿宋" w:eastAsia="仿宋" w:cs="仿宋"/>
          <w:sz w:val="32"/>
          <w:szCs w:val="32"/>
        </w:rPr>
      </w:pPr>
      <w:r>
        <w:rPr>
          <w:rFonts w:hint="eastAsia" w:ascii="仿宋" w:hAnsi="仿宋" w:eastAsia="仿宋" w:cs="仿宋"/>
          <w:sz w:val="32"/>
          <w:szCs w:val="32"/>
        </w:rPr>
        <w:t>（8）协调管理有关部门在园区的派出机构，监督指导园区社会治安、安全生产、劳动保障和环境保护等工作。</w:t>
      </w:r>
    </w:p>
    <w:p>
      <w:pPr>
        <w:jc w:val="left"/>
        <w:rPr>
          <w:rFonts w:hint="eastAsia" w:ascii="仿宋" w:hAnsi="仿宋" w:eastAsia="仿宋" w:cs="仿宋"/>
          <w:sz w:val="32"/>
          <w:szCs w:val="32"/>
        </w:rPr>
      </w:pPr>
      <w:r>
        <w:rPr>
          <w:rFonts w:hint="eastAsia" w:ascii="仿宋" w:hAnsi="仿宋" w:eastAsia="仿宋" w:cs="仿宋"/>
          <w:sz w:val="32"/>
          <w:szCs w:val="32"/>
        </w:rPr>
        <w:t>（9）承办县委、县政府交办的其他工作。</w:t>
      </w:r>
    </w:p>
    <w:p>
      <w:pPr>
        <w:widowControl/>
        <w:numPr>
          <w:ilvl w:val="0"/>
          <w:numId w:val="2"/>
        </w:numPr>
        <w:ind w:firstLine="643" w:firstLineChars="200"/>
        <w:jc w:val="left"/>
        <w:rPr>
          <w:rFonts w:hint="eastAsia" w:ascii="楷体" w:hAnsi="楷体" w:eastAsia="楷体" w:cs="楷体"/>
          <w:b/>
          <w:bCs/>
          <w:color w:val="000000"/>
          <w:kern w:val="0"/>
          <w:szCs w:val="32"/>
        </w:rPr>
      </w:pPr>
      <w:r>
        <w:rPr>
          <w:rFonts w:hint="eastAsia" w:ascii="楷体" w:hAnsi="楷体" w:eastAsia="楷体" w:cs="楷体"/>
          <w:b/>
          <w:bCs/>
          <w:color w:val="000000"/>
          <w:kern w:val="0"/>
          <w:szCs w:val="32"/>
        </w:rPr>
        <w:t>内设机构</w:t>
      </w:r>
    </w:p>
    <w:p>
      <w:pPr>
        <w:spacing w:line="58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内设机构5个科室：主任办公室、副主任办公室、办公室、综合科、安监科。</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heme="majorEastAsia" w:hAnsiTheme="majorEastAsia" w:eastAsiaTheme="majorEastAsia"/>
          <w:szCs w:val="32"/>
        </w:rPr>
      </w:pPr>
      <w:r>
        <w:rPr>
          <w:rFonts w:hint="eastAsia" w:ascii="仿宋_GB2312" w:hAnsi="仿宋_GB2312" w:eastAsia="仿宋_GB2312" w:cs="仿宋_GB2312"/>
          <w:kern w:val="0"/>
          <w:sz w:val="32"/>
          <w:szCs w:val="32"/>
          <w:lang w:val="en-US" w:eastAsia="zh-CN" w:bidi="ar-SA"/>
        </w:rPr>
        <w:t>本单位无下属单位。</w:t>
      </w:r>
    </w:p>
    <w:p>
      <w:pPr>
        <w:widowControl/>
        <w:ind w:firstLine="640" w:firstLineChars="200"/>
        <w:jc w:val="left"/>
      </w:pPr>
      <w:r>
        <w:rPr>
          <w:rFonts w:ascii="黑体" w:hAnsi="宋体" w:eastAsia="黑体"/>
          <w:color w:val="000000"/>
          <w:kern w:val="0"/>
          <w:szCs w:val="32"/>
        </w:rPr>
        <w:t>二、</w:t>
      </w:r>
      <w:r>
        <w:rPr>
          <w:rFonts w:hint="eastAsia" w:ascii="黑体" w:hAnsi="宋体" w:eastAsia="黑体"/>
          <w:color w:val="000000"/>
          <w:kern w:val="0"/>
          <w:szCs w:val="32"/>
        </w:rPr>
        <w:t>部门决算单位构成</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纳入2019年度本部门决算编制范围的单位共</w:t>
      </w:r>
      <w:r>
        <w:rPr>
          <w:rFonts w:hint="eastAsia" w:ascii="仿宋_GB2312" w:hAnsi="仿宋_GB2312" w:eastAsia="仿宋_GB2312" w:cs="仿宋_GB2312"/>
          <w:szCs w:val="32"/>
          <w:lang w:val="en-US" w:eastAsia="zh-CN"/>
        </w:rPr>
        <w:t>1</w:t>
      </w:r>
      <w:r>
        <w:rPr>
          <w:rFonts w:hint="eastAsia" w:ascii="仿宋_GB2312" w:hAnsi="仿宋_GB2312" w:eastAsia="仿宋_GB2312" w:cs="仿宋_GB2312"/>
          <w:szCs w:val="32"/>
        </w:rPr>
        <w:t>个，包括本</w:t>
      </w:r>
      <w:r>
        <w:rPr>
          <w:rFonts w:hint="eastAsia" w:ascii="仿宋_GB2312" w:hAnsi="仿宋_GB2312" w:eastAsia="仿宋_GB2312" w:cs="仿宋_GB2312"/>
          <w:szCs w:val="32"/>
          <w:lang w:val="en-US" w:eastAsia="zh-CN"/>
        </w:rPr>
        <w:t>单位一级</w:t>
      </w:r>
      <w:r>
        <w:rPr>
          <w:rFonts w:ascii="仿宋_GB2312" w:hAnsi="仿宋_GB2312" w:eastAsia="仿宋_GB2312" w:cs="仿宋_GB2312"/>
          <w:color w:val="000000"/>
          <w:kern w:val="0"/>
          <w:sz w:val="31"/>
          <w:szCs w:val="31"/>
        </w:rPr>
        <w:t>预算</w:t>
      </w:r>
      <w:r>
        <w:rPr>
          <w:rFonts w:hint="eastAsia" w:ascii="仿宋_GB2312" w:hAnsi="仿宋_GB2312" w:eastAsia="仿宋_GB2312" w:cs="仿宋_GB2312"/>
          <w:szCs w:val="32"/>
        </w:rPr>
        <w:t>单位：</w:t>
      </w:r>
    </w:p>
    <w:tbl>
      <w:tblPr>
        <w:tblStyle w:val="7"/>
        <w:tblW w:w="89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7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trPr>
        <w:tc>
          <w:tcPr>
            <w:tcW w:w="1681" w:type="dxa"/>
            <w:vAlign w:val="center"/>
          </w:tcPr>
          <w:p>
            <w:pPr>
              <w:jc w:val="center"/>
              <w:rPr>
                <w:rFonts w:ascii="黑体" w:hAnsi="黑体" w:eastAsia="黑体"/>
                <w:szCs w:val="32"/>
              </w:rPr>
            </w:pPr>
            <w:r>
              <w:rPr>
                <w:rFonts w:hint="eastAsia" w:ascii="黑体" w:hAnsi="黑体" w:eastAsia="黑体"/>
                <w:szCs w:val="32"/>
              </w:rPr>
              <w:t>序号</w:t>
            </w:r>
          </w:p>
        </w:tc>
        <w:tc>
          <w:tcPr>
            <w:tcW w:w="7278" w:type="dxa"/>
            <w:vAlign w:val="center"/>
          </w:tcPr>
          <w:p>
            <w:pPr>
              <w:jc w:val="center"/>
              <w:rPr>
                <w:rFonts w:ascii="黑体" w:hAnsi="黑体" w:eastAsia="黑体"/>
                <w:szCs w:val="32"/>
              </w:rPr>
            </w:pPr>
            <w:r>
              <w:rPr>
                <w:rFonts w:hint="eastAsia" w:ascii="黑体" w:hAnsi="黑体" w:eastAsia="黑体"/>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trPr>
        <w:tc>
          <w:tcPr>
            <w:tcW w:w="1681" w:type="dxa"/>
            <w:vAlign w:val="center"/>
          </w:tcPr>
          <w:p>
            <w:pPr>
              <w:jc w:val="center"/>
              <w:rPr>
                <w:rFonts w:ascii="仿宋_GB2312" w:hAnsi="仿宋_GB2312" w:eastAsia="仿宋_GB2312" w:cs="仿宋_GB2312"/>
                <w:szCs w:val="32"/>
              </w:rPr>
            </w:pPr>
            <w:r>
              <w:rPr>
                <w:rFonts w:hint="eastAsia" w:ascii="仿宋_GB2312" w:hAnsi="仿宋_GB2312" w:eastAsia="仿宋_GB2312" w:cs="仿宋_GB2312"/>
                <w:szCs w:val="32"/>
              </w:rPr>
              <w:t>1</w:t>
            </w:r>
          </w:p>
        </w:tc>
        <w:tc>
          <w:tcPr>
            <w:tcW w:w="7278" w:type="dxa"/>
            <w:vAlign w:val="center"/>
          </w:tcPr>
          <w:p>
            <w:pPr>
              <w:jc w:val="center"/>
              <w:rPr>
                <w:rFonts w:ascii="仿宋_GB2312" w:hAnsi="仿宋_GB2312" w:eastAsia="仿宋_GB2312" w:cs="仿宋_GB2312"/>
                <w:szCs w:val="32"/>
              </w:rPr>
            </w:pPr>
            <w:r>
              <w:rPr>
                <w:rFonts w:hint="eastAsia" w:ascii="仿宋_GB2312" w:hAnsi="仿宋_GB2312" w:eastAsia="仿宋_GB2312" w:cs="仿宋_GB2312"/>
                <w:szCs w:val="32"/>
                <w:lang w:val="en-US" w:eastAsia="zh-CN"/>
              </w:rPr>
              <w:t>陕西蓝田西北家具工业园管委会</w:t>
            </w:r>
            <w:r>
              <w:rPr>
                <w:rFonts w:hint="eastAsia" w:ascii="仿宋_GB2312" w:hAnsi="仿宋_GB2312" w:eastAsia="仿宋_GB2312" w:cs="仿宋_GB2312"/>
                <w:szCs w:val="32"/>
              </w:rPr>
              <w:t>部门本级（机关）</w:t>
            </w:r>
          </w:p>
        </w:tc>
      </w:tr>
    </w:tbl>
    <w:p>
      <w:pPr>
        <w:ind w:firstLine="640"/>
        <w:rPr>
          <w:rFonts w:ascii="黑体" w:hAnsi="黑体" w:eastAsia="黑体"/>
          <w:b/>
          <w:bCs/>
          <w:szCs w:val="32"/>
        </w:rPr>
      </w:pPr>
      <w:r>
        <w:rPr>
          <w:rFonts w:hint="eastAsia" w:ascii="黑体" w:hAnsi="黑体" w:eastAsia="黑体"/>
          <w:b/>
          <w:bCs/>
          <w:szCs w:val="32"/>
        </w:rPr>
        <w:t>三、部门人员情况</w:t>
      </w:r>
    </w:p>
    <w:p>
      <w:pPr>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截止2019年底，本部门人员编制</w:t>
      </w:r>
      <w:r>
        <w:rPr>
          <w:rFonts w:hint="eastAsia" w:ascii="仿宋_GB2312" w:hAnsi="仿宋_GB2312" w:eastAsia="仿宋_GB2312" w:cs="仿宋_GB2312"/>
          <w:szCs w:val="32"/>
          <w:lang w:val="en-US" w:eastAsia="zh-CN"/>
        </w:rPr>
        <w:t>11</w:t>
      </w:r>
      <w:r>
        <w:rPr>
          <w:rFonts w:hint="eastAsia" w:ascii="仿宋_GB2312" w:hAnsi="仿宋_GB2312" w:eastAsia="仿宋_GB2312" w:cs="仿宋_GB2312"/>
          <w:szCs w:val="32"/>
        </w:rPr>
        <w:t>人，其中行政编制</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人、事业编制</w:t>
      </w:r>
      <w:r>
        <w:rPr>
          <w:rFonts w:hint="eastAsia" w:ascii="仿宋_GB2312" w:hAnsi="仿宋_GB2312" w:eastAsia="仿宋_GB2312" w:cs="仿宋_GB2312"/>
          <w:szCs w:val="32"/>
          <w:lang w:val="en-US" w:eastAsia="zh-CN"/>
        </w:rPr>
        <w:t>11</w:t>
      </w:r>
      <w:r>
        <w:rPr>
          <w:rFonts w:hint="eastAsia" w:ascii="仿宋_GB2312" w:hAnsi="仿宋_GB2312" w:eastAsia="仿宋_GB2312" w:cs="仿宋_GB2312"/>
          <w:szCs w:val="32"/>
        </w:rPr>
        <w:t>人；实有人员</w:t>
      </w:r>
      <w:r>
        <w:rPr>
          <w:rFonts w:hint="eastAsia" w:ascii="仿宋_GB2312" w:hAnsi="仿宋_GB2312" w:eastAsia="仿宋_GB2312" w:cs="仿宋_GB2312"/>
          <w:szCs w:val="32"/>
          <w:lang w:val="en-US" w:eastAsia="zh-CN"/>
        </w:rPr>
        <w:t>5</w:t>
      </w:r>
      <w:r>
        <w:rPr>
          <w:rFonts w:hint="eastAsia" w:ascii="仿宋_GB2312" w:hAnsi="仿宋_GB2312" w:eastAsia="仿宋_GB2312" w:cs="仿宋_GB2312"/>
          <w:szCs w:val="32"/>
        </w:rPr>
        <w:t>人，其中行政</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人、事业</w:t>
      </w:r>
      <w:r>
        <w:rPr>
          <w:rFonts w:hint="eastAsia" w:ascii="仿宋_GB2312" w:hAnsi="仿宋_GB2312" w:eastAsia="仿宋_GB2312" w:cs="仿宋_GB2312"/>
          <w:szCs w:val="32"/>
          <w:lang w:val="en-US" w:eastAsia="zh-CN"/>
        </w:rPr>
        <w:t>5</w:t>
      </w:r>
      <w:r>
        <w:rPr>
          <w:rFonts w:hint="eastAsia" w:ascii="仿宋_GB2312" w:hAnsi="仿宋_GB2312" w:eastAsia="仿宋_GB2312" w:cs="仿宋_GB2312"/>
          <w:szCs w:val="32"/>
        </w:rPr>
        <w:t>人。单位管理的离退休人员</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人。</w:t>
      </w:r>
    </w:p>
    <w:p>
      <w:pPr>
        <w:ind w:firstLine="640"/>
        <w:rPr>
          <w:rFonts w:hint="eastAsia" w:ascii="仿宋_GB2312" w:hAnsi="仿宋_GB2312" w:eastAsia="仿宋_GB2312" w:cs="仿宋_GB2312"/>
          <w:szCs w:val="32"/>
        </w:rPr>
      </w:pPr>
      <w:r>
        <w:rPr>
          <w:rFonts w:hint="eastAsia" w:ascii="仿宋_GB2312" w:hAnsi="仿宋_GB2312" w:eastAsia="仿宋_GB2312" w:cs="仿宋_GB2312"/>
          <w:sz w:val="32"/>
          <w:szCs w:val="32"/>
        </w:rPr>
        <w:drawing>
          <wp:inline distT="0" distB="0" distL="114300" distR="114300">
            <wp:extent cx="5779770" cy="3101975"/>
            <wp:effectExtent l="0" t="0" r="11430" b="3175"/>
            <wp:docPr id="1" name="图片 5" descr="微信图片_20191127171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descr="微信图片_20191127171322"/>
                    <pic:cNvPicPr>
                      <a:picLocks noChangeAspect="1"/>
                    </pic:cNvPicPr>
                  </pic:nvPicPr>
                  <pic:blipFill>
                    <a:blip r:embed="rId4"/>
                    <a:stretch>
                      <a:fillRect/>
                    </a:stretch>
                  </pic:blipFill>
                  <pic:spPr>
                    <a:xfrm>
                      <a:off x="0" y="0"/>
                      <a:ext cx="5779770" cy="3101975"/>
                    </a:xfrm>
                    <a:prstGeom prst="rect">
                      <a:avLst/>
                    </a:prstGeom>
                    <a:noFill/>
                    <a:ln>
                      <a:noFill/>
                    </a:ln>
                  </pic:spPr>
                </pic:pic>
              </a:graphicData>
            </a:graphic>
          </wp:inline>
        </w:drawing>
      </w:r>
    </w:p>
    <w:p>
      <w:pPr>
        <w:ind w:firstLine="640"/>
        <w:rPr>
          <w:rFonts w:ascii="仿宋_GB2312" w:hAnsi="仿宋_GB2312" w:eastAsia="仿宋_GB2312" w:cs="仿宋_GB2312"/>
          <w:szCs w:val="32"/>
        </w:rPr>
      </w:pPr>
    </w:p>
    <w:p>
      <w:pPr>
        <w:widowControl/>
        <w:jc w:val="center"/>
        <w:rPr>
          <w:rFonts w:ascii="黑体" w:hAnsi="宋体" w:eastAsia="黑体"/>
          <w:color w:val="000000"/>
          <w:kern w:val="0"/>
          <w:sz w:val="44"/>
          <w:szCs w:val="44"/>
        </w:rPr>
      </w:pPr>
    </w:p>
    <w:p>
      <w:pPr>
        <w:widowControl/>
        <w:jc w:val="center"/>
        <w:rPr>
          <w:rFonts w:ascii="黑体" w:hAnsi="宋体" w:eastAsia="黑体"/>
          <w:color w:val="000000"/>
          <w:kern w:val="0"/>
          <w:sz w:val="44"/>
          <w:szCs w:val="44"/>
        </w:rPr>
      </w:pPr>
    </w:p>
    <w:p>
      <w:pPr>
        <w:widowControl/>
        <w:jc w:val="center"/>
        <w:rPr>
          <w:rFonts w:ascii="黑体" w:hAnsi="宋体" w:eastAsia="黑体"/>
          <w:color w:val="000000"/>
          <w:kern w:val="0"/>
          <w:sz w:val="44"/>
          <w:szCs w:val="44"/>
        </w:rPr>
      </w:pPr>
    </w:p>
    <w:p>
      <w:pPr>
        <w:widowControl/>
        <w:jc w:val="center"/>
        <w:rPr>
          <w:sz w:val="44"/>
          <w:szCs w:val="44"/>
        </w:rPr>
      </w:pPr>
      <w:r>
        <w:rPr>
          <w:rFonts w:ascii="黑体" w:hAnsi="宋体" w:eastAsia="黑体"/>
          <w:color w:val="000000"/>
          <w:kern w:val="0"/>
          <w:sz w:val="44"/>
          <w:szCs w:val="44"/>
        </w:rPr>
        <w:t>第二部分 2019年度部门决算表</w:t>
      </w:r>
    </w:p>
    <w:tbl>
      <w:tblPr>
        <w:tblStyle w:val="6"/>
        <w:tblpPr w:leftFromText="180" w:rightFromText="180" w:vertAnchor="text" w:horzAnchor="page" w:tblpX="1508" w:tblpY="1123"/>
        <w:tblOverlap w:val="never"/>
        <w:tblW w:w="9210" w:type="dxa"/>
        <w:tblInd w:w="0" w:type="dxa"/>
        <w:tblLayout w:type="fixed"/>
        <w:tblCellMar>
          <w:top w:w="0" w:type="dxa"/>
          <w:left w:w="0" w:type="dxa"/>
          <w:bottom w:w="0" w:type="dxa"/>
          <w:right w:w="0" w:type="dxa"/>
        </w:tblCellMar>
      </w:tblPr>
      <w:tblGrid>
        <w:gridCol w:w="570"/>
        <w:gridCol w:w="6240"/>
        <w:gridCol w:w="660"/>
        <w:gridCol w:w="1740"/>
      </w:tblGrid>
      <w:tr>
        <w:tblPrEx>
          <w:tblLayout w:type="fixed"/>
          <w:tblCellMar>
            <w:top w:w="0" w:type="dxa"/>
            <w:left w:w="0" w:type="dxa"/>
            <w:bottom w:w="0" w:type="dxa"/>
            <w:right w:w="0" w:type="dxa"/>
          </w:tblCellMar>
        </w:tblPrEx>
        <w:trPr>
          <w:trHeight w:val="645"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序号</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内容</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kern w:val="0"/>
                <w:sz w:val="24"/>
              </w:rPr>
            </w:pPr>
            <w:r>
              <w:rPr>
                <w:rFonts w:hint="eastAsia" w:ascii="黑体" w:hAnsi="宋体" w:eastAsia="黑体"/>
                <w:color w:val="000000"/>
                <w:kern w:val="0"/>
                <w:sz w:val="24"/>
              </w:rPr>
              <w:t>是否</w:t>
            </w:r>
          </w:p>
          <w:p>
            <w:pPr>
              <w:widowControl/>
              <w:jc w:val="center"/>
              <w:textAlignment w:val="center"/>
              <w:rPr>
                <w:rFonts w:ascii="黑体" w:hAnsi="宋体" w:eastAsia="黑体"/>
                <w:color w:val="000000"/>
                <w:sz w:val="24"/>
              </w:rPr>
            </w:pPr>
            <w:r>
              <w:rPr>
                <w:rFonts w:hint="eastAsia" w:ascii="黑体" w:hAnsi="宋体" w:eastAsia="黑体"/>
                <w:color w:val="000000"/>
                <w:kern w:val="0"/>
                <w:sz w:val="24"/>
              </w:rPr>
              <w:t>空表</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表格为空的理由</w:t>
            </w:r>
          </w:p>
        </w:tc>
      </w:tr>
      <w:tr>
        <w:tblPrEx>
          <w:tblLayout w:type="fixed"/>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表1</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收入支出决算总表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val="en-US" w:eastAsia="zh-CN"/>
              </w:rPr>
            </w:pPr>
            <w:r>
              <w:rPr>
                <w:rFonts w:hint="eastAsia" w:ascii="宋体" w:hAnsi="宋体" w:cs="宋体"/>
                <w:color w:val="000000"/>
                <w:sz w:val="24"/>
                <w:lang w:val="en-US"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Layout w:type="fixed"/>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表2</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收入决算表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val="en-US" w:eastAsia="zh-CN"/>
              </w:rPr>
            </w:pPr>
            <w:r>
              <w:rPr>
                <w:rFonts w:hint="eastAsia" w:ascii="宋体" w:hAnsi="宋体" w:cs="宋体"/>
                <w:color w:val="000000"/>
                <w:sz w:val="24"/>
                <w:lang w:val="en-US"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Layout w:type="fixed"/>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表3</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支出决算表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val="en-US" w:eastAsia="zh-CN"/>
              </w:rPr>
            </w:pPr>
            <w:r>
              <w:rPr>
                <w:rFonts w:hint="eastAsia" w:ascii="宋体" w:hAnsi="宋体" w:cs="宋体"/>
                <w:color w:val="000000"/>
                <w:sz w:val="24"/>
                <w:lang w:val="en-US"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Layout w:type="fixed"/>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表4</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财政拨款收入支出决算总表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val="en-US" w:eastAsia="zh-CN"/>
              </w:rPr>
            </w:pPr>
            <w:r>
              <w:rPr>
                <w:rFonts w:hint="eastAsia" w:ascii="宋体" w:hAnsi="宋体" w:cs="宋体"/>
                <w:color w:val="000000"/>
                <w:sz w:val="24"/>
                <w:lang w:val="en-US"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Layout w:type="fixed"/>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表5</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宋体" w:hAnsi="宋体" w:cs="宋体"/>
                <w:color w:val="000000"/>
                <w:kern w:val="0"/>
                <w:sz w:val="21"/>
                <w:szCs w:val="21"/>
              </w:rPr>
            </w:pPr>
            <w:r>
              <w:rPr>
                <w:rFonts w:hint="eastAsia" w:ascii="宋体" w:hAnsi="宋体" w:cs="宋体"/>
                <w:color w:val="000000"/>
                <w:kern w:val="0"/>
                <w:sz w:val="21"/>
                <w:szCs w:val="21"/>
              </w:rPr>
              <w:t>一般公共预算财政拨款支出决算表（按功能分类科目）</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val="en-US" w:eastAsia="zh-CN"/>
              </w:rPr>
            </w:pPr>
            <w:r>
              <w:rPr>
                <w:rFonts w:hint="eastAsia" w:ascii="宋体" w:hAnsi="宋体" w:cs="宋体"/>
                <w:color w:val="000000"/>
                <w:sz w:val="24"/>
                <w:lang w:val="en-US"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Layout w:type="fixed"/>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表6</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一般公共预算财政拨款基本支出决算表 （按经济分类科目）</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val="en-US" w:eastAsia="zh-CN"/>
              </w:rPr>
            </w:pPr>
            <w:r>
              <w:rPr>
                <w:rFonts w:hint="eastAsia" w:ascii="宋体" w:hAnsi="宋体" w:cs="宋体"/>
                <w:color w:val="000000"/>
                <w:sz w:val="24"/>
                <w:lang w:val="en-US"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Layout w:type="fixed"/>
          <w:tblCellMar>
            <w:top w:w="0" w:type="dxa"/>
            <w:left w:w="0" w:type="dxa"/>
            <w:bottom w:w="0" w:type="dxa"/>
            <w:right w:w="0" w:type="dxa"/>
          </w:tblCellMar>
        </w:tblPrEx>
        <w:trPr>
          <w:trHeight w:val="786" w:hRule="exact"/>
        </w:trPr>
        <w:tc>
          <w:tcPr>
            <w:tcW w:w="57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表7</w:t>
            </w:r>
          </w:p>
        </w:tc>
        <w:tc>
          <w:tcPr>
            <w:tcW w:w="624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1"/>
                <w:szCs w:val="21"/>
              </w:rPr>
            </w:pPr>
            <w:r>
              <w:rPr>
                <w:rFonts w:hint="eastAsia" w:ascii="宋体" w:hAnsi="宋体" w:cs="宋体"/>
                <w:color w:val="000000"/>
                <w:kern w:val="0"/>
                <w:sz w:val="21"/>
                <w:szCs w:val="21"/>
              </w:rPr>
              <w:t>一般公共预算财政拨款“三公”经费及会议费、培训费支出决算表</w:t>
            </w:r>
          </w:p>
        </w:tc>
        <w:tc>
          <w:tcPr>
            <w:tcW w:w="66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val="en-US" w:eastAsia="zh-CN"/>
              </w:rPr>
            </w:pPr>
            <w:r>
              <w:rPr>
                <w:rFonts w:hint="eastAsia" w:ascii="宋体" w:hAnsi="宋体" w:cs="宋体"/>
                <w:color w:val="000000"/>
                <w:sz w:val="24"/>
                <w:lang w:val="en-US" w:eastAsia="zh-CN"/>
              </w:rPr>
              <w:t>是</w:t>
            </w:r>
          </w:p>
        </w:tc>
        <w:tc>
          <w:tcPr>
            <w:tcW w:w="174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default" w:ascii="宋体" w:hAnsi="宋体" w:eastAsia="方正仿宋简体" w:cs="宋体"/>
                <w:color w:val="000000"/>
                <w:sz w:val="24"/>
                <w:lang w:val="en-US" w:eastAsia="zh-CN"/>
              </w:rPr>
            </w:pPr>
            <w:r>
              <w:rPr>
                <w:rFonts w:hint="eastAsia" w:ascii="宋体" w:hAnsi="宋体" w:cs="宋体"/>
                <w:color w:val="000000"/>
                <w:sz w:val="24"/>
                <w:lang w:val="en-US" w:eastAsia="zh-CN"/>
              </w:rPr>
              <w:t>无三公经费支出</w:t>
            </w:r>
          </w:p>
        </w:tc>
      </w:tr>
      <w:tr>
        <w:tblPrEx>
          <w:tblLayout w:type="fixed"/>
          <w:tblCellMar>
            <w:top w:w="0" w:type="dxa"/>
            <w:left w:w="0" w:type="dxa"/>
            <w:bottom w:w="0" w:type="dxa"/>
            <w:right w:w="0" w:type="dxa"/>
          </w:tblCellMar>
        </w:tblPrEx>
        <w:trPr>
          <w:trHeight w:val="736"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表8</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政府性基金预算财政拨款收入支出</w:t>
            </w:r>
          </w:p>
          <w:p>
            <w:pPr>
              <w:widowControl/>
              <w:jc w:val="left"/>
              <w:rPr>
                <w:rFonts w:ascii="宋体" w:hAnsi="宋体" w:cs="宋体"/>
                <w:color w:val="000000"/>
                <w:sz w:val="21"/>
                <w:szCs w:val="21"/>
              </w:rPr>
            </w:pPr>
            <w:r>
              <w:rPr>
                <w:rFonts w:hint="eastAsia" w:ascii="宋体" w:hAnsi="宋体" w:cs="宋体"/>
                <w:color w:val="000000"/>
                <w:kern w:val="0"/>
                <w:sz w:val="21"/>
                <w:szCs w:val="21"/>
              </w:rPr>
              <w:t>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val="en-US" w:eastAsia="zh-CN"/>
              </w:rPr>
            </w:pPr>
            <w:r>
              <w:rPr>
                <w:rFonts w:hint="eastAsia" w:ascii="宋体" w:hAnsi="宋体" w:cs="宋体"/>
                <w:color w:val="000000"/>
                <w:sz w:val="24"/>
                <w:lang w:val="en-US"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bl>
    <w:p>
      <w:pPr>
        <w:widowControl/>
        <w:rPr>
          <w:rFonts w:ascii="黑体" w:hAnsi="宋体" w:eastAsia="黑体"/>
          <w:color w:val="000000"/>
          <w:kern w:val="0"/>
          <w:sz w:val="44"/>
          <w:szCs w:val="44"/>
        </w:rPr>
      </w:pPr>
    </w:p>
    <w:p>
      <w:pPr>
        <w:widowControl/>
        <w:rPr>
          <w:rFonts w:ascii="黑体" w:hAnsi="宋体" w:eastAsia="黑体"/>
          <w:color w:val="000000"/>
          <w:kern w:val="0"/>
          <w:sz w:val="44"/>
          <w:szCs w:val="44"/>
        </w:rPr>
      </w:pPr>
    </w:p>
    <w:p>
      <w:pPr>
        <w:widowControl/>
        <w:jc w:val="center"/>
        <w:textAlignment w:val="center"/>
        <w:rPr>
          <w:rFonts w:ascii="宋体" w:hAnsi="宋体" w:cs="宋体"/>
          <w:b/>
          <w:color w:val="000000"/>
          <w:kern w:val="0"/>
          <w:sz w:val="40"/>
          <w:szCs w:val="40"/>
        </w:rPr>
      </w:pPr>
      <w:r>
        <w:rPr>
          <w:rFonts w:hint="eastAsia" w:ascii="宋体" w:hAnsi="宋体" w:cs="宋体"/>
          <w:b/>
          <w:color w:val="000000"/>
          <w:kern w:val="0"/>
          <w:sz w:val="40"/>
          <w:szCs w:val="40"/>
        </w:rPr>
        <w:br w:type="page"/>
      </w:r>
    </w:p>
    <w:p>
      <w:pPr>
        <w:jc w:val="center"/>
        <w:rPr>
          <w:rFonts w:ascii="宋体" w:hAnsi="宋体" w:eastAsia="宋体" w:cs="宋体"/>
          <w:b/>
          <w:bCs/>
          <w:szCs w:val="32"/>
        </w:rPr>
      </w:pPr>
      <w:r>
        <w:rPr>
          <w:rFonts w:hint="eastAsia" w:ascii="宋体" w:hAnsi="宋体" w:eastAsia="宋体" w:cs="宋体"/>
          <w:b/>
          <w:bCs/>
          <w:szCs w:val="32"/>
        </w:rPr>
        <w:t>收入支出决算总表</w:t>
      </w:r>
    </w:p>
    <w:p>
      <w:pPr>
        <w:jc w:val="right"/>
        <w:rPr>
          <w:rFonts w:ascii="宋体" w:hAnsi="宋体" w:eastAsia="宋体" w:cs="宋体"/>
          <w:b/>
          <w:bCs/>
          <w:sz w:val="21"/>
          <w:szCs w:val="21"/>
        </w:rPr>
      </w:pPr>
      <w:r>
        <w:rPr>
          <w:rFonts w:hint="eastAsia" w:ascii="宋体" w:hAnsi="宋体" w:eastAsia="宋体" w:cs="宋体"/>
          <w:b/>
          <w:bCs/>
          <w:sz w:val="21"/>
          <w:szCs w:val="21"/>
        </w:rPr>
        <w:t>公开01表</w:t>
      </w:r>
    </w:p>
    <w:p>
      <w:pPr>
        <w:rPr>
          <w:rFonts w:ascii="宋体" w:hAnsi="宋体" w:eastAsia="宋体" w:cs="宋体"/>
          <w:b/>
          <w:bCs/>
          <w:sz w:val="21"/>
          <w:szCs w:val="21"/>
        </w:rPr>
      </w:pPr>
      <w:r>
        <w:rPr>
          <w:rFonts w:hint="eastAsia" w:ascii="宋体" w:hAnsi="宋体" w:eastAsia="宋体" w:cs="宋体"/>
          <w:b/>
          <w:bCs/>
          <w:sz w:val="21"/>
          <w:szCs w:val="21"/>
        </w:rPr>
        <w:t>编制部门：                                                       金额单位：万元</w:t>
      </w:r>
    </w:p>
    <w:tbl>
      <w:tblPr>
        <w:tblStyle w:val="6"/>
        <w:tblW w:w="8884" w:type="dxa"/>
        <w:tblInd w:w="0" w:type="dxa"/>
        <w:tblLayout w:type="fixed"/>
        <w:tblCellMar>
          <w:top w:w="15" w:type="dxa"/>
          <w:left w:w="15" w:type="dxa"/>
          <w:bottom w:w="15" w:type="dxa"/>
          <w:right w:w="15" w:type="dxa"/>
        </w:tblCellMar>
      </w:tblPr>
      <w:tblGrid>
        <w:gridCol w:w="3388"/>
        <w:gridCol w:w="1080"/>
        <w:gridCol w:w="3090"/>
        <w:gridCol w:w="1326"/>
      </w:tblGrid>
      <w:tr>
        <w:tblPrEx>
          <w:tblLayout w:type="fixed"/>
          <w:tblCellMar>
            <w:top w:w="15" w:type="dxa"/>
            <w:left w:w="15" w:type="dxa"/>
            <w:bottom w:w="15" w:type="dxa"/>
            <w:right w:w="15" w:type="dxa"/>
          </w:tblCellMar>
        </w:tblPrEx>
        <w:trPr>
          <w:trHeight w:val="426" w:hRule="atLeast"/>
        </w:trPr>
        <w:tc>
          <w:tcPr>
            <w:tcW w:w="446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    入</w:t>
            </w:r>
          </w:p>
        </w:tc>
        <w:tc>
          <w:tcPr>
            <w:tcW w:w="441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    出</w:t>
            </w:r>
          </w:p>
        </w:tc>
      </w:tr>
      <w:tr>
        <w:tblPrEx>
          <w:tblLayout w:type="fixed"/>
          <w:tblCellMar>
            <w:top w:w="15" w:type="dxa"/>
            <w:left w:w="15" w:type="dxa"/>
            <w:bottom w:w="15" w:type="dxa"/>
            <w:right w:w="15" w:type="dxa"/>
          </w:tblCellMar>
        </w:tblPrEx>
        <w:trPr>
          <w:trHeight w:val="378"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1、一般公共预算财政拨款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tabs>
                <w:tab w:val="left" w:pos="405"/>
              </w:tabs>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931.81</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1、一般公共服务支出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tabs>
                <w:tab w:val="left" w:pos="285"/>
              </w:tabs>
              <w:jc w:val="center"/>
              <w:rPr>
                <w:rFonts w:hint="default" w:ascii="宋体" w:hAnsi="宋体" w:eastAsia="宋体" w:cs="宋体"/>
                <w:b w:val="0"/>
                <w:bCs w:val="0"/>
                <w:color w:val="000000"/>
                <w:sz w:val="21"/>
                <w:szCs w:val="21"/>
                <w:lang w:val="en-US" w:eastAsia="zh-CN"/>
              </w:rPr>
            </w:pPr>
            <w:r>
              <w:rPr>
                <w:rFonts w:hint="eastAsia" w:ascii="宋体" w:hAnsi="宋体" w:eastAsia="宋体" w:cs="宋体"/>
                <w:b w:val="0"/>
                <w:bCs w:val="0"/>
                <w:color w:val="000000"/>
                <w:sz w:val="21"/>
                <w:szCs w:val="21"/>
                <w:lang w:val="en-US" w:eastAsia="zh-CN"/>
              </w:rPr>
              <w:t>124.56</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2、政府性基金预算财政拨款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tabs>
                <w:tab w:val="left" w:pos="435"/>
              </w:tabs>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8.79</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2、外交支出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val="0"/>
                <w:bCs w:val="0"/>
                <w:color w:val="000000"/>
                <w:sz w:val="21"/>
                <w:szCs w:val="21"/>
              </w:rPr>
            </w:pPr>
            <w:r>
              <w:rPr>
                <w:rFonts w:hint="eastAsia" w:asciiTheme="minorEastAsia" w:hAnsiTheme="minorEastAsia" w:eastAsiaTheme="minorEastAsia" w:cstheme="minorEastAsia"/>
                <w:b w:val="0"/>
                <w:bCs w:val="0"/>
                <w:color w:val="000000"/>
                <w:kern w:val="0"/>
                <w:sz w:val="18"/>
                <w:szCs w:val="18"/>
              </w:rPr>
              <w:t>0.00</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 xml:space="preserve">3、国有资本经营预算财政拨款 </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3、国防支出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val="0"/>
                <w:bCs w:val="0"/>
                <w:color w:val="000000"/>
                <w:sz w:val="21"/>
                <w:szCs w:val="21"/>
              </w:rPr>
            </w:pPr>
            <w:r>
              <w:rPr>
                <w:rFonts w:hint="eastAsia" w:asciiTheme="minorEastAsia" w:hAnsiTheme="minorEastAsia" w:eastAsiaTheme="minorEastAsia" w:cstheme="minorEastAsia"/>
                <w:b w:val="0"/>
                <w:bCs w:val="0"/>
                <w:color w:val="000000"/>
                <w:kern w:val="0"/>
                <w:sz w:val="18"/>
                <w:szCs w:val="18"/>
              </w:rPr>
              <w:t>0.00</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4、上级补助收入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4、公共安全支出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val="0"/>
                <w:bCs w:val="0"/>
                <w:color w:val="000000"/>
                <w:sz w:val="21"/>
                <w:szCs w:val="21"/>
              </w:rPr>
            </w:pPr>
            <w:r>
              <w:rPr>
                <w:rFonts w:hint="eastAsia" w:asciiTheme="minorEastAsia" w:hAnsiTheme="minorEastAsia" w:eastAsiaTheme="minorEastAsia" w:cstheme="minorEastAsia"/>
                <w:b w:val="0"/>
                <w:bCs w:val="0"/>
                <w:color w:val="000000"/>
                <w:kern w:val="0"/>
                <w:sz w:val="18"/>
                <w:szCs w:val="18"/>
              </w:rPr>
              <w:t>0.00</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5、事业收入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5、教育支出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val="0"/>
                <w:bCs w:val="0"/>
                <w:color w:val="000000"/>
                <w:sz w:val="21"/>
                <w:szCs w:val="21"/>
              </w:rPr>
            </w:pPr>
            <w:r>
              <w:rPr>
                <w:rFonts w:hint="eastAsia" w:asciiTheme="minorEastAsia" w:hAnsiTheme="minorEastAsia" w:eastAsiaTheme="minorEastAsia" w:cstheme="minorEastAsia"/>
                <w:b w:val="0"/>
                <w:bCs w:val="0"/>
                <w:color w:val="000000"/>
                <w:kern w:val="0"/>
                <w:sz w:val="18"/>
                <w:szCs w:val="18"/>
              </w:rPr>
              <w:t>0.00</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6、经营收入</w:t>
            </w:r>
          </w:p>
        </w:tc>
        <w:tc>
          <w:tcPr>
            <w:tcW w:w="1080" w:type="dxa"/>
            <w:tcBorders>
              <w:top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6、科学技术支出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val="0"/>
                <w:bCs w:val="0"/>
                <w:color w:val="000000"/>
                <w:sz w:val="21"/>
                <w:szCs w:val="21"/>
              </w:rPr>
            </w:pPr>
            <w:r>
              <w:rPr>
                <w:rFonts w:hint="eastAsia" w:asciiTheme="minorEastAsia" w:hAnsiTheme="minorEastAsia" w:eastAsiaTheme="minorEastAsia" w:cstheme="minorEastAsia"/>
                <w:b w:val="0"/>
                <w:bCs w:val="0"/>
                <w:color w:val="000000"/>
                <w:kern w:val="0"/>
                <w:sz w:val="18"/>
                <w:szCs w:val="18"/>
              </w:rPr>
              <w:t>0.00</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7、附属单位上缴收入</w:t>
            </w:r>
          </w:p>
        </w:tc>
        <w:tc>
          <w:tcPr>
            <w:tcW w:w="1080" w:type="dxa"/>
            <w:tcBorders>
              <w:top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7、文化旅游体育与传媒支出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val="0"/>
                <w:bCs w:val="0"/>
                <w:color w:val="000000"/>
                <w:sz w:val="21"/>
                <w:szCs w:val="21"/>
              </w:rPr>
            </w:pPr>
            <w:r>
              <w:rPr>
                <w:rFonts w:hint="eastAsia" w:asciiTheme="minorEastAsia" w:hAnsiTheme="minorEastAsia" w:eastAsiaTheme="minorEastAsia" w:cstheme="minorEastAsia"/>
                <w:b w:val="0"/>
                <w:bCs w:val="0"/>
                <w:color w:val="000000"/>
                <w:kern w:val="0"/>
                <w:sz w:val="18"/>
                <w:szCs w:val="18"/>
              </w:rPr>
              <w:t>0.00</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8、其他收入</w:t>
            </w:r>
          </w:p>
        </w:tc>
        <w:tc>
          <w:tcPr>
            <w:tcW w:w="1080" w:type="dxa"/>
            <w:tcBorders>
              <w:top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8、社会保障和就业支出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tabs>
                <w:tab w:val="left" w:pos="225"/>
              </w:tabs>
              <w:jc w:val="center"/>
              <w:rPr>
                <w:rFonts w:hint="default" w:ascii="宋体" w:hAnsi="宋体" w:eastAsia="宋体" w:cs="宋体"/>
                <w:b w:val="0"/>
                <w:bCs w:val="0"/>
                <w:color w:val="000000"/>
                <w:sz w:val="21"/>
                <w:szCs w:val="21"/>
                <w:lang w:val="en-US" w:eastAsia="zh-CN"/>
              </w:rPr>
            </w:pPr>
            <w:r>
              <w:rPr>
                <w:rFonts w:hint="eastAsia" w:ascii="宋体" w:hAnsi="宋体" w:eastAsia="宋体" w:cs="宋体"/>
                <w:b w:val="0"/>
                <w:bCs w:val="0"/>
                <w:color w:val="000000"/>
                <w:sz w:val="21"/>
                <w:szCs w:val="21"/>
                <w:lang w:val="en-US" w:eastAsia="zh-CN"/>
              </w:rPr>
              <w:t>4.67</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9、卫生健康支出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tabs>
                <w:tab w:val="left" w:pos="315"/>
              </w:tabs>
              <w:jc w:val="center"/>
              <w:rPr>
                <w:rFonts w:hint="default" w:ascii="宋体" w:hAnsi="宋体" w:eastAsia="宋体" w:cs="宋体"/>
                <w:b w:val="0"/>
                <w:bCs w:val="0"/>
                <w:color w:val="000000"/>
                <w:sz w:val="21"/>
                <w:szCs w:val="21"/>
                <w:lang w:val="en-US" w:eastAsia="zh-CN"/>
              </w:rPr>
            </w:pPr>
            <w:r>
              <w:rPr>
                <w:rFonts w:hint="eastAsia" w:ascii="宋体" w:hAnsi="宋体" w:eastAsia="宋体" w:cs="宋体"/>
                <w:b w:val="0"/>
                <w:bCs w:val="0"/>
                <w:color w:val="000000"/>
                <w:sz w:val="21"/>
                <w:szCs w:val="21"/>
                <w:lang w:val="en-US" w:eastAsia="zh-CN"/>
              </w:rPr>
              <w:t>1.08</w:t>
            </w:r>
          </w:p>
        </w:tc>
      </w:tr>
      <w:tr>
        <w:tblPrEx>
          <w:tblLayout w:type="fixed"/>
          <w:tblCellMar>
            <w:top w:w="15" w:type="dxa"/>
            <w:left w:w="15" w:type="dxa"/>
            <w:bottom w:w="15" w:type="dxa"/>
            <w:right w:w="15" w:type="dxa"/>
          </w:tblCellMar>
        </w:tblPrEx>
        <w:trPr>
          <w:trHeight w:val="249"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10、节能环保支出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val="0"/>
                <w:bCs w:val="0"/>
                <w:color w:val="000000"/>
                <w:sz w:val="21"/>
                <w:szCs w:val="21"/>
                <w:lang w:val="en-US" w:eastAsia="zh-CN"/>
              </w:rPr>
            </w:pPr>
            <w:r>
              <w:rPr>
                <w:rFonts w:hint="eastAsia" w:ascii="宋体" w:hAnsi="宋体" w:eastAsia="宋体" w:cs="宋体"/>
                <w:b w:val="0"/>
                <w:bCs w:val="0"/>
                <w:color w:val="000000"/>
                <w:sz w:val="21"/>
                <w:szCs w:val="21"/>
                <w:lang w:val="en-US" w:eastAsia="zh-CN"/>
              </w:rPr>
              <w:t>0.00</w:t>
            </w:r>
          </w:p>
        </w:tc>
      </w:tr>
      <w:tr>
        <w:tblPrEx>
          <w:tblLayout w:type="fixed"/>
          <w:tblCellMar>
            <w:top w:w="15" w:type="dxa"/>
            <w:left w:w="15" w:type="dxa"/>
            <w:bottom w:w="15" w:type="dxa"/>
            <w:right w:w="15" w:type="dxa"/>
          </w:tblCellMar>
        </w:tblPrEx>
        <w:trPr>
          <w:trHeight w:val="33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11、城乡社区支出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tabs>
                <w:tab w:val="left" w:pos="255"/>
              </w:tabs>
              <w:jc w:val="center"/>
              <w:rPr>
                <w:rFonts w:hint="default" w:ascii="宋体" w:hAnsi="宋体" w:eastAsia="宋体" w:cs="宋体"/>
                <w:b w:val="0"/>
                <w:bCs w:val="0"/>
                <w:color w:val="000000"/>
                <w:sz w:val="21"/>
                <w:szCs w:val="21"/>
                <w:lang w:val="en-US" w:eastAsia="zh-CN"/>
              </w:rPr>
            </w:pPr>
            <w:r>
              <w:rPr>
                <w:rFonts w:hint="eastAsia" w:ascii="宋体" w:hAnsi="宋体" w:eastAsia="宋体" w:cs="宋体"/>
                <w:b w:val="0"/>
                <w:bCs w:val="0"/>
                <w:color w:val="000000"/>
                <w:sz w:val="21"/>
                <w:szCs w:val="21"/>
                <w:lang w:val="en-US" w:eastAsia="zh-CN"/>
              </w:rPr>
              <w:t>808.79</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12、农林水支出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tabs>
                <w:tab w:val="left" w:pos="473"/>
              </w:tabs>
              <w:jc w:val="center"/>
              <w:rPr>
                <w:rFonts w:hint="default" w:ascii="宋体" w:hAnsi="宋体" w:eastAsia="宋体" w:cs="宋体"/>
                <w:b w:val="0"/>
                <w:bCs w:val="0"/>
                <w:color w:val="000000"/>
                <w:sz w:val="21"/>
                <w:szCs w:val="21"/>
                <w:lang w:val="en-US" w:eastAsia="zh-CN"/>
              </w:rPr>
            </w:pPr>
            <w:r>
              <w:rPr>
                <w:rFonts w:hint="eastAsia" w:ascii="宋体" w:hAnsi="宋体" w:eastAsia="宋体" w:cs="宋体"/>
                <w:b w:val="0"/>
                <w:bCs w:val="0"/>
                <w:color w:val="000000"/>
                <w:sz w:val="21"/>
                <w:szCs w:val="21"/>
                <w:lang w:val="en-US" w:eastAsia="zh-CN"/>
              </w:rPr>
              <w:t>0.00</w:t>
            </w:r>
          </w:p>
        </w:tc>
      </w:tr>
      <w:tr>
        <w:tblPrEx>
          <w:tblLayout w:type="fixed"/>
          <w:tblCellMar>
            <w:top w:w="15" w:type="dxa"/>
            <w:left w:w="15" w:type="dxa"/>
            <w:bottom w:w="15" w:type="dxa"/>
            <w:right w:w="15" w:type="dxa"/>
          </w:tblCellMar>
        </w:tblPrEx>
        <w:trPr>
          <w:trHeight w:val="317"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13、交通运输支出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tabs>
                <w:tab w:val="left" w:pos="563"/>
              </w:tabs>
              <w:jc w:val="center"/>
              <w:rPr>
                <w:rFonts w:hint="default" w:ascii="宋体" w:hAnsi="宋体" w:eastAsia="宋体" w:cs="宋体"/>
                <w:b w:val="0"/>
                <w:bCs w:val="0"/>
                <w:color w:val="000000"/>
                <w:sz w:val="21"/>
                <w:szCs w:val="21"/>
                <w:lang w:val="en-US" w:eastAsia="zh-CN"/>
              </w:rPr>
            </w:pPr>
            <w:r>
              <w:rPr>
                <w:rFonts w:hint="eastAsia" w:ascii="宋体" w:hAnsi="宋体" w:eastAsia="宋体" w:cs="宋体"/>
                <w:b w:val="0"/>
                <w:bCs w:val="0"/>
                <w:color w:val="000000"/>
                <w:sz w:val="21"/>
                <w:szCs w:val="21"/>
                <w:lang w:val="en-US" w:eastAsia="zh-CN"/>
              </w:rPr>
              <w:t>0.00</w:t>
            </w:r>
          </w:p>
        </w:tc>
      </w:tr>
      <w:tr>
        <w:tblPrEx>
          <w:tblLayout w:type="fixed"/>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14、资源勘探信息等支出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tabs>
                <w:tab w:val="left" w:pos="225"/>
              </w:tabs>
              <w:jc w:val="center"/>
              <w:rPr>
                <w:rFonts w:hint="default" w:ascii="宋体" w:hAnsi="宋体" w:eastAsia="宋体" w:cs="宋体"/>
                <w:b w:val="0"/>
                <w:bCs w:val="0"/>
                <w:color w:val="000000"/>
                <w:sz w:val="21"/>
                <w:szCs w:val="21"/>
                <w:lang w:val="en-US" w:eastAsia="zh-CN"/>
              </w:rPr>
            </w:pPr>
            <w:r>
              <w:rPr>
                <w:rFonts w:hint="eastAsia" w:ascii="宋体" w:hAnsi="宋体" w:eastAsia="宋体" w:cs="宋体"/>
                <w:b w:val="0"/>
                <w:bCs w:val="0"/>
                <w:color w:val="000000"/>
                <w:sz w:val="21"/>
                <w:szCs w:val="21"/>
                <w:lang w:val="en-US" w:eastAsia="zh-CN"/>
              </w:rPr>
              <w:t>1.50</w:t>
            </w:r>
          </w:p>
        </w:tc>
      </w:tr>
      <w:tr>
        <w:tblPrEx>
          <w:tblLayout w:type="fixed"/>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15、商业服务业等支出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val="0"/>
                <w:bCs w:val="0"/>
                <w:color w:val="000000"/>
                <w:sz w:val="21"/>
                <w:szCs w:val="21"/>
              </w:rPr>
            </w:pPr>
            <w:r>
              <w:rPr>
                <w:rFonts w:hint="eastAsia" w:asciiTheme="minorEastAsia" w:hAnsiTheme="minorEastAsia" w:eastAsiaTheme="minorEastAsia" w:cstheme="minorEastAsia"/>
                <w:b w:val="0"/>
                <w:bCs w:val="0"/>
                <w:color w:val="000000"/>
                <w:kern w:val="0"/>
                <w:sz w:val="18"/>
                <w:szCs w:val="18"/>
              </w:rPr>
              <w:t>0.00</w:t>
            </w:r>
          </w:p>
        </w:tc>
      </w:tr>
      <w:tr>
        <w:tblPrEx>
          <w:tblLayout w:type="fixed"/>
          <w:tblCellMar>
            <w:top w:w="15" w:type="dxa"/>
            <w:left w:w="15" w:type="dxa"/>
            <w:bottom w:w="15" w:type="dxa"/>
            <w:right w:w="15" w:type="dxa"/>
          </w:tblCellMar>
        </w:tblPrEx>
        <w:trPr>
          <w:trHeight w:val="298"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16、金融支出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val="0"/>
                <w:bCs w:val="0"/>
                <w:color w:val="000000"/>
                <w:sz w:val="21"/>
                <w:szCs w:val="21"/>
              </w:rPr>
            </w:pPr>
            <w:r>
              <w:rPr>
                <w:rFonts w:hint="eastAsia" w:asciiTheme="minorEastAsia" w:hAnsiTheme="minorEastAsia" w:eastAsiaTheme="minorEastAsia" w:cstheme="minorEastAsia"/>
                <w:b w:val="0"/>
                <w:bCs w:val="0"/>
                <w:color w:val="000000"/>
                <w:kern w:val="0"/>
                <w:sz w:val="18"/>
                <w:szCs w:val="18"/>
              </w:rPr>
              <w:t>0.00</w:t>
            </w:r>
          </w:p>
        </w:tc>
      </w:tr>
      <w:tr>
        <w:tblPrEx>
          <w:tblLayout w:type="fixed"/>
          <w:tblCellMar>
            <w:top w:w="15" w:type="dxa"/>
            <w:left w:w="15" w:type="dxa"/>
            <w:bottom w:w="15" w:type="dxa"/>
            <w:right w:w="15" w:type="dxa"/>
          </w:tblCellMar>
        </w:tblPrEx>
        <w:trPr>
          <w:trHeight w:val="31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17、援助其他地区支出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val="0"/>
                <w:bCs w:val="0"/>
                <w:color w:val="000000"/>
                <w:sz w:val="21"/>
                <w:szCs w:val="21"/>
              </w:rPr>
            </w:pPr>
            <w:r>
              <w:rPr>
                <w:rFonts w:hint="eastAsia" w:asciiTheme="minorEastAsia" w:hAnsiTheme="minorEastAsia" w:eastAsiaTheme="minorEastAsia" w:cstheme="minorEastAsia"/>
                <w:b w:val="0"/>
                <w:bCs w:val="0"/>
                <w:color w:val="000000"/>
                <w:kern w:val="0"/>
                <w:sz w:val="18"/>
                <w:szCs w:val="18"/>
              </w:rPr>
              <w:t>0.00</w:t>
            </w:r>
          </w:p>
        </w:tc>
      </w:tr>
      <w:tr>
        <w:tblPrEx>
          <w:tblLayout w:type="fixed"/>
          <w:tblCellMar>
            <w:top w:w="15" w:type="dxa"/>
            <w:left w:w="15" w:type="dxa"/>
            <w:bottom w:w="15" w:type="dxa"/>
            <w:right w:w="15" w:type="dxa"/>
          </w:tblCellMar>
        </w:tblPrEx>
        <w:trPr>
          <w:trHeight w:val="281"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18、自然资源海洋气象等支出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val="0"/>
                <w:bCs w:val="0"/>
                <w:color w:val="000000"/>
                <w:sz w:val="21"/>
                <w:szCs w:val="21"/>
              </w:rPr>
            </w:pPr>
            <w:r>
              <w:rPr>
                <w:rFonts w:hint="eastAsia" w:asciiTheme="minorEastAsia" w:hAnsiTheme="minorEastAsia" w:eastAsiaTheme="minorEastAsia" w:cstheme="minorEastAsia"/>
                <w:b w:val="0"/>
                <w:bCs w:val="0"/>
                <w:color w:val="000000"/>
                <w:kern w:val="0"/>
                <w:sz w:val="18"/>
                <w:szCs w:val="18"/>
              </w:rPr>
              <w:t>0.00</w:t>
            </w:r>
          </w:p>
        </w:tc>
      </w:tr>
      <w:tr>
        <w:tblPrEx>
          <w:tblLayout w:type="fixed"/>
          <w:tblCellMar>
            <w:top w:w="15" w:type="dxa"/>
            <w:left w:w="15" w:type="dxa"/>
            <w:bottom w:w="15" w:type="dxa"/>
            <w:right w:w="15" w:type="dxa"/>
          </w:tblCellMar>
        </w:tblPrEx>
        <w:trPr>
          <w:trHeight w:val="34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19、住房保障支出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val="0"/>
                <w:bCs w:val="0"/>
                <w:color w:val="000000"/>
                <w:sz w:val="21"/>
                <w:szCs w:val="21"/>
              </w:rPr>
            </w:pPr>
            <w:r>
              <w:rPr>
                <w:rFonts w:hint="eastAsia" w:asciiTheme="minorEastAsia" w:hAnsiTheme="minorEastAsia" w:eastAsiaTheme="minorEastAsia" w:cstheme="minorEastAsia"/>
                <w:b w:val="0"/>
                <w:bCs w:val="0"/>
                <w:color w:val="000000"/>
                <w:kern w:val="0"/>
                <w:sz w:val="18"/>
                <w:szCs w:val="18"/>
              </w:rPr>
              <w:t>0.00</w:t>
            </w:r>
          </w:p>
        </w:tc>
      </w:tr>
      <w:tr>
        <w:tblPrEx>
          <w:tblLayout w:type="fixed"/>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20、粮油物资储备支出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val="0"/>
                <w:bCs w:val="0"/>
                <w:color w:val="000000"/>
                <w:sz w:val="21"/>
                <w:szCs w:val="21"/>
              </w:rPr>
            </w:pPr>
            <w:r>
              <w:rPr>
                <w:rFonts w:hint="eastAsia" w:asciiTheme="minorEastAsia" w:hAnsiTheme="minorEastAsia" w:eastAsiaTheme="minorEastAsia" w:cstheme="minorEastAsia"/>
                <w:b w:val="0"/>
                <w:bCs w:val="0"/>
                <w:color w:val="000000"/>
                <w:kern w:val="0"/>
                <w:sz w:val="18"/>
                <w:szCs w:val="18"/>
              </w:rPr>
              <w:t>0.00</w:t>
            </w:r>
          </w:p>
        </w:tc>
      </w:tr>
      <w:tr>
        <w:tblPrEx>
          <w:tblLayout w:type="fixed"/>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21、灾害防治及应急管理支出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val="0"/>
                <w:bCs w:val="0"/>
                <w:color w:val="000000"/>
                <w:sz w:val="21"/>
                <w:szCs w:val="21"/>
              </w:rPr>
            </w:pPr>
            <w:r>
              <w:rPr>
                <w:rFonts w:hint="eastAsia" w:asciiTheme="minorEastAsia" w:hAnsiTheme="minorEastAsia" w:eastAsiaTheme="minorEastAsia" w:cstheme="minorEastAsia"/>
                <w:b w:val="0"/>
                <w:bCs w:val="0"/>
                <w:color w:val="000000"/>
                <w:kern w:val="0"/>
                <w:sz w:val="18"/>
                <w:szCs w:val="18"/>
              </w:rPr>
              <w:t>0.00</w:t>
            </w:r>
          </w:p>
        </w:tc>
      </w:tr>
      <w:tr>
        <w:tblPrEx>
          <w:tblLayout w:type="fixed"/>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22、其他支出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val="0"/>
                <w:bCs w:val="0"/>
                <w:color w:val="000000"/>
                <w:sz w:val="21"/>
                <w:szCs w:val="21"/>
              </w:rPr>
            </w:pPr>
            <w:r>
              <w:rPr>
                <w:rFonts w:hint="eastAsia" w:asciiTheme="minorEastAsia" w:hAnsiTheme="minorEastAsia" w:eastAsiaTheme="minorEastAsia" w:cstheme="minorEastAsia"/>
                <w:b w:val="0"/>
                <w:bCs w:val="0"/>
                <w:color w:val="000000"/>
                <w:kern w:val="0"/>
                <w:sz w:val="18"/>
                <w:szCs w:val="18"/>
              </w:rPr>
              <w:t>0.00</w:t>
            </w:r>
          </w:p>
        </w:tc>
      </w:tr>
      <w:tr>
        <w:tblPrEx>
          <w:tblLayout w:type="fixed"/>
          <w:tblCellMar>
            <w:top w:w="15" w:type="dxa"/>
            <w:left w:w="15" w:type="dxa"/>
            <w:bottom w:w="15" w:type="dxa"/>
            <w:right w:w="15" w:type="dxa"/>
          </w:tblCellMar>
        </w:tblPrEx>
        <w:trPr>
          <w:trHeight w:val="415" w:hRule="atLeast"/>
        </w:trPr>
        <w:tc>
          <w:tcPr>
            <w:tcW w:w="3388"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080" w:type="dxa"/>
            <w:tcBorders>
              <w:top w:val="single" w:color="000000" w:sz="4" w:space="0"/>
              <w:left w:val="single" w:color="000000" w:sz="4" w:space="0"/>
              <w:right w:val="single" w:color="000000" w:sz="4" w:space="0"/>
            </w:tcBorders>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940.60</w:t>
            </w:r>
          </w:p>
        </w:tc>
        <w:tc>
          <w:tcPr>
            <w:tcW w:w="3090"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326" w:type="dxa"/>
            <w:tcBorders>
              <w:top w:val="single" w:color="000000" w:sz="4" w:space="0"/>
              <w:left w:val="single" w:color="000000" w:sz="4" w:space="0"/>
              <w:right w:val="single" w:color="000000" w:sz="4" w:space="0"/>
            </w:tcBorders>
            <w:vAlign w:val="center"/>
          </w:tcPr>
          <w:p>
            <w:pPr>
              <w:jc w:val="center"/>
              <w:rPr>
                <w:rFonts w:hint="default" w:ascii="宋体" w:hAnsi="宋体" w:eastAsia="宋体" w:cs="宋体"/>
                <w:b w:val="0"/>
                <w:bCs w:val="0"/>
                <w:color w:val="000000"/>
                <w:sz w:val="21"/>
                <w:szCs w:val="21"/>
                <w:lang w:val="en-US" w:eastAsia="zh-CN"/>
              </w:rPr>
            </w:pPr>
            <w:r>
              <w:rPr>
                <w:rFonts w:hint="eastAsia" w:ascii="宋体" w:hAnsi="宋体" w:eastAsia="宋体" w:cs="宋体"/>
                <w:b w:val="0"/>
                <w:bCs w:val="0"/>
                <w:color w:val="000000"/>
                <w:sz w:val="21"/>
                <w:szCs w:val="21"/>
                <w:lang w:val="en-US" w:eastAsia="zh-CN"/>
              </w:rPr>
              <w:t>940.60</w:t>
            </w:r>
          </w:p>
        </w:tc>
      </w:tr>
      <w:tr>
        <w:tblPrEx>
          <w:tblLayout w:type="fixed"/>
          <w:tblCellMar>
            <w:top w:w="15" w:type="dxa"/>
            <w:left w:w="15" w:type="dxa"/>
            <w:bottom w:w="15" w:type="dxa"/>
            <w:right w:w="15" w:type="dxa"/>
          </w:tblCellMar>
        </w:tblPrEx>
        <w:trPr>
          <w:trHeight w:val="355"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用事业基金弥补收支差额</w:t>
            </w:r>
          </w:p>
        </w:tc>
        <w:tc>
          <w:tcPr>
            <w:tcW w:w="1080" w:type="dxa"/>
            <w:tcBorders>
              <w:top w:val="single" w:color="000000" w:sz="4" w:space="0"/>
              <w:left w:val="single" w:color="000000" w:sz="4" w:space="0"/>
              <w:bottom w:val="single" w:color="000000" w:sz="4" w:space="0"/>
              <w:right w:val="single" w:color="000000" w:sz="4" w:space="0"/>
            </w:tcBorders>
            <w:vAlign w:val="center"/>
          </w:tcPr>
          <w:p>
            <w:pPr>
              <w:tabs>
                <w:tab w:val="left" w:pos="473"/>
              </w:tabs>
              <w:jc w:val="center"/>
              <w:rPr>
                <w:rFonts w:hint="default" w:ascii="宋体" w:hAnsi="宋体" w:eastAsia="宋体" w:cs="宋体"/>
                <w:bCs/>
                <w:color w:val="000000"/>
                <w:sz w:val="21"/>
                <w:szCs w:val="21"/>
                <w:lang w:val="en-US" w:eastAsia="zh-CN"/>
              </w:rPr>
            </w:pPr>
            <w:r>
              <w:rPr>
                <w:rFonts w:hint="eastAsia" w:ascii="宋体" w:hAnsi="宋体" w:eastAsia="宋体" w:cs="宋体"/>
                <w:bCs/>
                <w:color w:val="000000"/>
                <w:sz w:val="21"/>
                <w:szCs w:val="21"/>
                <w:lang w:val="en-US" w:eastAsia="zh-CN"/>
              </w:rPr>
              <w:t>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 xml:space="preserve">结余分配 </w:t>
            </w:r>
          </w:p>
        </w:tc>
        <w:tc>
          <w:tcPr>
            <w:tcW w:w="1326" w:type="dxa"/>
            <w:tcBorders>
              <w:top w:val="single" w:color="000000" w:sz="4" w:space="0"/>
              <w:left w:val="single" w:color="000000" w:sz="4" w:space="0"/>
              <w:bottom w:val="single" w:color="000000" w:sz="4" w:space="0"/>
              <w:right w:val="single" w:color="000000" w:sz="4" w:space="0"/>
            </w:tcBorders>
            <w:vAlign w:val="bottom"/>
          </w:tcPr>
          <w:p>
            <w:pPr>
              <w:jc w:val="center"/>
              <w:rPr>
                <w:rFonts w:hint="default" w:ascii="宋体" w:hAnsi="宋体" w:eastAsia="宋体" w:cs="宋体"/>
                <w:b w:val="0"/>
                <w:bCs w:val="0"/>
                <w:color w:val="000000"/>
                <w:sz w:val="21"/>
                <w:szCs w:val="21"/>
                <w:lang w:val="en-US" w:eastAsia="zh-CN"/>
              </w:rPr>
            </w:pPr>
            <w:r>
              <w:rPr>
                <w:rFonts w:hint="eastAsia" w:ascii="宋体" w:hAnsi="宋体" w:eastAsia="宋体" w:cs="宋体"/>
                <w:b w:val="0"/>
                <w:bCs w:val="0"/>
                <w:color w:val="000000"/>
                <w:sz w:val="21"/>
                <w:szCs w:val="21"/>
                <w:lang w:val="en-US" w:eastAsia="zh-CN"/>
              </w:rPr>
              <w:t>0.00</w:t>
            </w:r>
          </w:p>
        </w:tc>
      </w:tr>
      <w:tr>
        <w:tblPrEx>
          <w:tblLayout w:type="fixed"/>
          <w:tblCellMar>
            <w:top w:w="15" w:type="dxa"/>
            <w:left w:w="15" w:type="dxa"/>
            <w:bottom w:w="15" w:type="dxa"/>
            <w:right w:w="15" w:type="dxa"/>
          </w:tblCellMar>
        </w:tblPrEx>
        <w:trPr>
          <w:trHeight w:val="371"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年初结转和结余</w:t>
            </w:r>
          </w:p>
        </w:tc>
        <w:tc>
          <w:tcPr>
            <w:tcW w:w="1080" w:type="dxa"/>
            <w:tcBorders>
              <w:top w:val="single" w:color="000000" w:sz="4" w:space="0"/>
              <w:left w:val="single" w:color="000000" w:sz="4" w:space="0"/>
              <w:bottom w:val="single" w:color="000000" w:sz="4" w:space="0"/>
              <w:right w:val="single" w:color="000000" w:sz="4" w:space="0"/>
            </w:tcBorders>
            <w:vAlign w:val="center"/>
          </w:tcPr>
          <w:p>
            <w:pPr>
              <w:tabs>
                <w:tab w:val="left" w:pos="518"/>
              </w:tabs>
              <w:jc w:val="center"/>
              <w:rPr>
                <w:rFonts w:hint="default" w:ascii="宋体" w:hAnsi="宋体" w:eastAsia="宋体" w:cs="宋体"/>
                <w:bCs/>
                <w:color w:val="000000"/>
                <w:sz w:val="21"/>
                <w:szCs w:val="21"/>
                <w:lang w:val="en-US" w:eastAsia="zh-CN"/>
              </w:rPr>
            </w:pPr>
            <w:r>
              <w:rPr>
                <w:rFonts w:hint="eastAsia" w:ascii="宋体" w:hAnsi="宋体" w:eastAsia="宋体" w:cs="宋体"/>
                <w:bCs/>
                <w:color w:val="000000"/>
                <w:sz w:val="21"/>
                <w:szCs w:val="21"/>
                <w:lang w:val="en-US" w:eastAsia="zh-CN"/>
              </w:rPr>
              <w:t>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年末结转和结余</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val="0"/>
                <w:bCs w:val="0"/>
                <w:color w:val="000000"/>
                <w:sz w:val="21"/>
                <w:szCs w:val="21"/>
                <w:lang w:val="en-US" w:eastAsia="zh-CN"/>
              </w:rPr>
            </w:pPr>
            <w:r>
              <w:rPr>
                <w:rFonts w:hint="eastAsia" w:ascii="宋体" w:hAnsi="宋体" w:eastAsia="宋体" w:cs="宋体"/>
                <w:b w:val="0"/>
                <w:bCs w:val="0"/>
                <w:color w:val="000000"/>
                <w:sz w:val="21"/>
                <w:szCs w:val="21"/>
                <w:lang w:val="en-US" w:eastAsia="zh-CN"/>
              </w:rPr>
              <w:t>0.00</w:t>
            </w:r>
          </w:p>
        </w:tc>
      </w:tr>
      <w:tr>
        <w:tblPrEx>
          <w:tblLayout w:type="fixed"/>
          <w:tblCellMar>
            <w:top w:w="15" w:type="dxa"/>
            <w:left w:w="15" w:type="dxa"/>
            <w:bottom w:w="15" w:type="dxa"/>
            <w:right w:w="15" w:type="dxa"/>
          </w:tblCellMar>
        </w:tblPrEx>
        <w:trPr>
          <w:trHeight w:val="382"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收入总计</w:t>
            </w:r>
          </w:p>
        </w:tc>
        <w:tc>
          <w:tcPr>
            <w:tcW w:w="1080" w:type="dxa"/>
            <w:tcBorders>
              <w:top w:val="single" w:color="000000" w:sz="4" w:space="0"/>
              <w:left w:val="single" w:color="000000" w:sz="4" w:space="0"/>
              <w:bottom w:val="single" w:color="000000" w:sz="4" w:space="0"/>
              <w:right w:val="single" w:color="000000" w:sz="4" w:space="0"/>
            </w:tcBorders>
            <w:vAlign w:val="center"/>
          </w:tcPr>
          <w:p>
            <w:pPr>
              <w:tabs>
                <w:tab w:val="left" w:pos="240"/>
              </w:tabs>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940.60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支出总计</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val="0"/>
                <w:bCs w:val="0"/>
                <w:color w:val="000000"/>
                <w:sz w:val="21"/>
                <w:szCs w:val="21"/>
                <w:lang w:val="en-US" w:eastAsia="zh-CN"/>
              </w:rPr>
            </w:pPr>
            <w:r>
              <w:rPr>
                <w:rFonts w:hint="eastAsia" w:ascii="宋体" w:hAnsi="宋体" w:eastAsia="宋体" w:cs="宋体"/>
                <w:b w:val="0"/>
                <w:bCs w:val="0"/>
                <w:color w:val="000000"/>
                <w:sz w:val="21"/>
                <w:szCs w:val="21"/>
                <w:lang w:val="en-US" w:eastAsia="zh-CN"/>
              </w:rPr>
              <w:t>940.60</w:t>
            </w:r>
          </w:p>
        </w:tc>
      </w:tr>
    </w:tbl>
    <w:p>
      <w:pPr>
        <w:widowControl/>
        <w:ind w:left="420" w:hanging="420" w:hangingChars="200"/>
        <w:jc w:val="left"/>
        <w:rPr>
          <w:rFonts w:ascii="宋体" w:hAnsi="宋体" w:eastAsia="宋体" w:cs="宋体"/>
          <w:sz w:val="48"/>
          <w:szCs w:val="48"/>
        </w:rPr>
      </w:pPr>
      <w:r>
        <w:rPr>
          <w:rFonts w:hint="eastAsia" w:ascii="宋体" w:hAnsi="宋体" w:eastAsia="宋体" w:cs="宋体"/>
          <w:color w:val="000000"/>
          <w:kern w:val="0"/>
          <w:sz w:val="21"/>
          <w:szCs w:val="21"/>
        </w:rPr>
        <w:t>注：本表反映部门本年度的总收支和年末结转结余情况。本表金额转换为万元时，因四舍五入可能存在尾差。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收入决算表</w:t>
      </w:r>
    </w:p>
    <w:p>
      <w:pPr>
        <w:rPr>
          <w:rFonts w:ascii="宋体" w:hAnsi="宋体" w:eastAsia="宋体" w:cs="宋体"/>
          <w:b/>
          <w:bCs/>
          <w:sz w:val="21"/>
          <w:szCs w:val="21"/>
        </w:rPr>
      </w:pPr>
      <w:r>
        <w:rPr>
          <w:rFonts w:hint="eastAsia" w:ascii="宋体" w:hAnsi="宋体" w:eastAsia="宋体" w:cs="宋体"/>
          <w:b/>
          <w:bCs/>
          <w:sz w:val="21"/>
          <w:szCs w:val="21"/>
        </w:rPr>
        <w:t>公开02表</w:t>
      </w:r>
    </w:p>
    <w:p>
      <w:pPr>
        <w:rPr>
          <w:rFonts w:ascii="宋体" w:hAnsi="宋体" w:eastAsia="宋体" w:cs="宋体"/>
          <w:b/>
          <w:bCs/>
          <w:sz w:val="48"/>
          <w:szCs w:val="48"/>
        </w:rPr>
      </w:pPr>
      <w:r>
        <w:rPr>
          <w:rFonts w:hint="eastAsia" w:ascii="宋体" w:hAnsi="宋体" w:eastAsia="宋体" w:cs="宋体"/>
          <w:b/>
          <w:bCs/>
          <w:sz w:val="21"/>
          <w:szCs w:val="21"/>
        </w:rPr>
        <w:t>编制部门：                                                       金额单位：万元</w:t>
      </w:r>
    </w:p>
    <w:tbl>
      <w:tblPr>
        <w:tblStyle w:val="6"/>
        <w:tblW w:w="8867" w:type="dxa"/>
        <w:tblInd w:w="0" w:type="dxa"/>
        <w:tblLayout w:type="fixed"/>
        <w:tblCellMar>
          <w:top w:w="15" w:type="dxa"/>
          <w:left w:w="15" w:type="dxa"/>
          <w:bottom w:w="15" w:type="dxa"/>
          <w:right w:w="15" w:type="dxa"/>
        </w:tblCellMar>
      </w:tblPr>
      <w:tblGrid>
        <w:gridCol w:w="808"/>
        <w:gridCol w:w="1965"/>
        <w:gridCol w:w="930"/>
        <w:gridCol w:w="945"/>
        <w:gridCol w:w="840"/>
        <w:gridCol w:w="645"/>
        <w:gridCol w:w="630"/>
        <w:gridCol w:w="660"/>
        <w:gridCol w:w="870"/>
        <w:gridCol w:w="574"/>
      </w:tblGrid>
      <w:tr>
        <w:tblPrEx>
          <w:tblLayout w:type="fixed"/>
          <w:tblCellMar>
            <w:top w:w="15" w:type="dxa"/>
            <w:left w:w="15" w:type="dxa"/>
            <w:bottom w:w="15" w:type="dxa"/>
            <w:right w:w="15" w:type="dxa"/>
          </w:tblCellMar>
        </w:tblPrEx>
        <w:trPr>
          <w:trHeight w:val="439" w:hRule="atLeast"/>
        </w:trPr>
        <w:tc>
          <w:tcPr>
            <w:tcW w:w="277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项目</w:t>
            </w:r>
          </w:p>
        </w:tc>
        <w:tc>
          <w:tcPr>
            <w:tcW w:w="93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本年收入合计</w:t>
            </w:r>
          </w:p>
        </w:tc>
        <w:tc>
          <w:tcPr>
            <w:tcW w:w="94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财政拨款收入</w:t>
            </w:r>
          </w:p>
        </w:tc>
        <w:tc>
          <w:tcPr>
            <w:tcW w:w="84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上级补助收入</w:t>
            </w:r>
          </w:p>
        </w:tc>
        <w:tc>
          <w:tcPr>
            <w:tcW w:w="127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事业收入</w:t>
            </w:r>
          </w:p>
        </w:tc>
        <w:tc>
          <w:tcPr>
            <w:tcW w:w="66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经营</w:t>
            </w:r>
          </w:p>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c>
          <w:tcPr>
            <w:tcW w:w="87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附属单位上缴收入</w:t>
            </w:r>
          </w:p>
        </w:tc>
        <w:tc>
          <w:tcPr>
            <w:tcW w:w="57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其他</w:t>
            </w:r>
          </w:p>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r>
      <w:tr>
        <w:tblPrEx>
          <w:tblLayout w:type="fixed"/>
          <w:tblCellMar>
            <w:top w:w="15" w:type="dxa"/>
            <w:left w:w="15" w:type="dxa"/>
            <w:bottom w:w="15" w:type="dxa"/>
            <w:right w:w="15" w:type="dxa"/>
          </w:tblCellMar>
        </w:tblPrEx>
        <w:trPr>
          <w:trHeight w:val="1125" w:hRule="atLeast"/>
        </w:trPr>
        <w:tc>
          <w:tcPr>
            <w:tcW w:w="808"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965"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科目</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名称</w:t>
            </w:r>
          </w:p>
        </w:tc>
        <w:tc>
          <w:tcPr>
            <w:tcW w:w="93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4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4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64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小计</w:t>
            </w:r>
          </w:p>
        </w:tc>
        <w:tc>
          <w:tcPr>
            <w:tcW w:w="63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其中：教育</w:t>
            </w:r>
          </w:p>
          <w:p>
            <w:pPr>
              <w:rPr>
                <w:rFonts w:ascii="宋体" w:hAnsi="宋体" w:eastAsia="宋体" w:cs="宋体"/>
                <w:b/>
                <w:color w:val="000000"/>
                <w:sz w:val="21"/>
                <w:szCs w:val="21"/>
              </w:rPr>
            </w:pPr>
            <w:r>
              <w:rPr>
                <w:rFonts w:hint="eastAsia" w:ascii="宋体" w:hAnsi="宋体" w:eastAsia="宋体" w:cs="宋体"/>
                <w:b/>
                <w:color w:val="000000"/>
                <w:sz w:val="21"/>
                <w:szCs w:val="21"/>
              </w:rPr>
              <w:t>收费</w:t>
            </w:r>
          </w:p>
        </w:tc>
        <w:tc>
          <w:tcPr>
            <w:tcW w:w="66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57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439" w:hRule="atLeast"/>
        </w:trPr>
        <w:tc>
          <w:tcPr>
            <w:tcW w:w="277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930" w:type="dxa"/>
            <w:tcBorders>
              <w:top w:val="single" w:color="000000" w:sz="4" w:space="0"/>
              <w:left w:val="single" w:color="000000" w:sz="4" w:space="0"/>
              <w:bottom w:val="single" w:color="000000" w:sz="4" w:space="0"/>
              <w:right w:val="single" w:color="000000" w:sz="4" w:space="0"/>
            </w:tcBorders>
            <w:vAlign w:val="center"/>
          </w:tcPr>
          <w:p>
            <w:pPr>
              <w:tabs>
                <w:tab w:val="left" w:pos="255"/>
              </w:tabs>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940.60</w:t>
            </w:r>
          </w:p>
        </w:tc>
        <w:tc>
          <w:tcPr>
            <w:tcW w:w="94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940.60</w:t>
            </w: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57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439" w:hRule="atLeast"/>
        </w:trPr>
        <w:tc>
          <w:tcPr>
            <w:tcW w:w="808"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201</w:t>
            </w:r>
          </w:p>
        </w:tc>
        <w:tc>
          <w:tcPr>
            <w:tcW w:w="1965"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一般公共服务支出</w:t>
            </w: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124.56</w:t>
            </w:r>
          </w:p>
        </w:tc>
        <w:tc>
          <w:tcPr>
            <w:tcW w:w="945" w:type="dxa"/>
            <w:tcBorders>
              <w:top w:val="single" w:color="000000" w:sz="4" w:space="0"/>
              <w:left w:val="single" w:color="000000" w:sz="4" w:space="0"/>
              <w:bottom w:val="single" w:color="000000" w:sz="4" w:space="0"/>
              <w:right w:val="single" w:color="000000" w:sz="4" w:space="0"/>
            </w:tcBorders>
            <w:vAlign w:val="center"/>
          </w:tcPr>
          <w:p>
            <w:pPr>
              <w:tabs>
                <w:tab w:val="left" w:pos="206"/>
              </w:tabs>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eastAsia="zh-CN"/>
              </w:rPr>
              <w:tab/>
            </w:r>
            <w:r>
              <w:rPr>
                <w:rFonts w:hint="eastAsia" w:ascii="宋体" w:hAnsi="宋体" w:eastAsia="宋体" w:cs="宋体"/>
                <w:color w:val="000000"/>
                <w:sz w:val="21"/>
                <w:szCs w:val="21"/>
                <w:lang w:val="en-US" w:eastAsia="zh-CN"/>
              </w:rPr>
              <w:t>124.56</w:t>
            </w: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57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439" w:hRule="atLeast"/>
        </w:trPr>
        <w:tc>
          <w:tcPr>
            <w:tcW w:w="808"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20103</w:t>
            </w:r>
          </w:p>
        </w:tc>
        <w:tc>
          <w:tcPr>
            <w:tcW w:w="19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宋体" w:hAnsi="宋体" w:eastAsia="宋体" w:cs="宋体"/>
                <w:color w:val="000000"/>
                <w:sz w:val="21"/>
                <w:szCs w:val="21"/>
                <w:lang w:val="en-US" w:eastAsia="zh-CN"/>
              </w:rPr>
            </w:pPr>
            <w:r>
              <w:rPr>
                <w:rFonts w:hint="eastAsia" w:ascii="宋体" w:hAnsi="宋体" w:eastAsia="宋体" w:cs="宋体"/>
                <w:i w:val="0"/>
                <w:color w:val="000000"/>
                <w:kern w:val="0"/>
                <w:sz w:val="22"/>
                <w:szCs w:val="22"/>
                <w:u w:val="none"/>
                <w:lang w:val="en-US" w:eastAsia="zh-CN" w:bidi="ar"/>
              </w:rPr>
              <w:t>政府办公厅（室）及相关机构事务</w:t>
            </w:r>
          </w:p>
        </w:tc>
        <w:tc>
          <w:tcPr>
            <w:tcW w:w="9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100.74</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100.74</w:t>
            </w: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57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439" w:hRule="atLeast"/>
        </w:trPr>
        <w:tc>
          <w:tcPr>
            <w:tcW w:w="8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2010350</w:t>
            </w:r>
          </w:p>
        </w:tc>
        <w:tc>
          <w:tcPr>
            <w:tcW w:w="19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事业运行</w:t>
            </w:r>
          </w:p>
        </w:tc>
        <w:tc>
          <w:tcPr>
            <w:tcW w:w="9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32.04</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32.04</w:t>
            </w: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57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439" w:hRule="atLeast"/>
        </w:trPr>
        <w:tc>
          <w:tcPr>
            <w:tcW w:w="8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2010399</w:t>
            </w:r>
          </w:p>
        </w:tc>
        <w:tc>
          <w:tcPr>
            <w:tcW w:w="19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其他政府办公厅（室）及相关机构事务支出</w:t>
            </w:r>
          </w:p>
        </w:tc>
        <w:tc>
          <w:tcPr>
            <w:tcW w:w="9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68.70</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68.70</w:t>
            </w: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57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439" w:hRule="atLeast"/>
        </w:trPr>
        <w:tc>
          <w:tcPr>
            <w:tcW w:w="8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20132</w:t>
            </w:r>
          </w:p>
        </w:tc>
        <w:tc>
          <w:tcPr>
            <w:tcW w:w="19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组织事务</w:t>
            </w:r>
          </w:p>
        </w:tc>
        <w:tc>
          <w:tcPr>
            <w:tcW w:w="9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2.92</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2.92</w:t>
            </w: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57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439" w:hRule="atLeast"/>
        </w:trPr>
        <w:tc>
          <w:tcPr>
            <w:tcW w:w="8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2013202</w:t>
            </w:r>
          </w:p>
        </w:tc>
        <w:tc>
          <w:tcPr>
            <w:tcW w:w="19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一般行政管理事务</w:t>
            </w:r>
          </w:p>
        </w:tc>
        <w:tc>
          <w:tcPr>
            <w:tcW w:w="9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2.92</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2.92</w:t>
            </w: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57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439" w:hRule="atLeast"/>
        </w:trPr>
        <w:tc>
          <w:tcPr>
            <w:tcW w:w="8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20199</w:t>
            </w:r>
          </w:p>
        </w:tc>
        <w:tc>
          <w:tcPr>
            <w:tcW w:w="19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其他一般公共服务支出</w:t>
            </w:r>
          </w:p>
        </w:tc>
        <w:tc>
          <w:tcPr>
            <w:tcW w:w="9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20.90</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20.90</w:t>
            </w: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57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439" w:hRule="atLeast"/>
        </w:trPr>
        <w:tc>
          <w:tcPr>
            <w:tcW w:w="8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2019999</w:t>
            </w:r>
          </w:p>
        </w:tc>
        <w:tc>
          <w:tcPr>
            <w:tcW w:w="19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其他一般公共服务支出</w:t>
            </w:r>
          </w:p>
        </w:tc>
        <w:tc>
          <w:tcPr>
            <w:tcW w:w="9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20.90</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20.90</w:t>
            </w: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57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439" w:hRule="atLeast"/>
        </w:trPr>
        <w:tc>
          <w:tcPr>
            <w:tcW w:w="8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208</w:t>
            </w:r>
          </w:p>
        </w:tc>
        <w:tc>
          <w:tcPr>
            <w:tcW w:w="19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社会保障和就业支出</w:t>
            </w:r>
          </w:p>
        </w:tc>
        <w:tc>
          <w:tcPr>
            <w:tcW w:w="9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4.67</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4.67</w:t>
            </w: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57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439" w:hRule="atLeast"/>
        </w:trPr>
        <w:tc>
          <w:tcPr>
            <w:tcW w:w="8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20805</w:t>
            </w:r>
          </w:p>
        </w:tc>
        <w:tc>
          <w:tcPr>
            <w:tcW w:w="19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行政事业单位离退休</w:t>
            </w:r>
          </w:p>
        </w:tc>
        <w:tc>
          <w:tcPr>
            <w:tcW w:w="9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4.67</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4.67</w:t>
            </w: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57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439" w:hRule="atLeast"/>
        </w:trPr>
        <w:tc>
          <w:tcPr>
            <w:tcW w:w="8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2080505</w:t>
            </w:r>
          </w:p>
        </w:tc>
        <w:tc>
          <w:tcPr>
            <w:tcW w:w="19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机关事业单位基本养老保险缴费支出</w:t>
            </w:r>
          </w:p>
        </w:tc>
        <w:tc>
          <w:tcPr>
            <w:tcW w:w="9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4.67</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4.67</w:t>
            </w: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57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439" w:hRule="atLeast"/>
        </w:trPr>
        <w:tc>
          <w:tcPr>
            <w:tcW w:w="8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w:t>
            </w:r>
          </w:p>
        </w:tc>
        <w:tc>
          <w:tcPr>
            <w:tcW w:w="19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卫生健康支出</w:t>
            </w:r>
          </w:p>
        </w:tc>
        <w:tc>
          <w:tcPr>
            <w:tcW w:w="9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1.08</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1.08</w:t>
            </w: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57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439" w:hRule="atLeast"/>
        </w:trPr>
        <w:tc>
          <w:tcPr>
            <w:tcW w:w="8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21011</w:t>
            </w:r>
          </w:p>
        </w:tc>
        <w:tc>
          <w:tcPr>
            <w:tcW w:w="19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行政事业单位医疗</w:t>
            </w:r>
          </w:p>
        </w:tc>
        <w:tc>
          <w:tcPr>
            <w:tcW w:w="9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0.99</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0.99</w:t>
            </w: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57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439" w:hRule="atLeast"/>
        </w:trPr>
        <w:tc>
          <w:tcPr>
            <w:tcW w:w="8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2101102</w:t>
            </w:r>
          </w:p>
        </w:tc>
        <w:tc>
          <w:tcPr>
            <w:tcW w:w="19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事业单位医疗</w:t>
            </w:r>
          </w:p>
        </w:tc>
        <w:tc>
          <w:tcPr>
            <w:tcW w:w="9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0.95</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0.95</w:t>
            </w: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57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439" w:hRule="atLeast"/>
        </w:trPr>
        <w:tc>
          <w:tcPr>
            <w:tcW w:w="8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2101103</w:t>
            </w:r>
          </w:p>
        </w:tc>
        <w:tc>
          <w:tcPr>
            <w:tcW w:w="19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公务员医疗补助</w:t>
            </w:r>
          </w:p>
        </w:tc>
        <w:tc>
          <w:tcPr>
            <w:tcW w:w="9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0.04</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0.04</w:t>
            </w: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57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439" w:hRule="atLeast"/>
        </w:trPr>
        <w:tc>
          <w:tcPr>
            <w:tcW w:w="8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21099</w:t>
            </w:r>
          </w:p>
        </w:tc>
        <w:tc>
          <w:tcPr>
            <w:tcW w:w="19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其他卫生健康支出</w:t>
            </w:r>
          </w:p>
        </w:tc>
        <w:tc>
          <w:tcPr>
            <w:tcW w:w="9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0.09</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0.09</w:t>
            </w: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57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439" w:hRule="atLeast"/>
        </w:trPr>
        <w:tc>
          <w:tcPr>
            <w:tcW w:w="8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2109901</w:t>
            </w:r>
          </w:p>
        </w:tc>
        <w:tc>
          <w:tcPr>
            <w:tcW w:w="19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其他卫生健康支出</w:t>
            </w:r>
          </w:p>
        </w:tc>
        <w:tc>
          <w:tcPr>
            <w:tcW w:w="9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0.09</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0.09</w:t>
            </w: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57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449" w:hRule="atLeast"/>
        </w:trPr>
        <w:tc>
          <w:tcPr>
            <w:tcW w:w="8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212</w:t>
            </w:r>
          </w:p>
        </w:tc>
        <w:tc>
          <w:tcPr>
            <w:tcW w:w="19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城乡社区支出</w:t>
            </w:r>
          </w:p>
        </w:tc>
        <w:tc>
          <w:tcPr>
            <w:tcW w:w="9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808.79</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808.79</w:t>
            </w: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57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449" w:hRule="atLeast"/>
        </w:trPr>
        <w:tc>
          <w:tcPr>
            <w:tcW w:w="8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21203</w:t>
            </w:r>
          </w:p>
        </w:tc>
        <w:tc>
          <w:tcPr>
            <w:tcW w:w="19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城乡社区公共设施</w:t>
            </w:r>
          </w:p>
        </w:tc>
        <w:tc>
          <w:tcPr>
            <w:tcW w:w="9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800.00</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800.00</w:t>
            </w: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57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449" w:hRule="atLeast"/>
        </w:trPr>
        <w:tc>
          <w:tcPr>
            <w:tcW w:w="8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2120399</w:t>
            </w:r>
          </w:p>
        </w:tc>
        <w:tc>
          <w:tcPr>
            <w:tcW w:w="19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其他城乡社区公共设施支出</w:t>
            </w:r>
          </w:p>
        </w:tc>
        <w:tc>
          <w:tcPr>
            <w:tcW w:w="9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800.00</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800.00</w:t>
            </w: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57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449" w:hRule="atLeast"/>
        </w:trPr>
        <w:tc>
          <w:tcPr>
            <w:tcW w:w="8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21208</w:t>
            </w:r>
          </w:p>
        </w:tc>
        <w:tc>
          <w:tcPr>
            <w:tcW w:w="19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国有土地使用权出让收入及对应专项债务收入安排的支出</w:t>
            </w:r>
          </w:p>
        </w:tc>
        <w:tc>
          <w:tcPr>
            <w:tcW w:w="9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8.79</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8.79</w:t>
            </w: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57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449" w:hRule="atLeast"/>
        </w:trPr>
        <w:tc>
          <w:tcPr>
            <w:tcW w:w="8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2120806</w:t>
            </w:r>
          </w:p>
        </w:tc>
        <w:tc>
          <w:tcPr>
            <w:tcW w:w="19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土地出让业务支出</w:t>
            </w:r>
          </w:p>
        </w:tc>
        <w:tc>
          <w:tcPr>
            <w:tcW w:w="9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8.79</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8.79</w:t>
            </w: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57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449" w:hRule="atLeast"/>
        </w:trPr>
        <w:tc>
          <w:tcPr>
            <w:tcW w:w="8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215</w:t>
            </w:r>
          </w:p>
        </w:tc>
        <w:tc>
          <w:tcPr>
            <w:tcW w:w="19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资源勘探信息等支出</w:t>
            </w:r>
          </w:p>
        </w:tc>
        <w:tc>
          <w:tcPr>
            <w:tcW w:w="9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1.50</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1.50</w:t>
            </w: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57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449" w:hRule="atLeast"/>
        </w:trPr>
        <w:tc>
          <w:tcPr>
            <w:tcW w:w="8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21502</w:t>
            </w:r>
          </w:p>
        </w:tc>
        <w:tc>
          <w:tcPr>
            <w:tcW w:w="19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制造业</w:t>
            </w:r>
          </w:p>
        </w:tc>
        <w:tc>
          <w:tcPr>
            <w:tcW w:w="9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1.50</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1.50</w:t>
            </w: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57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449" w:hRule="atLeast"/>
        </w:trPr>
        <w:tc>
          <w:tcPr>
            <w:tcW w:w="8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2150299</w:t>
            </w:r>
          </w:p>
        </w:tc>
        <w:tc>
          <w:tcPr>
            <w:tcW w:w="19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其他制造业支出</w:t>
            </w:r>
          </w:p>
        </w:tc>
        <w:tc>
          <w:tcPr>
            <w:tcW w:w="9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1.50</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1.50</w:t>
            </w: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57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注：本表反映部门本年度取得的各项收入情况。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支出决算表</w:t>
      </w:r>
    </w:p>
    <w:p>
      <w:pPr>
        <w:rPr>
          <w:rFonts w:ascii="宋体" w:hAnsi="宋体" w:eastAsia="宋体" w:cs="宋体"/>
          <w:b/>
          <w:bCs/>
          <w:sz w:val="21"/>
          <w:szCs w:val="21"/>
        </w:rPr>
      </w:pPr>
      <w:r>
        <w:rPr>
          <w:rFonts w:hint="eastAsia" w:ascii="宋体" w:hAnsi="宋体" w:eastAsia="宋体" w:cs="宋体"/>
          <w:b/>
          <w:bCs/>
          <w:sz w:val="21"/>
          <w:szCs w:val="21"/>
        </w:rPr>
        <w:t xml:space="preserve">                                          公开03表</w:t>
      </w:r>
    </w:p>
    <w:p>
      <w:pPr>
        <w:rPr>
          <w:rFonts w:ascii="宋体" w:hAnsi="宋体" w:eastAsia="宋体" w:cs="宋体"/>
          <w:b/>
          <w:bCs/>
          <w:sz w:val="48"/>
          <w:szCs w:val="48"/>
        </w:rPr>
      </w:pPr>
      <w:r>
        <w:rPr>
          <w:rFonts w:hint="eastAsia" w:ascii="宋体" w:hAnsi="宋体" w:eastAsia="宋体" w:cs="宋体"/>
          <w:b/>
          <w:bCs/>
          <w:sz w:val="21"/>
          <w:szCs w:val="21"/>
        </w:rPr>
        <w:t>编制部门：                                                       金额单位：万元</w:t>
      </w:r>
    </w:p>
    <w:tbl>
      <w:tblPr>
        <w:tblStyle w:val="6"/>
        <w:tblW w:w="8896" w:type="dxa"/>
        <w:tblInd w:w="0" w:type="dxa"/>
        <w:tblLayout w:type="fixed"/>
        <w:tblCellMar>
          <w:top w:w="15" w:type="dxa"/>
          <w:left w:w="15" w:type="dxa"/>
          <w:bottom w:w="15" w:type="dxa"/>
          <w:right w:w="15" w:type="dxa"/>
        </w:tblCellMar>
      </w:tblPr>
      <w:tblGrid>
        <w:gridCol w:w="914"/>
        <w:gridCol w:w="83"/>
        <w:gridCol w:w="1701"/>
        <w:gridCol w:w="1170"/>
        <w:gridCol w:w="1200"/>
        <w:gridCol w:w="1290"/>
        <w:gridCol w:w="900"/>
        <w:gridCol w:w="675"/>
        <w:gridCol w:w="963"/>
      </w:tblGrid>
      <w:tr>
        <w:tblPrEx>
          <w:tblLayout w:type="fixed"/>
          <w:tblCellMar>
            <w:top w:w="15" w:type="dxa"/>
            <w:left w:w="15" w:type="dxa"/>
            <w:bottom w:w="15" w:type="dxa"/>
            <w:right w:w="15" w:type="dxa"/>
          </w:tblCellMar>
        </w:tblPrEx>
        <w:trPr>
          <w:trHeight w:val="372" w:hRule="atLeast"/>
        </w:trPr>
        <w:tc>
          <w:tcPr>
            <w:tcW w:w="269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117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20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2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90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上缴上</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级支出</w:t>
            </w:r>
          </w:p>
        </w:tc>
        <w:tc>
          <w:tcPr>
            <w:tcW w:w="67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经营支出</w:t>
            </w:r>
          </w:p>
        </w:tc>
        <w:tc>
          <w:tcPr>
            <w:tcW w:w="96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对附属单位</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补助支出</w:t>
            </w:r>
          </w:p>
        </w:tc>
      </w:tr>
      <w:tr>
        <w:tblPrEx>
          <w:tblLayout w:type="fixed"/>
          <w:tblCellMar>
            <w:top w:w="15" w:type="dxa"/>
            <w:left w:w="15" w:type="dxa"/>
            <w:bottom w:w="15" w:type="dxa"/>
            <w:right w:w="15" w:type="dxa"/>
          </w:tblCellMar>
        </w:tblPrEx>
        <w:trPr>
          <w:trHeight w:val="702" w:hRule="atLeast"/>
        </w:trPr>
        <w:tc>
          <w:tcPr>
            <w:tcW w:w="99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7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1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20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2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0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6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372" w:hRule="atLeast"/>
        </w:trPr>
        <w:tc>
          <w:tcPr>
            <w:tcW w:w="269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940.60</w:t>
            </w:r>
          </w:p>
        </w:tc>
        <w:tc>
          <w:tcPr>
            <w:tcW w:w="12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37.79</w:t>
            </w:r>
          </w:p>
        </w:tc>
        <w:tc>
          <w:tcPr>
            <w:tcW w:w="12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902.81</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9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w:t>
            </w:r>
          </w:p>
        </w:tc>
        <w:tc>
          <w:tcPr>
            <w:tcW w:w="178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一般公共服务支出</w:t>
            </w:r>
          </w:p>
        </w:tc>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124.56</w:t>
            </w:r>
          </w:p>
        </w:tc>
        <w:tc>
          <w:tcPr>
            <w:tcW w:w="12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32.04</w:t>
            </w:r>
          </w:p>
        </w:tc>
        <w:tc>
          <w:tcPr>
            <w:tcW w:w="12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92.52</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9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20103</w:t>
            </w:r>
          </w:p>
        </w:tc>
        <w:tc>
          <w:tcPr>
            <w:tcW w:w="178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政府办公厅（室）及相关机构事务</w:t>
            </w:r>
          </w:p>
        </w:tc>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100.74</w:t>
            </w:r>
          </w:p>
        </w:tc>
        <w:tc>
          <w:tcPr>
            <w:tcW w:w="12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32.04</w:t>
            </w:r>
          </w:p>
        </w:tc>
        <w:tc>
          <w:tcPr>
            <w:tcW w:w="12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68.70</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9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2010350</w:t>
            </w:r>
          </w:p>
        </w:tc>
        <w:tc>
          <w:tcPr>
            <w:tcW w:w="178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事业运行</w:t>
            </w:r>
          </w:p>
        </w:tc>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32.04</w:t>
            </w:r>
          </w:p>
        </w:tc>
        <w:tc>
          <w:tcPr>
            <w:tcW w:w="12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32.04</w:t>
            </w:r>
          </w:p>
        </w:tc>
        <w:tc>
          <w:tcPr>
            <w:tcW w:w="12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9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2010399</w:t>
            </w:r>
          </w:p>
        </w:tc>
        <w:tc>
          <w:tcPr>
            <w:tcW w:w="178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其他政府办公厅（室）及相关机构事务支出</w:t>
            </w:r>
          </w:p>
        </w:tc>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68.70</w:t>
            </w:r>
          </w:p>
        </w:tc>
        <w:tc>
          <w:tcPr>
            <w:tcW w:w="12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2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68.70</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9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20132</w:t>
            </w:r>
          </w:p>
        </w:tc>
        <w:tc>
          <w:tcPr>
            <w:tcW w:w="178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组织事务</w:t>
            </w:r>
          </w:p>
        </w:tc>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2.92</w:t>
            </w:r>
          </w:p>
        </w:tc>
        <w:tc>
          <w:tcPr>
            <w:tcW w:w="12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2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2.92</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9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2013202</w:t>
            </w:r>
          </w:p>
        </w:tc>
        <w:tc>
          <w:tcPr>
            <w:tcW w:w="178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一般行政管理事务</w:t>
            </w:r>
          </w:p>
        </w:tc>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2.92</w:t>
            </w:r>
          </w:p>
        </w:tc>
        <w:tc>
          <w:tcPr>
            <w:tcW w:w="12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2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2.92</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9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20199</w:t>
            </w:r>
          </w:p>
        </w:tc>
        <w:tc>
          <w:tcPr>
            <w:tcW w:w="178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其他一般公共服务支出</w:t>
            </w:r>
          </w:p>
        </w:tc>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20.90</w:t>
            </w:r>
          </w:p>
        </w:tc>
        <w:tc>
          <w:tcPr>
            <w:tcW w:w="12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2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20.90</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9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2019999</w:t>
            </w:r>
          </w:p>
        </w:tc>
        <w:tc>
          <w:tcPr>
            <w:tcW w:w="178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其他一般公共服务支出</w:t>
            </w:r>
          </w:p>
        </w:tc>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20.90</w:t>
            </w:r>
          </w:p>
        </w:tc>
        <w:tc>
          <w:tcPr>
            <w:tcW w:w="12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2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20.90</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9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208</w:t>
            </w:r>
          </w:p>
        </w:tc>
        <w:tc>
          <w:tcPr>
            <w:tcW w:w="178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社会保障和就业支出</w:t>
            </w:r>
          </w:p>
        </w:tc>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4.67</w:t>
            </w:r>
          </w:p>
        </w:tc>
        <w:tc>
          <w:tcPr>
            <w:tcW w:w="12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4.67</w:t>
            </w:r>
          </w:p>
        </w:tc>
        <w:tc>
          <w:tcPr>
            <w:tcW w:w="12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9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20805</w:t>
            </w:r>
          </w:p>
        </w:tc>
        <w:tc>
          <w:tcPr>
            <w:tcW w:w="178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行政事业单位离退休</w:t>
            </w:r>
          </w:p>
        </w:tc>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4.67</w:t>
            </w:r>
          </w:p>
        </w:tc>
        <w:tc>
          <w:tcPr>
            <w:tcW w:w="12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4.67</w:t>
            </w:r>
          </w:p>
        </w:tc>
        <w:tc>
          <w:tcPr>
            <w:tcW w:w="12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9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2080505</w:t>
            </w:r>
          </w:p>
        </w:tc>
        <w:tc>
          <w:tcPr>
            <w:tcW w:w="178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机关事业单位基本养老保险缴费支出</w:t>
            </w:r>
          </w:p>
        </w:tc>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4.67</w:t>
            </w:r>
          </w:p>
        </w:tc>
        <w:tc>
          <w:tcPr>
            <w:tcW w:w="12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4.67</w:t>
            </w:r>
          </w:p>
        </w:tc>
        <w:tc>
          <w:tcPr>
            <w:tcW w:w="12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9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w:t>
            </w:r>
          </w:p>
        </w:tc>
        <w:tc>
          <w:tcPr>
            <w:tcW w:w="178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卫生健康支出</w:t>
            </w:r>
          </w:p>
        </w:tc>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1.08</w:t>
            </w:r>
          </w:p>
        </w:tc>
        <w:tc>
          <w:tcPr>
            <w:tcW w:w="12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1.08</w:t>
            </w:r>
          </w:p>
        </w:tc>
        <w:tc>
          <w:tcPr>
            <w:tcW w:w="12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9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21011</w:t>
            </w:r>
          </w:p>
        </w:tc>
        <w:tc>
          <w:tcPr>
            <w:tcW w:w="178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行政事业单位医疗</w:t>
            </w:r>
          </w:p>
        </w:tc>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0.99</w:t>
            </w:r>
          </w:p>
        </w:tc>
        <w:tc>
          <w:tcPr>
            <w:tcW w:w="12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0.99</w:t>
            </w:r>
          </w:p>
        </w:tc>
        <w:tc>
          <w:tcPr>
            <w:tcW w:w="12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9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2101102</w:t>
            </w:r>
          </w:p>
        </w:tc>
        <w:tc>
          <w:tcPr>
            <w:tcW w:w="178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事业单位医疗</w:t>
            </w:r>
          </w:p>
        </w:tc>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0.95</w:t>
            </w:r>
          </w:p>
        </w:tc>
        <w:tc>
          <w:tcPr>
            <w:tcW w:w="12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0.95</w:t>
            </w:r>
          </w:p>
        </w:tc>
        <w:tc>
          <w:tcPr>
            <w:tcW w:w="12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9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2101103</w:t>
            </w:r>
          </w:p>
        </w:tc>
        <w:tc>
          <w:tcPr>
            <w:tcW w:w="178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公务员医疗补助</w:t>
            </w:r>
          </w:p>
        </w:tc>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0.04</w:t>
            </w:r>
          </w:p>
        </w:tc>
        <w:tc>
          <w:tcPr>
            <w:tcW w:w="12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0.04</w:t>
            </w:r>
          </w:p>
        </w:tc>
        <w:tc>
          <w:tcPr>
            <w:tcW w:w="12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9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21099</w:t>
            </w:r>
          </w:p>
        </w:tc>
        <w:tc>
          <w:tcPr>
            <w:tcW w:w="178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其他卫生健康支出</w:t>
            </w:r>
          </w:p>
        </w:tc>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0.09</w:t>
            </w:r>
          </w:p>
        </w:tc>
        <w:tc>
          <w:tcPr>
            <w:tcW w:w="12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0.09</w:t>
            </w:r>
          </w:p>
        </w:tc>
        <w:tc>
          <w:tcPr>
            <w:tcW w:w="12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9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2109901</w:t>
            </w:r>
          </w:p>
        </w:tc>
        <w:tc>
          <w:tcPr>
            <w:tcW w:w="178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其他卫生健康支出</w:t>
            </w:r>
          </w:p>
        </w:tc>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0.09</w:t>
            </w:r>
          </w:p>
        </w:tc>
        <w:tc>
          <w:tcPr>
            <w:tcW w:w="12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0.09</w:t>
            </w:r>
          </w:p>
        </w:tc>
        <w:tc>
          <w:tcPr>
            <w:tcW w:w="12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9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212</w:t>
            </w:r>
          </w:p>
        </w:tc>
        <w:tc>
          <w:tcPr>
            <w:tcW w:w="178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城乡社区支出</w:t>
            </w:r>
          </w:p>
        </w:tc>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808.79</w:t>
            </w:r>
          </w:p>
        </w:tc>
        <w:tc>
          <w:tcPr>
            <w:tcW w:w="12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2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808.79</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9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21203</w:t>
            </w:r>
          </w:p>
        </w:tc>
        <w:tc>
          <w:tcPr>
            <w:tcW w:w="178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城乡社区公共设施</w:t>
            </w:r>
          </w:p>
        </w:tc>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800.00</w:t>
            </w:r>
          </w:p>
        </w:tc>
        <w:tc>
          <w:tcPr>
            <w:tcW w:w="12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2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800.00</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9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2120399</w:t>
            </w:r>
          </w:p>
        </w:tc>
        <w:tc>
          <w:tcPr>
            <w:tcW w:w="178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其他城乡社区公共设施支出</w:t>
            </w:r>
          </w:p>
        </w:tc>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800.00</w:t>
            </w:r>
          </w:p>
        </w:tc>
        <w:tc>
          <w:tcPr>
            <w:tcW w:w="12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2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800.00</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9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21208</w:t>
            </w:r>
          </w:p>
        </w:tc>
        <w:tc>
          <w:tcPr>
            <w:tcW w:w="178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国有土地使用权出让收入及对应专项债务收入安排的支出</w:t>
            </w:r>
          </w:p>
        </w:tc>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8.79</w:t>
            </w:r>
          </w:p>
        </w:tc>
        <w:tc>
          <w:tcPr>
            <w:tcW w:w="12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2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8.79</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9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2120806</w:t>
            </w:r>
          </w:p>
        </w:tc>
        <w:tc>
          <w:tcPr>
            <w:tcW w:w="178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土地出让业务支出</w:t>
            </w:r>
          </w:p>
        </w:tc>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8.79</w:t>
            </w:r>
          </w:p>
        </w:tc>
        <w:tc>
          <w:tcPr>
            <w:tcW w:w="12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2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8.79</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9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215</w:t>
            </w:r>
          </w:p>
        </w:tc>
        <w:tc>
          <w:tcPr>
            <w:tcW w:w="178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资源勘探信息等支出</w:t>
            </w:r>
          </w:p>
        </w:tc>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1.50</w:t>
            </w:r>
          </w:p>
        </w:tc>
        <w:tc>
          <w:tcPr>
            <w:tcW w:w="12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2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1.50</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9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21502</w:t>
            </w:r>
          </w:p>
        </w:tc>
        <w:tc>
          <w:tcPr>
            <w:tcW w:w="178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制造业</w:t>
            </w:r>
          </w:p>
        </w:tc>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1.50</w:t>
            </w:r>
          </w:p>
        </w:tc>
        <w:tc>
          <w:tcPr>
            <w:tcW w:w="12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2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1.50</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9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2150299</w:t>
            </w:r>
          </w:p>
        </w:tc>
        <w:tc>
          <w:tcPr>
            <w:tcW w:w="178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其他制造业支出</w:t>
            </w:r>
          </w:p>
        </w:tc>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1.50</w:t>
            </w:r>
          </w:p>
        </w:tc>
        <w:tc>
          <w:tcPr>
            <w:tcW w:w="12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2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1.50</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c>
          <w:tcPr>
            <w:tcW w:w="9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bl>
    <w:p>
      <w:pPr>
        <w:widowControl/>
        <w:jc w:val="left"/>
        <w:rPr>
          <w:rFonts w:eastAsia="宋体" w:cs="黑体"/>
          <w:sz w:val="21"/>
          <w:szCs w:val="24"/>
        </w:rPr>
      </w:pPr>
      <w:r>
        <w:rPr>
          <w:rFonts w:hint="eastAsia" w:ascii="宋体" w:hAnsi="宋体" w:eastAsia="宋体" w:cs="宋体"/>
          <w:sz w:val="21"/>
          <w:szCs w:val="21"/>
        </w:rPr>
        <w:t>注：本表反映部门本年度各项支出情况。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财政拨款收入支出决算总表</w:t>
      </w:r>
    </w:p>
    <w:p>
      <w:pPr>
        <w:rPr>
          <w:rFonts w:ascii="宋体" w:hAnsi="宋体" w:eastAsia="宋体" w:cs="宋体"/>
          <w:b/>
          <w:bCs/>
          <w:sz w:val="21"/>
          <w:szCs w:val="21"/>
        </w:rPr>
      </w:pPr>
      <w:r>
        <w:rPr>
          <w:rFonts w:hint="eastAsia" w:ascii="宋体" w:hAnsi="宋体" w:eastAsia="宋体" w:cs="宋体"/>
          <w:b/>
          <w:bCs/>
          <w:sz w:val="21"/>
          <w:szCs w:val="21"/>
        </w:rPr>
        <w:t>公开04表</w:t>
      </w:r>
    </w:p>
    <w:p>
      <w:pPr>
        <w:rPr>
          <w:rFonts w:ascii="宋体" w:hAnsi="宋体" w:eastAsia="宋体" w:cs="宋体"/>
          <w:b/>
          <w:bCs/>
          <w:sz w:val="21"/>
          <w:szCs w:val="21"/>
        </w:rPr>
      </w:pPr>
      <w:r>
        <w:rPr>
          <w:rFonts w:hint="eastAsia" w:ascii="宋体" w:hAnsi="宋体" w:eastAsia="宋体" w:cs="宋体"/>
          <w:b/>
          <w:bCs/>
          <w:sz w:val="21"/>
          <w:szCs w:val="21"/>
        </w:rPr>
        <w:t>编制部门：                                                       金额单位：万元</w:t>
      </w:r>
    </w:p>
    <w:tbl>
      <w:tblPr>
        <w:tblStyle w:val="6"/>
        <w:tblW w:w="8700" w:type="dxa"/>
        <w:tblInd w:w="0" w:type="dxa"/>
        <w:tblLayout w:type="fixed"/>
        <w:tblCellMar>
          <w:top w:w="15" w:type="dxa"/>
          <w:left w:w="15" w:type="dxa"/>
          <w:bottom w:w="15" w:type="dxa"/>
          <w:right w:w="15" w:type="dxa"/>
        </w:tblCellMar>
      </w:tblPr>
      <w:tblGrid>
        <w:gridCol w:w="1705"/>
        <w:gridCol w:w="1072"/>
        <w:gridCol w:w="2703"/>
        <w:gridCol w:w="1134"/>
        <w:gridCol w:w="1102"/>
        <w:gridCol w:w="984"/>
      </w:tblGrid>
      <w:tr>
        <w:tblPrEx>
          <w:tblLayout w:type="fixed"/>
          <w:tblCellMar>
            <w:top w:w="15" w:type="dxa"/>
            <w:left w:w="15" w:type="dxa"/>
            <w:bottom w:w="15" w:type="dxa"/>
            <w:right w:w="15" w:type="dxa"/>
          </w:tblCellMar>
        </w:tblPrEx>
        <w:trPr>
          <w:trHeight w:val="367" w:hRule="atLeast"/>
        </w:trPr>
        <w:tc>
          <w:tcPr>
            <w:tcW w:w="277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923"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tblPrEx>
          <w:tblLayout w:type="fixed"/>
          <w:tblCellMar>
            <w:top w:w="15" w:type="dxa"/>
            <w:left w:w="15" w:type="dxa"/>
            <w:bottom w:w="15" w:type="dxa"/>
            <w:right w:w="15" w:type="dxa"/>
          </w:tblCellMar>
        </w:tblPrEx>
        <w:trPr>
          <w:trHeight w:val="1020"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    目</w:t>
            </w:r>
          </w:p>
        </w:tc>
        <w:tc>
          <w:tcPr>
            <w:tcW w:w="10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tblPrEx>
          <w:tblLayout w:type="fixed"/>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1、一般公共预算财政拨款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pPr>
              <w:tabs>
                <w:tab w:val="left" w:pos="348"/>
              </w:tabs>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931.81</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1、一般公共服务支出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124.56</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124.56</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2、政府性基金预算财政拨款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pPr>
              <w:tabs>
                <w:tab w:val="left" w:pos="258"/>
              </w:tabs>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8.79</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2、外交支出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3、国有资本经营预算收入</w:t>
            </w:r>
          </w:p>
        </w:tc>
        <w:tc>
          <w:tcPr>
            <w:tcW w:w="1072" w:type="dxa"/>
            <w:tcBorders>
              <w:top w:val="single" w:color="000000" w:sz="4" w:space="0"/>
              <w:left w:val="single" w:color="000000" w:sz="4" w:space="0"/>
              <w:bottom w:val="single" w:color="000000" w:sz="4" w:space="0"/>
              <w:right w:val="single" w:color="000000" w:sz="4" w:space="0"/>
            </w:tcBorders>
            <w:vAlign w:val="center"/>
          </w:tcPr>
          <w:p>
            <w:pPr>
              <w:tabs>
                <w:tab w:val="left" w:pos="348"/>
              </w:tabs>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0.00</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3、国防支出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4、公共安全支出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5、教育支出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6、科学技术支出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7、</w:t>
            </w:r>
            <w:r>
              <w:rPr>
                <w:rFonts w:hint="eastAsia" w:ascii="宋体" w:hAnsi="宋体" w:eastAsia="宋体" w:cs="宋体"/>
                <w:color w:val="000000"/>
                <w:spacing w:val="-11"/>
                <w:w w:val="98"/>
                <w:kern w:val="0"/>
                <w:sz w:val="21"/>
                <w:szCs w:val="21"/>
              </w:rPr>
              <w:t>文化旅游体育与传媒支出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8、社会保障和就业支出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4.67</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4.67</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9、卫生健康支出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1.08</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1.08</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10、节能环保支出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11、城乡社区支出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808.79</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808.79</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12、农林水支出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13、交通运输支出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14、资源勘探信息等支出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1.5</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1.5</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15、商业服务业等支出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16、金融支出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17、援助其他地区支出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18、</w:t>
            </w:r>
            <w:r>
              <w:rPr>
                <w:rFonts w:hint="eastAsia" w:ascii="宋体" w:hAnsi="宋体" w:eastAsia="宋体" w:cs="宋体"/>
                <w:color w:val="000000"/>
                <w:spacing w:val="-11"/>
                <w:w w:val="98"/>
                <w:kern w:val="0"/>
                <w:sz w:val="21"/>
                <w:szCs w:val="21"/>
              </w:rPr>
              <w:t>自然资源海洋气象等支出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19、住房保障支出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20、粮油物资储备支出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21、灾害防治及应急管理支出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78"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22、其他支出</w:t>
            </w:r>
          </w:p>
        </w:tc>
        <w:tc>
          <w:tcPr>
            <w:tcW w:w="1134" w:type="dxa"/>
            <w:tcBorders>
              <w:top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kern w:val="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1102" w:type="dxa"/>
            <w:tcBorders>
              <w:top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color w:val="000000"/>
                <w:sz w:val="21"/>
                <w:szCs w:val="21"/>
                <w:lang w:val="en-US" w:eastAsia="zh-CN"/>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Theme="minorEastAsia" w:hAnsiTheme="minorEastAsia" w:eastAsiaTheme="minorEastAsia" w:cstheme="minorEastAsia"/>
                <w:color w:val="000000"/>
                <w:kern w:val="0"/>
                <w:sz w:val="18"/>
                <w:szCs w:val="18"/>
              </w:rPr>
              <w:t>0.00</w:t>
            </w:r>
          </w:p>
        </w:tc>
      </w:tr>
    </w:tbl>
    <w:p/>
    <w:p/>
    <w:p>
      <w:pPr>
        <w:jc w:val="center"/>
        <w:rPr>
          <w:rFonts w:ascii="宋体" w:hAnsi="宋体" w:eastAsia="宋体" w:cs="宋体"/>
          <w:b/>
          <w:bCs/>
          <w:szCs w:val="32"/>
        </w:rPr>
      </w:pPr>
      <w:r>
        <w:rPr>
          <w:rFonts w:hint="eastAsia" w:ascii="宋体" w:hAnsi="宋体" w:eastAsia="宋体" w:cs="宋体"/>
          <w:b/>
          <w:bCs/>
          <w:szCs w:val="32"/>
        </w:rPr>
        <w:t xml:space="preserve">财政拨款收入支出决算总表 </w:t>
      </w:r>
    </w:p>
    <w:p>
      <w:pPr>
        <w:rPr>
          <w:rFonts w:ascii="宋体" w:hAnsi="宋体" w:eastAsia="宋体" w:cs="宋体"/>
          <w:b/>
          <w:bCs/>
          <w:sz w:val="21"/>
          <w:szCs w:val="21"/>
        </w:rPr>
      </w:pPr>
      <w:r>
        <w:rPr>
          <w:rFonts w:hint="eastAsia" w:ascii="宋体" w:hAnsi="宋体" w:eastAsia="宋体" w:cs="宋体"/>
          <w:b/>
          <w:bCs/>
          <w:sz w:val="21"/>
          <w:szCs w:val="21"/>
        </w:rPr>
        <w:t xml:space="preserve"> 公开04表</w:t>
      </w:r>
    </w:p>
    <w:p>
      <w:pPr>
        <w:rPr>
          <w:rFonts w:ascii="宋体" w:hAnsi="宋体" w:eastAsia="宋体" w:cs="宋体"/>
          <w:b/>
          <w:bCs/>
          <w:sz w:val="21"/>
          <w:szCs w:val="21"/>
        </w:rPr>
      </w:pPr>
      <w:r>
        <w:rPr>
          <w:rFonts w:hint="eastAsia" w:ascii="宋体" w:hAnsi="宋体" w:eastAsia="宋体" w:cs="宋体"/>
          <w:b/>
          <w:bCs/>
          <w:sz w:val="21"/>
          <w:szCs w:val="21"/>
        </w:rPr>
        <w:t>编制部门：                                                       金额单位：万元</w:t>
      </w:r>
    </w:p>
    <w:tbl>
      <w:tblPr>
        <w:tblStyle w:val="6"/>
        <w:tblW w:w="8860" w:type="dxa"/>
        <w:tblInd w:w="0" w:type="dxa"/>
        <w:tblLayout w:type="fixed"/>
        <w:tblCellMar>
          <w:top w:w="15" w:type="dxa"/>
          <w:left w:w="15" w:type="dxa"/>
          <w:bottom w:w="15" w:type="dxa"/>
          <w:right w:w="15" w:type="dxa"/>
        </w:tblCellMar>
      </w:tblPr>
      <w:tblGrid>
        <w:gridCol w:w="2003"/>
        <w:gridCol w:w="1554"/>
        <w:gridCol w:w="1815"/>
        <w:gridCol w:w="1230"/>
        <w:gridCol w:w="1061"/>
        <w:gridCol w:w="1197"/>
      </w:tblGrid>
      <w:tr>
        <w:tblPrEx>
          <w:tblLayout w:type="fixed"/>
          <w:tblCellMar>
            <w:top w:w="15" w:type="dxa"/>
            <w:left w:w="15" w:type="dxa"/>
            <w:bottom w:w="15" w:type="dxa"/>
            <w:right w:w="15" w:type="dxa"/>
          </w:tblCellMar>
        </w:tblPrEx>
        <w:trPr>
          <w:trHeight w:val="578" w:hRule="atLeast"/>
        </w:trPr>
        <w:tc>
          <w:tcPr>
            <w:tcW w:w="355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303"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tblPrEx>
          <w:tblLayout w:type="fixed"/>
          <w:tblCellMar>
            <w:top w:w="15" w:type="dxa"/>
            <w:left w:w="15" w:type="dxa"/>
            <w:bottom w:w="15" w:type="dxa"/>
            <w:right w:w="15" w:type="dxa"/>
          </w:tblCellMar>
        </w:tblPrEx>
        <w:trPr>
          <w:trHeight w:val="999"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    目</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tblPrEx>
          <w:tblLayout w:type="fixed"/>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tabs>
                <w:tab w:val="left" w:pos="395"/>
              </w:tabs>
              <w:jc w:val="lef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eastAsia="zh-CN"/>
              </w:rPr>
              <w:tab/>
            </w:r>
            <w:r>
              <w:rPr>
                <w:rFonts w:hint="eastAsia" w:ascii="宋体" w:hAnsi="宋体" w:eastAsia="宋体" w:cs="宋体"/>
                <w:color w:val="000000"/>
                <w:sz w:val="21"/>
                <w:szCs w:val="21"/>
                <w:lang w:val="en-US" w:eastAsia="zh-CN"/>
              </w:rPr>
              <w:t>940.60</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940.60</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931.81</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8.79</w:t>
            </w:r>
          </w:p>
        </w:tc>
      </w:tr>
      <w:tr>
        <w:tblPrEx>
          <w:tblLayout w:type="fixed"/>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年初财政拨款结转和结余</w:t>
            </w:r>
          </w:p>
        </w:tc>
        <w:tc>
          <w:tcPr>
            <w:tcW w:w="1554" w:type="dxa"/>
            <w:tcBorders>
              <w:top w:val="single" w:color="000000" w:sz="4" w:space="0"/>
              <w:left w:val="single" w:color="000000" w:sz="4" w:space="0"/>
              <w:bottom w:val="single" w:color="000000" w:sz="4" w:space="0"/>
              <w:right w:val="single" w:color="000000" w:sz="4" w:space="0"/>
            </w:tcBorders>
            <w:vAlign w:val="center"/>
          </w:tcPr>
          <w:p>
            <w:pPr>
              <w:tabs>
                <w:tab w:val="left" w:pos="590"/>
              </w:tabs>
              <w:jc w:val="left"/>
              <w:rPr>
                <w:rFonts w:hint="default"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eastAsia="zh-CN"/>
              </w:rPr>
              <w:tab/>
            </w:r>
            <w:r>
              <w:rPr>
                <w:rFonts w:hint="eastAsia" w:ascii="宋体" w:hAnsi="宋体" w:eastAsia="宋体" w:cs="宋体"/>
                <w:b/>
                <w:color w:val="000000"/>
                <w:kern w:val="0"/>
                <w:sz w:val="21"/>
                <w:szCs w:val="21"/>
                <w:lang w:val="en-US" w:eastAsia="zh-CN"/>
              </w:rPr>
              <w:t>0</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年末财政拨款</w:t>
            </w:r>
          </w:p>
          <w:p>
            <w:pPr>
              <w:widowControl/>
              <w:jc w:val="center"/>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结转和结余</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0</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0</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0</w:t>
            </w:r>
          </w:p>
        </w:tc>
      </w:tr>
      <w:tr>
        <w:tblPrEx>
          <w:tblLayout w:type="fixed"/>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一、一般公共预</w:t>
            </w:r>
          </w:p>
          <w:p>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931.81</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Layout w:type="fixed"/>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二、政府性基金预</w:t>
            </w:r>
          </w:p>
          <w:p>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8.79</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Layout w:type="fixed"/>
          <w:tblCellMar>
            <w:top w:w="15" w:type="dxa"/>
            <w:left w:w="15" w:type="dxa"/>
            <w:bottom w:w="15" w:type="dxa"/>
            <w:right w:w="15" w:type="dxa"/>
          </w:tblCellMar>
        </w:tblPrEx>
        <w:trPr>
          <w:trHeight w:val="562"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收入总计</w:t>
            </w:r>
          </w:p>
        </w:tc>
        <w:tc>
          <w:tcPr>
            <w:tcW w:w="1554" w:type="dxa"/>
            <w:tcBorders>
              <w:top w:val="single" w:color="000000" w:sz="4" w:space="0"/>
              <w:left w:val="single" w:color="000000" w:sz="4" w:space="0"/>
              <w:bottom w:val="single" w:color="000000" w:sz="4" w:space="0"/>
              <w:right w:val="single" w:color="000000" w:sz="4" w:space="0"/>
            </w:tcBorders>
            <w:vAlign w:val="center"/>
          </w:tcPr>
          <w:p>
            <w:pPr>
              <w:tabs>
                <w:tab w:val="left" w:pos="545"/>
              </w:tabs>
              <w:jc w:val="left"/>
              <w:rPr>
                <w:rFonts w:hint="default"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eastAsia="zh-CN"/>
              </w:rPr>
              <w:tab/>
            </w:r>
            <w:r>
              <w:rPr>
                <w:rFonts w:hint="eastAsia" w:ascii="宋体" w:hAnsi="宋体" w:eastAsia="宋体" w:cs="宋体"/>
                <w:b/>
                <w:color w:val="000000"/>
                <w:kern w:val="0"/>
                <w:sz w:val="21"/>
                <w:szCs w:val="21"/>
                <w:lang w:val="en-US" w:eastAsia="zh-CN"/>
              </w:rPr>
              <w:t>940.60</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支出总计</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940.60</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931.81</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8.79</w:t>
            </w:r>
          </w:p>
        </w:tc>
      </w:tr>
    </w:tbl>
    <w:p>
      <w:pPr>
        <w:rPr>
          <w:rFonts w:ascii="宋体" w:hAnsi="宋体" w:eastAsia="宋体" w:cs="宋体"/>
          <w:sz w:val="21"/>
          <w:szCs w:val="21"/>
        </w:rPr>
      </w:pPr>
    </w:p>
    <w:p>
      <w:pPr>
        <w:widowControl/>
        <w:ind w:left="210" w:hanging="210" w:hangingChars="100"/>
        <w:jc w:val="left"/>
        <w:rPr>
          <w:rFonts w:eastAsia="宋体" w:cs="黑体"/>
          <w:sz w:val="21"/>
          <w:szCs w:val="24"/>
        </w:rPr>
      </w:pPr>
      <w:r>
        <w:rPr>
          <w:rFonts w:hint="eastAsia" w:ascii="宋体" w:hAnsi="宋体" w:eastAsia="宋体" w:cs="宋体"/>
          <w:sz w:val="21"/>
          <w:szCs w:val="21"/>
        </w:rPr>
        <w:t>注：本表反映部门本年度一般公共预算财政拨款和政府性基金预算财政拨款的总收支和年末结转结余情况。</w:t>
      </w:r>
      <w:r>
        <w:rPr>
          <w:rFonts w:hint="eastAsia" w:ascii="宋体" w:hAnsi="宋体" w:eastAsia="宋体" w:cs="宋体"/>
          <w:color w:val="000000"/>
          <w:kern w:val="0"/>
          <w:sz w:val="21"/>
          <w:szCs w:val="21"/>
        </w:rPr>
        <w:t>本表金额转换为万元时，因四舍五入可能存在尾差。</w:t>
      </w:r>
    </w:p>
    <w:p>
      <w:pPr>
        <w:rPr>
          <w:rFonts w:ascii="仿宋_GB2312" w:hAnsi="仿宋_GB2312" w:eastAsia="仿宋_GB2312" w:cs="仿宋_GB2312"/>
          <w:szCs w:val="32"/>
        </w:rPr>
      </w:pPr>
    </w:p>
    <w:p/>
    <w:p/>
    <w:p/>
    <w:p/>
    <w:p/>
    <w:p/>
    <w:p/>
    <w:p/>
    <w:p/>
    <w:p>
      <w:pPr>
        <w:jc w:val="center"/>
        <w:rPr>
          <w:rFonts w:ascii="宋体" w:hAnsi="宋体" w:eastAsia="宋体" w:cs="宋体"/>
          <w:b/>
          <w:bCs/>
          <w:szCs w:val="32"/>
        </w:rPr>
      </w:pPr>
      <w:r>
        <w:rPr>
          <w:rFonts w:hint="eastAsia" w:ascii="宋体" w:hAnsi="宋体" w:eastAsia="宋体" w:cs="宋体"/>
          <w:b/>
          <w:bCs/>
          <w:szCs w:val="32"/>
        </w:rPr>
        <w:t>一般公共预算财政拨款支出决算表（按功能分类科目）</w:t>
      </w:r>
    </w:p>
    <w:p>
      <w:pPr>
        <w:rPr>
          <w:rFonts w:ascii="宋体" w:hAnsi="宋体" w:eastAsia="宋体" w:cs="宋体"/>
          <w:b/>
          <w:bCs/>
          <w:sz w:val="21"/>
          <w:szCs w:val="21"/>
        </w:rPr>
      </w:pPr>
      <w:r>
        <w:rPr>
          <w:rFonts w:hint="eastAsia" w:ascii="宋体" w:hAnsi="宋体" w:eastAsia="宋体" w:cs="宋体"/>
          <w:b/>
          <w:bCs/>
          <w:sz w:val="21"/>
          <w:szCs w:val="21"/>
        </w:rPr>
        <w:t xml:space="preserve">                                                                      公开05表</w:t>
      </w:r>
    </w:p>
    <w:p>
      <w:pPr>
        <w:rPr>
          <w:rFonts w:ascii="宋体" w:hAnsi="宋体" w:eastAsia="宋体" w:cs="宋体"/>
          <w:b/>
          <w:bCs/>
          <w:sz w:val="21"/>
          <w:szCs w:val="21"/>
        </w:rPr>
      </w:pPr>
      <w:r>
        <w:rPr>
          <w:rFonts w:hint="eastAsia" w:ascii="宋体" w:hAnsi="宋体" w:eastAsia="宋体" w:cs="宋体"/>
          <w:b/>
          <w:bCs/>
          <w:sz w:val="21"/>
          <w:szCs w:val="21"/>
        </w:rPr>
        <w:t>编制部门：                                                       金额单位：万元</w:t>
      </w:r>
    </w:p>
    <w:tbl>
      <w:tblPr>
        <w:tblStyle w:val="6"/>
        <w:tblW w:w="8777" w:type="dxa"/>
        <w:tblInd w:w="0" w:type="dxa"/>
        <w:tblLayout w:type="fixed"/>
        <w:tblCellMar>
          <w:top w:w="15" w:type="dxa"/>
          <w:left w:w="15" w:type="dxa"/>
          <w:bottom w:w="15" w:type="dxa"/>
          <w:right w:w="15" w:type="dxa"/>
        </w:tblCellMar>
      </w:tblPr>
      <w:tblGrid>
        <w:gridCol w:w="958"/>
        <w:gridCol w:w="1749"/>
        <w:gridCol w:w="1006"/>
        <w:gridCol w:w="1020"/>
        <w:gridCol w:w="935"/>
        <w:gridCol w:w="1039"/>
        <w:gridCol w:w="1020"/>
        <w:gridCol w:w="1050"/>
      </w:tblGrid>
      <w:tr>
        <w:tblPrEx>
          <w:tblLayout w:type="fixed"/>
          <w:tblCellMar>
            <w:top w:w="15" w:type="dxa"/>
            <w:left w:w="15" w:type="dxa"/>
            <w:bottom w:w="15" w:type="dxa"/>
            <w:right w:w="15" w:type="dxa"/>
          </w:tblCellMar>
        </w:tblPrEx>
        <w:trPr>
          <w:trHeight w:val="414" w:hRule="atLeast"/>
        </w:trPr>
        <w:tc>
          <w:tcPr>
            <w:tcW w:w="270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0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2994"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05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tblPrEx>
          <w:tblLayout w:type="fixed"/>
          <w:tblCellMar>
            <w:top w:w="15" w:type="dxa"/>
            <w:left w:w="15" w:type="dxa"/>
            <w:bottom w:w="15" w:type="dxa"/>
            <w:right w:w="15" w:type="dxa"/>
          </w:tblCellMar>
        </w:tblPrEx>
        <w:trPr>
          <w:trHeight w:val="781" w:hRule="atLeast"/>
        </w:trPr>
        <w:tc>
          <w:tcPr>
            <w:tcW w:w="9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7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00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102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414" w:hRule="atLeast"/>
        </w:trPr>
        <w:tc>
          <w:tcPr>
            <w:tcW w:w="270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931.81</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37.79</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36.33</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1.46</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894.02</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696" w:hRule="atLeast"/>
        </w:trPr>
        <w:tc>
          <w:tcPr>
            <w:tcW w:w="9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w:t>
            </w:r>
          </w:p>
        </w:tc>
        <w:tc>
          <w:tcPr>
            <w:tcW w:w="17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一般公共服务支出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124.56</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32.04</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30.59</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1.46</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92.52</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704" w:hRule="atLeast"/>
        </w:trPr>
        <w:tc>
          <w:tcPr>
            <w:tcW w:w="9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20103</w:t>
            </w:r>
          </w:p>
        </w:tc>
        <w:tc>
          <w:tcPr>
            <w:tcW w:w="17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政府办公厅（室）及相关机构事务</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100.74</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32.04</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30.59</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1.46</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68.70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781" w:hRule="atLeast"/>
        </w:trPr>
        <w:tc>
          <w:tcPr>
            <w:tcW w:w="9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2010350</w:t>
            </w:r>
          </w:p>
        </w:tc>
        <w:tc>
          <w:tcPr>
            <w:tcW w:w="17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事业运行</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32.04</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32.04</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30.59</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1.46</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2010399</w:t>
            </w:r>
          </w:p>
        </w:tc>
        <w:tc>
          <w:tcPr>
            <w:tcW w:w="17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其他政府办公厅（室）及相关机构事务支出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68.70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68.70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20132</w:t>
            </w:r>
          </w:p>
        </w:tc>
        <w:tc>
          <w:tcPr>
            <w:tcW w:w="17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组织事务</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2.92</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2.92</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2013202</w:t>
            </w:r>
          </w:p>
        </w:tc>
        <w:tc>
          <w:tcPr>
            <w:tcW w:w="17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一般行政管理事务</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2.92</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2.92</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20199</w:t>
            </w:r>
          </w:p>
        </w:tc>
        <w:tc>
          <w:tcPr>
            <w:tcW w:w="17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其他一般公共服务支出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20.90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20.90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2019999</w:t>
            </w:r>
          </w:p>
        </w:tc>
        <w:tc>
          <w:tcPr>
            <w:tcW w:w="17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其他一般公共服务支出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20.90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20.90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208</w:t>
            </w:r>
          </w:p>
        </w:tc>
        <w:tc>
          <w:tcPr>
            <w:tcW w:w="17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社会保障和就业支出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4.67</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4.67</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4.67</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20805</w:t>
            </w:r>
          </w:p>
        </w:tc>
        <w:tc>
          <w:tcPr>
            <w:tcW w:w="17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行政事业单位离退休</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4.67</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4.67</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4.67</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2080505</w:t>
            </w:r>
          </w:p>
        </w:tc>
        <w:tc>
          <w:tcPr>
            <w:tcW w:w="17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机关事业单位基本养老保险缴费支出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4.67</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4.67</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4.67</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w:t>
            </w:r>
          </w:p>
        </w:tc>
        <w:tc>
          <w:tcPr>
            <w:tcW w:w="17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卫生健康支出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1.08</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1.08</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1.08</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21011</w:t>
            </w:r>
          </w:p>
        </w:tc>
        <w:tc>
          <w:tcPr>
            <w:tcW w:w="17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行政事业单位医疗</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0.99</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0.99</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0.99</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2101102</w:t>
            </w:r>
          </w:p>
        </w:tc>
        <w:tc>
          <w:tcPr>
            <w:tcW w:w="17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事业单位医疗</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0.95</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0.95</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0.95</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2101103</w:t>
            </w:r>
          </w:p>
        </w:tc>
        <w:tc>
          <w:tcPr>
            <w:tcW w:w="17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公务员医疗补助</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0.04</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0.04</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0.04</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21099</w:t>
            </w:r>
          </w:p>
        </w:tc>
        <w:tc>
          <w:tcPr>
            <w:tcW w:w="17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其他卫生健康支出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0.09</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0.09</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0.09</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2109901</w:t>
            </w:r>
          </w:p>
        </w:tc>
        <w:tc>
          <w:tcPr>
            <w:tcW w:w="17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其他卫生健康支出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0.09</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0.09</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0.09</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25" w:hRule="atLeast"/>
        </w:trPr>
        <w:tc>
          <w:tcPr>
            <w:tcW w:w="9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212</w:t>
            </w:r>
          </w:p>
        </w:tc>
        <w:tc>
          <w:tcPr>
            <w:tcW w:w="17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城乡社区支出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800.00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800.00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25" w:hRule="atLeast"/>
        </w:trPr>
        <w:tc>
          <w:tcPr>
            <w:tcW w:w="9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21203</w:t>
            </w:r>
          </w:p>
        </w:tc>
        <w:tc>
          <w:tcPr>
            <w:tcW w:w="17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城乡社区公共设施</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800.00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800.00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25" w:hRule="atLeast"/>
        </w:trPr>
        <w:tc>
          <w:tcPr>
            <w:tcW w:w="9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2120399</w:t>
            </w:r>
          </w:p>
        </w:tc>
        <w:tc>
          <w:tcPr>
            <w:tcW w:w="17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其他城乡社区公共设施支出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800.00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800.00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25" w:hRule="atLeast"/>
        </w:trPr>
        <w:tc>
          <w:tcPr>
            <w:tcW w:w="9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215</w:t>
            </w:r>
          </w:p>
        </w:tc>
        <w:tc>
          <w:tcPr>
            <w:tcW w:w="17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资源勘探信息等支出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1.50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1.50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25" w:hRule="atLeast"/>
        </w:trPr>
        <w:tc>
          <w:tcPr>
            <w:tcW w:w="9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21502</w:t>
            </w:r>
          </w:p>
        </w:tc>
        <w:tc>
          <w:tcPr>
            <w:tcW w:w="17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制造业</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1.50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1.50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25" w:hRule="atLeast"/>
        </w:trPr>
        <w:tc>
          <w:tcPr>
            <w:tcW w:w="9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2150299</w:t>
            </w:r>
          </w:p>
        </w:tc>
        <w:tc>
          <w:tcPr>
            <w:tcW w:w="17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其他制造业支出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1.50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1.50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注：本表反映部门本年度一般公共预算财政拨款实际支出情况。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一般公共预算财政拨款基本支出决算表（按经济分类科目）</w:t>
      </w:r>
    </w:p>
    <w:p>
      <w:pPr>
        <w:rPr>
          <w:rFonts w:ascii="宋体" w:hAnsi="宋体" w:eastAsia="宋体" w:cs="宋体"/>
          <w:b/>
          <w:bCs/>
          <w:sz w:val="21"/>
          <w:szCs w:val="21"/>
        </w:rPr>
      </w:pPr>
      <w:r>
        <w:rPr>
          <w:rFonts w:hint="eastAsia" w:ascii="宋体" w:hAnsi="宋体" w:eastAsia="宋体" w:cs="宋体"/>
          <w:b/>
          <w:bCs/>
          <w:sz w:val="21"/>
          <w:szCs w:val="21"/>
        </w:rPr>
        <w:t>公开06表</w:t>
      </w:r>
    </w:p>
    <w:p>
      <w:pPr>
        <w:rPr>
          <w:rFonts w:ascii="宋体" w:hAnsi="宋体" w:eastAsia="宋体" w:cs="宋体"/>
          <w:b/>
          <w:bCs/>
          <w:sz w:val="21"/>
          <w:szCs w:val="21"/>
        </w:rPr>
      </w:pPr>
      <w:r>
        <w:rPr>
          <w:rFonts w:hint="eastAsia" w:ascii="宋体" w:hAnsi="宋体" w:eastAsia="宋体" w:cs="宋体"/>
          <w:b/>
          <w:bCs/>
          <w:sz w:val="21"/>
          <w:szCs w:val="21"/>
        </w:rPr>
        <w:t>编制部门：                                                       金额单位：万元</w:t>
      </w:r>
    </w:p>
    <w:tbl>
      <w:tblPr>
        <w:tblStyle w:val="6"/>
        <w:tblW w:w="8817" w:type="dxa"/>
        <w:tblInd w:w="0" w:type="dxa"/>
        <w:tblLayout w:type="fixed"/>
        <w:tblCellMar>
          <w:top w:w="15" w:type="dxa"/>
          <w:left w:w="15" w:type="dxa"/>
          <w:bottom w:w="15" w:type="dxa"/>
          <w:right w:w="15" w:type="dxa"/>
        </w:tblCellMar>
      </w:tblPr>
      <w:tblGrid>
        <w:gridCol w:w="1157"/>
        <w:gridCol w:w="2046"/>
        <w:gridCol w:w="1659"/>
        <w:gridCol w:w="1437"/>
        <w:gridCol w:w="1363"/>
        <w:gridCol w:w="1155"/>
      </w:tblGrid>
      <w:tr>
        <w:tblPrEx>
          <w:tblLayout w:type="fixed"/>
          <w:tblCellMar>
            <w:top w:w="15" w:type="dxa"/>
            <w:left w:w="15" w:type="dxa"/>
            <w:bottom w:w="15" w:type="dxa"/>
            <w:right w:w="15" w:type="dxa"/>
          </w:tblCellMar>
        </w:tblPrEx>
        <w:trPr>
          <w:trHeight w:val="434" w:hRule="atLeast"/>
        </w:trPr>
        <w:tc>
          <w:tcPr>
            <w:tcW w:w="320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65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43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136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11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tblPrEx>
          <w:tblLayout w:type="fixed"/>
          <w:tblCellMar>
            <w:top w:w="15" w:type="dxa"/>
            <w:left w:w="15" w:type="dxa"/>
            <w:bottom w:w="15" w:type="dxa"/>
            <w:right w:w="15" w:type="dxa"/>
          </w:tblCellMar>
        </w:tblPrEx>
        <w:trPr>
          <w:trHeight w:val="67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经济分类科目编码</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65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43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36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434" w:hRule="atLeast"/>
        </w:trPr>
        <w:tc>
          <w:tcPr>
            <w:tcW w:w="320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659" w:type="dxa"/>
            <w:tcBorders>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b/>
                <w:color w:val="000000"/>
                <w:sz w:val="21"/>
                <w:szCs w:val="21"/>
              </w:rPr>
            </w:pPr>
            <w:r>
              <w:rPr>
                <w:rFonts w:hint="eastAsia" w:ascii="宋体" w:hAnsi="宋体" w:eastAsia="宋体" w:cs="宋体"/>
                <w:i w:val="0"/>
                <w:color w:val="000000"/>
                <w:kern w:val="0"/>
                <w:sz w:val="22"/>
                <w:szCs w:val="22"/>
                <w:u w:val="none"/>
                <w:lang w:val="en-US" w:eastAsia="zh-CN" w:bidi="ar"/>
              </w:rPr>
              <w:t>37.79</w:t>
            </w:r>
          </w:p>
        </w:tc>
        <w:tc>
          <w:tcPr>
            <w:tcW w:w="1437" w:type="dxa"/>
            <w:tcBorders>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b/>
                <w:color w:val="000000"/>
                <w:sz w:val="21"/>
                <w:szCs w:val="21"/>
              </w:rPr>
            </w:pPr>
            <w:r>
              <w:rPr>
                <w:rFonts w:hint="eastAsia" w:ascii="宋体" w:hAnsi="宋体" w:eastAsia="宋体" w:cs="宋体"/>
                <w:i w:val="0"/>
                <w:color w:val="000000"/>
                <w:kern w:val="0"/>
                <w:sz w:val="22"/>
                <w:szCs w:val="22"/>
                <w:u w:val="none"/>
                <w:lang w:val="en-US" w:eastAsia="zh-CN" w:bidi="ar"/>
              </w:rPr>
              <w:t>36.33</w:t>
            </w:r>
          </w:p>
        </w:tc>
        <w:tc>
          <w:tcPr>
            <w:tcW w:w="1363" w:type="dxa"/>
            <w:tcBorders>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b/>
                <w:color w:val="000000"/>
                <w:sz w:val="21"/>
                <w:szCs w:val="21"/>
              </w:rPr>
            </w:pPr>
            <w:r>
              <w:rPr>
                <w:rFonts w:hint="eastAsia" w:ascii="宋体" w:hAnsi="宋体" w:eastAsia="宋体" w:cs="宋体"/>
                <w:i w:val="0"/>
                <w:color w:val="000000"/>
                <w:kern w:val="0"/>
                <w:sz w:val="22"/>
                <w:szCs w:val="22"/>
                <w:u w:val="none"/>
                <w:lang w:val="en-US" w:eastAsia="zh-CN" w:bidi="ar"/>
              </w:rPr>
              <w:t>1.46</w:t>
            </w:r>
          </w:p>
        </w:tc>
        <w:tc>
          <w:tcPr>
            <w:tcW w:w="1155" w:type="dxa"/>
            <w:tcBorders>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301</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工资福利支出</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36.34</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36.33</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30101</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基本工资</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15.01</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15.01</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30102</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津贴补贴</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5.26</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5.26</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30107</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绩效工资</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10.32</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10.32</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30108</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机关事业单位基本养老保险缴费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4.67</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4.67</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30110</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职工基本医疗保险缴费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0.95</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0.95</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30111</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公务员医疗补助缴费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0.04</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0.04</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30112</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其他社会保障缴费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0.09</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0.09</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302</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商品和服务支出</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1.31</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1.31</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30201</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办公费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1.16</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1.16</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30227</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委托业务费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0.15</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0.15</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310</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资本性支出</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0.15</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0.15</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31002</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办公设备购置</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0.15</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0.15</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注：本表反映部门本年度一般公共预算财政拨款基本支出明细情况。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一般公共预算财政拨款“三公”经费</w:t>
      </w:r>
    </w:p>
    <w:p>
      <w:pPr>
        <w:spacing w:line="520" w:lineRule="exact"/>
        <w:jc w:val="center"/>
        <w:rPr>
          <w:rFonts w:ascii="宋体" w:hAnsi="宋体" w:eastAsia="宋体" w:cs="宋体"/>
          <w:b/>
          <w:bCs/>
          <w:szCs w:val="32"/>
        </w:rPr>
      </w:pPr>
      <w:r>
        <w:rPr>
          <w:rFonts w:hint="eastAsia" w:ascii="宋体" w:hAnsi="宋体" w:eastAsia="宋体" w:cs="宋体"/>
          <w:b/>
          <w:bCs/>
          <w:szCs w:val="32"/>
        </w:rPr>
        <w:t>及会议费、培训费支出决算表</w:t>
      </w:r>
    </w:p>
    <w:p>
      <w:pPr>
        <w:rPr>
          <w:rFonts w:ascii="宋体" w:hAnsi="宋体" w:eastAsia="宋体" w:cs="宋体"/>
          <w:b/>
          <w:bCs/>
          <w:sz w:val="21"/>
          <w:szCs w:val="21"/>
        </w:rPr>
      </w:pPr>
      <w:r>
        <w:rPr>
          <w:rFonts w:hint="eastAsia" w:ascii="宋体" w:hAnsi="宋体" w:eastAsia="宋体" w:cs="宋体"/>
          <w:b/>
          <w:bCs/>
          <w:sz w:val="21"/>
          <w:szCs w:val="21"/>
        </w:rPr>
        <w:t xml:space="preserve">   公开07表</w:t>
      </w:r>
    </w:p>
    <w:p>
      <w:pPr>
        <w:rPr>
          <w:rFonts w:ascii="宋体" w:hAnsi="宋体" w:eastAsia="宋体" w:cs="宋体"/>
          <w:b/>
          <w:bCs/>
          <w:sz w:val="21"/>
          <w:szCs w:val="21"/>
        </w:rPr>
      </w:pPr>
      <w:r>
        <w:rPr>
          <w:rFonts w:hint="eastAsia" w:ascii="宋体" w:hAnsi="宋体" w:eastAsia="宋体" w:cs="宋体"/>
          <w:b/>
          <w:bCs/>
          <w:sz w:val="21"/>
          <w:szCs w:val="21"/>
        </w:rPr>
        <w:t>编制部门：                                                       金额单位：万元</w:t>
      </w:r>
    </w:p>
    <w:tbl>
      <w:tblPr>
        <w:tblStyle w:val="6"/>
        <w:tblW w:w="8858" w:type="dxa"/>
        <w:tblInd w:w="0" w:type="dxa"/>
        <w:tblLayout w:type="fixed"/>
        <w:tblCellMar>
          <w:top w:w="15" w:type="dxa"/>
          <w:left w:w="15" w:type="dxa"/>
          <w:bottom w:w="15" w:type="dxa"/>
          <w:right w:w="15" w:type="dxa"/>
        </w:tblCellMar>
      </w:tblPr>
      <w:tblGrid>
        <w:gridCol w:w="1079"/>
        <w:gridCol w:w="985"/>
        <w:gridCol w:w="1117"/>
        <w:gridCol w:w="878"/>
        <w:gridCol w:w="878"/>
        <w:gridCol w:w="998"/>
        <w:gridCol w:w="1189"/>
        <w:gridCol w:w="772"/>
        <w:gridCol w:w="962"/>
      </w:tblGrid>
      <w:tr>
        <w:tblPrEx>
          <w:tblLayout w:type="fixed"/>
          <w:tblCellMar>
            <w:top w:w="15" w:type="dxa"/>
            <w:left w:w="15" w:type="dxa"/>
            <w:bottom w:w="15" w:type="dxa"/>
            <w:right w:w="15" w:type="dxa"/>
          </w:tblCellMar>
        </w:tblPrEx>
        <w:trPr>
          <w:trHeight w:val="726" w:hRule="atLeast"/>
        </w:trPr>
        <w:tc>
          <w:tcPr>
            <w:tcW w:w="107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6045"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一般公共预算财政拨款安排的“三公”经费</w:t>
            </w:r>
          </w:p>
        </w:tc>
        <w:tc>
          <w:tcPr>
            <w:tcW w:w="7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会议费</w:t>
            </w:r>
          </w:p>
        </w:tc>
        <w:tc>
          <w:tcPr>
            <w:tcW w:w="96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培训费</w:t>
            </w:r>
          </w:p>
        </w:tc>
      </w:tr>
      <w:tr>
        <w:tblPrEx>
          <w:tblLayout w:type="fixed"/>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11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因公出国（境）费用</w:t>
            </w:r>
          </w:p>
        </w:tc>
        <w:tc>
          <w:tcPr>
            <w:tcW w:w="87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公务接待费</w:t>
            </w:r>
          </w:p>
        </w:tc>
        <w:tc>
          <w:tcPr>
            <w:tcW w:w="306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公务用车购置及运行维护费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753"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公务用车购置费</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1</w:t>
            </w:r>
          </w:p>
        </w:tc>
        <w:tc>
          <w:tcPr>
            <w:tcW w:w="11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2</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3</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4</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5</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6</w:t>
            </w:r>
          </w:p>
        </w:tc>
        <w:tc>
          <w:tcPr>
            <w:tcW w:w="7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7</w:t>
            </w:r>
          </w:p>
        </w:tc>
        <w:tc>
          <w:tcPr>
            <w:tcW w:w="9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8</w:t>
            </w:r>
          </w:p>
        </w:tc>
      </w:tr>
      <w:tr>
        <w:tblPrEx>
          <w:tblLayout w:type="fixed"/>
          <w:tblCellMar>
            <w:top w:w="15" w:type="dxa"/>
            <w:left w:w="15" w:type="dxa"/>
            <w:bottom w:w="15" w:type="dxa"/>
            <w:right w:w="15" w:type="dxa"/>
          </w:tblCellMar>
        </w:tblPrEx>
        <w:trPr>
          <w:trHeight w:val="726"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预算数</w:t>
            </w:r>
          </w:p>
        </w:tc>
        <w:tc>
          <w:tcPr>
            <w:tcW w:w="9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w:t>
            </w:r>
          </w:p>
        </w:tc>
        <w:tc>
          <w:tcPr>
            <w:tcW w:w="111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w:t>
            </w:r>
          </w:p>
        </w:tc>
        <w:tc>
          <w:tcPr>
            <w:tcW w:w="99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w:t>
            </w:r>
          </w:p>
        </w:tc>
        <w:tc>
          <w:tcPr>
            <w:tcW w:w="96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w:t>
            </w:r>
          </w:p>
        </w:tc>
      </w:tr>
      <w:tr>
        <w:tblPrEx>
          <w:tblLayout w:type="fixed"/>
          <w:tblCellMar>
            <w:top w:w="15" w:type="dxa"/>
            <w:left w:w="15" w:type="dxa"/>
            <w:bottom w:w="15" w:type="dxa"/>
            <w:right w:w="15" w:type="dxa"/>
          </w:tblCellMar>
        </w:tblPrEx>
        <w:trPr>
          <w:trHeight w:val="738"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9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w:t>
            </w:r>
          </w:p>
        </w:tc>
        <w:tc>
          <w:tcPr>
            <w:tcW w:w="111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w:t>
            </w:r>
          </w:p>
        </w:tc>
        <w:tc>
          <w:tcPr>
            <w:tcW w:w="99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w:t>
            </w:r>
          </w:p>
        </w:tc>
        <w:tc>
          <w:tcPr>
            <w:tcW w:w="96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w:t>
            </w: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注：本表反映部门本年度一般公共预算财政拨款“三公”经费、会议费、培训费的预算数和实际支出。预算数为调整预算数。</w:t>
      </w:r>
      <w:r>
        <w:rPr>
          <w:rFonts w:hint="eastAsia" w:ascii="宋体" w:hAnsi="宋体" w:eastAsia="宋体" w:cs="宋体"/>
          <w:color w:val="000000"/>
          <w:kern w:val="0"/>
          <w:sz w:val="21"/>
          <w:szCs w:val="21"/>
        </w:rPr>
        <w:t>本表金额转换为万元时，因四舍五入可能存在尾差。</w:t>
      </w:r>
    </w:p>
    <w:p/>
    <w:p/>
    <w:p/>
    <w:p>
      <w:pPr>
        <w:ind w:firstLine="1285" w:firstLineChars="400"/>
        <w:jc w:val="both"/>
        <w:rPr>
          <w:rFonts w:ascii="宋体" w:hAnsi="宋体" w:eastAsia="宋体" w:cs="宋体"/>
          <w:b/>
          <w:bCs/>
          <w:szCs w:val="32"/>
        </w:rPr>
      </w:pPr>
      <w:r>
        <w:rPr>
          <w:rFonts w:hint="eastAsia" w:ascii="宋体" w:hAnsi="宋体" w:eastAsia="宋体" w:cs="宋体"/>
          <w:b/>
          <w:bCs/>
          <w:szCs w:val="32"/>
        </w:rPr>
        <w:t>政府性基金预算财政拨款收入支出决算表</w:t>
      </w:r>
    </w:p>
    <w:p>
      <w:pPr>
        <w:rPr>
          <w:rFonts w:ascii="宋体" w:hAnsi="宋体" w:eastAsia="宋体" w:cs="宋体"/>
          <w:b/>
          <w:bCs/>
          <w:sz w:val="21"/>
          <w:szCs w:val="21"/>
        </w:rPr>
      </w:pPr>
      <w:r>
        <w:rPr>
          <w:rFonts w:hint="eastAsia" w:ascii="宋体" w:hAnsi="宋体" w:eastAsia="宋体" w:cs="宋体"/>
          <w:b/>
          <w:bCs/>
          <w:sz w:val="21"/>
          <w:szCs w:val="21"/>
        </w:rPr>
        <w:t>公开08表</w:t>
      </w:r>
    </w:p>
    <w:p>
      <w:pPr>
        <w:rPr>
          <w:rFonts w:ascii="宋体" w:hAnsi="宋体" w:eastAsia="宋体" w:cs="宋体"/>
          <w:b/>
          <w:bCs/>
          <w:sz w:val="21"/>
          <w:szCs w:val="21"/>
        </w:rPr>
      </w:pPr>
      <w:r>
        <w:rPr>
          <w:rFonts w:hint="eastAsia" w:ascii="宋体" w:hAnsi="宋体" w:eastAsia="宋体" w:cs="宋体"/>
          <w:b/>
          <w:bCs/>
          <w:sz w:val="21"/>
          <w:szCs w:val="21"/>
        </w:rPr>
        <w:t>编制部门：                                                       金额单位：万元</w:t>
      </w:r>
    </w:p>
    <w:tbl>
      <w:tblPr>
        <w:tblStyle w:val="6"/>
        <w:tblW w:w="8877" w:type="dxa"/>
        <w:tblInd w:w="0" w:type="dxa"/>
        <w:tblLayout w:type="fixed"/>
        <w:tblCellMar>
          <w:top w:w="15" w:type="dxa"/>
          <w:left w:w="15" w:type="dxa"/>
          <w:bottom w:w="15" w:type="dxa"/>
          <w:right w:w="15" w:type="dxa"/>
        </w:tblCellMar>
      </w:tblPr>
      <w:tblGrid>
        <w:gridCol w:w="1023"/>
        <w:gridCol w:w="1705"/>
        <w:gridCol w:w="685"/>
        <w:gridCol w:w="1265"/>
        <w:gridCol w:w="930"/>
        <w:gridCol w:w="1080"/>
        <w:gridCol w:w="1095"/>
        <w:gridCol w:w="1094"/>
      </w:tblGrid>
      <w:tr>
        <w:tblPrEx>
          <w:tblLayout w:type="fixed"/>
        </w:tblPrEx>
        <w:trPr>
          <w:trHeight w:val="491" w:hRule="atLeast"/>
        </w:trPr>
        <w:tc>
          <w:tcPr>
            <w:tcW w:w="272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6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年初结转和结余</w:t>
            </w:r>
          </w:p>
        </w:tc>
        <w:tc>
          <w:tcPr>
            <w:tcW w:w="126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w:t>
            </w:r>
          </w:p>
        </w:tc>
        <w:tc>
          <w:tcPr>
            <w:tcW w:w="3105"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w:t>
            </w:r>
          </w:p>
        </w:tc>
        <w:tc>
          <w:tcPr>
            <w:tcW w:w="109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年末结转和结余</w:t>
            </w:r>
          </w:p>
        </w:tc>
      </w:tr>
      <w:tr>
        <w:tblPrEx>
          <w:tblLayout w:type="fixed"/>
          <w:tblCellMar>
            <w:top w:w="15" w:type="dxa"/>
            <w:left w:w="15" w:type="dxa"/>
            <w:bottom w:w="15" w:type="dxa"/>
            <w:right w:w="15" w:type="dxa"/>
          </w:tblCellMar>
        </w:tblPrEx>
        <w:trPr>
          <w:trHeight w:val="889"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68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2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0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491" w:hRule="atLeast"/>
        </w:trPr>
        <w:tc>
          <w:tcPr>
            <w:tcW w:w="272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685" w:type="dxa"/>
            <w:tcBorders>
              <w:top w:val="single" w:color="000000" w:sz="4" w:space="0"/>
              <w:bottom w:val="single" w:color="000000" w:sz="4" w:space="0"/>
              <w:right w:val="single" w:color="000000" w:sz="4" w:space="0"/>
            </w:tcBorders>
            <w:vAlign w:val="center"/>
          </w:tcPr>
          <w:p>
            <w:pPr>
              <w:jc w:val="center"/>
              <w:rPr>
                <w:rFonts w:hint="eastAsia"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w:t>
            </w:r>
          </w:p>
        </w:tc>
        <w:tc>
          <w:tcPr>
            <w:tcW w:w="12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b/>
                <w:color w:val="000000"/>
                <w:sz w:val="21"/>
                <w:szCs w:val="21"/>
              </w:rPr>
            </w:pPr>
            <w:r>
              <w:rPr>
                <w:rFonts w:hint="eastAsia" w:ascii="宋体" w:hAnsi="宋体" w:eastAsia="宋体" w:cs="宋体"/>
                <w:i w:val="0"/>
                <w:color w:val="000000"/>
                <w:kern w:val="0"/>
                <w:sz w:val="22"/>
                <w:szCs w:val="22"/>
                <w:u w:val="none"/>
                <w:lang w:val="en-US" w:eastAsia="zh-CN" w:bidi="ar"/>
              </w:rPr>
              <w:t>8.79</w:t>
            </w:r>
          </w:p>
        </w:tc>
        <w:tc>
          <w:tcPr>
            <w:tcW w:w="9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b/>
                <w:color w:val="000000"/>
                <w:sz w:val="21"/>
                <w:szCs w:val="21"/>
              </w:rPr>
            </w:pPr>
            <w:r>
              <w:rPr>
                <w:rFonts w:hint="eastAsia" w:ascii="宋体" w:hAnsi="宋体" w:eastAsia="宋体" w:cs="宋体"/>
                <w:i w:val="0"/>
                <w:color w:val="000000"/>
                <w:kern w:val="0"/>
                <w:sz w:val="22"/>
                <w:szCs w:val="22"/>
                <w:u w:val="none"/>
                <w:lang w:val="en-US" w:eastAsia="zh-CN" w:bidi="ar"/>
              </w:rPr>
              <w:t>8.79</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b/>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b/>
                <w:color w:val="000000"/>
                <w:sz w:val="21"/>
                <w:szCs w:val="21"/>
              </w:rPr>
            </w:pPr>
            <w:r>
              <w:rPr>
                <w:rFonts w:hint="eastAsia" w:ascii="宋体" w:hAnsi="宋体" w:eastAsia="宋体" w:cs="宋体"/>
                <w:i w:val="0"/>
                <w:color w:val="000000"/>
                <w:kern w:val="0"/>
                <w:sz w:val="22"/>
                <w:szCs w:val="22"/>
                <w:u w:val="none"/>
                <w:lang w:val="en-US" w:eastAsia="zh-CN" w:bidi="ar"/>
              </w:rPr>
              <w:t>8.79</w:t>
            </w:r>
          </w:p>
        </w:tc>
        <w:tc>
          <w:tcPr>
            <w:tcW w:w="10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b/>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212</w:t>
            </w:r>
          </w:p>
        </w:tc>
        <w:tc>
          <w:tcPr>
            <w:tcW w:w="17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城乡社区支出</w:t>
            </w:r>
          </w:p>
        </w:tc>
        <w:tc>
          <w:tcPr>
            <w:tcW w:w="685" w:type="dxa"/>
            <w:tcBorders>
              <w:top w:val="single" w:color="000000" w:sz="4" w:space="0"/>
              <w:left w:val="single" w:color="000000" w:sz="4" w:space="0"/>
              <w:bottom w:val="single" w:color="000000" w:sz="4" w:space="0"/>
              <w:right w:val="single" w:color="000000" w:sz="4" w:space="0"/>
            </w:tcBorders>
            <w:vAlign w:val="center"/>
          </w:tcPr>
          <w:p>
            <w:pPr>
              <w:tabs>
                <w:tab w:val="left" w:pos="300"/>
              </w:tabs>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eastAsia="zh-CN"/>
              </w:rPr>
              <w:tab/>
            </w:r>
            <w:r>
              <w:rPr>
                <w:rFonts w:hint="eastAsia" w:ascii="宋体" w:hAnsi="宋体" w:eastAsia="宋体" w:cs="宋体"/>
                <w:color w:val="000000"/>
                <w:sz w:val="21"/>
                <w:szCs w:val="21"/>
                <w:lang w:val="en-US" w:eastAsia="zh-CN"/>
              </w:rPr>
              <w:t>0</w:t>
            </w:r>
          </w:p>
        </w:tc>
        <w:tc>
          <w:tcPr>
            <w:tcW w:w="12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8.79</w:t>
            </w:r>
          </w:p>
        </w:tc>
        <w:tc>
          <w:tcPr>
            <w:tcW w:w="9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8.79</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8.79</w:t>
            </w:r>
          </w:p>
        </w:tc>
        <w:tc>
          <w:tcPr>
            <w:tcW w:w="10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21208</w:t>
            </w:r>
          </w:p>
        </w:tc>
        <w:tc>
          <w:tcPr>
            <w:tcW w:w="17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国有土地使用权出让收入及对应专项债务收入安排的支出</w:t>
            </w:r>
          </w:p>
        </w:tc>
        <w:tc>
          <w:tcPr>
            <w:tcW w:w="685" w:type="dxa"/>
            <w:tcBorders>
              <w:top w:val="single" w:color="000000" w:sz="4" w:space="0"/>
              <w:left w:val="single" w:color="000000" w:sz="4" w:space="0"/>
              <w:bottom w:val="single" w:color="000000" w:sz="4" w:space="0"/>
              <w:right w:val="single" w:color="000000" w:sz="4" w:space="0"/>
            </w:tcBorders>
            <w:vAlign w:val="center"/>
          </w:tcPr>
          <w:p>
            <w:pPr>
              <w:tabs>
                <w:tab w:val="left" w:pos="210"/>
              </w:tabs>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eastAsia="zh-CN"/>
              </w:rPr>
              <w:tab/>
            </w:r>
            <w:r>
              <w:rPr>
                <w:rFonts w:hint="eastAsia" w:ascii="宋体" w:hAnsi="宋体" w:eastAsia="宋体" w:cs="宋体"/>
                <w:color w:val="000000"/>
                <w:sz w:val="21"/>
                <w:szCs w:val="21"/>
                <w:lang w:val="en-US" w:eastAsia="zh-CN"/>
              </w:rPr>
              <w:t>0</w:t>
            </w:r>
          </w:p>
        </w:tc>
        <w:tc>
          <w:tcPr>
            <w:tcW w:w="12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8.79</w:t>
            </w:r>
          </w:p>
        </w:tc>
        <w:tc>
          <w:tcPr>
            <w:tcW w:w="9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8.79</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8.79</w:t>
            </w:r>
          </w:p>
        </w:tc>
        <w:tc>
          <w:tcPr>
            <w:tcW w:w="10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2120806</w:t>
            </w:r>
          </w:p>
        </w:tc>
        <w:tc>
          <w:tcPr>
            <w:tcW w:w="17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土地出让业务支出</w:t>
            </w:r>
          </w:p>
        </w:tc>
        <w:tc>
          <w:tcPr>
            <w:tcW w:w="685" w:type="dxa"/>
            <w:tcBorders>
              <w:top w:val="single" w:color="000000" w:sz="4" w:space="0"/>
              <w:left w:val="single" w:color="000000" w:sz="4" w:space="0"/>
              <w:bottom w:val="single" w:color="000000" w:sz="4" w:space="0"/>
              <w:right w:val="single" w:color="000000" w:sz="4" w:space="0"/>
            </w:tcBorders>
            <w:vAlign w:val="center"/>
          </w:tcPr>
          <w:p>
            <w:pPr>
              <w:tabs>
                <w:tab w:val="left" w:pos="375"/>
              </w:tabs>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eastAsia="zh-CN"/>
              </w:rPr>
              <w:tab/>
            </w:r>
            <w:r>
              <w:rPr>
                <w:rFonts w:hint="eastAsia" w:ascii="宋体" w:hAnsi="宋体" w:eastAsia="宋体" w:cs="宋体"/>
                <w:color w:val="000000"/>
                <w:sz w:val="21"/>
                <w:szCs w:val="21"/>
                <w:lang w:val="en-US" w:eastAsia="zh-CN"/>
              </w:rPr>
              <w:t>0</w:t>
            </w:r>
          </w:p>
        </w:tc>
        <w:tc>
          <w:tcPr>
            <w:tcW w:w="12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8.79</w:t>
            </w:r>
          </w:p>
        </w:tc>
        <w:tc>
          <w:tcPr>
            <w:tcW w:w="9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8.79</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8.79</w:t>
            </w:r>
          </w:p>
        </w:tc>
        <w:tc>
          <w:tcPr>
            <w:tcW w:w="109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7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8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26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9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9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7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8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26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9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9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7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8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26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9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9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7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8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26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9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9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7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8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26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9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9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7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8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26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9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9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7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8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26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9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b/>
                <w:color w:val="000000"/>
                <w:sz w:val="21"/>
                <w:szCs w:val="21"/>
              </w:rPr>
            </w:pPr>
          </w:p>
        </w:tc>
        <w:tc>
          <w:tcPr>
            <w:tcW w:w="109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7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8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26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9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9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7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8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26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9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9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7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8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26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9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9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7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8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26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9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9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7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8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26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9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9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514"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7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8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26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9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9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注：本表反映部门本年度政府性基金预算财政拨款收入支出及结转和结余情况。</w:t>
      </w:r>
      <w:r>
        <w:rPr>
          <w:rFonts w:hint="eastAsia" w:ascii="宋体" w:hAnsi="宋体" w:eastAsia="宋体" w:cs="宋体"/>
          <w:color w:val="000000"/>
          <w:kern w:val="0"/>
          <w:sz w:val="21"/>
          <w:szCs w:val="21"/>
        </w:rPr>
        <w:t>本表金额转换为万元时，因四舍五入可能存在尾差。</w:t>
      </w:r>
    </w:p>
    <w:p/>
    <w:p/>
    <w:p>
      <w:pPr>
        <w:jc w:val="center"/>
        <w:rPr>
          <w:rFonts w:ascii="黑体" w:hAnsi="宋体" w:eastAsia="黑体"/>
          <w:color w:val="000000"/>
          <w:kern w:val="0"/>
          <w:sz w:val="44"/>
          <w:szCs w:val="44"/>
        </w:rPr>
      </w:pPr>
      <w:r>
        <w:rPr>
          <w:rFonts w:hint="eastAsia" w:ascii="黑体" w:hAnsi="宋体" w:eastAsia="黑体"/>
          <w:color w:val="000000"/>
          <w:kern w:val="0"/>
          <w:sz w:val="44"/>
          <w:szCs w:val="44"/>
        </w:rPr>
        <w:t>第三部分 2019年度部门决算情况说明</w:t>
      </w:r>
    </w:p>
    <w:p>
      <w:pPr>
        <w:widowControl/>
        <w:rPr>
          <w:rFonts w:ascii="黑体" w:hAnsi="宋体" w:eastAsia="黑体"/>
          <w:color w:val="000000"/>
          <w:kern w:val="0"/>
          <w:sz w:val="44"/>
          <w:szCs w:val="44"/>
        </w:rPr>
      </w:pPr>
    </w:p>
    <w:p>
      <w:pPr>
        <w:widowControl/>
        <w:ind w:firstLine="640" w:firstLineChars="200"/>
        <w:jc w:val="left"/>
        <w:rPr>
          <w:rFonts w:hint="eastAsia" w:ascii="仿宋_GB2312" w:hAnsi="仿宋_GB2312" w:eastAsia="仿宋_GB2312" w:cs="仿宋_GB2312"/>
          <w:szCs w:val="32"/>
        </w:rPr>
      </w:pPr>
      <w:r>
        <w:rPr>
          <w:rFonts w:hint="eastAsia" w:ascii="黑体" w:hAnsi="黑体" w:eastAsia="黑体"/>
          <w:color w:val="000000"/>
          <w:kern w:val="0"/>
          <w:szCs w:val="32"/>
        </w:rPr>
        <w:t>一、收入支出决算总体情况说明</w:t>
      </w:r>
    </w:p>
    <w:p>
      <w:pPr>
        <w:widowControl/>
        <w:ind w:firstLine="640" w:firstLineChars="200"/>
        <w:jc w:val="left"/>
        <w:rPr>
          <w:rFonts w:hint="eastAsia" w:ascii="仿宋" w:hAnsi="仿宋" w:eastAsia="仿宋" w:cs="仿宋"/>
          <w:sz w:val="32"/>
          <w:szCs w:val="32"/>
          <w:lang w:val="en-US" w:eastAsia="zh-CN"/>
        </w:rPr>
      </w:pPr>
      <w:r>
        <w:rPr>
          <w:rFonts w:hint="eastAsia" w:ascii="仿宋_GB2312" w:hAnsi="仿宋" w:eastAsia="仿宋_GB2312"/>
          <w:sz w:val="32"/>
          <w:szCs w:val="32"/>
        </w:rPr>
        <w:t>201</w:t>
      </w:r>
      <w:r>
        <w:rPr>
          <w:rFonts w:hint="eastAsia" w:ascii="仿宋_GB2312" w:hAnsi="仿宋" w:eastAsia="仿宋_GB2312"/>
          <w:sz w:val="32"/>
          <w:szCs w:val="32"/>
          <w:lang w:val="en-US" w:eastAsia="zh-CN"/>
        </w:rPr>
        <w:t>9</w:t>
      </w:r>
      <w:r>
        <w:rPr>
          <w:rFonts w:hint="eastAsia" w:ascii="仿宋_GB2312" w:hAnsi="仿宋" w:eastAsia="仿宋_GB2312"/>
          <w:sz w:val="32"/>
          <w:szCs w:val="32"/>
        </w:rPr>
        <w:t>年度</w:t>
      </w:r>
      <w:r>
        <w:rPr>
          <w:rFonts w:hint="eastAsia" w:ascii="仿宋_GB2312" w:hAnsi="仿宋" w:eastAsia="仿宋_GB2312"/>
          <w:sz w:val="32"/>
          <w:szCs w:val="32"/>
          <w:lang w:val="en-US" w:eastAsia="zh-CN"/>
        </w:rPr>
        <w:t>财政</w:t>
      </w:r>
      <w:r>
        <w:rPr>
          <w:rFonts w:hint="eastAsia" w:ascii="仿宋_GB2312" w:hAnsi="仿宋" w:eastAsia="仿宋_GB2312"/>
          <w:sz w:val="32"/>
          <w:szCs w:val="32"/>
        </w:rPr>
        <w:t>收入</w:t>
      </w:r>
      <w:r>
        <w:rPr>
          <w:rFonts w:hint="eastAsia" w:ascii="仿宋_GB2312" w:hAnsi="仿宋" w:eastAsia="仿宋_GB2312"/>
          <w:sz w:val="32"/>
          <w:szCs w:val="32"/>
          <w:lang w:val="en-US" w:eastAsia="zh-CN"/>
        </w:rPr>
        <w:t>940.60</w:t>
      </w:r>
      <w:r>
        <w:rPr>
          <w:rFonts w:hint="eastAsia" w:ascii="仿宋_GB2312" w:hAnsi="仿宋" w:eastAsia="仿宋_GB2312"/>
          <w:sz w:val="32"/>
          <w:szCs w:val="32"/>
        </w:rPr>
        <w:t>万元，</w:t>
      </w:r>
      <w:r>
        <w:rPr>
          <w:rFonts w:hint="eastAsia" w:ascii="仿宋" w:hAnsi="仿宋" w:eastAsia="仿宋" w:cs="仿宋"/>
          <w:sz w:val="32"/>
          <w:szCs w:val="32"/>
        </w:rPr>
        <w:t>201</w:t>
      </w:r>
      <w:r>
        <w:rPr>
          <w:rFonts w:hint="eastAsia" w:ascii="仿宋" w:hAnsi="仿宋" w:eastAsia="仿宋" w:cs="仿宋"/>
          <w:sz w:val="32"/>
          <w:szCs w:val="32"/>
          <w:lang w:val="en-US" w:eastAsia="zh-CN"/>
        </w:rPr>
        <w:t>8</w:t>
      </w:r>
      <w:r>
        <w:rPr>
          <w:rFonts w:hint="eastAsia" w:ascii="仿宋" w:hAnsi="仿宋" w:eastAsia="仿宋" w:cs="仿宋"/>
          <w:sz w:val="32"/>
          <w:szCs w:val="32"/>
        </w:rPr>
        <w:t>年财政收入</w:t>
      </w:r>
      <w:r>
        <w:rPr>
          <w:rFonts w:hint="eastAsia" w:ascii="仿宋_GB2312" w:hAnsi="仿宋" w:eastAsia="仿宋_GB2312"/>
          <w:sz w:val="32"/>
          <w:szCs w:val="32"/>
        </w:rPr>
        <w:t>1，421.09</w:t>
      </w:r>
      <w:r>
        <w:rPr>
          <w:rFonts w:hint="eastAsia" w:ascii="仿宋" w:hAnsi="仿宋" w:eastAsia="仿宋" w:cs="仿宋"/>
          <w:sz w:val="32"/>
          <w:szCs w:val="32"/>
        </w:rPr>
        <w:t>万元。比上年</w:t>
      </w:r>
      <w:r>
        <w:rPr>
          <w:rFonts w:hint="eastAsia" w:ascii="仿宋" w:hAnsi="仿宋" w:eastAsia="仿宋" w:cs="仿宋"/>
          <w:sz w:val="32"/>
          <w:szCs w:val="32"/>
          <w:lang w:val="en-US" w:eastAsia="zh-CN"/>
        </w:rPr>
        <w:t>减少480.49</w:t>
      </w:r>
      <w:r>
        <w:rPr>
          <w:rFonts w:hint="eastAsia" w:ascii="仿宋" w:hAnsi="仿宋" w:eastAsia="仿宋" w:cs="仿宋"/>
          <w:sz w:val="32"/>
          <w:szCs w:val="32"/>
        </w:rPr>
        <w:t>万元。原因：</w:t>
      </w:r>
      <w:r>
        <w:rPr>
          <w:rFonts w:hint="eastAsia" w:ascii="仿宋" w:hAnsi="仿宋" w:eastAsia="仿宋" w:cs="仿宋"/>
          <w:sz w:val="32"/>
          <w:szCs w:val="32"/>
          <w:lang w:val="en-US" w:eastAsia="zh-CN"/>
        </w:rPr>
        <w:t>项目支出比上年减少490.95万元，基本支出比上年增加10.46万元。</w:t>
      </w:r>
    </w:p>
    <w:p>
      <w:pPr>
        <w:widowControl/>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r>
        <w:rPr>
          <w:rFonts w:hint="eastAsia" w:ascii="仿宋_GB2312" w:hAnsi="仿宋" w:eastAsia="仿宋_GB2312"/>
          <w:szCs w:val="32"/>
        </w:rPr>
        <w:t>2019</w:t>
      </w:r>
      <w:r>
        <w:rPr>
          <w:rFonts w:hint="eastAsia" w:ascii="仿宋_GB2312" w:hAnsi="仿宋" w:eastAsia="仿宋_GB2312"/>
          <w:szCs w:val="32"/>
          <w:lang w:val="en-US" w:eastAsia="zh-CN"/>
        </w:rPr>
        <w:t>年</w:t>
      </w:r>
      <w:r>
        <w:rPr>
          <w:rFonts w:hint="eastAsia" w:ascii="仿宋_GB2312" w:hAnsi="仿宋" w:eastAsia="仿宋_GB2312"/>
          <w:szCs w:val="32"/>
        </w:rPr>
        <w:t>度</w:t>
      </w:r>
      <w:r>
        <w:rPr>
          <w:rFonts w:hint="eastAsia" w:ascii="仿宋_GB2312" w:hAnsi="仿宋" w:eastAsia="仿宋_GB2312"/>
          <w:szCs w:val="32"/>
          <w:lang w:val="en-US" w:eastAsia="zh-CN"/>
        </w:rPr>
        <w:t>财政</w:t>
      </w:r>
      <w:r>
        <w:rPr>
          <w:rFonts w:hint="eastAsia" w:ascii="仿宋_GB2312" w:hAnsi="仿宋" w:eastAsia="仿宋_GB2312"/>
          <w:szCs w:val="32"/>
        </w:rPr>
        <w:t>支出</w:t>
      </w:r>
      <w:r>
        <w:rPr>
          <w:rFonts w:hint="eastAsia" w:ascii="仿宋_GB2312" w:hAnsi="仿宋" w:eastAsia="仿宋_GB2312"/>
          <w:szCs w:val="32"/>
          <w:lang w:val="en-US" w:eastAsia="zh-CN"/>
        </w:rPr>
        <w:t>940.60万元，2018年财政支出1，421.09万元。</w:t>
      </w:r>
      <w:r>
        <w:rPr>
          <w:rFonts w:hint="eastAsia" w:ascii="仿宋" w:hAnsi="仿宋" w:eastAsia="仿宋" w:cs="仿宋"/>
          <w:sz w:val="32"/>
          <w:szCs w:val="32"/>
        </w:rPr>
        <w:t>比上年</w:t>
      </w:r>
      <w:r>
        <w:rPr>
          <w:rFonts w:hint="eastAsia" w:ascii="仿宋" w:hAnsi="仿宋" w:eastAsia="仿宋" w:cs="仿宋"/>
          <w:sz w:val="32"/>
          <w:szCs w:val="32"/>
          <w:lang w:val="en-US" w:eastAsia="zh-CN"/>
        </w:rPr>
        <w:t>减少480.49</w:t>
      </w:r>
      <w:r>
        <w:rPr>
          <w:rFonts w:hint="eastAsia" w:ascii="仿宋" w:hAnsi="仿宋" w:eastAsia="仿宋" w:cs="仿宋"/>
          <w:sz w:val="32"/>
          <w:szCs w:val="32"/>
        </w:rPr>
        <w:t>万元。原因：</w:t>
      </w:r>
      <w:r>
        <w:rPr>
          <w:rFonts w:hint="eastAsia" w:ascii="仿宋" w:hAnsi="仿宋" w:eastAsia="仿宋" w:cs="仿宋"/>
          <w:sz w:val="32"/>
          <w:szCs w:val="32"/>
          <w:lang w:val="en-US" w:eastAsia="zh-CN"/>
        </w:rPr>
        <w:t>项目支出比上年减少490.95万元，基本支出比上年增加10.46万元。</w:t>
      </w:r>
    </w:p>
    <w:p>
      <w:pPr>
        <w:widowControl/>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drawing>
          <wp:inline distT="0" distB="0" distL="114300" distR="114300">
            <wp:extent cx="5080000" cy="3810000"/>
            <wp:effectExtent l="4445" t="4445" r="20955" b="1460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pPr>
        <w:widowControl/>
        <w:numPr>
          <w:ilvl w:val="0"/>
          <w:numId w:val="3"/>
        </w:numPr>
        <w:ind w:firstLine="640" w:firstLineChars="200"/>
        <w:jc w:val="left"/>
        <w:rPr>
          <w:rFonts w:hint="eastAsia" w:ascii="黑体" w:hAnsi="黑体" w:eastAsia="黑体"/>
          <w:color w:val="000000"/>
          <w:kern w:val="0"/>
          <w:szCs w:val="32"/>
        </w:rPr>
      </w:pPr>
      <w:r>
        <w:rPr>
          <w:rFonts w:hint="eastAsia" w:ascii="黑体" w:hAnsi="黑体" w:eastAsia="黑体"/>
          <w:color w:val="000000"/>
          <w:kern w:val="0"/>
          <w:szCs w:val="32"/>
        </w:rPr>
        <w:t>收入决算情况说明</w:t>
      </w:r>
    </w:p>
    <w:p>
      <w:pPr>
        <w:widowControl/>
        <w:numPr>
          <w:ilvl w:val="0"/>
          <w:numId w:val="0"/>
        </w:numPr>
        <w:ind w:firstLine="640" w:firstLineChars="200"/>
        <w:jc w:val="left"/>
        <w:rPr>
          <w:rFonts w:hint="eastAsia"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2019</w:t>
      </w:r>
      <w:r>
        <w:rPr>
          <w:rFonts w:ascii="仿宋_GB2312" w:hAnsi="宋体" w:eastAsia="仿宋_GB2312" w:cs="仿宋_GB2312"/>
          <w:color w:val="000000"/>
          <w:kern w:val="0"/>
          <w:szCs w:val="32"/>
        </w:rPr>
        <w:t>年</w:t>
      </w:r>
      <w:r>
        <w:rPr>
          <w:rFonts w:hint="eastAsia" w:ascii="仿宋_GB2312" w:hAnsi="仿宋" w:eastAsia="仿宋_GB2312"/>
          <w:szCs w:val="32"/>
        </w:rPr>
        <w:t>度</w:t>
      </w:r>
      <w:r>
        <w:rPr>
          <w:rFonts w:ascii="仿宋_GB2312" w:hAnsi="宋体" w:eastAsia="仿宋_GB2312" w:cs="仿宋_GB2312"/>
          <w:color w:val="000000"/>
          <w:kern w:val="0"/>
          <w:szCs w:val="32"/>
        </w:rPr>
        <w:t>收入合计</w:t>
      </w:r>
      <w:r>
        <w:rPr>
          <w:rFonts w:hint="eastAsia" w:ascii="仿宋_GB2312" w:hAnsi="宋体" w:eastAsia="仿宋_GB2312" w:cs="仿宋_GB2312"/>
          <w:color w:val="000000"/>
          <w:kern w:val="0"/>
          <w:szCs w:val="32"/>
          <w:lang w:val="en-US" w:eastAsia="zh-CN"/>
        </w:rPr>
        <w:t>940.60</w:t>
      </w:r>
      <w:r>
        <w:rPr>
          <w:rFonts w:ascii="仿宋_GB2312" w:hAnsi="宋体" w:eastAsia="仿宋_GB2312" w:cs="仿宋_GB2312"/>
          <w:color w:val="000000"/>
          <w:kern w:val="0"/>
          <w:szCs w:val="32"/>
        </w:rPr>
        <w:t>万元，其中：财政拨款收入</w:t>
      </w:r>
      <w:r>
        <w:rPr>
          <w:rFonts w:hint="eastAsia" w:ascii="仿宋_GB2312" w:hAnsi="宋体" w:eastAsia="仿宋_GB2312" w:cs="仿宋_GB2312"/>
          <w:color w:val="000000"/>
          <w:kern w:val="0"/>
          <w:szCs w:val="32"/>
          <w:lang w:val="en-US" w:eastAsia="zh-CN"/>
        </w:rPr>
        <w:t>940.60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100</w:t>
      </w:r>
      <w:r>
        <w:rPr>
          <w:rFonts w:ascii="仿宋_GB2312" w:hAnsi="宋体" w:eastAsia="仿宋_GB2312" w:cs="仿宋_GB2312"/>
          <w:color w:val="000000"/>
          <w:kern w:val="0"/>
          <w:szCs w:val="32"/>
        </w:rPr>
        <w:t>%；事业收入</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%；经营收入</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%；其他收入</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p>
    <w:p>
      <w:pPr>
        <w:widowControl/>
        <w:numPr>
          <w:ilvl w:val="0"/>
          <w:numId w:val="0"/>
        </w:numPr>
        <w:ind w:firstLine="640" w:firstLineChars="200"/>
        <w:jc w:val="left"/>
        <w:rPr>
          <w:rFonts w:hint="eastAsia" w:ascii="仿宋_GB2312" w:hAnsi="宋体" w:eastAsia="仿宋_GB2312" w:cs="仿宋_GB2312"/>
          <w:color w:val="000000"/>
          <w:kern w:val="0"/>
          <w:szCs w:val="32"/>
          <w:lang w:eastAsia="zh-CN"/>
        </w:rPr>
      </w:pPr>
      <w:r>
        <w:rPr>
          <w:rFonts w:hint="eastAsia" w:ascii="仿宋_GB2312" w:hAnsi="宋体" w:eastAsia="仿宋_GB2312" w:cs="仿宋_GB2312"/>
          <w:color w:val="000000"/>
          <w:kern w:val="0"/>
          <w:szCs w:val="32"/>
          <w:lang w:eastAsia="zh-CN"/>
        </w:rPr>
        <w:drawing>
          <wp:inline distT="0" distB="0" distL="114300" distR="114300">
            <wp:extent cx="5080000" cy="3810000"/>
            <wp:effectExtent l="4445" t="4445" r="20955" b="14605"/>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widowControl/>
        <w:ind w:firstLine="640" w:firstLineChars="200"/>
        <w:jc w:val="left"/>
        <w:rPr>
          <w:rFonts w:ascii="黑体" w:hAnsi="黑体" w:eastAsia="黑体"/>
        </w:rPr>
      </w:pPr>
      <w:r>
        <w:rPr>
          <w:rFonts w:hint="eastAsia" w:ascii="黑体" w:hAnsi="黑体" w:eastAsia="黑体"/>
          <w:color w:val="000000"/>
          <w:kern w:val="0"/>
          <w:szCs w:val="32"/>
        </w:rPr>
        <w:t>三、支出决算情况说明</w:t>
      </w:r>
    </w:p>
    <w:p>
      <w:pPr>
        <w:widowControl/>
        <w:ind w:firstLine="640" w:firstLineChars="2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2019</w:t>
      </w:r>
      <w:r>
        <w:rPr>
          <w:rFonts w:ascii="仿宋_GB2312" w:hAnsi="宋体" w:eastAsia="仿宋_GB2312" w:cs="仿宋_GB2312"/>
          <w:color w:val="000000"/>
          <w:kern w:val="0"/>
          <w:szCs w:val="32"/>
        </w:rPr>
        <w:t>年</w:t>
      </w:r>
      <w:r>
        <w:rPr>
          <w:rFonts w:hint="eastAsia" w:ascii="仿宋_GB2312" w:hAnsi="仿宋" w:eastAsia="仿宋_GB2312"/>
          <w:szCs w:val="32"/>
        </w:rPr>
        <w:t>度</w:t>
      </w:r>
      <w:r>
        <w:rPr>
          <w:rFonts w:ascii="仿宋_GB2312" w:hAnsi="宋体" w:eastAsia="仿宋_GB2312" w:cs="仿宋_GB2312"/>
          <w:color w:val="000000"/>
          <w:kern w:val="0"/>
          <w:szCs w:val="32"/>
        </w:rPr>
        <w:t>支出合计</w:t>
      </w:r>
      <w:r>
        <w:rPr>
          <w:rFonts w:hint="eastAsia" w:ascii="仿宋_GB2312" w:hAnsi="宋体" w:eastAsia="仿宋_GB2312" w:cs="仿宋_GB2312"/>
          <w:color w:val="000000"/>
          <w:kern w:val="0"/>
          <w:szCs w:val="32"/>
          <w:lang w:val="en-US" w:eastAsia="zh-CN"/>
        </w:rPr>
        <w:t>940.60</w:t>
      </w:r>
      <w:r>
        <w:rPr>
          <w:rFonts w:ascii="仿宋_GB2312" w:hAnsi="宋体" w:eastAsia="仿宋_GB2312" w:cs="仿宋_GB2312"/>
          <w:color w:val="000000"/>
          <w:kern w:val="0"/>
          <w:szCs w:val="32"/>
        </w:rPr>
        <w:t>万元，其中：基本支出</w:t>
      </w:r>
      <w:r>
        <w:rPr>
          <w:rFonts w:hint="eastAsia" w:ascii="仿宋_GB2312" w:hAnsi="宋体" w:eastAsia="仿宋_GB2312" w:cs="仿宋_GB2312"/>
          <w:color w:val="000000"/>
          <w:kern w:val="0"/>
          <w:szCs w:val="32"/>
          <w:lang w:val="en-US" w:eastAsia="zh-CN"/>
        </w:rPr>
        <w:t>37.79</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4.02</w:t>
      </w:r>
      <w:r>
        <w:rPr>
          <w:rFonts w:ascii="仿宋_GB2312" w:hAnsi="宋体" w:eastAsia="仿宋_GB2312" w:cs="仿宋_GB2312"/>
          <w:color w:val="000000"/>
          <w:kern w:val="0"/>
          <w:szCs w:val="32"/>
        </w:rPr>
        <w:t>%；项目支出</w:t>
      </w:r>
      <w:r>
        <w:rPr>
          <w:rFonts w:hint="eastAsia" w:ascii="仿宋_GB2312" w:hAnsi="宋体" w:eastAsia="仿宋_GB2312" w:cs="仿宋_GB2312"/>
          <w:color w:val="000000"/>
          <w:kern w:val="0"/>
          <w:szCs w:val="32"/>
          <w:lang w:val="en-US" w:eastAsia="zh-CN"/>
        </w:rPr>
        <w:t>902.81</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95.98</w:t>
      </w:r>
      <w:r>
        <w:rPr>
          <w:rFonts w:ascii="仿宋_GB2312" w:hAnsi="宋体" w:eastAsia="仿宋_GB2312" w:cs="仿宋_GB2312"/>
          <w:color w:val="000000"/>
          <w:kern w:val="0"/>
          <w:szCs w:val="32"/>
        </w:rPr>
        <w:t>%；经营支出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w:t>
      </w:r>
    </w:p>
    <w:p>
      <w:pPr>
        <w:widowControl/>
        <w:ind w:firstLine="640" w:firstLineChars="200"/>
        <w:jc w:val="left"/>
        <w:rPr>
          <w:rFonts w:hint="eastAsia" w:ascii="仿宋_GB2312" w:hAnsi="宋体" w:eastAsia="仿宋_GB2312" w:cs="仿宋_GB2312"/>
          <w:color w:val="000000"/>
          <w:kern w:val="0"/>
          <w:szCs w:val="32"/>
          <w:lang w:eastAsia="zh-CN"/>
        </w:rPr>
      </w:pPr>
      <w:r>
        <w:rPr>
          <w:rFonts w:hint="eastAsia" w:ascii="仿宋_GB2312" w:hAnsi="宋体" w:eastAsia="仿宋_GB2312" w:cs="仿宋_GB2312"/>
          <w:color w:val="000000"/>
          <w:kern w:val="0"/>
          <w:szCs w:val="32"/>
          <w:lang w:eastAsia="zh-CN"/>
        </w:rPr>
        <w:drawing>
          <wp:inline distT="0" distB="0" distL="114300" distR="114300">
            <wp:extent cx="5080000" cy="3810000"/>
            <wp:effectExtent l="4445" t="4445" r="20955" b="14605"/>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widowControl/>
        <w:numPr>
          <w:ilvl w:val="0"/>
          <w:numId w:val="3"/>
        </w:numPr>
        <w:ind w:left="0" w:leftChars="0" w:firstLine="640" w:firstLineChars="200"/>
        <w:jc w:val="left"/>
        <w:rPr>
          <w:rFonts w:hint="eastAsia" w:ascii="黑体" w:hAnsi="黑体" w:eastAsia="黑体"/>
          <w:color w:val="000000"/>
          <w:kern w:val="0"/>
          <w:szCs w:val="32"/>
        </w:rPr>
      </w:pPr>
      <w:r>
        <w:rPr>
          <w:rFonts w:hint="eastAsia" w:ascii="黑体" w:hAnsi="黑体" w:eastAsia="黑体"/>
          <w:color w:val="000000"/>
          <w:kern w:val="0"/>
          <w:szCs w:val="32"/>
        </w:rPr>
        <w:t>财政拨款收入支出决算总体情况说明</w:t>
      </w:r>
    </w:p>
    <w:p>
      <w:pPr>
        <w:widowControl/>
        <w:ind w:firstLine="640" w:firstLineChars="200"/>
        <w:jc w:val="left"/>
        <w:rPr>
          <w:rFonts w:hint="eastAsia" w:ascii="仿宋" w:hAnsi="仿宋" w:eastAsia="仿宋" w:cs="仿宋"/>
          <w:sz w:val="32"/>
          <w:szCs w:val="32"/>
          <w:lang w:val="en-US" w:eastAsia="zh-CN"/>
        </w:rPr>
      </w:pPr>
      <w:r>
        <w:rPr>
          <w:rFonts w:hint="eastAsia" w:ascii="仿宋_GB2312" w:hAnsi="仿宋" w:eastAsia="仿宋_GB2312"/>
          <w:sz w:val="32"/>
          <w:szCs w:val="32"/>
        </w:rPr>
        <w:t>201</w:t>
      </w:r>
      <w:r>
        <w:rPr>
          <w:rFonts w:hint="eastAsia" w:ascii="仿宋_GB2312" w:hAnsi="仿宋" w:eastAsia="仿宋_GB2312"/>
          <w:sz w:val="32"/>
          <w:szCs w:val="32"/>
          <w:lang w:val="en-US" w:eastAsia="zh-CN"/>
        </w:rPr>
        <w:t>9</w:t>
      </w:r>
      <w:r>
        <w:rPr>
          <w:rFonts w:hint="eastAsia" w:ascii="仿宋_GB2312" w:hAnsi="仿宋" w:eastAsia="仿宋_GB2312"/>
          <w:sz w:val="32"/>
          <w:szCs w:val="32"/>
        </w:rPr>
        <w:t>年度</w:t>
      </w:r>
      <w:r>
        <w:rPr>
          <w:rFonts w:hint="eastAsia" w:ascii="仿宋_GB2312" w:hAnsi="仿宋" w:eastAsia="仿宋_GB2312"/>
          <w:sz w:val="32"/>
          <w:szCs w:val="32"/>
          <w:lang w:val="en-US" w:eastAsia="zh-CN"/>
        </w:rPr>
        <w:t>财政</w:t>
      </w:r>
      <w:r>
        <w:rPr>
          <w:rFonts w:ascii="仿宋_GB2312" w:hAnsi="宋体" w:eastAsia="仿宋_GB2312" w:cs="仿宋_GB2312"/>
          <w:color w:val="000000"/>
          <w:kern w:val="0"/>
          <w:szCs w:val="32"/>
        </w:rPr>
        <w:t>拨款</w:t>
      </w:r>
      <w:r>
        <w:rPr>
          <w:rFonts w:hint="eastAsia" w:ascii="仿宋_GB2312" w:hAnsi="仿宋" w:eastAsia="仿宋_GB2312"/>
          <w:sz w:val="32"/>
          <w:szCs w:val="32"/>
        </w:rPr>
        <w:t>收入</w:t>
      </w:r>
      <w:r>
        <w:rPr>
          <w:rFonts w:hint="eastAsia" w:ascii="仿宋_GB2312" w:hAnsi="仿宋" w:eastAsia="仿宋_GB2312"/>
          <w:sz w:val="32"/>
          <w:szCs w:val="32"/>
          <w:lang w:val="en-US" w:eastAsia="zh-CN"/>
        </w:rPr>
        <w:t>940.60</w:t>
      </w:r>
      <w:r>
        <w:rPr>
          <w:rFonts w:hint="eastAsia" w:ascii="仿宋_GB2312" w:hAnsi="仿宋" w:eastAsia="仿宋_GB2312"/>
          <w:sz w:val="32"/>
          <w:szCs w:val="32"/>
        </w:rPr>
        <w:t>万元，</w:t>
      </w:r>
      <w:r>
        <w:rPr>
          <w:rFonts w:hint="eastAsia" w:ascii="仿宋" w:hAnsi="仿宋" w:eastAsia="仿宋" w:cs="仿宋"/>
          <w:sz w:val="32"/>
          <w:szCs w:val="32"/>
        </w:rPr>
        <w:t>201</w:t>
      </w:r>
      <w:r>
        <w:rPr>
          <w:rFonts w:hint="eastAsia" w:ascii="仿宋" w:hAnsi="仿宋" w:eastAsia="仿宋" w:cs="仿宋"/>
          <w:sz w:val="32"/>
          <w:szCs w:val="32"/>
          <w:lang w:val="en-US" w:eastAsia="zh-CN"/>
        </w:rPr>
        <w:t>8</w:t>
      </w:r>
      <w:r>
        <w:rPr>
          <w:rFonts w:hint="eastAsia" w:ascii="仿宋" w:hAnsi="仿宋" w:eastAsia="仿宋" w:cs="仿宋"/>
          <w:sz w:val="32"/>
          <w:szCs w:val="32"/>
        </w:rPr>
        <w:t>年财政收入</w:t>
      </w:r>
      <w:r>
        <w:rPr>
          <w:rFonts w:hint="eastAsia" w:ascii="仿宋_GB2312" w:hAnsi="仿宋" w:eastAsia="仿宋_GB2312"/>
          <w:sz w:val="32"/>
          <w:szCs w:val="32"/>
        </w:rPr>
        <w:t>1，421.09</w:t>
      </w:r>
      <w:r>
        <w:rPr>
          <w:rFonts w:hint="eastAsia" w:ascii="仿宋" w:hAnsi="仿宋" w:eastAsia="仿宋" w:cs="仿宋"/>
          <w:sz w:val="32"/>
          <w:szCs w:val="32"/>
        </w:rPr>
        <w:t>万元。比上年</w:t>
      </w:r>
      <w:r>
        <w:rPr>
          <w:rFonts w:hint="eastAsia" w:ascii="仿宋" w:hAnsi="仿宋" w:eastAsia="仿宋" w:cs="仿宋"/>
          <w:sz w:val="32"/>
          <w:szCs w:val="32"/>
          <w:lang w:val="en-US" w:eastAsia="zh-CN"/>
        </w:rPr>
        <w:t>减少480.49</w:t>
      </w:r>
      <w:r>
        <w:rPr>
          <w:rFonts w:hint="eastAsia" w:ascii="仿宋" w:hAnsi="仿宋" w:eastAsia="仿宋" w:cs="仿宋"/>
          <w:sz w:val="32"/>
          <w:szCs w:val="32"/>
        </w:rPr>
        <w:t>万元。原因：</w:t>
      </w:r>
      <w:r>
        <w:rPr>
          <w:rFonts w:hint="eastAsia" w:ascii="仿宋" w:hAnsi="仿宋" w:eastAsia="仿宋" w:cs="仿宋"/>
          <w:sz w:val="32"/>
          <w:szCs w:val="32"/>
          <w:lang w:val="en-US" w:eastAsia="zh-CN"/>
        </w:rPr>
        <w:t>项目支出比上年减少490.95万元，基本支出比上年增加10.46万元。</w:t>
      </w:r>
    </w:p>
    <w:p>
      <w:pPr>
        <w:widowControl/>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r>
        <w:rPr>
          <w:rFonts w:hint="eastAsia" w:ascii="仿宋_GB2312" w:hAnsi="仿宋" w:eastAsia="仿宋_GB2312"/>
          <w:szCs w:val="32"/>
        </w:rPr>
        <w:t>2019</w:t>
      </w:r>
      <w:r>
        <w:rPr>
          <w:rFonts w:hint="eastAsia" w:ascii="仿宋_GB2312" w:hAnsi="仿宋" w:eastAsia="仿宋_GB2312"/>
          <w:szCs w:val="32"/>
          <w:lang w:val="en-US" w:eastAsia="zh-CN"/>
        </w:rPr>
        <w:t>年</w:t>
      </w:r>
      <w:r>
        <w:rPr>
          <w:rFonts w:hint="eastAsia" w:ascii="仿宋_GB2312" w:hAnsi="仿宋" w:eastAsia="仿宋_GB2312"/>
          <w:szCs w:val="32"/>
        </w:rPr>
        <w:t>度</w:t>
      </w:r>
      <w:r>
        <w:rPr>
          <w:rFonts w:hint="eastAsia" w:ascii="仿宋_GB2312" w:hAnsi="仿宋" w:eastAsia="仿宋_GB2312"/>
          <w:szCs w:val="32"/>
          <w:lang w:val="en-US" w:eastAsia="zh-CN"/>
        </w:rPr>
        <w:t>部门</w:t>
      </w:r>
      <w:r>
        <w:rPr>
          <w:rFonts w:hint="eastAsia" w:ascii="仿宋_GB2312" w:hAnsi="仿宋" w:eastAsia="仿宋_GB2312"/>
          <w:szCs w:val="32"/>
        </w:rPr>
        <w:t>支出</w:t>
      </w:r>
      <w:r>
        <w:rPr>
          <w:rFonts w:hint="eastAsia" w:ascii="仿宋_GB2312" w:hAnsi="仿宋" w:eastAsia="仿宋_GB2312"/>
          <w:szCs w:val="32"/>
          <w:lang w:val="en-US" w:eastAsia="zh-CN"/>
        </w:rPr>
        <w:t>940.60万元，2018年部门支出1，421.09万元。</w:t>
      </w:r>
      <w:r>
        <w:rPr>
          <w:rFonts w:hint="eastAsia" w:ascii="仿宋" w:hAnsi="仿宋" w:eastAsia="仿宋" w:cs="仿宋"/>
          <w:sz w:val="32"/>
          <w:szCs w:val="32"/>
        </w:rPr>
        <w:t>比上年</w:t>
      </w:r>
      <w:r>
        <w:rPr>
          <w:rFonts w:hint="eastAsia" w:ascii="仿宋" w:hAnsi="仿宋" w:eastAsia="仿宋" w:cs="仿宋"/>
          <w:sz w:val="32"/>
          <w:szCs w:val="32"/>
          <w:lang w:val="en-US" w:eastAsia="zh-CN"/>
        </w:rPr>
        <w:t>减少480.49</w:t>
      </w:r>
      <w:r>
        <w:rPr>
          <w:rFonts w:hint="eastAsia" w:ascii="仿宋" w:hAnsi="仿宋" w:eastAsia="仿宋" w:cs="仿宋"/>
          <w:sz w:val="32"/>
          <w:szCs w:val="32"/>
        </w:rPr>
        <w:t>万元。原因：</w:t>
      </w:r>
      <w:r>
        <w:rPr>
          <w:rFonts w:hint="eastAsia" w:ascii="仿宋" w:hAnsi="仿宋" w:eastAsia="仿宋" w:cs="仿宋"/>
          <w:sz w:val="32"/>
          <w:szCs w:val="32"/>
          <w:lang w:val="en-US" w:eastAsia="zh-CN"/>
        </w:rPr>
        <w:t>项目支出比上年减少490.95万元，基本支出比上年增加10.46万元。</w:t>
      </w:r>
    </w:p>
    <w:p>
      <w:pPr>
        <w:widowControl/>
        <w:numPr>
          <w:ilvl w:val="0"/>
          <w:numId w:val="0"/>
        </w:numPr>
        <w:ind w:leftChars="200"/>
        <w:jc w:val="left"/>
        <w:rPr>
          <w:rFonts w:hint="eastAsia" w:ascii="黑体" w:hAnsi="黑体" w:eastAsia="黑体"/>
          <w:color w:val="000000"/>
          <w:kern w:val="0"/>
          <w:szCs w:val="32"/>
        </w:rPr>
      </w:pPr>
      <w:r>
        <w:rPr>
          <w:rFonts w:hint="eastAsia" w:ascii="仿宋" w:hAnsi="仿宋" w:eastAsia="仿宋" w:cs="仿宋"/>
          <w:sz w:val="32"/>
          <w:szCs w:val="32"/>
          <w:lang w:val="en-US" w:eastAsia="zh-CN"/>
        </w:rPr>
        <w:object>
          <v:shape id="_x0000_i1025" o:spt="75" type="#_x0000_t75" style="height:301.5pt;width:402pt;" o:ole="t" filled="f" stroked="f" coordsize="21600,21600" o:gfxdata="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">
            <v:path/>
            <v:fill on="f" focussize="0,0"/>
            <v:stroke on="f"/>
            <v:imagedata r:id="rId9" o:title=""/>
            <o:lock v:ext="edit" aspectratio="t"/>
            <w10:wrap type="none"/>
            <w10:anchorlock/>
          </v:shape>
          <o:OLEObject Type="Embed" ProgID="excel.sheet.8" ShapeID="_x0000_i1025" DrawAspect="Content" ObjectID="_1468075725" r:id="rId8">
            <o:LockedField>false</o:LockedField>
          </o:OLEObject>
        </w:object>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五、一般公共预算财政拨款支出决算情况说明</w:t>
      </w:r>
    </w:p>
    <w:p>
      <w:pPr>
        <w:widowControl/>
        <w:ind w:firstLine="643" w:firstLineChars="200"/>
        <w:jc w:val="left"/>
        <w:rPr>
          <w:rFonts w:ascii="楷体_GB2312" w:hAnsi="宋体" w:eastAsia="楷体_GB2312" w:cs="楷体_GB2312"/>
          <w:b/>
          <w:color w:val="000000"/>
          <w:kern w:val="0"/>
          <w:szCs w:val="32"/>
        </w:rPr>
      </w:pPr>
      <w:r>
        <w:rPr>
          <w:rFonts w:ascii="楷体_GB2312" w:hAnsi="宋体" w:eastAsia="楷体_GB2312" w:cs="楷体_GB2312"/>
          <w:b/>
          <w:color w:val="000000"/>
          <w:kern w:val="0"/>
          <w:szCs w:val="32"/>
        </w:rPr>
        <w:t>（一）财政拨款支出决算总体情况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ind w:firstLine="640" w:firstLineChars="200"/>
        <w:rPr>
          <w:rFonts w:hint="eastAsia" w:ascii="仿宋_GB2312" w:hAnsi="宋体" w:eastAsia="仿宋_GB2312" w:cs="仿宋_GB2312"/>
          <w:color w:val="000000"/>
          <w:kern w:val="0"/>
          <w:szCs w:val="32"/>
        </w:rPr>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财政拨款支出</w:t>
      </w:r>
      <w:r>
        <w:rPr>
          <w:rFonts w:hint="eastAsia" w:ascii="仿宋_GB2312" w:hAnsi="宋体" w:eastAsia="仿宋_GB2312" w:cs="仿宋_GB2312"/>
          <w:color w:val="000000"/>
          <w:kern w:val="0"/>
          <w:szCs w:val="32"/>
          <w:lang w:val="en-US" w:eastAsia="zh-CN"/>
        </w:rPr>
        <w:t>931.81</w:t>
      </w:r>
      <w:r>
        <w:rPr>
          <w:rFonts w:ascii="仿宋_GB2312" w:hAnsi="宋体" w:eastAsia="仿宋_GB2312" w:cs="仿宋_GB2312"/>
          <w:color w:val="000000"/>
          <w:kern w:val="0"/>
          <w:szCs w:val="32"/>
        </w:rPr>
        <w:t>万元，占本年支出合计的</w:t>
      </w:r>
      <w:r>
        <w:rPr>
          <w:rFonts w:hint="eastAsia" w:ascii="仿宋_GB2312" w:hAnsi="宋体" w:eastAsia="仿宋_GB2312" w:cs="仿宋_GB2312"/>
          <w:color w:val="000000"/>
          <w:kern w:val="0"/>
          <w:szCs w:val="32"/>
          <w:lang w:val="en-US" w:eastAsia="zh-CN"/>
        </w:rPr>
        <w:t>99.06</w:t>
      </w:r>
      <w:r>
        <w:rPr>
          <w:rFonts w:ascii="仿宋_GB2312" w:hAnsi="宋体" w:eastAsia="仿宋_GB2312" w:cs="仿宋_GB2312"/>
          <w:color w:val="000000"/>
          <w:kern w:val="0"/>
          <w:szCs w:val="32"/>
        </w:rPr>
        <w:t>%。与</w:t>
      </w:r>
      <w:r>
        <w:rPr>
          <w:rFonts w:hint="eastAsia" w:ascii="仿宋_GB2312" w:hAnsi="宋体" w:eastAsia="仿宋_GB2312" w:cs="仿宋_GB2312"/>
          <w:color w:val="000000"/>
          <w:kern w:val="0"/>
          <w:szCs w:val="32"/>
        </w:rPr>
        <w:t>上年</w:t>
      </w:r>
      <w:r>
        <w:rPr>
          <w:rFonts w:ascii="仿宋_GB2312" w:hAnsi="宋体" w:eastAsia="仿宋_GB2312" w:cs="仿宋_GB2312"/>
          <w:color w:val="000000"/>
          <w:kern w:val="0"/>
          <w:szCs w:val="32"/>
        </w:rPr>
        <w:t>相比，财政拨款支出</w:t>
      </w:r>
      <w:r>
        <w:rPr>
          <w:rFonts w:hint="eastAsia" w:ascii="仿宋_GB2312" w:hAnsi="宋体" w:eastAsia="仿宋_GB2312" w:cs="仿宋_GB2312"/>
          <w:color w:val="000000"/>
          <w:kern w:val="0"/>
          <w:szCs w:val="32"/>
        </w:rPr>
        <w:t>减少</w:t>
      </w:r>
      <w:r>
        <w:rPr>
          <w:rFonts w:hint="eastAsia" w:ascii="仿宋_GB2312" w:hAnsi="宋体" w:eastAsia="仿宋_GB2312" w:cs="仿宋_GB2312"/>
          <w:color w:val="000000"/>
          <w:kern w:val="0"/>
          <w:szCs w:val="32"/>
          <w:lang w:val="en-US" w:eastAsia="zh-CN"/>
        </w:rPr>
        <w:t>489.28</w:t>
      </w:r>
      <w:r>
        <w:rPr>
          <w:rFonts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rPr>
        <w:t>减少</w:t>
      </w:r>
      <w:r>
        <w:rPr>
          <w:rFonts w:hint="eastAsia" w:ascii="仿宋_GB2312" w:hAnsi="宋体" w:eastAsia="仿宋_GB2312" w:cs="仿宋_GB2312"/>
          <w:color w:val="000000"/>
          <w:kern w:val="0"/>
          <w:szCs w:val="32"/>
          <w:lang w:val="en-US" w:eastAsia="zh-CN"/>
        </w:rPr>
        <w:t>34.42</w:t>
      </w:r>
      <w:r>
        <w:rPr>
          <w:rFonts w:ascii="仿宋_GB2312" w:hAnsi="宋体" w:eastAsia="仿宋_GB2312" w:cs="仿宋_GB2312"/>
          <w:color w:val="000000"/>
          <w:kern w:val="0"/>
          <w:szCs w:val="32"/>
        </w:rPr>
        <w:t>%，主要</w:t>
      </w:r>
      <w:r>
        <w:rPr>
          <w:rFonts w:hint="eastAsia" w:ascii="仿宋_GB2312" w:hAnsi="宋体" w:eastAsia="仿宋_GB2312" w:cs="仿宋_GB2312"/>
          <w:color w:val="000000"/>
          <w:kern w:val="0"/>
          <w:szCs w:val="32"/>
        </w:rPr>
        <w:t>原因是</w:t>
      </w:r>
      <w:r>
        <w:rPr>
          <w:rFonts w:hint="eastAsia" w:ascii="仿宋_GB2312" w:hAnsi="宋体" w:eastAsia="仿宋_GB2312" w:cs="仿宋_GB2312"/>
          <w:color w:val="000000"/>
          <w:kern w:val="0"/>
          <w:szCs w:val="32"/>
          <w:lang w:val="en-US" w:eastAsia="zh-CN"/>
        </w:rPr>
        <w:t>政府安排项目支出减少</w:t>
      </w:r>
      <w:r>
        <w:rPr>
          <w:rFonts w:hint="eastAsia" w:ascii="仿宋_GB2312" w:hAnsi="宋体" w:eastAsia="仿宋_GB2312" w:cs="仿宋_GB2312"/>
          <w:color w:val="000000"/>
          <w:kern w:val="0"/>
          <w:szCs w:val="32"/>
        </w:rPr>
        <w:t>。</w:t>
      </w:r>
    </w:p>
    <w:p>
      <w:pPr>
        <w:widowControl/>
        <w:ind w:firstLine="640" w:firstLineChars="200"/>
        <w:jc w:val="left"/>
        <w:rPr>
          <w:rFonts w:hint="eastAsia" w:ascii="楷体_GB2312" w:hAnsi="宋体" w:eastAsia="楷体_GB2312" w:cs="楷体_GB2312"/>
          <w:b w:val="0"/>
          <w:bCs/>
          <w:color w:val="000000"/>
          <w:kern w:val="0"/>
          <w:szCs w:val="32"/>
          <w:lang w:eastAsia="zh-CN"/>
        </w:rPr>
      </w:pPr>
      <w:r>
        <w:rPr>
          <w:rFonts w:hint="eastAsia" w:ascii="楷体_GB2312" w:hAnsi="宋体" w:eastAsia="楷体_GB2312" w:cs="楷体_GB2312"/>
          <w:b w:val="0"/>
          <w:bCs/>
          <w:color w:val="000000"/>
          <w:kern w:val="0"/>
          <w:szCs w:val="32"/>
          <w:lang w:eastAsia="zh-CN"/>
        </w:rPr>
        <w:drawing>
          <wp:inline distT="0" distB="0" distL="114300" distR="114300">
            <wp:extent cx="5080000" cy="3810000"/>
            <wp:effectExtent l="4445" t="4445" r="20955" b="14605"/>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w:t>
      </w:r>
      <w:r>
        <w:rPr>
          <w:rFonts w:ascii="楷体_GB2312" w:hAnsi="宋体" w:eastAsia="楷体_GB2312" w:cs="楷体_GB2312"/>
          <w:b/>
          <w:color w:val="000000"/>
          <w:kern w:val="0"/>
          <w:szCs w:val="32"/>
        </w:rPr>
        <w:t>财政拨款支出决算具体情况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ind w:firstLine="640" w:firstLineChars="200"/>
        <w:jc w:val="left"/>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财政拨款支出年初预算为</w:t>
      </w:r>
      <w:r>
        <w:rPr>
          <w:rFonts w:hint="eastAsia" w:ascii="仿宋_GB2312" w:hAnsi="宋体" w:eastAsia="仿宋_GB2312" w:cs="仿宋_GB2312"/>
          <w:color w:val="000000"/>
          <w:kern w:val="0"/>
          <w:szCs w:val="32"/>
          <w:lang w:val="en-US" w:eastAsia="zh-CN"/>
        </w:rPr>
        <w:t>39.97</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940.60</w:t>
      </w:r>
      <w:r>
        <w:rPr>
          <w:rFonts w:ascii="仿宋_GB2312" w:hAnsi="宋体" w:eastAsia="仿宋_GB2312" w:cs="仿宋_GB2312"/>
          <w:color w:val="000000"/>
          <w:kern w:val="0"/>
          <w:szCs w:val="32"/>
        </w:rPr>
        <w:t>万元，完成年初预算的</w:t>
      </w:r>
      <w:r>
        <w:rPr>
          <w:rFonts w:hint="eastAsia" w:ascii="仿宋_GB2312" w:hAnsi="宋体" w:eastAsia="仿宋_GB2312" w:cs="仿宋_GB2312"/>
          <w:color w:val="000000"/>
          <w:kern w:val="0"/>
          <w:szCs w:val="32"/>
          <w:lang w:val="en-US" w:eastAsia="zh-CN"/>
        </w:rPr>
        <w:t>2332</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按照政府功能分类科目，</w:t>
      </w:r>
      <w:r>
        <w:rPr>
          <w:rFonts w:ascii="仿宋_GB2312" w:hAnsi="宋体" w:eastAsia="仿宋_GB2312" w:cs="仿宋_GB2312"/>
          <w:color w:val="000000"/>
          <w:kern w:val="0"/>
          <w:szCs w:val="32"/>
        </w:rPr>
        <w:t xml:space="preserve">其中： </w:t>
      </w:r>
    </w:p>
    <w:p>
      <w:pPr>
        <w:widowControl/>
        <w:jc w:val="left"/>
      </w:pPr>
      <w:r>
        <w:rPr>
          <w:rFonts w:ascii="仿宋_GB2312" w:hAnsi="宋体" w:eastAsia="仿宋_GB2312" w:cs="仿宋_GB2312"/>
          <w:b/>
          <w:color w:val="000000"/>
          <w:kern w:val="0"/>
          <w:szCs w:val="32"/>
        </w:rPr>
        <w:t>1.一般公共服务支出（类）</w:t>
      </w:r>
      <w:r>
        <w:rPr>
          <w:rFonts w:hint="eastAsia" w:ascii="仿宋_GB2312" w:hAnsi="宋体" w:eastAsia="仿宋_GB2312" w:cs="仿宋_GB2312"/>
          <w:b/>
          <w:color w:val="000000"/>
          <w:kern w:val="0"/>
          <w:szCs w:val="32"/>
          <w:lang w:val="en-US" w:eastAsia="zh-CN"/>
        </w:rPr>
        <w:t>政府办公厅</w:t>
      </w:r>
      <w:r>
        <w:rPr>
          <w:rFonts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lang w:val="en-US" w:eastAsia="zh-CN"/>
        </w:rPr>
        <w:t>事业</w:t>
      </w:r>
      <w:r>
        <w:rPr>
          <w:rFonts w:ascii="仿宋_GB2312" w:hAnsi="宋体" w:eastAsia="仿宋_GB2312" w:cs="仿宋_GB2312"/>
          <w:b/>
          <w:color w:val="000000"/>
          <w:kern w:val="0"/>
          <w:szCs w:val="32"/>
        </w:rPr>
        <w:t xml:space="preserve">运行（项）。 </w:t>
      </w:r>
    </w:p>
    <w:p>
      <w:pPr>
        <w:widowControl/>
        <w:ind w:firstLine="640" w:firstLineChars="200"/>
        <w:jc w:val="left"/>
        <w:rPr>
          <w:rFonts w:hint="eastAsia" w:ascii="仿宋_GB2312" w:hAnsi="宋体" w:eastAsia="仿宋_GB2312" w:cs="仿宋_GB2312"/>
          <w:color w:val="000000"/>
          <w:kern w:val="0"/>
          <w:szCs w:val="32"/>
          <w:lang w:val="en-US" w:eastAsia="zh-CN"/>
        </w:rPr>
      </w:pP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lang w:val="en-US" w:eastAsia="zh-CN"/>
        </w:rPr>
        <w:t>39.97</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37.79</w:t>
      </w:r>
      <w:r>
        <w:rPr>
          <w:rFonts w:ascii="仿宋_GB2312" w:hAnsi="宋体" w:eastAsia="仿宋_GB2312" w:cs="仿宋_GB2312"/>
          <w:color w:val="000000"/>
          <w:kern w:val="0"/>
          <w:szCs w:val="32"/>
        </w:rPr>
        <w:t>万元，完成年初预算的</w:t>
      </w:r>
      <w:r>
        <w:rPr>
          <w:rFonts w:hint="eastAsia" w:ascii="仿宋_GB2312" w:hAnsi="宋体" w:eastAsia="仿宋_GB2312" w:cs="仿宋_GB2312"/>
          <w:color w:val="000000"/>
          <w:kern w:val="0"/>
          <w:szCs w:val="32"/>
          <w:lang w:val="en-US" w:eastAsia="zh-CN"/>
        </w:rPr>
        <w:t>94.54</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小于</w:t>
      </w:r>
      <w:r>
        <w:rPr>
          <w:rFonts w:ascii="仿宋_GB2312" w:hAnsi="宋体" w:eastAsia="仿宋_GB2312" w:cs="仿宋_GB2312"/>
          <w:color w:val="000000"/>
          <w:kern w:val="0"/>
          <w:szCs w:val="32"/>
        </w:rPr>
        <w:t>预算数的主要原因是</w:t>
      </w:r>
      <w:r>
        <w:rPr>
          <w:rFonts w:hint="eastAsia" w:ascii="仿宋_GB2312" w:hAnsi="宋体" w:eastAsia="仿宋_GB2312" w:cs="仿宋_GB2312"/>
          <w:color w:val="000000"/>
          <w:kern w:val="0"/>
          <w:szCs w:val="32"/>
          <w:lang w:eastAsia="zh-CN"/>
        </w:rPr>
        <w:t>：</w:t>
      </w:r>
      <w:r>
        <w:rPr>
          <w:rFonts w:hint="eastAsia" w:ascii="仿宋_GB2312" w:hAnsi="宋体" w:eastAsia="仿宋_GB2312" w:cs="仿宋_GB2312"/>
          <w:color w:val="000000"/>
          <w:kern w:val="0"/>
          <w:szCs w:val="32"/>
          <w:lang w:val="en-US" w:eastAsia="zh-CN"/>
        </w:rPr>
        <w:t>2019年12月绩效工资未能及时发放。</w:t>
      </w:r>
    </w:p>
    <w:p>
      <w:pPr>
        <w:widowControl/>
        <w:numPr>
          <w:ilvl w:val="0"/>
          <w:numId w:val="0"/>
        </w:numPr>
        <w:jc w:val="left"/>
        <w:rPr>
          <w:rFonts w:hint="eastAsia" w:ascii="仿宋_GB2312" w:hAnsi="宋体" w:eastAsia="仿宋_GB2312" w:cs="仿宋_GB2312"/>
          <w:b/>
          <w:bCs/>
          <w:color w:val="000000"/>
          <w:kern w:val="0"/>
          <w:szCs w:val="32"/>
          <w:lang w:val="en-US" w:eastAsia="zh-CN"/>
        </w:rPr>
      </w:pPr>
      <w:r>
        <w:rPr>
          <w:rFonts w:hint="eastAsia" w:ascii="仿宋_GB2312" w:hAnsi="宋体" w:eastAsia="仿宋_GB2312" w:cs="仿宋_GB2312"/>
          <w:b/>
          <w:bCs/>
          <w:color w:val="000000"/>
          <w:kern w:val="0"/>
          <w:szCs w:val="32"/>
          <w:lang w:val="en-US" w:eastAsia="zh-CN"/>
        </w:rPr>
        <w:t>2、资源勘探信息等支出（类）制造业（款）其他制造业支出（项）</w:t>
      </w:r>
    </w:p>
    <w:p>
      <w:pPr>
        <w:widowControl/>
        <w:numPr>
          <w:ilvl w:val="0"/>
          <w:numId w:val="0"/>
        </w:numPr>
        <w:ind w:left="480" w:leftChars="0"/>
        <w:jc w:val="left"/>
        <w:rPr>
          <w:rFonts w:hint="eastAsia" w:ascii="仿宋_GB2312" w:hAnsi="宋体" w:eastAsia="仿宋_GB2312" w:cs="仿宋_GB2312"/>
          <w:color w:val="000000"/>
          <w:kern w:val="0"/>
          <w:szCs w:val="32"/>
          <w:lang w:val="en-US" w:eastAsia="zh-CN"/>
        </w:rPr>
      </w:pPr>
      <w:r>
        <w:rPr>
          <w:rFonts w:hint="eastAsia" w:ascii="仿宋_GB2312" w:hAnsi="宋体" w:eastAsia="仿宋_GB2312" w:cs="仿宋_GB2312"/>
          <w:color w:val="000000"/>
          <w:kern w:val="0"/>
          <w:szCs w:val="32"/>
          <w:lang w:val="en-US" w:eastAsia="zh-CN"/>
        </w:rPr>
        <w:t xml:space="preserve"> 年初预算为0元，支出决算为1.5万元。</w:t>
      </w:r>
    </w:p>
    <w:p>
      <w:pPr>
        <w:widowControl/>
        <w:numPr>
          <w:ilvl w:val="0"/>
          <w:numId w:val="0"/>
        </w:numPr>
        <w:jc w:val="left"/>
        <w:rPr>
          <w:rFonts w:hint="eastAsia" w:ascii="仿宋_GB2312" w:hAnsi="宋体" w:eastAsia="仿宋_GB2312" w:cs="仿宋_GB2312"/>
          <w:b/>
          <w:bCs/>
          <w:color w:val="000000"/>
          <w:kern w:val="0"/>
          <w:szCs w:val="32"/>
          <w:lang w:val="en-US" w:eastAsia="zh-CN"/>
        </w:rPr>
      </w:pPr>
      <w:r>
        <w:rPr>
          <w:rFonts w:hint="eastAsia" w:ascii="仿宋_GB2312" w:hAnsi="宋体" w:eastAsia="仿宋_GB2312" w:cs="仿宋_GB2312"/>
          <w:b/>
          <w:bCs/>
          <w:color w:val="000000"/>
          <w:kern w:val="0"/>
          <w:szCs w:val="32"/>
          <w:lang w:val="en-US" w:eastAsia="zh-CN"/>
        </w:rPr>
        <w:t>3、城乡社区支出（类）城乡社区公共设施（款）其他城乡社区公共设施支出（项）</w:t>
      </w:r>
    </w:p>
    <w:p>
      <w:pPr>
        <w:widowControl/>
        <w:numPr>
          <w:ilvl w:val="0"/>
          <w:numId w:val="0"/>
        </w:numPr>
        <w:jc w:val="left"/>
        <w:rPr>
          <w:rFonts w:hint="eastAsia" w:ascii="仿宋_GB2312" w:hAnsi="宋体" w:eastAsia="仿宋_GB2312" w:cs="仿宋_GB2312"/>
          <w:color w:val="000000"/>
          <w:kern w:val="0"/>
          <w:szCs w:val="32"/>
          <w:lang w:val="en-US" w:eastAsia="zh-CN"/>
        </w:rPr>
      </w:pPr>
      <w:r>
        <w:rPr>
          <w:rFonts w:hint="eastAsia" w:ascii="仿宋_GB2312" w:hAnsi="宋体" w:eastAsia="仿宋_GB2312" w:cs="仿宋_GB2312"/>
          <w:color w:val="000000"/>
          <w:kern w:val="0"/>
          <w:szCs w:val="32"/>
          <w:lang w:val="en-US" w:eastAsia="zh-CN"/>
        </w:rPr>
        <w:t xml:space="preserve">       年初预算为0元，支出决算为808.79万元。</w:t>
      </w:r>
    </w:p>
    <w:p>
      <w:pPr>
        <w:widowControl/>
        <w:numPr>
          <w:ilvl w:val="0"/>
          <w:numId w:val="4"/>
        </w:numPr>
        <w:ind w:left="160" w:leftChars="0" w:firstLine="0" w:firstLineChars="0"/>
        <w:jc w:val="left"/>
        <w:rPr>
          <w:rFonts w:hint="eastAsia" w:ascii="仿宋_GB2312" w:hAnsi="宋体" w:eastAsia="仿宋_GB2312" w:cs="仿宋_GB2312"/>
          <w:b/>
          <w:bCs/>
          <w:color w:val="000000"/>
          <w:kern w:val="0"/>
          <w:szCs w:val="32"/>
          <w:lang w:val="en-US" w:eastAsia="zh-CN"/>
        </w:rPr>
      </w:pPr>
      <w:r>
        <w:rPr>
          <w:rFonts w:hint="eastAsia" w:ascii="仿宋_GB2312" w:hAnsi="宋体" w:eastAsia="仿宋_GB2312" w:cs="仿宋_GB2312"/>
          <w:b/>
          <w:bCs/>
          <w:color w:val="000000"/>
          <w:kern w:val="0"/>
          <w:szCs w:val="32"/>
          <w:lang w:val="en-US" w:eastAsia="zh-CN"/>
        </w:rPr>
        <w:t>一般公共服务支出（类）政府办公厅及相关机构事务（款）其他政府办公厅及相关机构事务支出（项）</w:t>
      </w:r>
    </w:p>
    <w:p>
      <w:pPr>
        <w:widowControl/>
        <w:numPr>
          <w:ilvl w:val="0"/>
          <w:numId w:val="0"/>
        </w:numPr>
        <w:ind w:left="160" w:leftChars="0"/>
        <w:jc w:val="left"/>
        <w:rPr>
          <w:rFonts w:hint="eastAsia" w:ascii="仿宋_GB2312" w:hAnsi="宋体" w:eastAsia="仿宋_GB2312" w:cs="仿宋_GB2312"/>
          <w:color w:val="000000"/>
          <w:kern w:val="0"/>
          <w:szCs w:val="32"/>
          <w:lang w:val="en-US" w:eastAsia="zh-CN"/>
        </w:rPr>
      </w:pPr>
      <w:r>
        <w:rPr>
          <w:rFonts w:hint="eastAsia" w:ascii="仿宋_GB2312" w:hAnsi="宋体" w:eastAsia="仿宋_GB2312" w:cs="仿宋_GB2312"/>
          <w:color w:val="000000"/>
          <w:kern w:val="0"/>
          <w:szCs w:val="32"/>
          <w:lang w:val="en-US" w:eastAsia="zh-CN"/>
        </w:rPr>
        <w:t xml:space="preserve">      年初预算为0元，支出决算为68.7万元。</w:t>
      </w:r>
    </w:p>
    <w:p>
      <w:pPr>
        <w:widowControl/>
        <w:numPr>
          <w:ilvl w:val="0"/>
          <w:numId w:val="4"/>
        </w:numPr>
        <w:ind w:left="160" w:leftChars="0" w:firstLine="0" w:firstLineChars="0"/>
        <w:jc w:val="left"/>
        <w:rPr>
          <w:rFonts w:hint="eastAsia" w:ascii="仿宋_GB2312" w:hAnsi="宋体" w:eastAsia="仿宋_GB2312" w:cs="仿宋_GB2312"/>
          <w:b/>
          <w:bCs/>
          <w:color w:val="000000"/>
          <w:kern w:val="0"/>
          <w:szCs w:val="32"/>
          <w:lang w:val="en-US" w:eastAsia="zh-CN"/>
        </w:rPr>
      </w:pPr>
      <w:r>
        <w:rPr>
          <w:rFonts w:hint="eastAsia" w:ascii="仿宋_GB2312" w:hAnsi="宋体" w:eastAsia="仿宋_GB2312" w:cs="仿宋_GB2312"/>
          <w:b/>
          <w:bCs/>
          <w:color w:val="000000"/>
          <w:kern w:val="0"/>
          <w:szCs w:val="32"/>
          <w:lang w:val="en-US" w:eastAsia="zh-CN"/>
        </w:rPr>
        <w:t>一般公共服务支出（类）组织事务（款）一般行政管理事务（项）</w:t>
      </w:r>
    </w:p>
    <w:p>
      <w:pPr>
        <w:widowControl/>
        <w:numPr>
          <w:ilvl w:val="0"/>
          <w:numId w:val="0"/>
        </w:numPr>
        <w:ind w:left="160" w:leftChars="0"/>
        <w:jc w:val="left"/>
        <w:rPr>
          <w:rFonts w:hint="eastAsia" w:ascii="仿宋_GB2312" w:hAnsi="宋体" w:eastAsia="仿宋_GB2312" w:cs="仿宋_GB2312"/>
          <w:color w:val="000000"/>
          <w:kern w:val="0"/>
          <w:szCs w:val="32"/>
          <w:lang w:val="en-US" w:eastAsia="zh-CN"/>
        </w:rPr>
      </w:pPr>
      <w:r>
        <w:rPr>
          <w:rFonts w:hint="eastAsia" w:ascii="仿宋_GB2312" w:hAnsi="宋体" w:eastAsia="仿宋_GB2312" w:cs="仿宋_GB2312"/>
          <w:color w:val="000000"/>
          <w:kern w:val="0"/>
          <w:szCs w:val="32"/>
          <w:lang w:val="en-US" w:eastAsia="zh-CN"/>
        </w:rPr>
        <w:t xml:space="preserve">      年初预算为0元，支出决算为2.92万元。</w:t>
      </w:r>
    </w:p>
    <w:p>
      <w:pPr>
        <w:widowControl/>
        <w:numPr>
          <w:ilvl w:val="0"/>
          <w:numId w:val="4"/>
        </w:numPr>
        <w:ind w:left="160" w:leftChars="0" w:firstLine="0" w:firstLineChars="0"/>
        <w:jc w:val="left"/>
        <w:rPr>
          <w:rFonts w:hint="eastAsia" w:ascii="仿宋_GB2312" w:hAnsi="宋体" w:eastAsia="仿宋_GB2312" w:cs="仿宋_GB2312"/>
          <w:b/>
          <w:bCs/>
          <w:color w:val="000000"/>
          <w:kern w:val="0"/>
          <w:szCs w:val="32"/>
          <w:lang w:val="en-US" w:eastAsia="zh-CN"/>
        </w:rPr>
      </w:pPr>
      <w:r>
        <w:rPr>
          <w:rFonts w:hint="eastAsia" w:ascii="仿宋_GB2312" w:hAnsi="宋体" w:eastAsia="仿宋_GB2312" w:cs="仿宋_GB2312"/>
          <w:b/>
          <w:bCs/>
          <w:color w:val="000000"/>
          <w:kern w:val="0"/>
          <w:szCs w:val="32"/>
          <w:lang w:val="en-US" w:eastAsia="zh-CN"/>
        </w:rPr>
        <w:t>一般公共服务支出（类）其他一般公共服务支出（款）其他一般公共服务支出（项）</w:t>
      </w:r>
    </w:p>
    <w:p>
      <w:pPr>
        <w:widowControl/>
        <w:numPr>
          <w:ilvl w:val="0"/>
          <w:numId w:val="0"/>
        </w:numPr>
        <w:ind w:left="160" w:leftChars="0"/>
        <w:jc w:val="left"/>
        <w:rPr>
          <w:rFonts w:hint="default" w:ascii="仿宋_GB2312" w:hAnsi="宋体" w:eastAsia="仿宋_GB2312" w:cs="仿宋_GB2312"/>
          <w:color w:val="000000"/>
          <w:kern w:val="0"/>
          <w:szCs w:val="32"/>
          <w:lang w:val="en-US" w:eastAsia="zh-CN"/>
        </w:rPr>
      </w:pPr>
      <w:r>
        <w:rPr>
          <w:rFonts w:hint="eastAsia" w:ascii="仿宋_GB2312" w:hAnsi="宋体" w:eastAsia="仿宋_GB2312" w:cs="仿宋_GB2312"/>
          <w:color w:val="000000"/>
          <w:kern w:val="0"/>
          <w:szCs w:val="32"/>
          <w:lang w:val="en-US" w:eastAsia="zh-CN"/>
        </w:rPr>
        <w:t xml:space="preserve">      年初预算为0元，支出决算为20.9 万元。</w:t>
      </w:r>
    </w:p>
    <w:p>
      <w:pPr>
        <w:spacing w:line="360" w:lineRule="auto"/>
        <w:ind w:firstLine="640" w:firstLineChars="200"/>
        <w:rPr>
          <w:rFonts w:ascii="仿宋_GB2312" w:hAnsi="仿宋" w:eastAsia="仿宋_GB2312"/>
          <w:szCs w:val="32"/>
        </w:rPr>
      </w:pPr>
      <w:r>
        <w:rPr>
          <w:rFonts w:hint="eastAsia" w:ascii="黑体" w:hAnsi="黑体" w:eastAsia="黑体"/>
          <w:color w:val="000000"/>
          <w:kern w:val="0"/>
          <w:szCs w:val="32"/>
        </w:rPr>
        <w:t>六、一般公共预算财政拨款基本支出决算情况说明</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201</w:t>
      </w:r>
      <w:r>
        <w:rPr>
          <w:rFonts w:hint="eastAsia" w:ascii="仿宋_GB2312" w:hAnsi="仿宋_GB2312" w:eastAsia="仿宋_GB2312" w:cs="仿宋_GB2312"/>
          <w:color w:val="000000"/>
          <w:kern w:val="0"/>
          <w:sz w:val="31"/>
          <w:szCs w:val="31"/>
        </w:rPr>
        <w:t>9</w:t>
      </w:r>
      <w:r>
        <w:rPr>
          <w:rFonts w:ascii="仿宋_GB2312" w:hAnsi="仿宋_GB2312" w:eastAsia="仿宋_GB2312" w:cs="仿宋_GB2312"/>
          <w:color w:val="000000"/>
          <w:kern w:val="0"/>
          <w:sz w:val="31"/>
          <w:szCs w:val="31"/>
        </w:rPr>
        <w:t>年</w:t>
      </w:r>
      <w:r>
        <w:rPr>
          <w:rFonts w:hint="eastAsia" w:ascii="仿宋_GB2312" w:hAnsi="仿宋" w:eastAsia="仿宋_GB2312"/>
          <w:szCs w:val="32"/>
        </w:rPr>
        <w:t>度</w:t>
      </w:r>
      <w:r>
        <w:rPr>
          <w:rFonts w:ascii="仿宋_GB2312" w:hAnsi="仿宋_GB2312" w:eastAsia="仿宋_GB2312" w:cs="仿宋_GB2312"/>
          <w:color w:val="000000"/>
          <w:kern w:val="0"/>
          <w:sz w:val="31"/>
          <w:szCs w:val="31"/>
        </w:rPr>
        <w:t>一般公共预算财政拨款基本支出</w:t>
      </w:r>
      <w:r>
        <w:rPr>
          <w:rFonts w:hint="eastAsia" w:ascii="仿宋_GB2312" w:hAnsi="仿宋_GB2312" w:eastAsia="仿宋_GB2312" w:cs="仿宋_GB2312"/>
          <w:color w:val="000000"/>
          <w:kern w:val="0"/>
          <w:sz w:val="31"/>
          <w:szCs w:val="31"/>
          <w:lang w:val="en-US" w:eastAsia="zh-CN"/>
        </w:rPr>
        <w:t>37.79</w:t>
      </w:r>
      <w:r>
        <w:rPr>
          <w:rFonts w:ascii="仿宋_GB2312" w:hAnsi="仿宋_GB2312" w:eastAsia="仿宋_GB2312" w:cs="仿宋_GB2312"/>
          <w:color w:val="000000"/>
          <w:kern w:val="0"/>
          <w:sz w:val="31"/>
          <w:szCs w:val="31"/>
        </w:rPr>
        <w:t>万元，包括：人员经费支出</w:t>
      </w:r>
      <w:r>
        <w:rPr>
          <w:rFonts w:hint="eastAsia" w:ascii="仿宋_GB2312" w:hAnsi="仿宋_GB2312" w:eastAsia="仿宋_GB2312" w:cs="仿宋_GB2312"/>
          <w:color w:val="000000"/>
          <w:kern w:val="0"/>
          <w:sz w:val="31"/>
          <w:szCs w:val="31"/>
          <w:lang w:val="en-US" w:eastAsia="zh-CN"/>
        </w:rPr>
        <w:t>36.33</w:t>
      </w:r>
      <w:r>
        <w:rPr>
          <w:rFonts w:ascii="仿宋_GB2312" w:hAnsi="仿宋_GB2312" w:eastAsia="仿宋_GB2312" w:cs="仿宋_GB2312"/>
          <w:color w:val="000000"/>
          <w:kern w:val="0"/>
          <w:sz w:val="31"/>
          <w:szCs w:val="31"/>
        </w:rPr>
        <w:t>万元和公用经费支出</w:t>
      </w:r>
      <w:r>
        <w:rPr>
          <w:rFonts w:hint="eastAsia" w:ascii="仿宋_GB2312" w:hAnsi="仿宋_GB2312" w:eastAsia="仿宋_GB2312" w:cs="仿宋_GB2312"/>
          <w:color w:val="000000"/>
          <w:kern w:val="0"/>
          <w:sz w:val="31"/>
          <w:szCs w:val="31"/>
          <w:lang w:val="en-US" w:eastAsia="zh-CN"/>
        </w:rPr>
        <w:t>1.46</w:t>
      </w:r>
      <w:r>
        <w:rPr>
          <w:rFonts w:ascii="仿宋_GB2312" w:hAnsi="仿宋_GB2312" w:eastAsia="仿宋_GB2312" w:cs="仿宋_GB2312"/>
          <w:color w:val="000000"/>
          <w:kern w:val="0"/>
          <w:sz w:val="31"/>
          <w:szCs w:val="31"/>
        </w:rPr>
        <w:t>万元。</w:t>
      </w:r>
    </w:p>
    <w:p>
      <w:pPr>
        <w:widowControl/>
        <w:ind w:firstLine="643" w:firstLineChars="200"/>
        <w:jc w:val="left"/>
        <w:rPr>
          <w:rFonts w:ascii="仿宋_GB2312" w:hAnsi="宋体" w:eastAsia="仿宋_GB2312" w:cs="仿宋_GB2312"/>
          <w:color w:val="000000"/>
          <w:kern w:val="0"/>
          <w:szCs w:val="32"/>
        </w:rPr>
      </w:pPr>
      <w:r>
        <w:rPr>
          <w:rFonts w:ascii="仿宋_GB2312" w:hAnsi="宋体" w:eastAsia="仿宋_GB2312" w:cs="仿宋_GB2312"/>
          <w:b/>
          <w:bCs/>
          <w:color w:val="000000"/>
          <w:kern w:val="0"/>
          <w:szCs w:val="32"/>
        </w:rPr>
        <w:t>人员经费</w:t>
      </w:r>
      <w:r>
        <w:rPr>
          <w:rFonts w:hint="eastAsia" w:ascii="仿宋_GB2312" w:hAnsi="宋体" w:eastAsia="仿宋_GB2312" w:cs="仿宋_GB2312"/>
          <w:b/>
          <w:bCs/>
          <w:color w:val="000000"/>
          <w:kern w:val="0"/>
          <w:szCs w:val="32"/>
          <w:lang w:val="en-US" w:eastAsia="zh-CN"/>
        </w:rPr>
        <w:t>36.33</w:t>
      </w:r>
      <w:r>
        <w:rPr>
          <w:rFonts w:ascii="仿宋_GB2312" w:hAnsi="宋体" w:eastAsia="仿宋_GB2312" w:cs="仿宋_GB2312"/>
          <w:color w:val="000000"/>
          <w:kern w:val="0"/>
          <w:szCs w:val="32"/>
        </w:rPr>
        <w:t>万元，主要包括</w:t>
      </w:r>
      <w:r>
        <w:rPr>
          <w:rFonts w:hint="eastAsia" w:ascii="仿宋_GB2312" w:hAnsi="宋体" w:eastAsia="仿宋_GB2312" w:cs="仿宋_GB2312"/>
          <w:color w:val="000000"/>
          <w:kern w:val="0"/>
          <w:szCs w:val="32"/>
          <w:lang w:eastAsia="zh-CN"/>
        </w:rPr>
        <w:t>：</w:t>
      </w:r>
      <w:r>
        <w:rPr>
          <w:rFonts w:ascii="仿宋_GB2312" w:hAnsi="宋体" w:eastAsia="仿宋_GB2312" w:cs="仿宋_GB2312"/>
          <w:color w:val="000000"/>
          <w:kern w:val="0"/>
          <w:szCs w:val="32"/>
        </w:rPr>
        <w:t>基本工资</w:t>
      </w:r>
      <w:r>
        <w:rPr>
          <w:rFonts w:hint="eastAsia" w:ascii="仿宋_GB2312" w:hAnsi="宋体" w:eastAsia="仿宋_GB2312" w:cs="仿宋_GB2312"/>
          <w:color w:val="000000"/>
          <w:kern w:val="0"/>
          <w:szCs w:val="32"/>
          <w:lang w:val="en-US" w:eastAsia="zh-CN"/>
        </w:rPr>
        <w:t>30.59</w:t>
      </w:r>
      <w:r>
        <w:rPr>
          <w:rFonts w:hint="eastAsia"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lang w:eastAsia="zh-CN"/>
        </w:rPr>
        <w:t>，</w:t>
      </w:r>
      <w:r>
        <w:rPr>
          <w:rFonts w:hint="eastAsia" w:ascii="仿宋_GB2312" w:hAnsi="宋体" w:eastAsia="仿宋_GB2312" w:cs="仿宋_GB2312"/>
          <w:color w:val="000000"/>
          <w:kern w:val="0"/>
          <w:szCs w:val="32"/>
          <w:lang w:val="en-US" w:eastAsia="zh-CN"/>
        </w:rPr>
        <w:t>职工养老保险4.67万元， 医疗保险1.08万元，</w:t>
      </w:r>
      <w:r>
        <w:rPr>
          <w:rFonts w:hint="eastAsia" w:ascii="仿宋_GB2312" w:hAnsi="宋体" w:eastAsia="仿宋_GB2312" w:cs="仿宋_GB2312"/>
          <w:color w:val="000000"/>
          <w:kern w:val="0"/>
          <w:szCs w:val="32"/>
        </w:rPr>
        <w:t>。</w:t>
      </w:r>
    </w:p>
    <w:p>
      <w:pPr>
        <w:widowControl/>
        <w:ind w:firstLine="643" w:firstLineChars="200"/>
        <w:jc w:val="left"/>
      </w:pPr>
      <w:r>
        <w:rPr>
          <w:rFonts w:ascii="仿宋_GB2312" w:hAnsi="宋体" w:eastAsia="仿宋_GB2312" w:cs="仿宋_GB2312"/>
          <w:b/>
          <w:bCs/>
          <w:color w:val="000000"/>
          <w:kern w:val="0"/>
          <w:szCs w:val="32"/>
        </w:rPr>
        <w:t>公用经费</w:t>
      </w:r>
      <w:r>
        <w:rPr>
          <w:rFonts w:hint="eastAsia" w:ascii="仿宋_GB2312" w:hAnsi="宋体" w:eastAsia="仿宋_GB2312" w:cs="仿宋_GB2312"/>
          <w:b/>
          <w:bCs/>
          <w:color w:val="000000"/>
          <w:kern w:val="0"/>
          <w:szCs w:val="32"/>
          <w:lang w:val="en-US" w:eastAsia="zh-CN"/>
        </w:rPr>
        <w:t>1.46</w:t>
      </w:r>
      <w:r>
        <w:rPr>
          <w:rFonts w:ascii="仿宋_GB2312" w:hAnsi="宋体" w:eastAsia="仿宋_GB2312" w:cs="仿宋_GB2312"/>
          <w:color w:val="000000"/>
          <w:kern w:val="0"/>
          <w:szCs w:val="32"/>
        </w:rPr>
        <w:t>万元，主要包括</w:t>
      </w:r>
      <w:r>
        <w:rPr>
          <w:rFonts w:hint="eastAsia" w:ascii="仿宋_GB2312" w:hAnsi="宋体" w:eastAsia="仿宋_GB2312" w:cs="仿宋_GB2312"/>
          <w:color w:val="000000"/>
          <w:kern w:val="0"/>
          <w:szCs w:val="32"/>
          <w:lang w:eastAsia="zh-CN"/>
        </w:rPr>
        <w:t>：</w:t>
      </w:r>
      <w:r>
        <w:rPr>
          <w:rFonts w:ascii="仿宋_GB2312" w:hAnsi="宋体" w:eastAsia="仿宋_GB2312" w:cs="仿宋_GB2312"/>
          <w:color w:val="000000"/>
          <w:kern w:val="0"/>
          <w:szCs w:val="32"/>
        </w:rPr>
        <w:t>办公费</w:t>
      </w:r>
      <w:r>
        <w:rPr>
          <w:rFonts w:hint="eastAsia" w:ascii="仿宋_GB2312" w:hAnsi="宋体" w:eastAsia="仿宋_GB2312" w:cs="仿宋_GB2312"/>
          <w:color w:val="000000"/>
          <w:kern w:val="0"/>
          <w:szCs w:val="32"/>
          <w:lang w:val="en-US" w:eastAsia="zh-CN"/>
        </w:rPr>
        <w:t>1.16</w:t>
      </w:r>
      <w:r>
        <w:rPr>
          <w:rFonts w:hint="eastAsia"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lang w:eastAsia="zh-CN"/>
        </w:rPr>
        <w:t>，</w:t>
      </w:r>
      <w:r>
        <w:rPr>
          <w:rFonts w:hint="eastAsia" w:ascii="仿宋_GB2312" w:hAnsi="宋体" w:eastAsia="仿宋_GB2312" w:cs="仿宋_GB2312"/>
          <w:color w:val="000000"/>
          <w:kern w:val="0"/>
          <w:szCs w:val="32"/>
          <w:lang w:val="en-US" w:eastAsia="zh-CN"/>
        </w:rPr>
        <w:t>委托业务费0.15万元，办公设备购置0.15万元</w:t>
      </w:r>
      <w:r>
        <w:rPr>
          <w:rFonts w:hint="eastAsia" w:ascii="仿宋_GB2312" w:hAnsi="宋体" w:eastAsia="仿宋_GB2312" w:cs="仿宋_GB2312"/>
          <w:color w:val="000000"/>
          <w:kern w:val="0"/>
          <w:szCs w:val="32"/>
        </w:rPr>
        <w:t>。</w:t>
      </w:r>
    </w:p>
    <w:p>
      <w:pPr>
        <w:ind w:firstLine="640" w:firstLineChars="200"/>
        <w:rPr>
          <w:rFonts w:ascii="黑体" w:hAnsi="黑体" w:eastAsia="黑体"/>
          <w:color w:val="000000"/>
          <w:kern w:val="0"/>
          <w:szCs w:val="32"/>
        </w:rPr>
      </w:pPr>
      <w:r>
        <w:rPr>
          <w:rFonts w:hint="eastAsia" w:ascii="黑体" w:hAnsi="黑体" w:eastAsia="黑体"/>
          <w:color w:val="000000"/>
          <w:kern w:val="0"/>
          <w:szCs w:val="32"/>
        </w:rPr>
        <w:t>七、一般公共预算财政拨款“三公”经费及会议费、培训费支出决算情况说明</w:t>
      </w:r>
    </w:p>
    <w:p>
      <w:pPr>
        <w:widowControl/>
        <w:ind w:firstLine="643" w:firstLineChars="200"/>
        <w:jc w:val="left"/>
        <w:rPr>
          <w:rFonts w:ascii="仿宋_GB2312" w:hAnsi="宋体" w:eastAsia="仿宋_GB2312" w:cs="仿宋_GB2312"/>
          <w:color w:val="000000"/>
          <w:kern w:val="0"/>
          <w:szCs w:val="32"/>
        </w:rPr>
      </w:pPr>
      <w:r>
        <w:rPr>
          <w:rFonts w:ascii="楷体_GB2312" w:hAnsi="宋体" w:eastAsia="楷体_GB2312" w:cs="楷体_GB2312"/>
          <w:b/>
          <w:color w:val="000000"/>
          <w:kern w:val="0"/>
          <w:szCs w:val="32"/>
        </w:rPr>
        <w:t>（一）“三公”经费财政拨款支出决算总体情况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 xml:space="preserve">。 </w:t>
      </w:r>
    </w:p>
    <w:p>
      <w:pPr>
        <w:widowControl/>
        <w:ind w:firstLine="640" w:firstLineChars="200"/>
        <w:jc w:val="left"/>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“三公”经费财政拨款支出预算为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lang w:val="en-US" w:eastAsia="zh-CN"/>
        </w:rPr>
        <w:t>一致</w:t>
      </w:r>
      <w:r>
        <w:rPr>
          <w:rFonts w:hint="eastAsia" w:ascii="仿宋_GB2312" w:hAnsi="宋体" w:eastAsia="仿宋_GB2312" w:cs="仿宋_GB2312"/>
          <w:color w:val="000000"/>
          <w:kern w:val="0"/>
          <w:szCs w:val="32"/>
        </w:rPr>
        <w:t>。</w:t>
      </w:r>
    </w:p>
    <w:p>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w:t>
      </w:r>
      <w:r>
        <w:rPr>
          <w:rFonts w:ascii="楷体_GB2312" w:hAnsi="宋体" w:eastAsia="楷体_GB2312" w:cs="楷体_GB2312"/>
          <w:b/>
          <w:color w:val="000000"/>
          <w:kern w:val="0"/>
          <w:szCs w:val="32"/>
        </w:rPr>
        <w:t>“三公”经费财政拨款支出决算具体情况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ind w:firstLine="640" w:firstLineChars="200"/>
        <w:jc w:val="left"/>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“三公”经费财政拨款支出决算中，因公出国（境）费支出决算</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%；公务用车购置</w:t>
      </w:r>
      <w:r>
        <w:rPr>
          <w:rFonts w:hint="eastAsia" w:ascii="仿宋_GB2312" w:hAnsi="宋体" w:eastAsia="仿宋_GB2312" w:cs="仿宋_GB2312"/>
          <w:color w:val="000000"/>
          <w:kern w:val="0"/>
          <w:szCs w:val="32"/>
        </w:rPr>
        <w:t>费支出</w:t>
      </w:r>
      <w:r>
        <w:rPr>
          <w:rFonts w:hint="eastAsia" w:ascii="仿宋_GB2312" w:hAnsi="宋体" w:eastAsia="仿宋_GB2312" w:cs="仿宋_GB2312"/>
          <w:color w:val="000000"/>
          <w:kern w:val="0"/>
          <w:szCs w:val="32"/>
          <w:lang w:val="en-US" w:eastAsia="zh-CN"/>
        </w:rPr>
        <w:t>0</w:t>
      </w:r>
      <w:r>
        <w:rPr>
          <w:rFonts w:hint="eastAsia"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%；公务用车运行</w:t>
      </w:r>
      <w:r>
        <w:rPr>
          <w:rFonts w:hint="eastAsia" w:ascii="仿宋_GB2312" w:hAnsi="仿宋" w:eastAsia="仿宋_GB2312"/>
          <w:szCs w:val="32"/>
        </w:rPr>
        <w:t>维护</w:t>
      </w:r>
      <w:r>
        <w:rPr>
          <w:rFonts w:ascii="仿宋_GB2312" w:hAnsi="宋体" w:eastAsia="仿宋_GB2312" w:cs="仿宋_GB2312"/>
          <w:color w:val="000000"/>
          <w:kern w:val="0"/>
          <w:szCs w:val="32"/>
        </w:rPr>
        <w:t>费支出决算</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%；公务接待费支出决算</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%。具体情况如下：</w:t>
      </w:r>
    </w:p>
    <w:p>
      <w:pPr>
        <w:ind w:firstLine="643" w:firstLineChars="200"/>
        <w:rPr>
          <w:rFonts w:ascii="仿宋_GB2312" w:hAnsi="仿宋" w:eastAsia="仿宋_GB2312"/>
          <w:b/>
          <w:bCs/>
          <w:szCs w:val="32"/>
        </w:rPr>
      </w:pPr>
      <w:r>
        <w:rPr>
          <w:rFonts w:hint="eastAsia" w:ascii="仿宋_GB2312" w:hAnsi="仿宋" w:eastAsia="仿宋_GB2312"/>
          <w:b/>
          <w:bCs/>
          <w:szCs w:val="32"/>
        </w:rPr>
        <w:t>1.因公出国（境）支出情况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pPr>
      <w:r>
        <w:rPr>
          <w:rFonts w:hint="eastAsia" w:ascii="仿宋_GB2312" w:hAnsi="仿宋" w:eastAsia="仿宋_GB2312"/>
          <w:szCs w:val="32"/>
        </w:rPr>
        <w:t>2019年度因公出国（境）团组</w:t>
      </w:r>
      <w:r>
        <w:rPr>
          <w:rFonts w:hint="eastAsia" w:ascii="仿宋_GB2312" w:hAnsi="仿宋" w:eastAsia="仿宋_GB2312"/>
          <w:szCs w:val="32"/>
          <w:lang w:val="en-US" w:eastAsia="zh-CN"/>
        </w:rPr>
        <w:t>0</w:t>
      </w:r>
      <w:r>
        <w:rPr>
          <w:rFonts w:hint="eastAsia" w:ascii="仿宋_GB2312" w:hAnsi="仿宋_GB2312" w:eastAsia="仿宋_GB2312" w:cs="仿宋_GB2312"/>
          <w:szCs w:val="32"/>
        </w:rPr>
        <w:t>个，</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人次，</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w:t>
      </w:r>
      <w:r>
        <w:rPr>
          <w:rFonts w:hint="eastAsia" w:ascii="仿宋_GB2312" w:hAnsi="仿宋_GB2312" w:eastAsia="仿宋_GB2312" w:cs="仿宋_GB2312"/>
          <w:szCs w:val="32"/>
        </w:rPr>
        <w:t>（如没有支出填0）</w:t>
      </w:r>
      <w:r>
        <w:rPr>
          <w:rFonts w:ascii="仿宋_GB2312" w:hAnsi="宋体" w:eastAsia="仿宋_GB2312" w:cs="仿宋_GB2312"/>
          <w:color w:val="000000"/>
          <w:kern w:val="0"/>
          <w:szCs w:val="32"/>
        </w:rPr>
        <w:t>，完成预算的</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lang w:val="en-US" w:eastAsia="zh-CN"/>
        </w:rPr>
        <w:t>一致</w:t>
      </w:r>
      <w:r>
        <w:rPr>
          <w:rFonts w:hint="eastAsia" w:ascii="仿宋_GB2312" w:hAnsi="宋体" w:eastAsia="仿宋_GB2312" w:cs="仿宋_GB2312"/>
          <w:color w:val="000000"/>
          <w:kern w:val="0"/>
          <w:szCs w:val="32"/>
        </w:rPr>
        <w:t>。</w:t>
      </w:r>
    </w:p>
    <w:p>
      <w:pPr>
        <w:ind w:firstLine="643" w:firstLineChars="200"/>
        <w:rPr>
          <w:rFonts w:ascii="仿宋_GB2312" w:hAnsi="仿宋" w:eastAsia="仿宋_GB2312"/>
          <w:b/>
          <w:bCs/>
          <w:szCs w:val="32"/>
        </w:rPr>
      </w:pPr>
      <w:r>
        <w:rPr>
          <w:rFonts w:hint="eastAsia" w:ascii="仿宋_GB2312" w:hAnsi="仿宋" w:eastAsia="仿宋_GB2312"/>
          <w:b/>
          <w:bCs/>
          <w:szCs w:val="32"/>
        </w:rPr>
        <w:t>2.公务用车购置费用支出情况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pPr>
      <w:r>
        <w:rPr>
          <w:rFonts w:hint="eastAsia" w:ascii="仿宋_GB2312" w:hAnsi="仿宋" w:eastAsia="仿宋_GB2312"/>
          <w:szCs w:val="32"/>
        </w:rPr>
        <w:t>2019年度购置车辆</w:t>
      </w:r>
      <w:r>
        <w:rPr>
          <w:rFonts w:hint="eastAsia" w:ascii="仿宋_GB2312" w:hAnsi="仿宋" w:eastAsia="仿宋_GB2312"/>
          <w:szCs w:val="32"/>
          <w:lang w:val="en-US" w:eastAsia="zh-CN"/>
        </w:rPr>
        <w:t>0</w:t>
      </w:r>
      <w:r>
        <w:rPr>
          <w:rFonts w:hint="eastAsia" w:ascii="仿宋_GB2312" w:hAnsi="仿宋_GB2312" w:eastAsia="仿宋_GB2312" w:cs="仿宋_GB2312"/>
          <w:szCs w:val="32"/>
        </w:rPr>
        <w:t>台，</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w:t>
      </w:r>
      <w:r>
        <w:rPr>
          <w:rFonts w:hint="eastAsia" w:ascii="仿宋_GB2312" w:hAnsi="仿宋_GB2312" w:eastAsia="仿宋_GB2312" w:cs="仿宋_GB2312"/>
          <w:szCs w:val="32"/>
        </w:rPr>
        <w:t>（如没有支出填0）</w:t>
      </w:r>
      <w:r>
        <w:rPr>
          <w:rFonts w:ascii="仿宋_GB2312" w:hAnsi="宋体" w:eastAsia="仿宋_GB2312" w:cs="仿宋_GB2312"/>
          <w:color w:val="000000"/>
          <w:kern w:val="0"/>
          <w:szCs w:val="32"/>
        </w:rPr>
        <w:t>，完成预算的</w:t>
      </w:r>
      <w:r>
        <w:rPr>
          <w:rFonts w:hint="eastAsia" w:ascii="仿宋_GB2312" w:hAnsi="宋体" w:eastAsia="仿宋_GB2312" w:cs="仿宋_GB2312"/>
          <w:color w:val="000000"/>
          <w:kern w:val="0"/>
          <w:szCs w:val="32"/>
          <w:lang w:val="en-US" w:eastAsia="zh-CN"/>
        </w:rPr>
        <w:t>0</w:t>
      </w:r>
      <w:r>
        <w:rPr>
          <w:rFonts w:hint="eastAsia" w:ascii="仿宋_GB2312" w:hAnsi="宋体" w:eastAsia="仿宋_GB2312" w:cs="仿宋_GB2312"/>
          <w:color w:val="000000"/>
          <w:kern w:val="0"/>
          <w:szCs w:val="32"/>
        </w:rPr>
        <w:t>%，决</w:t>
      </w:r>
      <w:r>
        <w:rPr>
          <w:rFonts w:ascii="仿宋_GB2312" w:hAnsi="宋体" w:eastAsia="仿宋_GB2312" w:cs="仿宋_GB2312"/>
          <w:color w:val="000000"/>
          <w:kern w:val="0"/>
          <w:szCs w:val="32"/>
        </w:rPr>
        <w:t>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lang w:val="en-US" w:eastAsia="zh-CN"/>
        </w:rPr>
        <w:t>一致</w:t>
      </w:r>
      <w:r>
        <w:rPr>
          <w:rFonts w:hint="eastAsia" w:ascii="仿宋_GB2312" w:hAnsi="宋体" w:eastAsia="仿宋_GB2312" w:cs="仿宋_GB2312"/>
          <w:color w:val="000000"/>
          <w:kern w:val="0"/>
          <w:szCs w:val="32"/>
        </w:rPr>
        <w:t>。</w:t>
      </w:r>
    </w:p>
    <w:p>
      <w:pPr>
        <w:ind w:firstLine="643" w:firstLineChars="200"/>
        <w:rPr>
          <w:rFonts w:ascii="仿宋_GB2312" w:hAnsi="仿宋" w:eastAsia="仿宋_GB2312"/>
          <w:b/>
          <w:bCs/>
          <w:szCs w:val="32"/>
        </w:rPr>
      </w:pPr>
      <w:r>
        <w:rPr>
          <w:rFonts w:hint="eastAsia" w:ascii="仿宋_GB2312" w:hAnsi="仿宋" w:eastAsia="仿宋_GB2312"/>
          <w:b/>
          <w:bCs/>
          <w:szCs w:val="32"/>
        </w:rPr>
        <w:t>3.公务用车运行维护费用支出情况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2019年度</w:t>
      </w:r>
      <w:r>
        <w:rPr>
          <w:rFonts w:hint="eastAsia" w:ascii="仿宋_GB2312" w:hAnsi="仿宋_GB2312" w:eastAsia="仿宋_GB2312" w:cs="仿宋_GB2312"/>
          <w:szCs w:val="32"/>
        </w:rPr>
        <w:t>公务用车运行维护费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w:t>
      </w:r>
      <w:r>
        <w:rPr>
          <w:rFonts w:hint="eastAsia" w:ascii="仿宋_GB2312" w:hAnsi="仿宋_GB2312" w:eastAsia="仿宋_GB2312" w:cs="仿宋_GB2312"/>
          <w:szCs w:val="32"/>
        </w:rPr>
        <w:t>（如没有支出填0）</w:t>
      </w:r>
      <w:r>
        <w:rPr>
          <w:rFonts w:ascii="仿宋_GB2312" w:hAnsi="宋体" w:eastAsia="仿宋_GB2312" w:cs="仿宋_GB2312"/>
          <w:color w:val="000000"/>
          <w:kern w:val="0"/>
          <w:szCs w:val="32"/>
        </w:rPr>
        <w:t>，完成预算的</w:t>
      </w:r>
      <w:r>
        <w:rPr>
          <w:rFonts w:hint="eastAsia" w:ascii="仿宋_GB2312" w:hAnsi="宋体" w:eastAsia="仿宋_GB2312" w:cs="仿宋_GB2312"/>
          <w:color w:val="000000"/>
          <w:kern w:val="0"/>
          <w:szCs w:val="32"/>
          <w:lang w:val="en-US" w:eastAsia="zh-CN"/>
        </w:rPr>
        <w:t>0</w:t>
      </w:r>
      <w:r>
        <w:rPr>
          <w:rFonts w:hint="eastAsia" w:ascii="仿宋_GB2312" w:hAnsi="宋体" w:eastAsia="仿宋_GB2312" w:cs="仿宋_GB2312"/>
          <w:color w:val="000000"/>
          <w:kern w:val="0"/>
          <w:szCs w:val="32"/>
        </w:rPr>
        <w:t>%，决</w:t>
      </w:r>
      <w:r>
        <w:rPr>
          <w:rFonts w:ascii="仿宋_GB2312" w:hAnsi="宋体" w:eastAsia="仿宋_GB2312" w:cs="仿宋_GB2312"/>
          <w:color w:val="000000"/>
          <w:kern w:val="0"/>
          <w:szCs w:val="32"/>
        </w:rPr>
        <w:t>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lang w:val="en-US" w:eastAsia="zh-CN"/>
        </w:rPr>
        <w:t>一致</w:t>
      </w:r>
      <w:r>
        <w:rPr>
          <w:rFonts w:hint="eastAsia" w:ascii="仿宋_GB2312" w:hAnsi="宋体" w:eastAsia="仿宋_GB2312" w:cs="仿宋_GB2312"/>
          <w:color w:val="000000"/>
          <w:kern w:val="0"/>
          <w:szCs w:val="32"/>
        </w:rPr>
        <w:t>。</w:t>
      </w:r>
    </w:p>
    <w:p>
      <w:pPr>
        <w:ind w:firstLine="643" w:firstLineChars="200"/>
        <w:rPr>
          <w:rFonts w:ascii="仿宋_GB2312" w:hAnsi="仿宋" w:eastAsia="仿宋_GB2312"/>
          <w:szCs w:val="32"/>
        </w:rPr>
      </w:pPr>
      <w:r>
        <w:rPr>
          <w:rFonts w:hint="eastAsia" w:ascii="仿宋_GB2312" w:hAnsi="仿宋" w:eastAsia="仿宋_GB2312"/>
          <w:b/>
          <w:bCs/>
          <w:szCs w:val="32"/>
        </w:rPr>
        <w:t>4.公务接待费支出情况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2019年度公务接待</w:t>
      </w:r>
      <w:r>
        <w:rPr>
          <w:rFonts w:hint="eastAsia" w:ascii="仿宋_GB2312" w:hAnsi="仿宋" w:eastAsia="仿宋_GB2312"/>
          <w:szCs w:val="32"/>
          <w:lang w:val="en-US" w:eastAsia="zh-CN"/>
        </w:rPr>
        <w:t>0</w:t>
      </w:r>
      <w:r>
        <w:rPr>
          <w:rFonts w:hint="eastAsia" w:ascii="仿宋_GB2312" w:hAnsi="仿宋_GB2312" w:eastAsia="仿宋_GB2312" w:cs="仿宋_GB2312"/>
          <w:szCs w:val="32"/>
        </w:rPr>
        <w:t>批次，</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人次，</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w:t>
      </w:r>
      <w:r>
        <w:rPr>
          <w:rFonts w:hint="eastAsia" w:ascii="仿宋_GB2312" w:hAnsi="仿宋_GB2312" w:eastAsia="仿宋_GB2312" w:cs="仿宋_GB2312"/>
          <w:szCs w:val="32"/>
        </w:rPr>
        <w:t>（如没有支出填0）</w:t>
      </w:r>
      <w:r>
        <w:rPr>
          <w:rFonts w:ascii="仿宋_GB2312" w:hAnsi="宋体" w:eastAsia="仿宋_GB2312" w:cs="仿宋_GB2312"/>
          <w:color w:val="000000"/>
          <w:kern w:val="0"/>
          <w:szCs w:val="32"/>
        </w:rPr>
        <w:t>，完成预算的</w:t>
      </w:r>
      <w:r>
        <w:rPr>
          <w:rFonts w:hint="eastAsia" w:ascii="仿宋_GB2312" w:hAnsi="宋体" w:eastAsia="仿宋_GB2312" w:cs="仿宋_GB2312"/>
          <w:color w:val="000000"/>
          <w:kern w:val="0"/>
          <w:szCs w:val="32"/>
          <w:lang w:val="en-US" w:eastAsia="zh-CN"/>
        </w:rPr>
        <w:t>0</w:t>
      </w:r>
      <w:r>
        <w:rPr>
          <w:rFonts w:hint="eastAsia" w:ascii="仿宋_GB2312" w:hAnsi="宋体" w:eastAsia="仿宋_GB2312" w:cs="仿宋_GB2312"/>
          <w:color w:val="000000"/>
          <w:kern w:val="0"/>
          <w:szCs w:val="32"/>
        </w:rPr>
        <w:t>%，决</w:t>
      </w:r>
      <w:r>
        <w:rPr>
          <w:rFonts w:ascii="仿宋_GB2312" w:hAnsi="宋体" w:eastAsia="仿宋_GB2312" w:cs="仿宋_GB2312"/>
          <w:color w:val="000000"/>
          <w:kern w:val="0"/>
          <w:szCs w:val="32"/>
        </w:rPr>
        <w:t>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lang w:val="en-US" w:eastAsia="zh-CN"/>
        </w:rPr>
        <w:t>一致</w:t>
      </w:r>
      <w:r>
        <w:rPr>
          <w:rFonts w:hint="eastAsia" w:ascii="仿宋_GB2312" w:hAnsi="宋体" w:eastAsia="仿宋_GB2312" w:cs="仿宋_GB2312"/>
          <w:color w:val="000000"/>
          <w:kern w:val="0"/>
          <w:szCs w:val="32"/>
        </w:rPr>
        <w:t>。</w:t>
      </w:r>
    </w:p>
    <w:p>
      <w:pPr>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（三）培训费支出情况说明。</w:t>
      </w:r>
    </w:p>
    <w:p>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2019年度</w:t>
      </w:r>
      <w:r>
        <w:rPr>
          <w:rFonts w:hint="eastAsia" w:ascii="仿宋_GB2312" w:hAnsi="仿宋_GB2312" w:eastAsia="仿宋_GB2312" w:cs="仿宋_GB2312"/>
          <w:szCs w:val="32"/>
        </w:rPr>
        <w:t>培训费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w:t>
      </w:r>
      <w:r>
        <w:rPr>
          <w:rFonts w:hint="eastAsia" w:ascii="仿宋_GB2312" w:hAnsi="仿宋_GB2312" w:eastAsia="仿宋_GB2312" w:cs="仿宋_GB2312"/>
          <w:szCs w:val="32"/>
        </w:rPr>
        <w:t>（如没有支出填0）</w:t>
      </w:r>
      <w:r>
        <w:rPr>
          <w:rFonts w:ascii="仿宋_GB2312" w:hAnsi="宋体" w:eastAsia="仿宋_GB2312" w:cs="仿宋_GB2312"/>
          <w:color w:val="000000"/>
          <w:kern w:val="0"/>
          <w:szCs w:val="32"/>
        </w:rPr>
        <w:t>，完成预算的</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lang w:val="en-US" w:eastAsia="zh-CN"/>
        </w:rPr>
        <w:t>一致</w:t>
      </w:r>
      <w:r>
        <w:rPr>
          <w:rFonts w:hint="eastAsia" w:ascii="仿宋_GB2312" w:hAnsi="宋体" w:eastAsia="仿宋_GB2312" w:cs="仿宋_GB2312"/>
          <w:color w:val="000000"/>
          <w:kern w:val="0"/>
          <w:szCs w:val="32"/>
        </w:rPr>
        <w:t>。</w:t>
      </w:r>
    </w:p>
    <w:p>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（四）会议费支出情况说明。</w:t>
      </w:r>
    </w:p>
    <w:p>
      <w:pPr>
        <w:widowControl/>
        <w:ind w:firstLine="640" w:firstLineChars="200"/>
        <w:jc w:val="left"/>
        <w:rPr>
          <w:rFonts w:hint="default" w:ascii="仿宋_GB2312" w:hAnsi="宋体" w:eastAsia="仿宋_GB2312" w:cs="仿宋_GB2312"/>
          <w:color w:val="000000"/>
          <w:kern w:val="0"/>
          <w:szCs w:val="32"/>
          <w:lang w:val="en-US" w:eastAsia="zh-CN"/>
        </w:rPr>
      </w:pPr>
      <w:r>
        <w:rPr>
          <w:rFonts w:hint="eastAsia" w:ascii="仿宋_GB2312" w:hAnsi="仿宋" w:eastAsia="仿宋_GB2312"/>
          <w:szCs w:val="32"/>
        </w:rPr>
        <w:t>2019年度</w:t>
      </w:r>
      <w:r>
        <w:rPr>
          <w:rFonts w:hint="eastAsia" w:ascii="仿宋_GB2312" w:hAnsi="仿宋_GB2312" w:eastAsia="仿宋_GB2312" w:cs="仿宋_GB2312"/>
          <w:szCs w:val="32"/>
        </w:rPr>
        <w:t>会议费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w:t>
      </w:r>
      <w:r>
        <w:rPr>
          <w:rFonts w:hint="eastAsia" w:ascii="仿宋_GB2312" w:hAnsi="仿宋_GB2312" w:eastAsia="仿宋_GB2312" w:cs="仿宋_GB2312"/>
          <w:szCs w:val="32"/>
        </w:rPr>
        <w:t>（如没有支出填0）</w:t>
      </w:r>
      <w:r>
        <w:rPr>
          <w:rFonts w:ascii="仿宋_GB2312" w:hAnsi="宋体" w:eastAsia="仿宋_GB2312" w:cs="仿宋_GB2312"/>
          <w:color w:val="000000"/>
          <w:kern w:val="0"/>
          <w:szCs w:val="32"/>
        </w:rPr>
        <w:t>，完成预算的</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lang w:val="en-US" w:eastAsia="zh-CN"/>
        </w:rPr>
        <w:t>一致。</w:t>
      </w:r>
    </w:p>
    <w:p>
      <w:pPr>
        <w:numPr>
          <w:ilvl w:val="0"/>
          <w:numId w:val="5"/>
        </w:numPr>
        <w:ind w:firstLine="640" w:firstLineChars="200"/>
        <w:rPr>
          <w:rFonts w:hint="eastAsia" w:ascii="黑体" w:hAnsi="黑体" w:eastAsia="黑体"/>
          <w:color w:val="000000"/>
          <w:kern w:val="0"/>
          <w:szCs w:val="32"/>
        </w:rPr>
      </w:pPr>
      <w:r>
        <w:rPr>
          <w:rFonts w:hint="eastAsia" w:ascii="黑体" w:hAnsi="黑体" w:eastAsia="黑体"/>
          <w:color w:val="000000"/>
          <w:kern w:val="0"/>
          <w:szCs w:val="32"/>
        </w:rPr>
        <w:t>政府性基金预算财政拨款收入支出情况说明</w:t>
      </w:r>
    </w:p>
    <w:p>
      <w:pPr>
        <w:numPr>
          <w:ilvl w:val="0"/>
          <w:numId w:val="0"/>
        </w:numPr>
        <w:rPr>
          <w:rFonts w:hint="default" w:ascii="黑体" w:hAnsi="黑体" w:eastAsia="仿宋"/>
          <w:color w:val="000000"/>
          <w:kern w:val="0"/>
          <w:szCs w:val="32"/>
          <w:lang w:val="en-US" w:eastAsia="zh-CN"/>
        </w:rPr>
      </w:pPr>
      <w:r>
        <w:rPr>
          <w:rFonts w:hint="eastAsia" w:ascii="黑体" w:hAnsi="黑体" w:eastAsia="黑体"/>
          <w:color w:val="000000"/>
          <w:kern w:val="0"/>
          <w:szCs w:val="32"/>
          <w:lang w:val="en-US" w:eastAsia="zh-CN"/>
        </w:rPr>
        <w:t xml:space="preserve">   </w:t>
      </w:r>
      <w:r>
        <w:rPr>
          <w:rFonts w:hint="eastAsia" w:ascii="仿宋" w:hAnsi="仿宋" w:eastAsia="仿宋" w:cs="仿宋"/>
          <w:sz w:val="32"/>
          <w:szCs w:val="32"/>
        </w:rPr>
        <w:t>201</w:t>
      </w:r>
      <w:r>
        <w:rPr>
          <w:rFonts w:hint="eastAsia" w:ascii="仿宋" w:hAnsi="仿宋" w:eastAsia="仿宋" w:cs="仿宋"/>
          <w:sz w:val="32"/>
          <w:szCs w:val="32"/>
          <w:lang w:val="en-US" w:eastAsia="zh-CN"/>
        </w:rPr>
        <w:t>9</w:t>
      </w:r>
      <w:r>
        <w:rPr>
          <w:rFonts w:hint="eastAsia" w:ascii="仿宋" w:hAnsi="仿宋" w:eastAsia="仿宋" w:cs="仿宋"/>
          <w:sz w:val="32"/>
          <w:szCs w:val="32"/>
        </w:rPr>
        <w:t>年度政府性基金预算财政拨款收支</w:t>
      </w:r>
      <w:r>
        <w:rPr>
          <w:rFonts w:hint="eastAsia" w:ascii="仿宋" w:hAnsi="仿宋" w:eastAsia="仿宋" w:cs="仿宋"/>
          <w:sz w:val="32"/>
          <w:szCs w:val="32"/>
          <w:lang w:val="en-US" w:eastAsia="zh-CN"/>
        </w:rPr>
        <w:t>8.79</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黑体" w:hAnsi="黑体" w:eastAsia="黑体"/>
          <w:color w:val="000000"/>
          <w:kern w:val="0"/>
          <w:szCs w:val="32"/>
          <w:lang w:val="en-US" w:eastAsia="zh-CN"/>
        </w:rPr>
        <w:t xml:space="preserve"> </w:t>
      </w:r>
      <w:r>
        <w:rPr>
          <w:rFonts w:hint="eastAsia" w:ascii="仿宋" w:hAnsi="仿宋" w:eastAsia="仿宋" w:cs="仿宋"/>
          <w:sz w:val="32"/>
          <w:szCs w:val="32"/>
        </w:rPr>
        <w:t>201</w:t>
      </w:r>
      <w:r>
        <w:rPr>
          <w:rFonts w:hint="eastAsia" w:ascii="仿宋" w:hAnsi="仿宋" w:eastAsia="仿宋" w:cs="仿宋"/>
          <w:sz w:val="32"/>
          <w:szCs w:val="32"/>
          <w:lang w:val="en-US" w:eastAsia="zh-CN"/>
        </w:rPr>
        <w:t>8</w:t>
      </w:r>
      <w:r>
        <w:rPr>
          <w:rFonts w:hint="eastAsia" w:ascii="仿宋" w:hAnsi="仿宋" w:eastAsia="仿宋" w:cs="仿宋"/>
          <w:sz w:val="32"/>
          <w:szCs w:val="32"/>
        </w:rPr>
        <w:t>年度政府性基金预算财政拨款收支</w:t>
      </w:r>
      <w:r>
        <w:rPr>
          <w:rFonts w:hint="eastAsia" w:ascii="仿宋" w:hAnsi="仿宋" w:eastAsia="仿宋" w:cs="仿宋"/>
          <w:sz w:val="32"/>
          <w:szCs w:val="32"/>
          <w:lang w:val="en-US" w:eastAsia="zh-CN"/>
        </w:rPr>
        <w:t>12.98万元，比上年减少4.19万元。</w:t>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九、国有资本经营财政拨款收入支出情况说明</w:t>
      </w:r>
    </w:p>
    <w:p>
      <w:pPr>
        <w:ind w:firstLine="640"/>
        <w:rPr>
          <w:rFonts w:hint="eastAsia" w:ascii="仿宋_GB2312" w:hAnsi="仿宋_GB2312" w:eastAsia="仿宋_GB2312" w:cs="仿宋_GB2312"/>
          <w:szCs w:val="32"/>
          <w:lang w:eastAsia="zh-CN"/>
        </w:rPr>
      </w:pPr>
      <w:r>
        <w:rPr>
          <w:rFonts w:hint="eastAsia" w:ascii="仿宋_GB2312" w:hAnsi="仿宋_GB2312" w:eastAsia="仿宋_GB2312" w:cs="仿宋_GB2312"/>
          <w:szCs w:val="32"/>
        </w:rPr>
        <w:t>本部门无国有资本经营决算拨款收支</w:t>
      </w:r>
      <w:r>
        <w:rPr>
          <w:rFonts w:hint="eastAsia" w:ascii="仿宋_GB2312" w:hAnsi="仿宋_GB2312" w:eastAsia="仿宋_GB2312" w:cs="仿宋_GB2312"/>
          <w:szCs w:val="32"/>
          <w:lang w:eastAsia="zh-CN"/>
        </w:rPr>
        <w:t>。</w:t>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十、预算绩效情况说明</w:t>
      </w:r>
    </w:p>
    <w:p>
      <w:pPr>
        <w:widowControl/>
        <w:ind w:firstLine="321" w:firstLineChars="1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（一）</w:t>
      </w:r>
      <w:r>
        <w:rPr>
          <w:rFonts w:ascii="楷体_GB2312" w:hAnsi="宋体" w:eastAsia="楷体_GB2312" w:cs="楷体_GB2312"/>
          <w:b/>
          <w:color w:val="000000"/>
          <w:kern w:val="0"/>
          <w:szCs w:val="32"/>
        </w:rPr>
        <w:t>预算绩效管理工作开展情况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ind w:firstLine="64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szCs w:val="32"/>
        </w:rPr>
        <w:t>根据预算绩效管理要求，本部门组织对2</w:t>
      </w:r>
      <w:r>
        <w:rPr>
          <w:rFonts w:ascii="仿宋_GB2312" w:hAnsi="仿宋_GB2312" w:eastAsia="仿宋_GB2312" w:cs="仿宋_GB2312"/>
          <w:szCs w:val="32"/>
        </w:rPr>
        <w:t>019</w:t>
      </w:r>
      <w:r>
        <w:rPr>
          <w:rFonts w:hint="eastAsia" w:ascii="仿宋_GB2312" w:hAnsi="仿宋_GB2312" w:eastAsia="仿宋_GB2312" w:cs="仿宋_GB2312"/>
          <w:szCs w:val="32"/>
        </w:rPr>
        <w:t>年度部门整体进行了绩效自评，涉及资金</w:t>
      </w:r>
      <w:r>
        <w:rPr>
          <w:rFonts w:hint="eastAsia" w:ascii="仿宋_GB2312" w:hAnsi="仿宋_GB2312" w:eastAsia="仿宋_GB2312" w:cs="仿宋_GB2312"/>
          <w:szCs w:val="32"/>
          <w:lang w:val="en-US" w:eastAsia="zh-CN"/>
        </w:rPr>
        <w:t>940.60</w:t>
      </w:r>
      <w:r>
        <w:rPr>
          <w:rFonts w:hint="eastAsia" w:ascii="仿宋_GB2312" w:hAnsi="仿宋_GB2312" w:eastAsia="仿宋_GB2312" w:cs="仿宋_GB2312"/>
          <w:szCs w:val="32"/>
        </w:rPr>
        <w:t>万元。</w:t>
      </w:r>
    </w:p>
    <w:p>
      <w:pPr>
        <w:widowControl/>
        <w:ind w:firstLine="321" w:firstLineChars="1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w:t>
      </w:r>
      <w:r>
        <w:rPr>
          <w:rFonts w:ascii="楷体_GB2312" w:hAnsi="宋体" w:eastAsia="楷体_GB2312" w:cs="楷体_GB2312"/>
          <w:b/>
          <w:color w:val="000000"/>
          <w:kern w:val="0"/>
          <w:szCs w:val="32"/>
        </w:rPr>
        <w:t>部门决算中项目绩效自评结果。</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640" w:firstLineChars="20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1、园区安全排查</w:t>
      </w:r>
      <w:r>
        <w:rPr>
          <w:rFonts w:ascii="仿宋_GB2312" w:hAnsi="仿宋_GB2312" w:eastAsia="仿宋_GB2312" w:cs="仿宋_GB2312"/>
          <w:color w:val="000000"/>
          <w:kern w:val="0"/>
          <w:sz w:val="31"/>
          <w:szCs w:val="31"/>
        </w:rPr>
        <w:t>项目绩效自评综述</w:t>
      </w:r>
      <w:r>
        <w:rPr>
          <w:rFonts w:hint="eastAsia" w:ascii="仿宋" w:hAnsi="仿宋" w:eastAsia="仿宋" w:cs="仿宋"/>
          <w:b w:val="0"/>
          <w:bCs w:val="0"/>
          <w:sz w:val="32"/>
          <w:szCs w:val="32"/>
          <w:lang w:val="en-US" w:eastAsia="zh-CN"/>
        </w:rPr>
        <w:t>：年初资金下达50万，实际支出48.22万，实际完成率96.44%。支付及时率100%。</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640" w:firstLineChars="20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2、光缆迁移</w:t>
      </w:r>
      <w:r>
        <w:rPr>
          <w:rFonts w:ascii="仿宋_GB2312" w:hAnsi="仿宋_GB2312" w:eastAsia="仿宋_GB2312" w:cs="仿宋_GB2312"/>
          <w:color w:val="000000"/>
          <w:kern w:val="0"/>
          <w:sz w:val="31"/>
          <w:szCs w:val="31"/>
        </w:rPr>
        <w:t>项目绩效自评综述</w:t>
      </w:r>
      <w:r>
        <w:rPr>
          <w:rFonts w:hint="eastAsia" w:ascii="仿宋" w:hAnsi="仿宋" w:eastAsia="仿宋" w:cs="仿宋"/>
          <w:b w:val="0"/>
          <w:bCs w:val="0"/>
          <w:sz w:val="32"/>
          <w:szCs w:val="32"/>
          <w:lang w:val="en-US" w:eastAsia="zh-CN"/>
        </w:rPr>
        <w:t>：为实施污水处理厂提标改造项目，安排光缆迁移费用30万,实际支出20.9万,实际完成率69.67%。支付及时率100%。</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640" w:firstLineChars="20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3、城乡社区支出</w:t>
      </w:r>
      <w:r>
        <w:rPr>
          <w:rFonts w:ascii="仿宋_GB2312" w:hAnsi="仿宋_GB2312" w:eastAsia="仿宋_GB2312" w:cs="仿宋_GB2312"/>
          <w:color w:val="000000"/>
          <w:kern w:val="0"/>
          <w:sz w:val="31"/>
          <w:szCs w:val="31"/>
        </w:rPr>
        <w:t>项目绩效自评综述</w:t>
      </w:r>
      <w:r>
        <w:rPr>
          <w:rFonts w:hint="eastAsia" w:ascii="仿宋" w:hAnsi="仿宋" w:eastAsia="仿宋" w:cs="仿宋"/>
          <w:b w:val="0"/>
          <w:bCs w:val="0"/>
          <w:sz w:val="32"/>
          <w:szCs w:val="32"/>
          <w:lang w:val="en-US" w:eastAsia="zh-CN"/>
        </w:rPr>
        <w:t>：园区三期基础建设财政下达补助资金800万，实际支出800万，实际完成率100%。支付及时率100%。</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79" w:firstLineChars="181"/>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根据年初设定的绩效目标，项目自评得分100分。项目全年预算数0万元，执行数902.81万元。</w:t>
      </w:r>
    </w:p>
    <w:p>
      <w:pPr>
        <w:widowControl/>
        <w:ind w:firstLine="321" w:firstLineChars="1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（三）部门决算中整体支出绩效自评结果。</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根据年初设定的绩效目标，</w:t>
      </w:r>
      <w:r>
        <w:rPr>
          <w:rFonts w:hint="eastAsia" w:ascii="仿宋_GB2312" w:hAnsi="仿宋_GB2312" w:eastAsia="仿宋_GB2312" w:cs="仿宋_GB2312"/>
          <w:color w:val="000000"/>
          <w:kern w:val="0"/>
          <w:sz w:val="31"/>
          <w:szCs w:val="31"/>
        </w:rPr>
        <w:t>本部门整体2019年度整体</w:t>
      </w:r>
      <w:r>
        <w:rPr>
          <w:rFonts w:ascii="仿宋_GB2312" w:hAnsi="仿宋_GB2312" w:eastAsia="仿宋_GB2312" w:cs="仿宋_GB2312"/>
          <w:color w:val="000000"/>
          <w:kern w:val="0"/>
          <w:sz w:val="31"/>
          <w:szCs w:val="31"/>
        </w:rPr>
        <w:t>自评得分</w:t>
      </w:r>
      <w:r>
        <w:rPr>
          <w:rFonts w:hint="eastAsia" w:ascii="仿宋_GB2312" w:hAnsi="仿宋_GB2312" w:eastAsia="仿宋_GB2312" w:cs="仿宋_GB2312"/>
          <w:color w:val="000000"/>
          <w:kern w:val="0"/>
          <w:sz w:val="31"/>
          <w:szCs w:val="31"/>
          <w:lang w:val="en-US" w:eastAsia="zh-CN"/>
        </w:rPr>
        <w:t>95</w:t>
      </w:r>
      <w:r>
        <w:rPr>
          <w:rFonts w:ascii="仿宋_GB2312" w:hAnsi="仿宋_GB2312" w:eastAsia="仿宋_GB2312" w:cs="仿宋_GB2312"/>
          <w:color w:val="000000"/>
          <w:kern w:val="0"/>
          <w:sz w:val="31"/>
          <w:szCs w:val="31"/>
        </w:rPr>
        <w:t>分。全年预算数</w:t>
      </w:r>
      <w:r>
        <w:rPr>
          <w:rFonts w:hint="eastAsia" w:ascii="仿宋_GB2312" w:hAnsi="仿宋_GB2312" w:eastAsia="仿宋_GB2312" w:cs="仿宋_GB2312"/>
          <w:color w:val="000000"/>
          <w:kern w:val="0"/>
          <w:sz w:val="31"/>
          <w:szCs w:val="31"/>
          <w:lang w:val="en-US" w:eastAsia="zh-CN"/>
        </w:rPr>
        <w:t>39.97</w:t>
      </w:r>
      <w:r>
        <w:rPr>
          <w:rFonts w:ascii="仿宋_GB2312" w:hAnsi="仿宋_GB2312" w:eastAsia="仿宋_GB2312" w:cs="仿宋_GB2312"/>
          <w:color w:val="000000"/>
          <w:kern w:val="0"/>
          <w:sz w:val="31"/>
          <w:szCs w:val="31"/>
        </w:rPr>
        <w:t>万元，执行数</w:t>
      </w:r>
      <w:r>
        <w:rPr>
          <w:rFonts w:hint="eastAsia" w:ascii="仿宋_GB2312" w:hAnsi="仿宋_GB2312" w:eastAsia="仿宋_GB2312" w:cs="仿宋_GB2312"/>
          <w:color w:val="000000"/>
          <w:kern w:val="0"/>
          <w:sz w:val="31"/>
          <w:szCs w:val="31"/>
          <w:lang w:val="en-US" w:eastAsia="zh-CN"/>
        </w:rPr>
        <w:t>940.60</w:t>
      </w:r>
      <w:r>
        <w:rPr>
          <w:rFonts w:ascii="仿宋_GB2312" w:hAnsi="仿宋_GB2312" w:eastAsia="仿宋_GB2312" w:cs="仿宋_GB2312"/>
          <w:color w:val="000000"/>
          <w:kern w:val="0"/>
          <w:sz w:val="31"/>
          <w:szCs w:val="31"/>
        </w:rPr>
        <w:t>万元，完成预算的</w:t>
      </w:r>
      <w:r>
        <w:rPr>
          <w:rFonts w:hint="eastAsia" w:ascii="仿宋_GB2312" w:hAnsi="仿宋_GB2312" w:eastAsia="仿宋_GB2312" w:cs="仿宋_GB2312"/>
          <w:color w:val="000000"/>
          <w:kern w:val="0"/>
          <w:sz w:val="31"/>
          <w:szCs w:val="31"/>
          <w:lang w:val="en-US" w:eastAsia="zh-CN"/>
        </w:rPr>
        <w:t>2332</w:t>
      </w:r>
      <w:r>
        <w:rPr>
          <w:rFonts w:ascii="仿宋_GB2312" w:hAnsi="仿宋_GB2312" w:eastAsia="仿宋_GB2312" w:cs="仿宋_GB2312"/>
          <w:color w:val="000000"/>
          <w:kern w:val="0"/>
          <w:sz w:val="31"/>
          <w:szCs w:val="31"/>
        </w:rPr>
        <w:t>%。</w:t>
      </w:r>
    </w:p>
    <w:p>
      <w:pPr>
        <w:widowControl/>
        <w:ind w:firstLine="620" w:firstLineChars="200"/>
        <w:jc w:val="left"/>
        <w:rPr>
          <w:rFonts w:hint="default" w:ascii="仿宋_GB2312" w:hAnsi="仿宋_GB2312" w:eastAsia="仿宋_GB2312" w:cs="仿宋_GB2312"/>
          <w:color w:val="000000"/>
          <w:kern w:val="0"/>
          <w:sz w:val="31"/>
          <w:szCs w:val="31"/>
          <w:lang w:val="en-US" w:eastAsia="zh-CN"/>
        </w:rPr>
      </w:pPr>
      <w:r>
        <w:rPr>
          <w:rFonts w:ascii="仿宋_GB2312" w:hAnsi="仿宋_GB2312" w:eastAsia="仿宋_GB2312" w:cs="仿宋_GB2312"/>
          <w:color w:val="000000"/>
          <w:kern w:val="0"/>
          <w:sz w:val="31"/>
          <w:szCs w:val="31"/>
        </w:rPr>
        <w:t>主要产出和效果：</w:t>
      </w:r>
      <w:r>
        <w:rPr>
          <w:rFonts w:hint="eastAsia" w:ascii="仿宋_GB2312" w:hAnsi="仿宋_GB2312" w:eastAsia="仿宋_GB2312" w:cs="仿宋_GB2312"/>
          <w:color w:val="000000"/>
          <w:kern w:val="0"/>
          <w:sz w:val="31"/>
          <w:szCs w:val="31"/>
          <w:lang w:val="en-US" w:eastAsia="zh-CN"/>
        </w:rPr>
        <w:t>保障了各项工作顺利开展，经济效益、社会效益、 生态效益明显提高。</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通过项目实施</w:t>
      </w:r>
      <w:r>
        <w:rPr>
          <w:rFonts w:hint="eastAsia" w:ascii="仿宋_GB2312" w:hAnsi="仿宋_GB2312" w:eastAsia="仿宋_GB2312" w:cs="仿宋_GB2312"/>
          <w:color w:val="000000"/>
          <w:kern w:val="0"/>
          <w:sz w:val="31"/>
          <w:szCs w:val="31"/>
          <w:lang w:eastAsia="zh-CN"/>
        </w:rPr>
        <w:t>：</w:t>
      </w:r>
      <w:r>
        <w:rPr>
          <w:rFonts w:hint="eastAsia" w:ascii="仿宋_GB2312" w:hAnsi="仿宋_GB2312" w:eastAsia="仿宋_GB2312" w:cs="仿宋_GB2312"/>
          <w:color w:val="000000"/>
          <w:kern w:val="0"/>
          <w:sz w:val="31"/>
          <w:szCs w:val="31"/>
          <w:lang w:val="en-US" w:eastAsia="zh-CN"/>
        </w:rPr>
        <w:t>园区基础设施得到改善，</w:t>
      </w:r>
      <w:r>
        <w:rPr>
          <w:rFonts w:hint="eastAsia" w:ascii="仿宋" w:hAnsi="仿宋" w:eastAsia="仿宋" w:cs="仿宋"/>
          <w:sz w:val="32"/>
          <w:szCs w:val="32"/>
          <w:lang w:val="en-US" w:eastAsia="zh-CN"/>
        </w:rPr>
        <w:t>水电路、照明、排水竣工，企业顺利入驻</w:t>
      </w:r>
      <w:r>
        <w:rPr>
          <w:rFonts w:hint="eastAsia" w:ascii="仿宋_GB2312" w:hAnsi="仿宋_GB2312" w:eastAsia="仿宋_GB2312" w:cs="仿宋_GB2312"/>
          <w:color w:val="000000"/>
          <w:kern w:val="0"/>
          <w:sz w:val="31"/>
          <w:szCs w:val="31"/>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620" w:firstLineChars="200"/>
        <w:jc w:val="both"/>
        <w:textAlignment w:val="auto"/>
        <w:outlineLvl w:val="9"/>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发现的问题及原因：</w:t>
      </w:r>
      <w:r>
        <w:rPr>
          <w:rFonts w:hint="eastAsia" w:ascii="仿宋_GB2312" w:hAnsi="仿宋_GB2312" w:eastAsia="仿宋_GB2312" w:cs="仿宋_GB2312"/>
          <w:color w:val="000000"/>
          <w:kern w:val="0"/>
          <w:sz w:val="31"/>
          <w:szCs w:val="31"/>
          <w:lang w:val="en-US" w:eastAsia="zh-CN"/>
        </w:rPr>
        <w:t>1、</w:t>
      </w:r>
      <w:r>
        <w:rPr>
          <w:rFonts w:hint="eastAsia" w:ascii="仿宋" w:hAnsi="仿宋" w:eastAsia="仿宋" w:cs="仿宋"/>
          <w:b w:val="0"/>
          <w:bCs w:val="0"/>
          <w:sz w:val="32"/>
          <w:szCs w:val="32"/>
          <w:lang w:val="en-US" w:eastAsia="zh-CN"/>
        </w:rPr>
        <w:t>预算编制不能完全满足部门实际需要，影响评价的准确性。2、财务制度不够完善，资产管理不够严谨，业务素质有待提高。</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620" w:firstLineChars="200"/>
        <w:jc w:val="both"/>
        <w:textAlignment w:val="auto"/>
        <w:outlineLvl w:val="9"/>
        <w:rPr>
          <w:rFonts w:hint="default" w:ascii="仿宋" w:hAnsi="仿宋" w:eastAsia="仿宋" w:cs="仿宋"/>
          <w:sz w:val="32"/>
          <w:szCs w:val="32"/>
          <w:lang w:val="en-US" w:eastAsia="zh-CN"/>
        </w:rPr>
      </w:pPr>
      <w:r>
        <w:rPr>
          <w:rFonts w:ascii="仿宋_GB2312" w:hAnsi="仿宋_GB2312" w:eastAsia="仿宋_GB2312" w:cs="仿宋_GB2312"/>
          <w:color w:val="000000"/>
          <w:kern w:val="0"/>
          <w:sz w:val="31"/>
          <w:szCs w:val="31"/>
        </w:rPr>
        <w:t>下一步改进措施：</w:t>
      </w:r>
      <w:r>
        <w:rPr>
          <w:rFonts w:hint="eastAsia" w:ascii="仿宋_GB2312" w:hAnsi="仿宋_GB2312" w:eastAsia="仿宋_GB2312" w:cs="仿宋_GB2312"/>
          <w:color w:val="000000"/>
          <w:kern w:val="0"/>
          <w:sz w:val="31"/>
          <w:szCs w:val="31"/>
          <w:lang w:val="en-US" w:eastAsia="zh-CN"/>
        </w:rPr>
        <w:t>1、</w:t>
      </w:r>
      <w:r>
        <w:rPr>
          <w:rFonts w:hint="eastAsia" w:ascii="仿宋" w:hAnsi="仿宋" w:eastAsia="仿宋" w:cs="仿宋"/>
          <w:sz w:val="32"/>
          <w:szCs w:val="32"/>
          <w:lang w:val="en-US" w:eastAsia="zh-CN"/>
        </w:rPr>
        <w:t>加强学习，提高思想认识。组织单位财务人员认真学习《预算法》等相关法规、制度，提高单位领导对全面预算管理的重视程度，增强财务人员的预算意识。2、加强预算编制的科学化，根据部门的实际支出需要，编制预算。3、加强固定资产的管理，做到管账和管实物相衔接。避免个人私自变动固定资产使用人。4、严格管理，控制公用经费支出。认真贯彻落实中央八项规定，严格按照规定开支有关经费，确保公用经费只减不增。5、规范财务运行，加强预算支出管理。建立健全并认真执行各项资金使用管理制度，建立内部控制机制，资金使用严格履行审批程序，确保资金支出合法、真实。严格落实会计核算、报销审批制度，加强对资金使用环节的监督。</w:t>
      </w:r>
    </w:p>
    <w:p>
      <w:pPr>
        <w:ind w:firstLine="640" w:firstLineChars="200"/>
        <w:rPr>
          <w:rFonts w:ascii="仿宋_GB2312" w:hAnsi="仿宋_GB2312" w:eastAsia="仿宋_GB2312" w:cs="仿宋_GB2312"/>
          <w:szCs w:val="32"/>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sectPr>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color w:val="000000"/>
          <w:kern w:val="0"/>
          <w:sz w:val="31"/>
          <w:szCs w:val="31"/>
        </w:rPr>
        <w:object>
          <v:shape id="_x0000_i1032" o:spt="75" alt="" type="#_x0000_t75" style="height:562.25pt;width:468.75pt;" o:ole="t" filled="f" o:preferrelative="t" stroked="f" coordsize="21600,21600">
            <v:path/>
            <v:fill on="f" focussize="0,0"/>
            <v:stroke on="f"/>
            <v:imagedata r:id="rId12" o:title=""/>
            <o:lock v:ext="edit" aspectratio="f"/>
            <w10:wrap type="none"/>
            <w10:anchorlock/>
          </v:shape>
          <o:OLEObject Type="Embed" ProgID="Excel.Sheet.12" ShapeID="_x0000_i1032" DrawAspect="Content" ObjectID="_1468075726" r:id="rId11">
            <o:LockedField>false</o:LockedField>
          </o:OLEObject>
        </w:object>
      </w:r>
    </w:p>
    <w:tbl>
      <w:tblPr>
        <w:tblStyle w:val="6"/>
        <w:tblpPr w:leftFromText="180" w:rightFromText="180" w:vertAnchor="page" w:horzAnchor="page" w:tblpXSpec="center" w:tblpY="1381"/>
        <w:tblW w:w="14708" w:type="dxa"/>
        <w:tblInd w:w="0" w:type="dxa"/>
        <w:tblLayout w:type="fixed"/>
        <w:tblCellMar>
          <w:top w:w="0" w:type="dxa"/>
          <w:left w:w="108" w:type="dxa"/>
          <w:bottom w:w="0" w:type="dxa"/>
          <w:right w:w="108" w:type="dxa"/>
        </w:tblCellMar>
      </w:tblPr>
      <w:tblGrid>
        <w:gridCol w:w="541"/>
        <w:gridCol w:w="633"/>
        <w:gridCol w:w="684"/>
        <w:gridCol w:w="360"/>
        <w:gridCol w:w="3251"/>
        <w:gridCol w:w="2579"/>
        <w:gridCol w:w="424"/>
        <w:gridCol w:w="672"/>
        <w:gridCol w:w="357"/>
        <w:gridCol w:w="479"/>
        <w:gridCol w:w="249"/>
        <w:gridCol w:w="587"/>
        <w:gridCol w:w="349"/>
        <w:gridCol w:w="249"/>
        <w:gridCol w:w="508"/>
        <w:gridCol w:w="1128"/>
        <w:gridCol w:w="118"/>
        <w:gridCol w:w="1540"/>
      </w:tblGrid>
      <w:tr>
        <w:tblPrEx>
          <w:tblLayout w:type="fixed"/>
          <w:tblCellMar>
            <w:top w:w="0" w:type="dxa"/>
            <w:left w:w="108" w:type="dxa"/>
            <w:bottom w:w="0" w:type="dxa"/>
            <w:right w:w="108" w:type="dxa"/>
          </w:tblCellMar>
        </w:tblPrEx>
        <w:trPr>
          <w:trHeight w:val="107" w:hRule="atLeast"/>
        </w:trPr>
        <w:tc>
          <w:tcPr>
            <w:tcW w:w="14708" w:type="dxa"/>
            <w:gridSpan w:val="18"/>
            <w:tcBorders>
              <w:top w:val="nil"/>
              <w:left w:val="nil"/>
              <w:bottom w:val="nil"/>
              <w:right w:val="nil"/>
            </w:tcBorders>
            <w:shd w:val="clear" w:color="auto" w:fill="auto"/>
            <w:vAlign w:val="center"/>
          </w:tcPr>
          <w:p>
            <w:pPr>
              <w:widowControl/>
              <w:jc w:val="center"/>
              <w:rPr>
                <w:rFonts w:ascii="黑体" w:hAnsi="黑体" w:eastAsia="黑体" w:cs="宋体"/>
                <w:kern w:val="0"/>
                <w:sz w:val="40"/>
                <w:szCs w:val="40"/>
              </w:rPr>
            </w:pPr>
            <w:r>
              <w:rPr>
                <w:rFonts w:hint="eastAsia" w:ascii="黑体" w:hAnsi="黑体" w:eastAsia="黑体" w:cs="宋体"/>
                <w:kern w:val="0"/>
                <w:sz w:val="40"/>
                <w:szCs w:val="40"/>
              </w:rPr>
              <w:t>部门整体支出绩效自评表</w:t>
            </w:r>
            <w:r>
              <w:rPr>
                <w:rFonts w:hint="eastAsia" w:ascii="黑体" w:hAnsi="黑体" w:eastAsia="黑体" w:cs="宋体"/>
                <w:kern w:val="0"/>
                <w:sz w:val="40"/>
                <w:szCs w:val="40"/>
              </w:rPr>
              <w:br w:type="textWrapping"/>
            </w:r>
            <w:r>
              <w:rPr>
                <w:rFonts w:hint="eastAsia" w:ascii="黑体" w:hAnsi="黑体" w:eastAsia="黑体" w:cs="宋体"/>
                <w:kern w:val="0"/>
                <w:sz w:val="20"/>
              </w:rPr>
              <w:t>（2019年度）</w:t>
            </w:r>
          </w:p>
        </w:tc>
      </w:tr>
      <w:tr>
        <w:tblPrEx>
          <w:tblLayout w:type="fixed"/>
          <w:tblCellMar>
            <w:top w:w="0" w:type="dxa"/>
            <w:left w:w="108" w:type="dxa"/>
            <w:bottom w:w="0" w:type="dxa"/>
            <w:right w:w="108" w:type="dxa"/>
          </w:tblCellMar>
        </w:tblPrEx>
        <w:trPr>
          <w:trHeight w:val="203" w:hRule="atLeast"/>
        </w:trPr>
        <w:tc>
          <w:tcPr>
            <w:tcW w:w="5469" w:type="dxa"/>
            <w:gridSpan w:val="5"/>
            <w:tcBorders>
              <w:top w:val="nil"/>
              <w:left w:val="nil"/>
              <w:bottom w:val="nil"/>
              <w:right w:val="nil"/>
            </w:tcBorders>
            <w:shd w:val="clear" w:color="auto" w:fill="auto"/>
            <w:vAlign w:val="center"/>
          </w:tcPr>
          <w:p>
            <w:pPr>
              <w:widowControl/>
              <w:jc w:val="left"/>
              <w:rPr>
                <w:rFonts w:hint="default" w:ascii="仿宋_GB2312" w:hAnsi="宋体" w:eastAsia="仿宋_GB2312" w:cs="宋体"/>
                <w:kern w:val="0"/>
                <w:sz w:val="24"/>
                <w:szCs w:val="24"/>
                <w:lang w:val="en-US" w:eastAsia="zh-CN"/>
              </w:rPr>
            </w:pPr>
            <w:r>
              <w:rPr>
                <w:rFonts w:hint="eastAsia" w:ascii="仿宋_GB2312" w:hAnsi="宋体" w:eastAsia="仿宋_GB2312" w:cs="宋体"/>
                <w:kern w:val="0"/>
                <w:sz w:val="24"/>
                <w:szCs w:val="24"/>
              </w:rPr>
              <w:t>填报单位:陕西蓝田西北家具工业园管委会</w:t>
            </w:r>
          </w:p>
        </w:tc>
        <w:tc>
          <w:tcPr>
            <w:tcW w:w="2579" w:type="dxa"/>
            <w:tcBorders>
              <w:top w:val="nil"/>
              <w:left w:val="nil"/>
              <w:bottom w:val="nil"/>
              <w:right w:val="nil"/>
            </w:tcBorders>
            <w:shd w:val="clear" w:color="auto" w:fill="auto"/>
            <w:vAlign w:val="center"/>
          </w:tcPr>
          <w:p>
            <w:pPr>
              <w:widowControl/>
              <w:jc w:val="center"/>
              <w:rPr>
                <w:rFonts w:hint="eastAsia" w:ascii="仿宋_GB2312" w:hAnsi="宋体" w:eastAsia="仿宋_GB2312" w:cs="宋体"/>
                <w:kern w:val="0"/>
                <w:sz w:val="24"/>
                <w:szCs w:val="24"/>
                <w:lang w:eastAsia="zh-CN"/>
              </w:rPr>
            </w:pPr>
            <w:r>
              <w:rPr>
                <w:rFonts w:hint="eastAsia" w:ascii="仿宋_GB2312" w:hAnsi="宋体" w:eastAsia="仿宋_GB2312" w:cs="宋体"/>
                <w:kern w:val="0"/>
                <w:sz w:val="24"/>
                <w:szCs w:val="24"/>
              </w:rPr>
              <w:t>自评得分：9</w:t>
            </w:r>
            <w:r>
              <w:rPr>
                <w:rFonts w:hint="eastAsia" w:ascii="仿宋_GB2312" w:hAnsi="宋体" w:eastAsia="仿宋_GB2312" w:cs="宋体"/>
                <w:kern w:val="0"/>
                <w:sz w:val="24"/>
                <w:szCs w:val="24"/>
                <w:lang w:val="en-US" w:eastAsia="zh-CN"/>
              </w:rPr>
              <w:t>5</w:t>
            </w:r>
          </w:p>
        </w:tc>
        <w:tc>
          <w:tcPr>
            <w:tcW w:w="1096" w:type="dxa"/>
            <w:gridSpan w:val="2"/>
            <w:tcBorders>
              <w:top w:val="nil"/>
              <w:left w:val="nil"/>
              <w:bottom w:val="nil"/>
              <w:right w:val="nil"/>
            </w:tcBorders>
            <w:shd w:val="clear" w:color="auto" w:fill="auto"/>
            <w:vAlign w:val="center"/>
          </w:tcPr>
          <w:p>
            <w:pPr>
              <w:widowControl/>
              <w:jc w:val="center"/>
              <w:rPr>
                <w:rFonts w:ascii="仿宋_GB2312" w:hAnsi="宋体" w:eastAsia="仿宋_GB2312" w:cs="宋体"/>
                <w:kern w:val="0"/>
                <w:sz w:val="24"/>
                <w:szCs w:val="24"/>
              </w:rPr>
            </w:pPr>
          </w:p>
        </w:tc>
        <w:tc>
          <w:tcPr>
            <w:tcW w:w="836" w:type="dxa"/>
            <w:gridSpan w:val="2"/>
            <w:tcBorders>
              <w:top w:val="nil"/>
              <w:left w:val="nil"/>
              <w:bottom w:val="nil"/>
              <w:right w:val="nil"/>
            </w:tcBorders>
            <w:shd w:val="clear" w:color="auto" w:fill="auto"/>
            <w:vAlign w:val="center"/>
          </w:tcPr>
          <w:p>
            <w:pPr>
              <w:widowControl/>
              <w:jc w:val="center"/>
              <w:rPr>
                <w:rFonts w:ascii="仿宋_GB2312" w:hAnsi="宋体" w:eastAsia="仿宋_GB2312" w:cs="宋体"/>
                <w:kern w:val="0"/>
                <w:sz w:val="24"/>
                <w:szCs w:val="24"/>
              </w:rPr>
            </w:pPr>
          </w:p>
        </w:tc>
        <w:tc>
          <w:tcPr>
            <w:tcW w:w="836" w:type="dxa"/>
            <w:gridSpan w:val="2"/>
            <w:tcBorders>
              <w:top w:val="nil"/>
              <w:left w:val="nil"/>
              <w:bottom w:val="nil"/>
              <w:right w:val="nil"/>
            </w:tcBorders>
            <w:shd w:val="clear" w:color="auto" w:fill="auto"/>
            <w:vAlign w:val="center"/>
          </w:tcPr>
          <w:p>
            <w:pPr>
              <w:widowControl/>
              <w:jc w:val="center"/>
              <w:rPr>
                <w:rFonts w:ascii="仿宋_GB2312" w:hAnsi="宋体" w:eastAsia="仿宋_GB2312" w:cs="宋体"/>
                <w:kern w:val="0"/>
                <w:sz w:val="24"/>
                <w:szCs w:val="24"/>
              </w:rPr>
            </w:pPr>
          </w:p>
        </w:tc>
        <w:tc>
          <w:tcPr>
            <w:tcW w:w="598" w:type="dxa"/>
            <w:gridSpan w:val="2"/>
            <w:tcBorders>
              <w:top w:val="nil"/>
              <w:left w:val="nil"/>
              <w:bottom w:val="nil"/>
              <w:right w:val="nil"/>
            </w:tcBorders>
            <w:shd w:val="clear" w:color="auto" w:fill="auto"/>
            <w:vAlign w:val="center"/>
          </w:tcPr>
          <w:p>
            <w:pPr>
              <w:widowControl/>
              <w:jc w:val="center"/>
              <w:rPr>
                <w:rFonts w:ascii="仿宋_GB2312" w:hAnsi="宋体" w:eastAsia="仿宋_GB2312" w:cs="宋体"/>
                <w:kern w:val="0"/>
                <w:sz w:val="24"/>
                <w:szCs w:val="24"/>
              </w:rPr>
            </w:pPr>
          </w:p>
        </w:tc>
        <w:tc>
          <w:tcPr>
            <w:tcW w:w="1636" w:type="dxa"/>
            <w:gridSpan w:val="2"/>
            <w:tcBorders>
              <w:top w:val="nil"/>
              <w:left w:val="nil"/>
              <w:bottom w:val="nil"/>
              <w:right w:val="nil"/>
            </w:tcBorders>
            <w:shd w:val="clear" w:color="auto" w:fill="auto"/>
            <w:noWrap/>
            <w:vAlign w:val="center"/>
          </w:tcPr>
          <w:p>
            <w:pPr>
              <w:widowControl/>
              <w:jc w:val="center"/>
              <w:rPr>
                <w:rFonts w:ascii="宋体" w:hAnsi="宋体" w:eastAsia="宋体" w:cs="宋体"/>
                <w:kern w:val="0"/>
                <w:sz w:val="24"/>
                <w:szCs w:val="24"/>
              </w:rPr>
            </w:pPr>
          </w:p>
        </w:tc>
        <w:tc>
          <w:tcPr>
            <w:tcW w:w="1658" w:type="dxa"/>
            <w:gridSpan w:val="2"/>
            <w:tcBorders>
              <w:top w:val="nil"/>
              <w:left w:val="nil"/>
              <w:bottom w:val="nil"/>
              <w:right w:val="nil"/>
            </w:tcBorders>
            <w:shd w:val="clear" w:color="auto" w:fill="auto"/>
            <w:noWrap/>
            <w:vAlign w:val="center"/>
          </w:tcPr>
          <w:p>
            <w:pPr>
              <w:widowControl/>
              <w:jc w:val="left"/>
              <w:rPr>
                <w:rFonts w:ascii="宋体" w:hAnsi="宋体" w:eastAsia="宋体" w:cs="宋体"/>
                <w:kern w:val="0"/>
                <w:sz w:val="24"/>
                <w:szCs w:val="24"/>
              </w:rPr>
            </w:pPr>
          </w:p>
        </w:tc>
      </w:tr>
      <w:tr>
        <w:tblPrEx>
          <w:tblLayout w:type="fixed"/>
          <w:tblCellMar>
            <w:top w:w="0" w:type="dxa"/>
            <w:left w:w="108" w:type="dxa"/>
            <w:bottom w:w="0" w:type="dxa"/>
            <w:right w:w="108" w:type="dxa"/>
          </w:tblCellMar>
        </w:tblPrEx>
        <w:trPr>
          <w:trHeight w:val="451" w:hRule="atLeast"/>
        </w:trPr>
        <w:tc>
          <w:tcPr>
            <w:tcW w:w="546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rPr>
            </w:pPr>
            <w:r>
              <w:rPr>
                <w:rFonts w:hint="eastAsia" w:ascii="仿宋_GB2312" w:hAnsi="宋体" w:eastAsia="仿宋_GB2312" w:cs="宋体"/>
                <w:kern w:val="0"/>
                <w:sz w:val="20"/>
              </w:rPr>
              <w:t>（一）简要概述部门职能与职责。</w:t>
            </w:r>
          </w:p>
        </w:tc>
        <w:tc>
          <w:tcPr>
            <w:tcW w:w="9239" w:type="dxa"/>
            <w:gridSpan w:val="13"/>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rPr>
            </w:pPr>
            <w:r>
              <w:rPr>
                <w:rFonts w:hint="eastAsia" w:ascii="仿宋_GB2312" w:hAnsi="宋体" w:eastAsia="仿宋_GB2312" w:cs="仿宋_GB2312"/>
                <w:i w:val="0"/>
                <w:color w:val="000000"/>
                <w:kern w:val="0"/>
                <w:sz w:val="20"/>
                <w:szCs w:val="20"/>
                <w:u w:val="none"/>
                <w:lang w:val="en-US" w:eastAsia="zh-CN" w:bidi="ar"/>
              </w:rPr>
              <w:t>贯彻执行中央、省、市县关于工业园区的各项工作方针政策，依法制定园区有关管理办法并组织实施。</w:t>
            </w:r>
          </w:p>
        </w:tc>
      </w:tr>
      <w:tr>
        <w:tblPrEx>
          <w:tblLayout w:type="fixed"/>
          <w:tblCellMar>
            <w:top w:w="0" w:type="dxa"/>
            <w:left w:w="108" w:type="dxa"/>
            <w:bottom w:w="0" w:type="dxa"/>
            <w:right w:w="108" w:type="dxa"/>
          </w:tblCellMar>
        </w:tblPrEx>
        <w:trPr>
          <w:trHeight w:val="530" w:hRule="atLeast"/>
        </w:trPr>
        <w:tc>
          <w:tcPr>
            <w:tcW w:w="546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rPr>
              <w:t>（二）简要概述部门支出情况，按活动内容分类。</w:t>
            </w:r>
          </w:p>
        </w:tc>
        <w:tc>
          <w:tcPr>
            <w:tcW w:w="9239" w:type="dxa"/>
            <w:gridSpan w:val="13"/>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rPr>
              <w:t>2019年度家具工业园财政支出940.6万元，其中：基本支出37.79万元、项目支出902.81万元。</w:t>
            </w:r>
            <w:bookmarkStart w:id="0" w:name="_GoBack"/>
            <w:bookmarkEnd w:id="0"/>
          </w:p>
        </w:tc>
      </w:tr>
      <w:tr>
        <w:tblPrEx>
          <w:tblLayout w:type="fixed"/>
          <w:tblCellMar>
            <w:top w:w="0" w:type="dxa"/>
            <w:left w:w="108" w:type="dxa"/>
            <w:bottom w:w="0" w:type="dxa"/>
            <w:right w:w="108" w:type="dxa"/>
          </w:tblCellMar>
        </w:tblPrEx>
        <w:trPr>
          <w:trHeight w:val="87" w:hRule="atLeast"/>
        </w:trPr>
        <w:tc>
          <w:tcPr>
            <w:tcW w:w="546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rPr>
              <w:t>（三）简要概述当重点工作。</w:t>
            </w:r>
          </w:p>
        </w:tc>
        <w:tc>
          <w:tcPr>
            <w:tcW w:w="9239" w:type="dxa"/>
            <w:gridSpan w:val="13"/>
            <w:tcBorders>
              <w:top w:val="single" w:color="auto" w:sz="4" w:space="0"/>
              <w:left w:val="nil"/>
              <w:bottom w:val="single" w:color="auto" w:sz="4" w:space="0"/>
              <w:right w:val="single" w:color="000000" w:sz="4" w:space="0"/>
            </w:tcBorders>
            <w:shd w:val="clear" w:color="auto" w:fill="auto"/>
            <w:vAlign w:val="center"/>
          </w:tcPr>
          <w:p>
            <w:pPr>
              <w:widowControl/>
              <w:spacing w:line="240" w:lineRule="exact"/>
              <w:jc w:val="left"/>
              <w:rPr>
                <w:rFonts w:ascii="仿宋_GB2312" w:hAnsi="宋体" w:eastAsia="仿宋_GB2312" w:cs="宋体"/>
                <w:kern w:val="0"/>
                <w:sz w:val="20"/>
              </w:rPr>
            </w:pPr>
          </w:p>
        </w:tc>
      </w:tr>
      <w:tr>
        <w:tblPrEx>
          <w:tblLayout w:type="fixed"/>
          <w:tblCellMar>
            <w:top w:w="0" w:type="dxa"/>
            <w:left w:w="108" w:type="dxa"/>
            <w:bottom w:w="0" w:type="dxa"/>
            <w:right w:w="108" w:type="dxa"/>
          </w:tblCellMar>
        </w:tblPrEx>
        <w:trPr>
          <w:trHeight w:val="124" w:hRule="atLeast"/>
        </w:trPr>
        <w:tc>
          <w:tcPr>
            <w:tcW w:w="541"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33"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分值</w:t>
            </w:r>
          </w:p>
        </w:tc>
        <w:tc>
          <w:tcPr>
            <w:tcW w:w="3251"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评分标准</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指标值计算公式和数据获取方式</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年初目标值</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实际完成值</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未完成原因分析与改进措施</w:t>
            </w:r>
          </w:p>
        </w:tc>
        <w:tc>
          <w:tcPr>
            <w:tcW w:w="154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绩效指标分析与建议</w:t>
            </w:r>
          </w:p>
        </w:tc>
      </w:tr>
      <w:tr>
        <w:tblPrEx>
          <w:tblLayout w:type="fixed"/>
          <w:tblCellMar>
            <w:top w:w="0" w:type="dxa"/>
            <w:left w:w="108" w:type="dxa"/>
            <w:bottom w:w="0" w:type="dxa"/>
            <w:right w:w="108" w:type="dxa"/>
          </w:tblCellMar>
        </w:tblPrEx>
        <w:trPr>
          <w:trHeight w:val="335" w:hRule="atLeast"/>
        </w:trPr>
        <w:tc>
          <w:tcPr>
            <w:tcW w:w="541"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投入</w:t>
            </w:r>
          </w:p>
        </w:tc>
        <w:tc>
          <w:tcPr>
            <w:tcW w:w="63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预算执行（25分）</w:t>
            </w: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完成率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（10分）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10</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预算完成率=（预算完成数/预算数）×100%，用以反映和考核部门（单位）预算完成程度。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预算完成数：部门（单位）本年度实际完成的预算数。</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预算数：财政部门批复的本年度部门（单位）预算数。</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预算完成率＝100%的，得10分。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预算完成率≥95%的，得9分。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预算完成率在90%（含）和95%之间，得8分。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预算完成率在85%（含）和90%之间，得7分。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预算完成率在80%（含）和85%之间，得6分。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预算完成率在70%（含）和80%之间，得4分。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预算完成率＜70%的，得0分。</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2019年决算取数。预算完成率=（财政拨款支出/财政拨款收入）*100%</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rPr>
              <w:t>100%</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rPr>
              <w:t>100%</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10</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tblPrEx>
          <w:tblLayout w:type="fixed"/>
          <w:tblCellMar>
            <w:top w:w="0" w:type="dxa"/>
            <w:left w:w="108" w:type="dxa"/>
            <w:bottom w:w="0" w:type="dxa"/>
            <w:right w:w="108" w:type="dxa"/>
          </w:tblCellMar>
        </w:tblPrEx>
        <w:trPr>
          <w:trHeight w:val="2026" w:hRule="atLeast"/>
        </w:trPr>
        <w:tc>
          <w:tcPr>
            <w:tcW w:w="541"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预算调整率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预算调整率=（预算调整数/预算数）×100%，用以反映和考核部门（单位）预算的调整程度。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预算调整数：部门（单位）在本年度内涉及预算的追加、追减或结构调整的资金总和（因落实国家政策、发生不可抗力、上级部门或本级党委政府临时交办而产生的调整除外）。</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预算包括一般公共预算与政府性基金预算。</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预算调整率绝对值≤5%，得5分。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预算调整率绝对值＞5%的，每增加0.1个百分点扣0.1分，扣完为止。</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2019年决算取数。预算调整率=（预算调整数/预算数）×100%</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Arial" w:hAnsi="Arial" w:eastAsia="宋体" w:cs="Arial"/>
                <w:kern w:val="0"/>
                <w:sz w:val="20"/>
              </w:rPr>
            </w:pPr>
            <w:r>
              <w:rPr>
                <w:rFonts w:ascii="Arial" w:hAnsi="Arial" w:eastAsia="宋体" w:cs="Arial"/>
                <w:kern w:val="0"/>
                <w:sz w:val="20"/>
              </w:rPr>
              <w:t>≤</w:t>
            </w:r>
            <w:r>
              <w:rPr>
                <w:rFonts w:hint="eastAsia" w:ascii="楷体_GB2312" w:hAnsi="Arial" w:eastAsia="楷体_GB2312" w:cs="Arial"/>
                <w:kern w:val="0"/>
                <w:sz w:val="20"/>
              </w:rPr>
              <w:t>5%</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lang w:val="en-US" w:eastAsia="zh-CN"/>
              </w:rPr>
              <w:t>2256</w:t>
            </w:r>
            <w:r>
              <w:rPr>
                <w:rFonts w:hint="eastAsia" w:ascii="楷体_GB2312" w:hAnsi="宋体" w:eastAsia="楷体_GB2312" w:cs="宋体"/>
                <w:kern w:val="0"/>
                <w:sz w:val="20"/>
              </w:rPr>
              <w:t>%</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0</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加强年初预算管理，提高财政预算精确度。</w:t>
            </w:r>
          </w:p>
        </w:tc>
        <w:tc>
          <w:tcPr>
            <w:tcW w:w="1540"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仿宋_GB2312" w:hAnsi="宋体" w:eastAsia="仿宋_GB2312" w:cs="宋体"/>
                <w:kern w:val="0"/>
                <w:sz w:val="20"/>
              </w:rPr>
            </w:pPr>
            <w:r>
              <w:rPr>
                <w:rFonts w:hint="eastAsia" w:ascii="仿宋_GB2312" w:hAnsi="宋体" w:eastAsia="仿宋_GB2312" w:cs="宋体"/>
                <w:kern w:val="0"/>
                <w:sz w:val="20"/>
              </w:rPr>
              <w:t>预算调整主要为项目预算追加，建议年初增加部门项目预算。</w:t>
            </w:r>
          </w:p>
        </w:tc>
      </w:tr>
      <w:tr>
        <w:tblPrEx>
          <w:tblLayout w:type="fixed"/>
          <w:tblCellMar>
            <w:top w:w="0" w:type="dxa"/>
            <w:left w:w="108" w:type="dxa"/>
            <w:bottom w:w="0" w:type="dxa"/>
            <w:right w:w="108" w:type="dxa"/>
          </w:tblCellMar>
        </w:tblPrEx>
        <w:trPr>
          <w:trHeight w:val="756" w:hRule="atLeast"/>
        </w:trPr>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33"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84"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3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分值</w:t>
            </w:r>
          </w:p>
        </w:tc>
        <w:tc>
          <w:tcPr>
            <w:tcW w:w="3251"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3003"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评分标准</w:t>
            </w:r>
          </w:p>
          <w:p>
            <w:pPr>
              <w:rPr>
                <w:rFonts w:ascii="楷体_GB2312" w:hAnsi="宋体" w:eastAsia="楷体_GB2312" w:cs="宋体"/>
                <w:sz w:val="20"/>
              </w:rPr>
            </w:pPr>
          </w:p>
          <w:p>
            <w:pPr>
              <w:rPr>
                <w:rFonts w:ascii="楷体_GB2312" w:hAnsi="宋体" w:eastAsia="楷体_GB2312" w:cs="宋体"/>
                <w:sz w:val="20"/>
              </w:rPr>
            </w:pPr>
          </w:p>
        </w:tc>
        <w:tc>
          <w:tcPr>
            <w:tcW w:w="1029"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指标值计算公式和数据获取方式</w:t>
            </w:r>
          </w:p>
        </w:tc>
        <w:tc>
          <w:tcPr>
            <w:tcW w:w="728"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年初目标值</w:t>
            </w:r>
          </w:p>
        </w:tc>
        <w:tc>
          <w:tcPr>
            <w:tcW w:w="936"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实际完成值</w:t>
            </w:r>
          </w:p>
        </w:tc>
        <w:tc>
          <w:tcPr>
            <w:tcW w:w="757"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1246"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未完成原因分析与改进措施</w:t>
            </w:r>
          </w:p>
        </w:tc>
        <w:tc>
          <w:tcPr>
            <w:tcW w:w="1540"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绩效指标分析与建议</w:t>
            </w:r>
          </w:p>
        </w:tc>
      </w:tr>
      <w:tr>
        <w:tblPrEx>
          <w:tblLayout w:type="fixed"/>
          <w:tblCellMar>
            <w:top w:w="0" w:type="dxa"/>
            <w:left w:w="108" w:type="dxa"/>
            <w:bottom w:w="0" w:type="dxa"/>
            <w:right w:w="108" w:type="dxa"/>
          </w:tblCellMar>
        </w:tblPrEx>
        <w:trPr>
          <w:trHeight w:val="2187" w:hRule="atLeast"/>
        </w:trPr>
        <w:tc>
          <w:tcPr>
            <w:tcW w:w="541"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投入</w:t>
            </w:r>
          </w:p>
        </w:tc>
        <w:tc>
          <w:tcPr>
            <w:tcW w:w="63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预算执行（25分）</w:t>
            </w: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支出进度率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支出进度率=（实际支出/支出预算）×100%，用以反映和考核部门（单位）预算执行的及时性和均衡性程度。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半年支出进度＝部门上半年实际支出/（上年结余结转+本年部门预算安排+上半年执行中追加追减）*100%。</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前三季度支出进度＝部门前三季度实际支出/（上年结余结转+本年部门预算安排+前三季度执行中追加追减）*100%。</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半年进度：进度率≥45%，得2分；进度率在40%（含）和45%之间，得1分；进度率＜40%，得0分。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前三季度进度：进度率≥75%，得3分；进度率在60%（含）和75%之间，得2分；进度率＜60%，得0分。</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国库集中支付系统。支出进度率=（实际支出/支出预算）×100%</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半年支出进度</w:t>
            </w:r>
            <w:r>
              <w:rPr>
                <w:rFonts w:ascii="Arial" w:hAnsi="Arial" w:eastAsia="楷体_GB2312" w:cs="Arial"/>
                <w:kern w:val="0"/>
                <w:sz w:val="20"/>
              </w:rPr>
              <w:t>≥</w:t>
            </w:r>
            <w:r>
              <w:rPr>
                <w:rFonts w:hint="eastAsia" w:ascii="楷体_GB2312" w:hAnsi="宋体" w:eastAsia="楷体_GB2312" w:cs="宋体"/>
                <w:kern w:val="0"/>
                <w:sz w:val="20"/>
              </w:rPr>
              <w:t>50%，第三季度支出进度≥50%。</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半年支出进度</w:t>
            </w:r>
            <w:r>
              <w:rPr>
                <w:rFonts w:ascii="Arial" w:hAnsi="Arial" w:eastAsia="楷体_GB2312" w:cs="Arial"/>
                <w:kern w:val="0"/>
                <w:sz w:val="20"/>
              </w:rPr>
              <w:t>≥</w:t>
            </w:r>
            <w:r>
              <w:rPr>
                <w:rFonts w:hint="eastAsia" w:ascii="楷体_GB2312" w:hAnsi="宋体" w:eastAsia="楷体_GB2312" w:cs="宋体"/>
                <w:kern w:val="0"/>
                <w:sz w:val="20"/>
              </w:rPr>
              <w:t>50%，第三季度支出进度≥50%。</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tblPrEx>
          <w:tblLayout w:type="fixed"/>
          <w:tblCellMar>
            <w:top w:w="0" w:type="dxa"/>
            <w:left w:w="108" w:type="dxa"/>
            <w:bottom w:w="0" w:type="dxa"/>
            <w:right w:w="108" w:type="dxa"/>
          </w:tblCellMar>
        </w:tblPrEx>
        <w:trPr>
          <w:trHeight w:val="1058" w:hRule="atLeast"/>
        </w:trPr>
        <w:tc>
          <w:tcPr>
            <w:tcW w:w="541"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预算编制准确率（5分）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部门预算中除财政拨款外的其他收入预算与决算差异率。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预算编制准确率＝其他收入决算数/其他收入预算数×100%-100%。</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预算编制准确率≤20%，得5分。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预算编制准确率在20%和40%（含）之间，得3分。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预算编制准确率＞40%，得0分。</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2019年初预算和决算数。预算编制准确率≤20%</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预算编制准确率≤20%</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预算编制准确率≤20%</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tblPrEx>
          <w:tblLayout w:type="fixed"/>
          <w:tblCellMar>
            <w:top w:w="0" w:type="dxa"/>
            <w:left w:w="108" w:type="dxa"/>
            <w:bottom w:w="0" w:type="dxa"/>
            <w:right w:w="108" w:type="dxa"/>
          </w:tblCellMar>
        </w:tblPrEx>
        <w:trPr>
          <w:trHeight w:val="2206" w:hRule="atLeast"/>
        </w:trPr>
        <w:tc>
          <w:tcPr>
            <w:tcW w:w="541"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过程</w:t>
            </w:r>
          </w:p>
        </w:tc>
        <w:tc>
          <w:tcPr>
            <w:tcW w:w="63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预算管理（15分）</w:t>
            </w: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“三公经费”控制率=（“三公经费”实际支出数/“三公经费”预算安排数）×100%，用以反映和考核部门（单位）对“三公经费”的实际控制程度。</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 ≤100%，得5分，每增加0.1个百分点扣0.5分，扣完为止。</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2019年预算和决算数。三公经费”控制率=（“三公经费”实际支出数/“三公经费”预算安排数）×100%</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三公经费控制率≤100%</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lang w:val="en-US" w:eastAsia="zh-CN"/>
              </w:rPr>
              <w:t>100</w:t>
            </w:r>
            <w:r>
              <w:rPr>
                <w:rFonts w:hint="eastAsia" w:ascii="楷体_GB2312" w:hAnsi="宋体" w:eastAsia="楷体_GB2312" w:cs="宋体"/>
                <w:kern w:val="0"/>
                <w:sz w:val="20"/>
              </w:rPr>
              <w:t>%</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hint="eastAsia" w:ascii="楷体_GB2312" w:hAnsi="宋体" w:eastAsia="楷体_GB2312" w:cs="宋体"/>
                <w:kern w:val="0"/>
                <w:sz w:val="20"/>
                <w:lang w:eastAsia="zh-CN"/>
              </w:rPr>
            </w:pPr>
            <w:r>
              <w:rPr>
                <w:rFonts w:hint="eastAsia" w:ascii="楷体_GB2312" w:hAnsi="宋体" w:eastAsia="楷体_GB2312" w:cs="宋体"/>
                <w:kern w:val="0"/>
                <w:sz w:val="20"/>
                <w:lang w:val="en-US" w:eastAsia="zh-CN"/>
              </w:rPr>
              <w:t>5</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hint="eastAsia" w:ascii="仿宋_GB2312" w:hAnsi="宋体" w:eastAsia="仿宋_GB2312" w:cs="宋体"/>
                <w:kern w:val="0"/>
                <w:sz w:val="20"/>
                <w:lang w:val="en-US" w:eastAsia="zh-CN"/>
              </w:rPr>
            </w:pPr>
            <w:r>
              <w:rPr>
                <w:rFonts w:hint="eastAsia" w:ascii="仿宋_GB2312" w:hAnsi="宋体" w:eastAsia="仿宋_GB2312" w:cs="宋体"/>
                <w:kern w:val="0"/>
                <w:sz w:val="20"/>
                <w:lang w:val="en-US" w:eastAsia="zh-CN"/>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tblPrEx>
          <w:tblLayout w:type="fixed"/>
          <w:tblCellMar>
            <w:top w:w="0" w:type="dxa"/>
            <w:left w:w="108" w:type="dxa"/>
            <w:bottom w:w="0" w:type="dxa"/>
            <w:right w:w="108" w:type="dxa"/>
          </w:tblCellMar>
        </w:tblPrEx>
        <w:trPr>
          <w:trHeight w:val="216" w:hRule="atLeast"/>
        </w:trPr>
        <w:tc>
          <w:tcPr>
            <w:tcW w:w="541"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资产管理规范性</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部门（单位）资产管理是否规范，用以反映和考核部门（单位）资产管理情况。</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1.新增资产配置按预算执行。</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2.资产有偿使用、处置按规定程序审批。</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3.资产收益及时、足额上缴财政。</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全部符合5分，有1项不符扣2分,扣完为止。</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按照蓝田县财政局关于行政事业单位国有资产管理规定</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资产管理严格按照规定执行</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资产管理严格按照规定执行</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加快资产购置和处置审批，提高资产管理效率。</w:t>
            </w:r>
          </w:p>
        </w:tc>
      </w:tr>
      <w:tr>
        <w:tblPrEx>
          <w:tblLayout w:type="fixed"/>
          <w:tblCellMar>
            <w:top w:w="0" w:type="dxa"/>
            <w:left w:w="108" w:type="dxa"/>
            <w:bottom w:w="0" w:type="dxa"/>
            <w:right w:w="108" w:type="dxa"/>
          </w:tblCellMar>
        </w:tblPrEx>
        <w:trPr>
          <w:trHeight w:val="216" w:hRule="atLeast"/>
        </w:trPr>
        <w:tc>
          <w:tcPr>
            <w:tcW w:w="541" w:type="dxa"/>
            <w:tcBorders>
              <w:top w:val="nil"/>
              <w:left w:val="nil"/>
              <w:bottom w:val="nil"/>
              <w:right w:val="nil"/>
            </w:tcBorders>
            <w:shd w:val="clear" w:color="auto" w:fill="auto"/>
            <w:noWrap/>
            <w:textDirection w:val="tbRlV"/>
            <w:vAlign w:val="center"/>
          </w:tcPr>
          <w:p>
            <w:pPr>
              <w:widowControl/>
              <w:spacing w:line="240" w:lineRule="exact"/>
              <w:jc w:val="center"/>
              <w:rPr>
                <w:rFonts w:ascii="楷体_GB2312" w:hAnsi="宋体" w:eastAsia="楷体_GB2312" w:cs="宋体"/>
                <w:kern w:val="0"/>
                <w:sz w:val="20"/>
              </w:rPr>
            </w:pPr>
          </w:p>
        </w:tc>
        <w:tc>
          <w:tcPr>
            <w:tcW w:w="633" w:type="dxa"/>
            <w:tcBorders>
              <w:top w:val="nil"/>
              <w:left w:val="nil"/>
              <w:bottom w:val="nil"/>
              <w:right w:val="nil"/>
            </w:tcBorders>
            <w:shd w:val="clear" w:color="auto" w:fill="auto"/>
            <w:vAlign w:val="center"/>
          </w:tcPr>
          <w:p>
            <w:pPr>
              <w:widowControl/>
              <w:spacing w:line="240" w:lineRule="exact"/>
              <w:jc w:val="center"/>
              <w:rPr>
                <w:rFonts w:ascii="楷体_GB2312" w:hAnsi="宋体" w:eastAsia="楷体_GB2312" w:cs="宋体"/>
                <w:kern w:val="0"/>
                <w:sz w:val="20"/>
              </w:rPr>
            </w:pPr>
          </w:p>
        </w:tc>
        <w:tc>
          <w:tcPr>
            <w:tcW w:w="684" w:type="dxa"/>
            <w:tcBorders>
              <w:top w:val="nil"/>
              <w:left w:val="nil"/>
              <w:bottom w:val="nil"/>
              <w:right w:val="nil"/>
            </w:tcBorders>
            <w:shd w:val="clear" w:color="auto" w:fill="auto"/>
            <w:vAlign w:val="center"/>
          </w:tcPr>
          <w:p>
            <w:pPr>
              <w:widowControl/>
              <w:spacing w:line="240" w:lineRule="exact"/>
              <w:jc w:val="left"/>
              <w:rPr>
                <w:rFonts w:ascii="楷体_GB2312" w:hAnsi="宋体" w:eastAsia="楷体_GB2312" w:cs="宋体"/>
                <w:kern w:val="0"/>
                <w:sz w:val="20"/>
              </w:rPr>
            </w:pPr>
          </w:p>
        </w:tc>
        <w:tc>
          <w:tcPr>
            <w:tcW w:w="360" w:type="dxa"/>
            <w:tcBorders>
              <w:top w:val="nil"/>
              <w:left w:val="nil"/>
              <w:bottom w:val="nil"/>
              <w:right w:val="nil"/>
            </w:tcBorders>
            <w:shd w:val="clear" w:color="auto" w:fill="auto"/>
            <w:vAlign w:val="center"/>
          </w:tcPr>
          <w:p>
            <w:pPr>
              <w:widowControl/>
              <w:spacing w:line="240" w:lineRule="exact"/>
              <w:jc w:val="center"/>
              <w:rPr>
                <w:rFonts w:ascii="楷体_GB2312" w:hAnsi="宋体" w:eastAsia="楷体_GB2312" w:cs="宋体"/>
                <w:kern w:val="0"/>
                <w:sz w:val="20"/>
              </w:rPr>
            </w:pPr>
          </w:p>
        </w:tc>
        <w:tc>
          <w:tcPr>
            <w:tcW w:w="3251" w:type="dxa"/>
            <w:tcBorders>
              <w:top w:val="nil"/>
              <w:left w:val="nil"/>
              <w:bottom w:val="nil"/>
              <w:right w:val="nil"/>
            </w:tcBorders>
            <w:shd w:val="clear" w:color="auto" w:fill="auto"/>
            <w:vAlign w:val="center"/>
          </w:tcPr>
          <w:p>
            <w:pPr>
              <w:widowControl/>
              <w:spacing w:line="200" w:lineRule="exact"/>
              <w:jc w:val="left"/>
              <w:rPr>
                <w:rFonts w:ascii="楷体_GB2312" w:hAnsi="宋体" w:eastAsia="楷体_GB2312" w:cs="宋体"/>
                <w:kern w:val="0"/>
                <w:sz w:val="20"/>
              </w:rPr>
            </w:pPr>
          </w:p>
        </w:tc>
        <w:tc>
          <w:tcPr>
            <w:tcW w:w="3003" w:type="dxa"/>
            <w:gridSpan w:val="2"/>
            <w:tcBorders>
              <w:top w:val="nil"/>
              <w:left w:val="nil"/>
              <w:bottom w:val="nil"/>
              <w:right w:val="nil"/>
            </w:tcBorders>
            <w:shd w:val="clear" w:color="auto" w:fill="auto"/>
            <w:vAlign w:val="center"/>
          </w:tcPr>
          <w:p>
            <w:pPr>
              <w:widowControl/>
              <w:spacing w:line="200" w:lineRule="exact"/>
              <w:jc w:val="left"/>
              <w:rPr>
                <w:rFonts w:ascii="楷体_GB2312" w:hAnsi="宋体" w:eastAsia="楷体_GB2312" w:cs="宋体"/>
                <w:kern w:val="0"/>
                <w:sz w:val="20"/>
              </w:rPr>
            </w:pPr>
          </w:p>
        </w:tc>
        <w:tc>
          <w:tcPr>
            <w:tcW w:w="1029" w:type="dxa"/>
            <w:gridSpan w:val="2"/>
            <w:tcBorders>
              <w:top w:val="nil"/>
              <w:left w:val="nil"/>
              <w:bottom w:val="nil"/>
              <w:right w:val="nil"/>
            </w:tcBorders>
            <w:shd w:val="clear" w:color="auto" w:fill="auto"/>
            <w:vAlign w:val="center"/>
          </w:tcPr>
          <w:p>
            <w:pPr>
              <w:widowControl/>
              <w:spacing w:line="200" w:lineRule="exact"/>
              <w:jc w:val="left"/>
              <w:rPr>
                <w:rFonts w:ascii="楷体_GB2312" w:hAnsi="宋体" w:eastAsia="楷体_GB2312" w:cs="宋体"/>
                <w:kern w:val="0"/>
                <w:sz w:val="20"/>
              </w:rPr>
            </w:pPr>
          </w:p>
        </w:tc>
        <w:tc>
          <w:tcPr>
            <w:tcW w:w="728" w:type="dxa"/>
            <w:gridSpan w:val="2"/>
            <w:tcBorders>
              <w:top w:val="nil"/>
              <w:left w:val="nil"/>
              <w:bottom w:val="nil"/>
              <w:right w:val="nil"/>
            </w:tcBorders>
            <w:shd w:val="clear" w:color="auto" w:fill="auto"/>
            <w:vAlign w:val="center"/>
          </w:tcPr>
          <w:p>
            <w:pPr>
              <w:widowControl/>
              <w:spacing w:line="200" w:lineRule="exact"/>
              <w:jc w:val="left"/>
              <w:rPr>
                <w:rFonts w:ascii="楷体_GB2312" w:hAnsi="宋体" w:eastAsia="楷体_GB2312" w:cs="宋体"/>
                <w:kern w:val="0"/>
                <w:sz w:val="20"/>
              </w:rPr>
            </w:pPr>
          </w:p>
        </w:tc>
        <w:tc>
          <w:tcPr>
            <w:tcW w:w="936" w:type="dxa"/>
            <w:gridSpan w:val="2"/>
            <w:tcBorders>
              <w:top w:val="nil"/>
              <w:left w:val="nil"/>
              <w:bottom w:val="nil"/>
              <w:right w:val="nil"/>
            </w:tcBorders>
            <w:shd w:val="clear" w:color="auto" w:fill="auto"/>
            <w:vAlign w:val="center"/>
          </w:tcPr>
          <w:p>
            <w:pPr>
              <w:widowControl/>
              <w:spacing w:line="200" w:lineRule="exact"/>
              <w:jc w:val="left"/>
              <w:rPr>
                <w:rFonts w:ascii="楷体_GB2312" w:hAnsi="宋体" w:eastAsia="楷体_GB2312" w:cs="宋体"/>
                <w:kern w:val="0"/>
                <w:sz w:val="20"/>
              </w:rPr>
            </w:pPr>
          </w:p>
        </w:tc>
        <w:tc>
          <w:tcPr>
            <w:tcW w:w="757" w:type="dxa"/>
            <w:gridSpan w:val="2"/>
            <w:tcBorders>
              <w:top w:val="nil"/>
              <w:left w:val="nil"/>
              <w:bottom w:val="nil"/>
              <w:right w:val="nil"/>
            </w:tcBorders>
            <w:shd w:val="clear" w:color="auto" w:fill="auto"/>
            <w:vAlign w:val="center"/>
          </w:tcPr>
          <w:p>
            <w:pPr>
              <w:widowControl/>
              <w:spacing w:line="200" w:lineRule="exact"/>
              <w:jc w:val="center"/>
              <w:rPr>
                <w:rFonts w:ascii="楷体_GB2312" w:hAnsi="宋体" w:eastAsia="楷体_GB2312" w:cs="宋体"/>
                <w:kern w:val="0"/>
                <w:sz w:val="20"/>
              </w:rPr>
            </w:pPr>
          </w:p>
        </w:tc>
        <w:tc>
          <w:tcPr>
            <w:tcW w:w="1246" w:type="dxa"/>
            <w:gridSpan w:val="2"/>
            <w:tcBorders>
              <w:top w:val="nil"/>
              <w:left w:val="nil"/>
              <w:bottom w:val="nil"/>
              <w:right w:val="nil"/>
            </w:tcBorders>
            <w:shd w:val="clear" w:color="auto" w:fill="auto"/>
            <w:noWrap/>
            <w:vAlign w:val="center"/>
          </w:tcPr>
          <w:p>
            <w:pPr>
              <w:widowControl/>
              <w:spacing w:line="200" w:lineRule="exact"/>
              <w:jc w:val="center"/>
              <w:rPr>
                <w:rFonts w:ascii="宋体" w:hAnsi="宋体" w:eastAsia="宋体" w:cs="宋体"/>
                <w:kern w:val="0"/>
                <w:sz w:val="24"/>
                <w:szCs w:val="24"/>
              </w:rPr>
            </w:pPr>
          </w:p>
        </w:tc>
        <w:tc>
          <w:tcPr>
            <w:tcW w:w="1540" w:type="dxa"/>
            <w:tcBorders>
              <w:top w:val="nil"/>
              <w:left w:val="nil"/>
              <w:bottom w:val="nil"/>
              <w:right w:val="nil"/>
            </w:tcBorders>
            <w:shd w:val="clear" w:color="auto" w:fill="auto"/>
            <w:noWrap/>
            <w:vAlign w:val="center"/>
          </w:tcPr>
          <w:p>
            <w:pPr>
              <w:widowControl/>
              <w:spacing w:line="200" w:lineRule="exact"/>
              <w:jc w:val="left"/>
              <w:rPr>
                <w:rFonts w:ascii="宋体" w:hAnsi="宋体" w:eastAsia="宋体" w:cs="宋体"/>
                <w:kern w:val="0"/>
                <w:sz w:val="24"/>
                <w:szCs w:val="24"/>
              </w:rPr>
            </w:pPr>
          </w:p>
        </w:tc>
      </w:tr>
      <w:tr>
        <w:tblPrEx>
          <w:tblLayout w:type="fixed"/>
          <w:tblCellMar>
            <w:top w:w="0" w:type="dxa"/>
            <w:left w:w="108" w:type="dxa"/>
            <w:bottom w:w="0" w:type="dxa"/>
            <w:right w:w="108" w:type="dxa"/>
          </w:tblCellMar>
        </w:tblPrEx>
        <w:trPr>
          <w:trHeight w:val="96" w:hRule="atLeast"/>
        </w:trPr>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33"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84"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3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分值</w:t>
            </w:r>
          </w:p>
        </w:tc>
        <w:tc>
          <w:tcPr>
            <w:tcW w:w="3251"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3003"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评分标准</w:t>
            </w:r>
          </w:p>
        </w:tc>
        <w:tc>
          <w:tcPr>
            <w:tcW w:w="1029"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指标值计算公式和数据获取方式</w:t>
            </w:r>
          </w:p>
        </w:tc>
        <w:tc>
          <w:tcPr>
            <w:tcW w:w="728"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年初目标值</w:t>
            </w:r>
          </w:p>
        </w:tc>
        <w:tc>
          <w:tcPr>
            <w:tcW w:w="936"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实际完成值</w:t>
            </w:r>
          </w:p>
        </w:tc>
        <w:tc>
          <w:tcPr>
            <w:tcW w:w="757"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1246"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未完成原因分析与改进措施</w:t>
            </w:r>
          </w:p>
        </w:tc>
        <w:tc>
          <w:tcPr>
            <w:tcW w:w="1540"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绩效指标分析与建议</w:t>
            </w:r>
          </w:p>
        </w:tc>
      </w:tr>
      <w:tr>
        <w:tblPrEx>
          <w:tblLayout w:type="fixed"/>
          <w:tblCellMar>
            <w:top w:w="0" w:type="dxa"/>
            <w:left w:w="108" w:type="dxa"/>
            <w:bottom w:w="0" w:type="dxa"/>
            <w:right w:w="108" w:type="dxa"/>
          </w:tblCellMar>
        </w:tblPrEx>
        <w:trPr>
          <w:trHeight w:val="349" w:hRule="atLeast"/>
        </w:trPr>
        <w:tc>
          <w:tcPr>
            <w:tcW w:w="541" w:type="dxa"/>
            <w:tcBorders>
              <w:top w:val="nil"/>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过程</w:t>
            </w:r>
          </w:p>
        </w:tc>
        <w:tc>
          <w:tcPr>
            <w:tcW w:w="633"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预算管理（15分）</w:t>
            </w: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资金使用合规性</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部门（单位）使用预算资金是否符合相关的预算财务管理制度的规定，用以反映和考核部门（单位）预算资金的规范运行情况。</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1.符合国家财经法规和财务管理制度规定以及有关专项资金管理办法的规定；</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2.资金的拨付有完整的审批程序和手续；</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3.重大项目开支经过评估论证；</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4.符合部门预算批复的用途；</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5.不存在截留、挤占、挪用、虚列支出等情况。</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全部符合5分,有1项不符扣2分。</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根据本年度资产实际情况分析</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资金使用严格按照相关法律法规执行</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资金使用严格按照相关法律法规执行</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rPr>
            </w:pPr>
            <w:r>
              <w:rPr>
                <w:rFonts w:hint="eastAsia" w:ascii="仿宋" w:hAnsi="仿宋" w:eastAsia="仿宋" w:cs="仿宋"/>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180" w:lineRule="exact"/>
              <w:jc w:val="left"/>
              <w:rPr>
                <w:rFonts w:ascii="楷体_GB2312" w:hAnsi="宋体" w:eastAsia="楷体_GB2312" w:cs="宋体"/>
                <w:kern w:val="0"/>
                <w:sz w:val="20"/>
              </w:rPr>
            </w:pPr>
            <w:r>
              <w:rPr>
                <w:rFonts w:hint="eastAsia" w:ascii="楷体_GB2312" w:hAnsi="宋体" w:eastAsia="楷体_GB2312" w:cs="宋体"/>
                <w:kern w:val="0"/>
                <w:sz w:val="20"/>
              </w:rPr>
              <w:t>预算资金.符合国家财经法规和财务管理制度规定以及有关专项资金管理办法的规定；资金的拨付有完整的审批程序和手续；.重大项目开支经过评估论证；符合部门预算批复的用途；不存在截留、挤占、挪用、虚列支出等情况。</w:t>
            </w:r>
          </w:p>
        </w:tc>
      </w:tr>
      <w:tr>
        <w:tblPrEx>
          <w:tblLayout w:type="fixed"/>
          <w:tblCellMar>
            <w:top w:w="0" w:type="dxa"/>
            <w:left w:w="108" w:type="dxa"/>
            <w:bottom w:w="0" w:type="dxa"/>
            <w:right w:w="108" w:type="dxa"/>
          </w:tblCellMar>
        </w:tblPrEx>
        <w:trPr>
          <w:trHeight w:val="198" w:hRule="atLeast"/>
        </w:trPr>
        <w:tc>
          <w:tcPr>
            <w:tcW w:w="541"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效果</w:t>
            </w:r>
          </w:p>
        </w:tc>
        <w:tc>
          <w:tcPr>
            <w:tcW w:w="63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履职尽责（60分）</w:t>
            </w: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项目产出</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（40分）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40</w:t>
            </w:r>
          </w:p>
        </w:tc>
        <w:tc>
          <w:tcPr>
            <w:tcW w:w="3251"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楷体_GB2312" w:hAnsi="宋体" w:eastAsia="楷体_GB2312" w:cs="宋体"/>
                <w:kern w:val="0"/>
                <w:sz w:val="20"/>
              </w:rPr>
            </w:pPr>
            <w:r>
              <w:rPr>
                <w:rFonts w:hint="eastAsia" w:ascii="楷体_GB2312" w:hAnsi="宋体" w:eastAsia="楷体_GB2312" w:cs="楷体_GB2312"/>
                <w:i w:val="0"/>
                <w:color w:val="000000"/>
                <w:kern w:val="0"/>
                <w:sz w:val="20"/>
                <w:szCs w:val="20"/>
                <w:u w:val="none"/>
                <w:lang w:val="en-US" w:eastAsia="zh-CN" w:bidi="ar"/>
              </w:rPr>
              <w:t>园区基础设施完善，企业尽快入驻正常生产。加快正建工地建设。</w:t>
            </w:r>
          </w:p>
        </w:tc>
        <w:tc>
          <w:tcPr>
            <w:tcW w:w="300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1.若为定性指标，根据“三档”原则分别按照指标分值的100-80%（含）、80-50%（含）、50-10%来记分；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若为定量指标，完成值达到指标值，记满分；未达到指标值，按完成比率计分，正向指标（即指标值为≥*）得分＝实际完成值/年初目标值*该指标分值，反向指标（即指标值为≤*）得分＝年初目标值/实际完成值*该指标分值。</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2019年决算数并与年初预算目标绩效表对比</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定性指标部分完成,定量指标全部完成。</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定性指标部分完成，定量指标全部完成。</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40</w:t>
            </w:r>
          </w:p>
        </w:tc>
        <w:tc>
          <w:tcPr>
            <w:tcW w:w="124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rPr>
            </w:pPr>
            <w:r>
              <w:rPr>
                <w:rFonts w:hint="eastAsia" w:ascii="仿宋" w:hAnsi="仿宋" w:eastAsia="仿宋" w:cs="仿宋"/>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180" w:lineRule="exact"/>
              <w:jc w:val="left"/>
              <w:rPr>
                <w:rFonts w:ascii="楷体_GB2312" w:hAnsi="宋体" w:eastAsia="楷体_GB2312" w:cs="宋体"/>
                <w:kern w:val="0"/>
                <w:sz w:val="20"/>
              </w:rPr>
            </w:pPr>
            <w:r>
              <w:rPr>
                <w:rFonts w:hint="eastAsia" w:ascii="楷体_GB2312" w:hAnsi="宋体" w:eastAsia="楷体_GB2312" w:cs="宋体"/>
                <w:kern w:val="0"/>
                <w:sz w:val="20"/>
              </w:rPr>
              <w:t>我单位绩效目标自评表含定量指标和定性指标。本年度数量指标、时效指标、成本指标、效益指标完成情况良好。</w:t>
            </w:r>
          </w:p>
        </w:tc>
      </w:tr>
      <w:tr>
        <w:tblPrEx>
          <w:tblLayout w:type="fixed"/>
          <w:tblCellMar>
            <w:top w:w="0" w:type="dxa"/>
            <w:left w:w="108" w:type="dxa"/>
            <w:bottom w:w="0" w:type="dxa"/>
            <w:right w:w="108" w:type="dxa"/>
          </w:tblCellMar>
        </w:tblPrEx>
        <w:trPr>
          <w:trHeight w:val="198" w:hRule="atLeast"/>
        </w:trPr>
        <w:tc>
          <w:tcPr>
            <w:tcW w:w="541"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项目效益</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（20分）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20</w:t>
            </w:r>
          </w:p>
        </w:tc>
        <w:tc>
          <w:tcPr>
            <w:tcW w:w="3251"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楷体_GB2312" w:hAnsi="宋体" w:eastAsia="楷体_GB2312" w:cs="宋体"/>
                <w:kern w:val="0"/>
                <w:sz w:val="20"/>
              </w:rPr>
            </w:pPr>
            <w:r>
              <w:rPr>
                <w:rFonts w:hint="eastAsia" w:ascii="楷体_GB2312" w:hAnsi="宋体" w:eastAsia="楷体_GB2312" w:cs="楷体_GB2312"/>
                <w:i w:val="0"/>
                <w:color w:val="000000"/>
                <w:kern w:val="0"/>
                <w:sz w:val="20"/>
                <w:szCs w:val="20"/>
                <w:u w:val="none"/>
                <w:lang w:val="en-US" w:eastAsia="zh-CN" w:bidi="ar"/>
              </w:rPr>
              <w:t>经济效益、社会效益、生态效益达标</w:t>
            </w:r>
          </w:p>
        </w:tc>
        <w:tc>
          <w:tcPr>
            <w:tcW w:w="3003" w:type="dxa"/>
            <w:gridSpan w:val="2"/>
            <w:vMerge w:val="continue"/>
            <w:tcBorders>
              <w:top w:val="nil"/>
              <w:left w:val="single" w:color="auto" w:sz="4" w:space="0"/>
              <w:bottom w:val="single" w:color="auto" w:sz="4" w:space="0"/>
              <w:right w:val="single" w:color="auto" w:sz="4" w:space="0"/>
            </w:tcBorders>
            <w:vAlign w:val="center"/>
          </w:tcPr>
          <w:p>
            <w:pPr>
              <w:widowControl/>
              <w:spacing w:line="200" w:lineRule="exact"/>
              <w:jc w:val="left"/>
              <w:rPr>
                <w:rFonts w:ascii="楷体_GB2312" w:hAnsi="宋体" w:eastAsia="楷体_GB2312" w:cs="宋体"/>
                <w:kern w:val="0"/>
                <w:sz w:val="20"/>
              </w:rPr>
            </w:pP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根据工作实际与年初预算目标绩效表对比</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定性指标全部完成。</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定性指标全部完成。</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20</w:t>
            </w:r>
          </w:p>
        </w:tc>
        <w:tc>
          <w:tcPr>
            <w:tcW w:w="124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rPr>
            </w:pPr>
            <w:r>
              <w:rPr>
                <w:rFonts w:hint="eastAsia" w:ascii="仿宋" w:hAnsi="仿宋" w:eastAsia="仿宋" w:cs="仿宋"/>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180" w:lineRule="exact"/>
              <w:jc w:val="left"/>
              <w:rPr>
                <w:rFonts w:ascii="楷体_GB2312" w:hAnsi="宋体" w:eastAsia="楷体_GB2312" w:cs="宋体"/>
                <w:kern w:val="0"/>
                <w:sz w:val="20"/>
              </w:rPr>
            </w:pPr>
            <w:r>
              <w:rPr>
                <w:rFonts w:hint="eastAsia" w:ascii="楷体_GB2312" w:hAnsi="宋体" w:eastAsia="楷体_GB2312" w:cs="宋体"/>
                <w:kern w:val="0"/>
                <w:sz w:val="20"/>
              </w:rPr>
              <w:t>我单位绩效目标自评表含定量指标和定性指标。本年度数量指标、时效指标、成本指标、效益指标完成情况良好。</w:t>
            </w:r>
          </w:p>
        </w:tc>
      </w:tr>
      <w:tr>
        <w:tblPrEx>
          <w:tblLayout w:type="fixed"/>
          <w:tblCellMar>
            <w:top w:w="0" w:type="dxa"/>
            <w:left w:w="108" w:type="dxa"/>
            <w:bottom w:w="0" w:type="dxa"/>
            <w:right w:w="108" w:type="dxa"/>
          </w:tblCellMar>
        </w:tblPrEx>
        <w:trPr>
          <w:trHeight w:val="1194" w:hRule="atLeast"/>
        </w:trPr>
        <w:tc>
          <w:tcPr>
            <w:tcW w:w="14708" w:type="dxa"/>
            <w:gridSpan w:val="18"/>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left"/>
              <w:rPr>
                <w:rFonts w:ascii="宋体" w:hAnsi="宋体" w:eastAsia="宋体" w:cs="宋体"/>
                <w:kern w:val="0"/>
                <w:sz w:val="20"/>
              </w:rPr>
            </w:pPr>
            <w:r>
              <w:rPr>
                <w:rFonts w:hint="eastAsia" w:ascii="宋体" w:hAnsi="宋体" w:eastAsia="宋体" w:cs="宋体"/>
                <w:kern w:val="0"/>
                <w:sz w:val="20"/>
              </w:rPr>
              <w:t>备注：</w:t>
            </w:r>
            <w:r>
              <w:rPr>
                <w:rFonts w:hint="eastAsia" w:ascii="宋体" w:hAnsi="宋体" w:eastAsia="宋体" w:cs="宋体"/>
                <w:kern w:val="0"/>
                <w:sz w:val="20"/>
              </w:rPr>
              <w:br w:type="textWrapping"/>
            </w:r>
            <w:r>
              <w:rPr>
                <w:rFonts w:hint="eastAsia" w:ascii="宋体" w:hAnsi="宋体" w:eastAsia="宋体" w:cs="宋体"/>
                <w:kern w:val="0"/>
                <w:sz w:val="20"/>
              </w:rPr>
              <w:t>1.“项目产出”和“项目效果”直接细化成部门年初绩效目标中的指标，并根据重要程度赋权。</w:t>
            </w:r>
            <w:r>
              <w:rPr>
                <w:rFonts w:hint="eastAsia" w:ascii="宋体" w:hAnsi="宋体" w:eastAsia="宋体" w:cs="宋体"/>
                <w:kern w:val="0"/>
                <w:sz w:val="20"/>
              </w:rPr>
              <w:br w:type="textWrapping"/>
            </w:r>
            <w:r>
              <w:rPr>
                <w:rFonts w:hint="eastAsia" w:ascii="宋体" w:hAnsi="宋体" w:eastAsia="宋体" w:cs="宋体"/>
                <w:kern w:val="0"/>
                <w:sz w:val="20"/>
              </w:rPr>
              <w:t>2.“绩效指标分析”是指参考历史数据、行业标准及绩效目标实际完成情况等相关资料，从“是否与项目密切相关，指标值是否可获取，指标值设置是否合理”等角度，从产出和效果类指标中找出需要改进的指标，并逐项提出次年的编制意见和建议。</w:t>
            </w:r>
          </w:p>
        </w:tc>
      </w:tr>
    </w:tbl>
    <w:p>
      <w:pPr>
        <w:rPr>
          <w:rFonts w:ascii="黑体" w:hAnsi="黑体" w:eastAsia="黑体"/>
          <w:color w:val="000000"/>
          <w:kern w:val="0"/>
          <w:szCs w:val="32"/>
        </w:rPr>
      </w:pPr>
    </w:p>
    <w:p>
      <w:pPr>
        <w:rPr>
          <w:rFonts w:ascii="黑体" w:hAnsi="黑体" w:eastAsia="黑体"/>
          <w:color w:val="000000"/>
          <w:kern w:val="0"/>
          <w:szCs w:val="32"/>
        </w:rPr>
      </w:pPr>
    </w:p>
    <w:p>
      <w:pPr>
        <w:ind w:firstLine="640" w:firstLineChars="200"/>
        <w:rPr>
          <w:rFonts w:hint="eastAsia" w:ascii="黑体" w:hAnsi="黑体" w:eastAsia="黑体"/>
          <w:color w:val="000000"/>
          <w:kern w:val="0"/>
          <w:szCs w:val="32"/>
        </w:rPr>
      </w:pPr>
    </w:p>
    <w:p>
      <w:pPr>
        <w:ind w:firstLine="640" w:firstLineChars="200"/>
        <w:rPr>
          <w:rFonts w:ascii="黑体" w:hAnsi="黑体" w:eastAsia="黑体"/>
          <w:color w:val="000000"/>
          <w:kern w:val="0"/>
          <w:szCs w:val="32"/>
        </w:rPr>
        <w:sectPr>
          <w:pgSz w:w="16838" w:h="11906" w:orient="landscape"/>
          <w:pgMar w:top="1800" w:right="1440" w:bottom="1800" w:left="1440" w:header="851" w:footer="992" w:gutter="0"/>
          <w:cols w:space="425" w:num="1"/>
          <w:docGrid w:type="lines" w:linePitch="435" w:charSpace="0"/>
        </w:sectPr>
      </w:pPr>
    </w:p>
    <w:p>
      <w:pPr>
        <w:ind w:firstLine="640" w:firstLineChars="200"/>
        <w:rPr>
          <w:rFonts w:ascii="黑体" w:hAnsi="黑体" w:eastAsia="黑体"/>
          <w:szCs w:val="32"/>
        </w:rPr>
      </w:pPr>
      <w:r>
        <w:rPr>
          <w:rFonts w:hint="eastAsia" w:ascii="黑体" w:hAnsi="黑体" w:eastAsia="黑体"/>
          <w:color w:val="000000"/>
          <w:kern w:val="0"/>
          <w:szCs w:val="32"/>
        </w:rPr>
        <w:t>十一、其他重要事项说明</w:t>
      </w:r>
    </w:p>
    <w:p>
      <w:pPr>
        <w:widowControl/>
        <w:ind w:firstLine="643" w:firstLineChars="200"/>
        <w:jc w:val="left"/>
      </w:pPr>
      <w:r>
        <w:rPr>
          <w:rFonts w:ascii="楷体_GB2312" w:hAnsi="宋体" w:eastAsia="楷体_GB2312" w:cs="楷体_GB2312"/>
          <w:b/>
          <w:color w:val="000000"/>
          <w:kern w:val="0"/>
          <w:szCs w:val="32"/>
        </w:rPr>
        <w:t>（一）机关运行经费支出情况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 xml:space="preserve">。 </w:t>
      </w:r>
    </w:p>
    <w:p>
      <w:pPr>
        <w:widowControl/>
        <w:ind w:firstLine="620" w:firstLineChars="200"/>
        <w:jc w:val="left"/>
        <w:rPr>
          <w:rFonts w:ascii="仿宋_GB2312" w:hAnsi="宋体" w:eastAsia="仿宋_GB2312" w:cs="仿宋_GB2312"/>
          <w:color w:val="000000"/>
          <w:kern w:val="0"/>
          <w:szCs w:val="32"/>
        </w:rPr>
      </w:pPr>
      <w:r>
        <w:rPr>
          <w:rFonts w:ascii="仿宋_GB2312" w:hAnsi="仿宋_GB2312" w:eastAsia="仿宋_GB2312" w:cs="仿宋_GB2312"/>
          <w:color w:val="000000"/>
          <w:kern w:val="0"/>
          <w:sz w:val="31"/>
          <w:szCs w:val="31"/>
        </w:rPr>
        <w:t>2019年</w:t>
      </w:r>
      <w:r>
        <w:rPr>
          <w:rFonts w:hint="eastAsia" w:ascii="仿宋_GB2312" w:hAnsi="仿宋_GB2312" w:eastAsia="仿宋_GB2312" w:cs="仿宋_GB2312"/>
          <w:color w:val="000000"/>
          <w:kern w:val="0"/>
          <w:sz w:val="31"/>
          <w:szCs w:val="31"/>
        </w:rPr>
        <w:t>度</w:t>
      </w:r>
      <w:r>
        <w:rPr>
          <w:rFonts w:ascii="仿宋_GB2312" w:hAnsi="仿宋_GB2312" w:eastAsia="仿宋_GB2312" w:cs="仿宋_GB2312"/>
          <w:color w:val="000000"/>
          <w:kern w:val="0"/>
          <w:sz w:val="31"/>
          <w:szCs w:val="31"/>
        </w:rPr>
        <w:t>机关运行经费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1.5</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1.46</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lang w:val="en-US" w:eastAsia="zh-CN"/>
        </w:rPr>
        <w:t>97.33</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减少</w:t>
      </w:r>
      <w:r>
        <w:rPr>
          <w:rFonts w:hint="eastAsia" w:ascii="仿宋_GB2312" w:hAnsi="宋体" w:eastAsia="仿宋_GB2312" w:cs="仿宋_GB2312"/>
          <w:color w:val="000000"/>
          <w:kern w:val="0"/>
          <w:szCs w:val="32"/>
          <w:lang w:val="en-US" w:eastAsia="zh-CN"/>
        </w:rPr>
        <w:t>0.04</w:t>
      </w:r>
      <w:r>
        <w:rPr>
          <w:rFonts w:hint="eastAsia" w:ascii="仿宋_GB2312" w:hAnsi="宋体" w:eastAsia="仿宋_GB2312" w:cs="仿宋_GB2312"/>
          <w:color w:val="000000"/>
          <w:kern w:val="0"/>
          <w:szCs w:val="32"/>
        </w:rPr>
        <w:t>万元，</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lang w:val="en-US" w:eastAsia="zh-CN"/>
        </w:rPr>
        <w:t>压缩开支</w:t>
      </w:r>
      <w:r>
        <w:rPr>
          <w:rFonts w:hint="eastAsia" w:ascii="仿宋_GB2312" w:hAnsi="宋体" w:eastAsia="仿宋_GB2312" w:cs="仿宋_GB2312"/>
          <w:color w:val="000000"/>
          <w:kern w:val="0"/>
          <w:szCs w:val="32"/>
        </w:rPr>
        <w:t>。</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（二）政府采购支出情况说明。</w:t>
      </w:r>
    </w:p>
    <w:p>
      <w:pPr>
        <w:widowControl/>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2019年度本部门政府采购支出总额共</w:t>
      </w:r>
      <w:r>
        <w:rPr>
          <w:rFonts w:hint="eastAsia" w:ascii="仿宋_GB2312" w:hAnsi="仿宋_GB2312" w:eastAsia="仿宋_GB2312" w:cs="仿宋_GB2312"/>
          <w:szCs w:val="32"/>
          <w:lang w:val="en-US" w:eastAsia="zh-CN"/>
        </w:rPr>
        <w:t>0.15</w:t>
      </w:r>
      <w:r>
        <w:rPr>
          <w:rFonts w:hint="eastAsia" w:ascii="仿宋_GB2312" w:hAnsi="仿宋_GB2312" w:eastAsia="仿宋_GB2312" w:cs="仿宋_GB2312"/>
          <w:szCs w:val="32"/>
        </w:rPr>
        <w:t>万元，其中政府采购货物类支出</w:t>
      </w:r>
      <w:r>
        <w:rPr>
          <w:rFonts w:hint="eastAsia" w:ascii="仿宋_GB2312" w:hAnsi="仿宋_GB2312" w:eastAsia="仿宋_GB2312" w:cs="仿宋_GB2312"/>
          <w:szCs w:val="32"/>
          <w:lang w:val="en-US" w:eastAsia="zh-CN"/>
        </w:rPr>
        <w:t>0.15</w:t>
      </w:r>
      <w:r>
        <w:rPr>
          <w:rFonts w:hint="eastAsia" w:ascii="仿宋_GB2312" w:hAnsi="仿宋_GB2312" w:eastAsia="仿宋_GB2312" w:cs="仿宋_GB2312"/>
          <w:szCs w:val="32"/>
        </w:rPr>
        <w:t>万元、政府采购服务类支出</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万元、政府采购工程类支出</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万元。</w:t>
      </w:r>
      <w:r>
        <w:rPr>
          <w:rFonts w:ascii="仿宋_GB2312" w:hAnsi="宋体" w:eastAsia="仿宋_GB2312" w:cs="仿宋_GB2312"/>
          <w:color w:val="000000"/>
          <w:kern w:val="0"/>
          <w:szCs w:val="32"/>
        </w:rPr>
        <w:t>授予中小企业合同金额</w:t>
      </w:r>
      <w:r>
        <w:rPr>
          <w:rFonts w:hint="eastAsia" w:ascii="仿宋_GB2312" w:hAnsi="宋体" w:eastAsia="仿宋_GB2312" w:cs="仿宋_GB2312"/>
          <w:color w:val="000000"/>
          <w:kern w:val="0"/>
          <w:szCs w:val="32"/>
          <w:lang w:val="en-US" w:eastAsia="zh-CN"/>
        </w:rPr>
        <w:t>0.15</w:t>
      </w:r>
      <w:r>
        <w:rPr>
          <w:rFonts w:ascii="仿宋_GB2312" w:hAnsi="宋体" w:eastAsia="仿宋_GB2312" w:cs="仿宋_GB2312"/>
          <w:color w:val="000000"/>
          <w:kern w:val="0"/>
          <w:szCs w:val="32"/>
        </w:rPr>
        <w:t>万元，占政府采购支出总额的</w:t>
      </w:r>
      <w:r>
        <w:rPr>
          <w:rFonts w:hint="eastAsia" w:ascii="仿宋_GB2312" w:hAnsi="宋体" w:eastAsia="仿宋_GB2312" w:cs="仿宋_GB2312"/>
          <w:color w:val="000000"/>
          <w:kern w:val="0"/>
          <w:szCs w:val="32"/>
          <w:lang w:val="en-US" w:eastAsia="zh-CN"/>
        </w:rPr>
        <w:t>100</w:t>
      </w:r>
      <w:r>
        <w:rPr>
          <w:rFonts w:ascii="仿宋_GB2312" w:hAnsi="宋体" w:eastAsia="仿宋_GB2312" w:cs="仿宋_GB2312"/>
          <w:color w:val="000000"/>
          <w:kern w:val="0"/>
          <w:szCs w:val="32"/>
        </w:rPr>
        <w:t>%，其中：授予小微企业合同金额</w:t>
      </w:r>
      <w:r>
        <w:rPr>
          <w:rFonts w:hint="eastAsia" w:ascii="仿宋_GB2312" w:hAnsi="宋体" w:eastAsia="仿宋_GB2312" w:cs="仿宋_GB2312"/>
          <w:color w:val="000000"/>
          <w:kern w:val="0"/>
          <w:szCs w:val="32"/>
          <w:lang w:val="en-US" w:eastAsia="zh-CN"/>
        </w:rPr>
        <w:t>0.15</w:t>
      </w:r>
      <w:r>
        <w:rPr>
          <w:rFonts w:ascii="仿宋_GB2312" w:hAnsi="宋体" w:eastAsia="仿宋_GB2312" w:cs="仿宋_GB2312"/>
          <w:color w:val="000000"/>
          <w:kern w:val="0"/>
          <w:szCs w:val="32"/>
        </w:rPr>
        <w:t>万元，占政府采购支出总额的</w:t>
      </w:r>
      <w:r>
        <w:rPr>
          <w:rFonts w:hint="eastAsia" w:ascii="仿宋_GB2312" w:hAnsi="宋体" w:eastAsia="仿宋_GB2312" w:cs="仿宋_GB2312"/>
          <w:color w:val="000000"/>
          <w:kern w:val="0"/>
          <w:szCs w:val="32"/>
          <w:lang w:val="en-US" w:eastAsia="zh-CN"/>
        </w:rPr>
        <w:t>100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（三）国有资产占用及购置情况说明。</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截至2019年末，本部门机关及所属单位共有车辆</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辆；单价50万元以上的通用设备</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台（套）；单价100万元以上的专用设备</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台（套）。201</w:t>
      </w:r>
      <w:r>
        <w:rPr>
          <w:rFonts w:ascii="仿宋_GB2312" w:hAnsi="仿宋_GB2312" w:eastAsia="仿宋_GB2312" w:cs="仿宋_GB2312"/>
          <w:szCs w:val="32"/>
        </w:rPr>
        <w:t>9</w:t>
      </w:r>
      <w:r>
        <w:rPr>
          <w:rFonts w:hint="eastAsia" w:ascii="仿宋_GB2312" w:hAnsi="仿宋_GB2312" w:eastAsia="仿宋_GB2312" w:cs="仿宋_GB2312"/>
          <w:szCs w:val="32"/>
        </w:rPr>
        <w:t>年当年购置车辆</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辆；购置单价50万元以上的通用设备</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台（套）；购置单价100万元以上的专用设备</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台（套）。</w:t>
      </w:r>
    </w:p>
    <w:p>
      <w:pPr>
        <w:widowControl/>
        <w:jc w:val="left"/>
        <w:rPr>
          <w:rFonts w:hint="eastAsia" w:ascii="黑体" w:hAnsi="宋体" w:eastAsia="黑体"/>
          <w:color w:val="000000"/>
          <w:kern w:val="0"/>
          <w:szCs w:val="32"/>
        </w:rPr>
      </w:pPr>
    </w:p>
    <w:p>
      <w:pPr>
        <w:widowControl/>
        <w:jc w:val="left"/>
        <w:rPr>
          <w:rFonts w:hint="eastAsia" w:ascii="黑体" w:hAnsi="宋体" w:eastAsia="黑体"/>
          <w:color w:val="000000"/>
          <w:kern w:val="0"/>
          <w:szCs w:val="32"/>
        </w:rPr>
      </w:pPr>
    </w:p>
    <w:p>
      <w:pPr>
        <w:widowControl/>
        <w:jc w:val="left"/>
        <w:rPr>
          <w:rFonts w:hint="eastAsia" w:ascii="黑体" w:hAnsi="宋体" w:eastAsia="黑体"/>
          <w:color w:val="000000"/>
          <w:kern w:val="0"/>
          <w:szCs w:val="32"/>
        </w:rPr>
      </w:pPr>
    </w:p>
    <w:p>
      <w:pPr>
        <w:widowControl/>
        <w:jc w:val="left"/>
        <w:rPr>
          <w:rFonts w:hint="eastAsia" w:ascii="黑体" w:hAnsi="宋体" w:eastAsia="黑体"/>
          <w:color w:val="000000"/>
          <w:kern w:val="0"/>
          <w:szCs w:val="32"/>
        </w:rPr>
      </w:pPr>
    </w:p>
    <w:p>
      <w:pPr>
        <w:widowControl/>
        <w:jc w:val="left"/>
        <w:rPr>
          <w:rFonts w:hint="eastAsia" w:ascii="黑体" w:hAnsi="宋体" w:eastAsia="黑体"/>
          <w:color w:val="000000"/>
          <w:kern w:val="0"/>
          <w:szCs w:val="32"/>
        </w:rPr>
      </w:pPr>
    </w:p>
    <w:p>
      <w:pPr>
        <w:widowControl/>
        <w:jc w:val="left"/>
        <w:rPr>
          <w:rFonts w:ascii="黑体" w:hAnsi="宋体" w:eastAsia="黑体"/>
          <w:color w:val="000000"/>
          <w:kern w:val="0"/>
          <w:szCs w:val="32"/>
        </w:rPr>
      </w:pPr>
    </w:p>
    <w:p>
      <w:pPr>
        <w:widowControl/>
        <w:jc w:val="left"/>
        <w:rPr>
          <w:rFonts w:ascii="黑体" w:hAnsi="宋体" w:eastAsia="黑体"/>
          <w:color w:val="000000"/>
          <w:kern w:val="0"/>
          <w:szCs w:val="32"/>
        </w:rPr>
      </w:pPr>
    </w:p>
    <w:p>
      <w:pPr>
        <w:widowControl/>
        <w:jc w:val="left"/>
        <w:rPr>
          <w:rFonts w:ascii="黑体" w:hAnsi="宋体" w:eastAsia="黑体"/>
          <w:color w:val="000000"/>
          <w:kern w:val="0"/>
          <w:szCs w:val="32"/>
        </w:rPr>
      </w:pPr>
    </w:p>
    <w:p>
      <w:pPr>
        <w:numPr>
          <w:ilvl w:val="0"/>
          <w:numId w:val="6"/>
        </w:numPr>
        <w:jc w:val="center"/>
        <w:rPr>
          <w:rFonts w:ascii="黑体" w:hAnsi="宋体" w:eastAsia="黑体"/>
          <w:color w:val="000000"/>
          <w:kern w:val="0"/>
          <w:sz w:val="44"/>
          <w:szCs w:val="44"/>
        </w:rPr>
      </w:pPr>
      <w:r>
        <w:rPr>
          <w:rFonts w:hint="eastAsia" w:ascii="黑体" w:hAnsi="宋体" w:eastAsia="黑体"/>
          <w:color w:val="000000"/>
          <w:kern w:val="0"/>
          <w:sz w:val="44"/>
          <w:szCs w:val="44"/>
        </w:rPr>
        <w:t>专业名词解释</w:t>
      </w:r>
    </w:p>
    <w:p>
      <w:pPr>
        <w:rPr>
          <w:rFonts w:ascii="黑体" w:hAnsi="宋体" w:eastAsia="黑体"/>
          <w:color w:val="000000"/>
          <w:kern w:val="0"/>
          <w:sz w:val="44"/>
          <w:szCs w:val="44"/>
        </w:rPr>
      </w:pPr>
    </w:p>
    <w:p>
      <w:pPr>
        <w:widowControl/>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文字说明。专业名词解释可由部门根据业务内容等自行选择。</w:t>
      </w:r>
    </w:p>
    <w:p>
      <w:pPr>
        <w:widowControl/>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示例：</w:t>
      </w:r>
    </w:p>
    <w:p>
      <w:pPr>
        <w:ind w:firstLine="643" w:firstLineChars="200"/>
        <w:rPr>
          <w:rFonts w:ascii="仿宋_GB2312" w:hAnsi="仿宋_GB2312" w:eastAsia="仿宋_GB2312" w:cs="仿宋_GB2312"/>
          <w:szCs w:val="32"/>
        </w:rPr>
      </w:pPr>
      <w:r>
        <w:rPr>
          <w:rFonts w:hint="eastAsia" w:ascii="仿宋_GB2312" w:hAnsi="仿宋_GB2312" w:eastAsia="仿宋_GB2312" w:cs="仿宋_GB2312"/>
          <w:b/>
          <w:bCs/>
          <w:szCs w:val="32"/>
        </w:rPr>
        <w:t>1.基本支出</w:t>
      </w:r>
      <w:r>
        <w:rPr>
          <w:rFonts w:hint="eastAsia" w:ascii="仿宋_GB2312" w:hAnsi="仿宋_GB2312" w:eastAsia="仿宋_GB2312" w:cs="仿宋_GB2312"/>
          <w:szCs w:val="32"/>
        </w:rPr>
        <w:t>：指为保障机构正常运转、完成日常工作任务而发生的各项支出。</w:t>
      </w:r>
    </w:p>
    <w:p>
      <w:pPr>
        <w:ind w:firstLine="643" w:firstLineChars="200"/>
        <w:rPr>
          <w:rFonts w:ascii="仿宋_GB2312" w:hAnsi="仿宋_GB2312" w:eastAsia="仿宋_GB2312" w:cs="仿宋_GB2312"/>
          <w:szCs w:val="32"/>
        </w:rPr>
      </w:pPr>
      <w:r>
        <w:rPr>
          <w:rFonts w:hint="eastAsia" w:ascii="仿宋_GB2312" w:hAnsi="仿宋_GB2312" w:eastAsia="仿宋_GB2312" w:cs="仿宋_GB2312"/>
          <w:b/>
          <w:bCs/>
          <w:szCs w:val="32"/>
        </w:rPr>
        <w:t>2.项目支出</w:t>
      </w:r>
      <w:r>
        <w:rPr>
          <w:rFonts w:hint="eastAsia" w:ascii="仿宋_GB2312" w:hAnsi="仿宋_GB2312" w:eastAsia="仿宋_GB2312" w:cs="仿宋_GB2312"/>
          <w:szCs w:val="32"/>
        </w:rPr>
        <w:t>：指单位为完成特定的行政工作任务或事业发展目标所发生的各项支出。</w:t>
      </w:r>
    </w:p>
    <w:p>
      <w:pPr>
        <w:ind w:firstLine="640"/>
        <w:rPr>
          <w:rFonts w:ascii="仿宋_GB2312" w:hAnsi="仿宋_GB2312" w:eastAsia="仿宋_GB2312" w:cs="仿宋_GB2312"/>
          <w:szCs w:val="32"/>
        </w:rPr>
      </w:pPr>
      <w:r>
        <w:rPr>
          <w:rFonts w:hint="eastAsia" w:ascii="仿宋_GB2312" w:hAnsi="仿宋_GB2312" w:eastAsia="仿宋_GB2312" w:cs="仿宋_GB2312"/>
          <w:b/>
          <w:bCs/>
          <w:szCs w:val="32"/>
        </w:rPr>
        <w:t>3.“三公”经费</w:t>
      </w:r>
      <w:r>
        <w:rPr>
          <w:rFonts w:hint="eastAsia" w:ascii="仿宋_GB2312" w:hAnsi="仿宋_GB2312" w:eastAsia="仿宋_GB2312" w:cs="仿宋_GB2312"/>
          <w:szCs w:val="32"/>
        </w:rPr>
        <w:t>：指部门使用一般公共预算财政拨款安排的因公出国（境）费、公务用车购置及运行费和公务接待费支出。</w:t>
      </w:r>
    </w:p>
    <w:p>
      <w:pPr>
        <w:ind w:firstLine="640"/>
        <w:rPr>
          <w:rFonts w:ascii="仿宋_GB2312" w:hAnsi="仿宋_GB2312" w:eastAsia="仿宋_GB2312" w:cs="仿宋_GB2312"/>
          <w:szCs w:val="32"/>
        </w:rPr>
      </w:pPr>
      <w:r>
        <w:rPr>
          <w:rFonts w:hint="eastAsia" w:ascii="仿宋_GB2312" w:hAnsi="仿宋_GB2312" w:eastAsia="仿宋_GB2312" w:cs="仿宋_GB2312"/>
          <w:b/>
          <w:bCs/>
          <w:szCs w:val="32"/>
        </w:rPr>
        <w:t>4.财政拨款收入</w:t>
      </w:r>
      <w:r>
        <w:rPr>
          <w:rFonts w:hint="eastAsia" w:ascii="仿宋_GB2312" w:hAnsi="仿宋_GB2312" w:eastAsia="仿宋_GB2312" w:cs="仿宋_GB2312"/>
          <w:szCs w:val="32"/>
        </w:rPr>
        <w:t>：指本级财政当年拨付的资金。</w:t>
      </w:r>
    </w:p>
    <w:p>
      <w:pPr>
        <w:ind w:firstLine="640"/>
        <w:rPr>
          <w:rFonts w:ascii="仿宋_GB2312" w:hAnsi="仿宋_GB2312" w:eastAsia="仿宋_GB2312" w:cs="仿宋_GB2312"/>
          <w:szCs w:val="32"/>
        </w:rPr>
      </w:pPr>
      <w:r>
        <w:rPr>
          <w:rFonts w:hint="eastAsia" w:ascii="仿宋_GB2312" w:hAnsi="仿宋_GB2312" w:eastAsia="仿宋_GB2312" w:cs="仿宋_GB2312"/>
          <w:b/>
          <w:bCs/>
          <w:szCs w:val="32"/>
        </w:rPr>
        <w:t>5.调整预算数：</w:t>
      </w:r>
      <w:r>
        <w:rPr>
          <w:rFonts w:hint="eastAsia" w:ascii="仿宋_GB2312" w:hAnsi="宋体" w:eastAsia="仿宋_GB2312"/>
          <w:bCs/>
          <w:szCs w:val="32"/>
        </w:rPr>
        <w:t>填列经调整后的全年预算数，包括年初预算数和预算调增调减数</w:t>
      </w:r>
      <w:r>
        <w:rPr>
          <w:rFonts w:hint="eastAsia" w:ascii="仿宋_GB2312" w:eastAsia="仿宋_GB2312"/>
          <w:bCs/>
          <w:szCs w:val="32"/>
        </w:rPr>
        <w:t>，即：调整预算数＝年初预算数＋预算调增数－预算调减数</w:t>
      </w:r>
      <w:r>
        <w:rPr>
          <w:rFonts w:hint="eastAsia" w:ascii="仿宋_GB2312" w:hAnsi="宋体" w:eastAsia="仿宋_GB2312"/>
          <w:bCs/>
          <w:szCs w:val="32"/>
        </w:rPr>
        <w:t>。</w:t>
      </w: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r>
        <w:rPr>
          <w:rFonts w:hint="eastAsia" w:ascii="仿宋_GB2312" w:hAnsi="仿宋_GB2312" w:eastAsia="仿宋_GB2312" w:cs="仿宋_GB2312"/>
          <w:color w:val="000000"/>
          <w:kern w:val="0"/>
          <w:sz w:val="31"/>
          <w:szCs w:val="31"/>
        </w:rPr>
        <w:t xml:space="preserve"> </w:t>
      </w:r>
    </w:p>
    <w:sectPr>
      <w:pgSz w:w="11906" w:h="16838"/>
      <w:pgMar w:top="1440" w:right="1797" w:bottom="1440" w:left="1797" w:header="851" w:footer="992" w:gutter="0"/>
      <w:cols w:space="425" w:num="1"/>
      <w:docGrid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6B63864"/>
    <w:multiLevelType w:val="singleLevel"/>
    <w:tmpl w:val="86B63864"/>
    <w:lvl w:ilvl="0" w:tentative="0">
      <w:start w:val="2"/>
      <w:numFmt w:val="chineseCounting"/>
      <w:suff w:val="nothing"/>
      <w:lvlText w:val="（%1）"/>
      <w:lvlJc w:val="left"/>
      <w:rPr>
        <w:rFonts w:hint="eastAsia"/>
      </w:rPr>
    </w:lvl>
  </w:abstractNum>
  <w:abstractNum w:abstractNumId="1">
    <w:nsid w:val="9F232710"/>
    <w:multiLevelType w:val="singleLevel"/>
    <w:tmpl w:val="9F232710"/>
    <w:lvl w:ilvl="0" w:tentative="0">
      <w:start w:val="1"/>
      <w:numFmt w:val="chineseCounting"/>
      <w:suff w:val="space"/>
      <w:lvlText w:val="第%1部分"/>
      <w:lvlJc w:val="left"/>
      <w:rPr>
        <w:rFonts w:hint="eastAsia"/>
      </w:rPr>
    </w:lvl>
  </w:abstractNum>
  <w:abstractNum w:abstractNumId="2">
    <w:nsid w:val="DB647897"/>
    <w:multiLevelType w:val="singleLevel"/>
    <w:tmpl w:val="DB647897"/>
    <w:lvl w:ilvl="0" w:tentative="0">
      <w:start w:val="8"/>
      <w:numFmt w:val="chineseCounting"/>
      <w:suff w:val="nothing"/>
      <w:lvlText w:val="%1、"/>
      <w:lvlJc w:val="left"/>
      <w:rPr>
        <w:rFonts w:hint="eastAsia"/>
      </w:rPr>
    </w:lvl>
  </w:abstractNum>
  <w:abstractNum w:abstractNumId="3">
    <w:nsid w:val="DF68CA74"/>
    <w:multiLevelType w:val="singleLevel"/>
    <w:tmpl w:val="DF68CA74"/>
    <w:lvl w:ilvl="0" w:tentative="0">
      <w:start w:val="2"/>
      <w:numFmt w:val="chineseCounting"/>
      <w:suff w:val="nothing"/>
      <w:lvlText w:val="%1、"/>
      <w:lvlJc w:val="left"/>
      <w:rPr>
        <w:rFonts w:hint="eastAsia"/>
      </w:rPr>
    </w:lvl>
  </w:abstractNum>
  <w:abstractNum w:abstractNumId="4">
    <w:nsid w:val="1ECB9EA3"/>
    <w:multiLevelType w:val="singleLevel"/>
    <w:tmpl w:val="1ECB9EA3"/>
    <w:lvl w:ilvl="0" w:tentative="0">
      <w:start w:val="4"/>
      <w:numFmt w:val="decimal"/>
      <w:suff w:val="nothing"/>
      <w:lvlText w:val="%1、"/>
      <w:lvlJc w:val="left"/>
      <w:pPr>
        <w:ind w:left="160" w:leftChars="0" w:firstLine="0" w:firstLineChars="0"/>
      </w:pPr>
    </w:lvl>
  </w:abstractNum>
  <w:abstractNum w:abstractNumId="5">
    <w:nsid w:val="39BEA4A8"/>
    <w:multiLevelType w:val="singleLevel"/>
    <w:tmpl w:val="39BEA4A8"/>
    <w:lvl w:ilvl="0" w:tentative="0">
      <w:start w:val="4"/>
      <w:numFmt w:val="chineseCounting"/>
      <w:suff w:val="space"/>
      <w:lvlText w:val="第%1部分"/>
      <w:lvlJc w:val="left"/>
      <w:rPr>
        <w:rFonts w:hint="eastAsia"/>
      </w:rPr>
    </w:lvl>
  </w:abstractNum>
  <w:num w:numId="1">
    <w:abstractNumId w:val="1"/>
  </w:num>
  <w:num w:numId="2">
    <w:abstractNumId w:val="0"/>
  </w:num>
  <w:num w:numId="3">
    <w:abstractNumId w:val="3"/>
  </w:num>
  <w:num w:numId="4">
    <w:abstractNumId w:val="4"/>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HorizontalSpacing w:val="160"/>
  <w:drawingGridVerticalSpacing w:val="43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20E506C4"/>
    <w:rsid w:val="000E42AF"/>
    <w:rsid w:val="0010279E"/>
    <w:rsid w:val="00115018"/>
    <w:rsid w:val="00147370"/>
    <w:rsid w:val="002441F1"/>
    <w:rsid w:val="003704B0"/>
    <w:rsid w:val="00394C38"/>
    <w:rsid w:val="00463BDF"/>
    <w:rsid w:val="004A4AB3"/>
    <w:rsid w:val="004C607E"/>
    <w:rsid w:val="0056164F"/>
    <w:rsid w:val="00592FDC"/>
    <w:rsid w:val="005971FB"/>
    <w:rsid w:val="006C2865"/>
    <w:rsid w:val="00803916"/>
    <w:rsid w:val="00854D03"/>
    <w:rsid w:val="008E5206"/>
    <w:rsid w:val="00926DEC"/>
    <w:rsid w:val="00A63645"/>
    <w:rsid w:val="00AB586D"/>
    <w:rsid w:val="00AF5C24"/>
    <w:rsid w:val="00B8182D"/>
    <w:rsid w:val="00B91CFD"/>
    <w:rsid w:val="00BC4A55"/>
    <w:rsid w:val="00C61D66"/>
    <w:rsid w:val="00C65FC3"/>
    <w:rsid w:val="00CC6DD1"/>
    <w:rsid w:val="00D87A62"/>
    <w:rsid w:val="00E85123"/>
    <w:rsid w:val="00ED0A63"/>
    <w:rsid w:val="00F11EB9"/>
    <w:rsid w:val="00FE1193"/>
    <w:rsid w:val="086C1E64"/>
    <w:rsid w:val="09E544FA"/>
    <w:rsid w:val="0C9E002E"/>
    <w:rsid w:val="16926154"/>
    <w:rsid w:val="1AF22409"/>
    <w:rsid w:val="1D8B0C78"/>
    <w:rsid w:val="20B96E79"/>
    <w:rsid w:val="20E506C4"/>
    <w:rsid w:val="24374174"/>
    <w:rsid w:val="257C5C0E"/>
    <w:rsid w:val="30DF4759"/>
    <w:rsid w:val="3669223E"/>
    <w:rsid w:val="3D904069"/>
    <w:rsid w:val="3F0541AE"/>
    <w:rsid w:val="3FCA23EC"/>
    <w:rsid w:val="424D60E4"/>
    <w:rsid w:val="42FA4769"/>
    <w:rsid w:val="43BC1030"/>
    <w:rsid w:val="47964FBE"/>
    <w:rsid w:val="4A1752A2"/>
    <w:rsid w:val="4B18398F"/>
    <w:rsid w:val="51340330"/>
    <w:rsid w:val="52AC7AB3"/>
    <w:rsid w:val="54207C4C"/>
    <w:rsid w:val="596D661C"/>
    <w:rsid w:val="61841D00"/>
    <w:rsid w:val="667E2553"/>
    <w:rsid w:val="69A157A9"/>
    <w:rsid w:val="69D00FAB"/>
    <w:rsid w:val="6B3B79EC"/>
    <w:rsid w:val="6F094735"/>
    <w:rsid w:val="73431FE5"/>
    <w:rsid w:val="76D811D1"/>
    <w:rsid w:val="778B0394"/>
    <w:rsid w:val="7B6D5E4A"/>
    <w:rsid w:val="7CAA636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简体" w:cs="Times New Roman"/>
      <w:kern w:val="2"/>
      <w:sz w:val="32"/>
      <w:lang w:val="en-US" w:eastAsia="zh-CN" w:bidi="ar-SA"/>
    </w:rPr>
  </w:style>
  <w:style w:type="character" w:default="1" w:styleId="5">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Plain Text"/>
    <w:basedOn w:val="1"/>
    <w:qFormat/>
    <w:uiPriority w:val="0"/>
    <w:rPr>
      <w:rFonts w:ascii="宋体" w:hAnsi="Courier New" w:eastAsia="宋体"/>
      <w:sz w:val="21"/>
    </w:rPr>
  </w:style>
  <w:style w:type="paragraph" w:styleId="3">
    <w:name w:val="footer"/>
    <w:basedOn w:val="1"/>
    <w:link w:val="16"/>
    <w:qFormat/>
    <w:uiPriority w:val="0"/>
    <w:pPr>
      <w:tabs>
        <w:tab w:val="center" w:pos="4153"/>
        <w:tab w:val="right" w:pos="8306"/>
      </w:tabs>
      <w:snapToGrid w:val="0"/>
      <w:jc w:val="left"/>
    </w:pPr>
    <w:rPr>
      <w:sz w:val="18"/>
      <w:szCs w:val="18"/>
    </w:rPr>
  </w:style>
  <w:style w:type="paragraph" w:styleId="4">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8">
    <w:name w:val="font11"/>
    <w:basedOn w:val="5"/>
    <w:qFormat/>
    <w:uiPriority w:val="0"/>
    <w:rPr>
      <w:rFonts w:hint="eastAsia" w:ascii="宋体" w:hAnsi="宋体" w:eastAsia="宋体" w:cs="宋体"/>
      <w:b/>
      <w:color w:val="000000"/>
      <w:sz w:val="32"/>
      <w:szCs w:val="32"/>
      <w:u w:val="none"/>
    </w:rPr>
  </w:style>
  <w:style w:type="character" w:customStyle="1" w:styleId="9">
    <w:name w:val="font91"/>
    <w:basedOn w:val="5"/>
    <w:qFormat/>
    <w:uiPriority w:val="0"/>
    <w:rPr>
      <w:rFonts w:hint="eastAsia" w:ascii="宋体" w:hAnsi="宋体" w:eastAsia="宋体" w:cs="宋体"/>
      <w:color w:val="000000"/>
      <w:sz w:val="32"/>
      <w:szCs w:val="32"/>
      <w:u w:val="none"/>
    </w:rPr>
  </w:style>
  <w:style w:type="character" w:customStyle="1" w:styleId="10">
    <w:name w:val="font51"/>
    <w:basedOn w:val="5"/>
    <w:qFormat/>
    <w:uiPriority w:val="0"/>
    <w:rPr>
      <w:rFonts w:hint="eastAsia" w:ascii="宋体" w:hAnsi="宋体" w:eastAsia="宋体" w:cs="宋体"/>
      <w:color w:val="000000"/>
      <w:sz w:val="20"/>
      <w:szCs w:val="20"/>
      <w:u w:val="none"/>
    </w:rPr>
  </w:style>
  <w:style w:type="character" w:customStyle="1" w:styleId="11">
    <w:name w:val="font101"/>
    <w:basedOn w:val="5"/>
    <w:qFormat/>
    <w:uiPriority w:val="0"/>
    <w:rPr>
      <w:rFonts w:hint="eastAsia" w:ascii="宋体" w:hAnsi="宋体" w:eastAsia="宋体" w:cs="宋体"/>
      <w:color w:val="000000"/>
      <w:sz w:val="20"/>
      <w:szCs w:val="20"/>
      <w:u w:val="none"/>
    </w:rPr>
  </w:style>
  <w:style w:type="character" w:customStyle="1" w:styleId="12">
    <w:name w:val="font21"/>
    <w:basedOn w:val="5"/>
    <w:qFormat/>
    <w:uiPriority w:val="0"/>
    <w:rPr>
      <w:rFonts w:hint="eastAsia" w:ascii="宋体" w:hAnsi="宋体" w:eastAsia="宋体" w:cs="宋体"/>
      <w:color w:val="000000"/>
      <w:sz w:val="18"/>
      <w:szCs w:val="18"/>
      <w:u w:val="none"/>
    </w:rPr>
  </w:style>
  <w:style w:type="character" w:customStyle="1" w:styleId="13">
    <w:name w:val="font112"/>
    <w:basedOn w:val="5"/>
    <w:qFormat/>
    <w:uiPriority w:val="0"/>
    <w:rPr>
      <w:rFonts w:hint="eastAsia" w:ascii="宋体" w:hAnsi="宋体" w:eastAsia="宋体" w:cs="宋体"/>
      <w:color w:val="000000"/>
      <w:sz w:val="20"/>
      <w:szCs w:val="20"/>
      <w:u w:val="none"/>
    </w:rPr>
  </w:style>
  <w:style w:type="character" w:customStyle="1" w:styleId="14">
    <w:name w:val="font61"/>
    <w:basedOn w:val="5"/>
    <w:qFormat/>
    <w:uiPriority w:val="0"/>
    <w:rPr>
      <w:rFonts w:hint="eastAsia" w:ascii="宋体" w:hAnsi="宋体" w:eastAsia="宋体" w:cs="宋体"/>
      <w:color w:val="000000"/>
      <w:sz w:val="24"/>
      <w:szCs w:val="24"/>
      <w:u w:val="none"/>
    </w:rPr>
  </w:style>
  <w:style w:type="character" w:customStyle="1" w:styleId="15">
    <w:name w:val="页眉 Char"/>
    <w:basedOn w:val="5"/>
    <w:link w:val="4"/>
    <w:qFormat/>
    <w:uiPriority w:val="0"/>
    <w:rPr>
      <w:rFonts w:ascii="Calibri" w:hAnsi="Calibri" w:eastAsia="方正仿宋简体"/>
      <w:kern w:val="2"/>
      <w:sz w:val="18"/>
      <w:szCs w:val="18"/>
    </w:rPr>
  </w:style>
  <w:style w:type="character" w:customStyle="1" w:styleId="16">
    <w:name w:val="页脚 Char"/>
    <w:basedOn w:val="5"/>
    <w:link w:val="3"/>
    <w:qFormat/>
    <w:uiPriority w:val="0"/>
    <w:rPr>
      <w:rFonts w:ascii="Calibri" w:hAnsi="Calibri" w:eastAsia="方正仿宋简体"/>
      <w:kern w:val="2"/>
      <w:sz w:val="18"/>
      <w:szCs w:val="18"/>
    </w:rPr>
  </w:style>
  <w:style w:type="character" w:customStyle="1" w:styleId="17">
    <w:name w:val="font41"/>
    <w:basedOn w:val="5"/>
    <w:uiPriority w:val="0"/>
    <w:rPr>
      <w:rFonts w:hint="eastAsia" w:ascii="黑体" w:hAnsi="宋体" w:eastAsia="黑体" w:cs="黑体"/>
      <w:color w:val="000000"/>
      <w:sz w:val="40"/>
      <w:szCs w:val="40"/>
      <w:u w:val="none"/>
    </w:rPr>
  </w:style>
  <w:style w:type="character" w:customStyle="1" w:styleId="18">
    <w:name w:val="font81"/>
    <w:basedOn w:val="5"/>
    <w:uiPriority w:val="0"/>
    <w:rPr>
      <w:rFonts w:hint="default" w:ascii="Arial" w:hAnsi="Arial" w:cs="Arial"/>
      <w:color w:val="000000"/>
      <w:sz w:val="20"/>
      <w:szCs w:val="20"/>
      <w:u w:val="none"/>
    </w:rPr>
  </w:style>
  <w:style w:type="character" w:customStyle="1" w:styleId="19">
    <w:name w:val="font71"/>
    <w:basedOn w:val="5"/>
    <w:uiPriority w:val="0"/>
    <w:rPr>
      <w:rFonts w:hint="eastAsia" w:ascii="楷体_GB2312" w:eastAsia="楷体_GB2312" w:cs="楷体_GB2312"/>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oleObject" Target="embeddings/oleObject1.bin"/><Relationship Id="rId7" Type="http://schemas.openxmlformats.org/officeDocument/2006/relationships/chart" Target="charts/chart3.xml"/><Relationship Id="rId6" Type="http://schemas.openxmlformats.org/officeDocument/2006/relationships/chart" Target="charts/chart2.xml"/><Relationship Id="rId5" Type="http://schemas.openxmlformats.org/officeDocument/2006/relationships/chart" Target="charts/chart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3.emf"/><Relationship Id="rId11" Type="http://schemas.openxmlformats.org/officeDocument/2006/relationships/oleObject" Target="embeddings/oleObject2.bin"/><Relationship Id="rId10" Type="http://schemas.openxmlformats.org/officeDocument/2006/relationships/chart" Target="charts/chart4.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本年支出</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numRef>
              <c:f>Sheet1!$A$2:$A$3</c:f>
              <c:numCache>
                <c:formatCode>General</c:formatCode>
                <c:ptCount val="2"/>
                <c:pt idx="0">
                  <c:v>2018</c:v>
                </c:pt>
                <c:pt idx="1">
                  <c:v>2019</c:v>
                </c:pt>
              </c:numCache>
            </c:numRef>
          </c:cat>
          <c:val>
            <c:numRef>
              <c:f>Sheet1!$B$2:$B$3</c:f>
              <c:numCache>
                <c:formatCode>General</c:formatCode>
                <c:ptCount val="2"/>
                <c:pt idx="0">
                  <c:v>1421.09</c:v>
                </c:pt>
                <c:pt idx="1">
                  <c:v>940.6</c:v>
                </c:pt>
              </c:numCache>
            </c:numRef>
          </c:val>
        </c:ser>
        <c:ser>
          <c:idx val="1"/>
          <c:order val="1"/>
          <c:tx>
            <c:strRef>
              <c:f>Sheet1!$C$1</c:f>
              <c:strCache>
                <c:ptCount val="1"/>
                <c:pt idx="0">
                  <c:v>基本支出</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numRef>
              <c:f>Sheet1!$A$2:$A$3</c:f>
              <c:numCache>
                <c:formatCode>General</c:formatCode>
                <c:ptCount val="2"/>
                <c:pt idx="0">
                  <c:v>2018</c:v>
                </c:pt>
                <c:pt idx="1">
                  <c:v>2019</c:v>
                </c:pt>
              </c:numCache>
            </c:numRef>
          </c:cat>
          <c:val>
            <c:numRef>
              <c:f>Sheet1!$C$2:$C$3</c:f>
              <c:numCache>
                <c:formatCode>General</c:formatCode>
                <c:ptCount val="2"/>
                <c:pt idx="0">
                  <c:v>27.33</c:v>
                </c:pt>
                <c:pt idx="1">
                  <c:v>37.79</c:v>
                </c:pt>
              </c:numCache>
            </c:numRef>
          </c:val>
        </c:ser>
        <c:ser>
          <c:idx val="2"/>
          <c:order val="2"/>
          <c:tx>
            <c:strRef>
              <c:f>Sheet1!$D$1</c:f>
              <c:strCache>
                <c:ptCount val="1"/>
                <c:pt idx="0">
                  <c:v>项目支出</c:v>
                </c:pt>
              </c:strCache>
            </c:strRef>
          </c:tx>
          <c:spPr>
            <a:solidFill>
              <a:schemeClr val="accent3"/>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numRef>
              <c:f>Sheet1!$A$2:$A$3</c:f>
              <c:numCache>
                <c:formatCode>General</c:formatCode>
                <c:ptCount val="2"/>
                <c:pt idx="0">
                  <c:v>2018</c:v>
                </c:pt>
                <c:pt idx="1">
                  <c:v>2019</c:v>
                </c:pt>
              </c:numCache>
            </c:numRef>
          </c:cat>
          <c:val>
            <c:numRef>
              <c:f>Sheet1!$D$2:$D$3</c:f>
              <c:numCache>
                <c:formatCode>General</c:formatCode>
                <c:ptCount val="2"/>
                <c:pt idx="0">
                  <c:v>1393.76</c:v>
                </c:pt>
                <c:pt idx="1">
                  <c:v>902.81</c:v>
                </c:pt>
              </c:numCache>
            </c:numRef>
          </c:val>
        </c:ser>
        <c:dLbls>
          <c:showLegendKey val="0"/>
          <c:showVal val="1"/>
          <c:showCatName val="0"/>
          <c:showSerName val="0"/>
          <c:showPercent val="0"/>
          <c:showBubbleSize val="0"/>
        </c:dLbls>
        <c:gapWidth val="219"/>
        <c:overlap val="-27"/>
        <c:axId val="531306341"/>
        <c:axId val="823905252"/>
      </c:barChart>
      <c:catAx>
        <c:axId val="531306341"/>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23905252"/>
        <c:crosses val="autoZero"/>
        <c:auto val="1"/>
        <c:lblAlgn val="ctr"/>
        <c:lblOffset val="100"/>
        <c:noMultiLvlLbl val="0"/>
      </c:catAx>
      <c:valAx>
        <c:axId val="82390525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31306341"/>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财政拨款收入</c:v>
                </c:pt>
              </c:strCache>
            </c:strRef>
          </c:tx>
          <c:spPr>
            <a:solidFill>
              <a:schemeClr val="accent1"/>
            </a:solidFill>
            <a:ln>
              <a:noFill/>
            </a:ln>
            <a:effectLst/>
          </c:spPr>
          <c:invertIfNegative val="0"/>
          <c:dLbls>
            <c:delete val="1"/>
          </c:dLbls>
          <c:cat>
            <c:strRef>
              <c:f>Sheet1!$A$2:$A$5</c:f>
              <c:strCache>
                <c:ptCount val="4"/>
                <c:pt idx="0">
                  <c:v>财政拨款收入</c:v>
                </c:pt>
                <c:pt idx="1">
                  <c:v>事业收入</c:v>
                </c:pt>
                <c:pt idx="2">
                  <c:v>经营收入</c:v>
                </c:pt>
                <c:pt idx="3">
                  <c:v>其他收入</c:v>
                </c:pt>
              </c:strCache>
            </c:strRef>
          </c:cat>
          <c:val>
            <c:numRef>
              <c:f>Sheet1!$B$2:$B$5</c:f>
              <c:numCache>
                <c:formatCode>General</c:formatCode>
                <c:ptCount val="4"/>
                <c:pt idx="0">
                  <c:v>940.6</c:v>
                </c:pt>
                <c:pt idx="1">
                  <c:v>0</c:v>
                </c:pt>
                <c:pt idx="2">
                  <c:v>0</c:v>
                </c:pt>
                <c:pt idx="3">
                  <c:v>0</c:v>
                </c:pt>
              </c:numCache>
            </c:numRef>
          </c:val>
        </c:ser>
        <c:ser>
          <c:idx val="1"/>
          <c:order val="1"/>
          <c:tx>
            <c:strRef>
              <c:f>Sheet1!$C$1</c:f>
              <c:strCache>
                <c:ptCount val="1"/>
                <c:pt idx="0">
                  <c:v>事业收入</c:v>
                </c:pt>
              </c:strCache>
            </c:strRef>
          </c:tx>
          <c:spPr>
            <a:solidFill>
              <a:schemeClr val="accent2"/>
            </a:solidFill>
            <a:ln>
              <a:noFill/>
            </a:ln>
            <a:effectLst/>
          </c:spPr>
          <c:invertIfNegative val="0"/>
          <c:dLbls>
            <c:delete val="1"/>
          </c:dLbls>
          <c:cat>
            <c:strRef>
              <c:f>Sheet1!$A$2:$A$5</c:f>
              <c:strCache>
                <c:ptCount val="4"/>
                <c:pt idx="0">
                  <c:v>财政拨款收入</c:v>
                </c:pt>
                <c:pt idx="1">
                  <c:v>事业收入</c:v>
                </c:pt>
                <c:pt idx="2">
                  <c:v>经营收入</c:v>
                </c:pt>
                <c:pt idx="3">
                  <c:v>其他收入</c:v>
                </c:pt>
              </c:strCache>
            </c:strRef>
          </c:cat>
          <c:val>
            <c:numRef>
              <c:f>Sheet1!$C$2:$C$5</c:f>
              <c:numCache>
                <c:formatCode>General</c:formatCode>
                <c:ptCount val="4"/>
                <c:pt idx="0">
                  <c:v>0</c:v>
                </c:pt>
                <c:pt idx="1">
                  <c:v>0</c:v>
                </c:pt>
                <c:pt idx="2">
                  <c:v>0</c:v>
                </c:pt>
                <c:pt idx="3">
                  <c:v>0</c:v>
                </c:pt>
              </c:numCache>
            </c:numRef>
          </c:val>
        </c:ser>
        <c:ser>
          <c:idx val="2"/>
          <c:order val="2"/>
          <c:tx>
            <c:strRef>
              <c:f>Sheet1!$D$1</c:f>
              <c:strCache>
                <c:ptCount val="1"/>
                <c:pt idx="0">
                  <c:v>经营收入</c:v>
                </c:pt>
              </c:strCache>
            </c:strRef>
          </c:tx>
          <c:spPr>
            <a:solidFill>
              <a:schemeClr val="accent3"/>
            </a:solidFill>
            <a:ln>
              <a:noFill/>
            </a:ln>
            <a:effectLst/>
          </c:spPr>
          <c:invertIfNegative val="0"/>
          <c:dLbls>
            <c:delete val="1"/>
          </c:dLbls>
          <c:cat>
            <c:strRef>
              <c:f>Sheet1!$A$2:$A$5</c:f>
              <c:strCache>
                <c:ptCount val="4"/>
                <c:pt idx="0">
                  <c:v>财政拨款收入</c:v>
                </c:pt>
                <c:pt idx="1">
                  <c:v>事业收入</c:v>
                </c:pt>
                <c:pt idx="2">
                  <c:v>经营收入</c:v>
                </c:pt>
                <c:pt idx="3">
                  <c:v>其他收入</c:v>
                </c:pt>
              </c:strCache>
            </c:strRef>
          </c:cat>
          <c:val>
            <c:numRef>
              <c:f>Sheet1!$D$2:$D$5</c:f>
              <c:numCache>
                <c:formatCode>General</c:formatCode>
                <c:ptCount val="4"/>
                <c:pt idx="0">
                  <c:v>0</c:v>
                </c:pt>
                <c:pt idx="1">
                  <c:v>0</c:v>
                </c:pt>
                <c:pt idx="2">
                  <c:v>0</c:v>
                </c:pt>
                <c:pt idx="3">
                  <c:v>0</c:v>
                </c:pt>
              </c:numCache>
            </c:numRef>
          </c:val>
        </c:ser>
        <c:ser>
          <c:idx val="4"/>
          <c:order val="3"/>
          <c:tx>
            <c:strRef>
              <c:f>"其他收入"</c:f>
              <c:strCache>
                <c:ptCount val="1"/>
                <c:pt idx="0">
                  <c:v>其他收入</c:v>
                </c:pt>
              </c:strCache>
            </c:strRef>
          </c:tx>
          <c:spPr>
            <a:solidFill>
              <a:schemeClr val="accent5"/>
            </a:solidFill>
            <a:ln>
              <a:noFill/>
            </a:ln>
            <a:effectLst/>
          </c:spPr>
          <c:invertIfNegative val="0"/>
          <c:dLbls>
            <c:delete val="1"/>
          </c:dLbls>
          <c:cat>
            <c:strRef>
              <c:f>Sheet1!$A$2:$A$5</c:f>
              <c:strCache>
                <c:ptCount val="4"/>
                <c:pt idx="0">
                  <c:v>财政拨款收入</c:v>
                </c:pt>
                <c:pt idx="1">
                  <c:v>事业收入</c:v>
                </c:pt>
                <c:pt idx="2">
                  <c:v>经营收入</c:v>
                </c:pt>
                <c:pt idx="3">
                  <c:v>其他收入</c:v>
                </c:pt>
              </c:strCache>
            </c:strRef>
          </c:cat>
          <c:val>
            <c:numRef>
              <c:f>{1}</c:f>
              <c:numCache>
                <c:formatCode>General</c:formatCode>
                <c:ptCount val="1"/>
                <c:pt idx="0">
                  <c:v>1</c:v>
                </c:pt>
              </c:numCache>
            </c:numRef>
          </c:val>
        </c:ser>
        <c:dLbls>
          <c:showLegendKey val="0"/>
          <c:showVal val="1"/>
          <c:showCatName val="0"/>
          <c:showSerName val="0"/>
          <c:showPercent val="0"/>
          <c:showBubbleSize val="0"/>
        </c:dLbls>
        <c:gapWidth val="219"/>
        <c:overlap val="-27"/>
        <c:axId val="245756773"/>
        <c:axId val="753378413"/>
      </c:barChart>
      <c:catAx>
        <c:axId val="245756773"/>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53378413"/>
        <c:crosses val="autoZero"/>
        <c:auto val="1"/>
        <c:lblAlgn val="ctr"/>
        <c:lblOffset val="100"/>
        <c:noMultiLvlLbl val="0"/>
      </c:catAx>
      <c:valAx>
        <c:axId val="75337841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45756773"/>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总体支出</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dLbl>
              <c:idx val="0"/>
              <c:layout>
                <c:manualLayout>
                  <c:x val="-0.0139376100393782"/>
                  <c:y val="0.121696257297587"/>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sz="1600"/>
                      <a:t>4%</a:t>
                    </a:r>
                    <a:endParaRPr sz="1600"/>
                  </a:p>
                </c:rich>
              </c:tx>
              <c:dLblPos val="bestFit"/>
              <c:showLegendKey val="0"/>
              <c:showVal val="0"/>
              <c:showCatName val="0"/>
              <c:showSerName val="0"/>
              <c:showPercent val="1"/>
              <c:showBubbleSize val="0"/>
              <c:extLst>
                <c:ext xmlns:c15="http://schemas.microsoft.com/office/drawing/2012/chart" uri="{CE6537A1-D6FC-4f65-9D91-7224C49458BB}">
                  <c15:layout/>
                </c:ext>
              </c:extLst>
            </c:dLbl>
            <c:dLbl>
              <c:idx val="1"/>
              <c:layout>
                <c:manualLayout>
                  <c:x val="0.0420643980897988"/>
                  <c:y val="-0.312029586011179"/>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sz="1600"/>
                      <a:t>96%</a:t>
                    </a:r>
                    <a:endParaRPr sz="1600"/>
                  </a:p>
                </c:rich>
              </c:tx>
              <c:dLblPos val="bestFit"/>
              <c:showLegendKey val="0"/>
              <c:showVal val="0"/>
              <c:showCatName val="0"/>
              <c:showSerName val="0"/>
              <c:showPercent val="1"/>
              <c:showBubbleSize val="0"/>
              <c:extLst>
                <c:ext xmlns:c15="http://schemas.microsoft.com/office/drawing/2012/chart" uri="{CE6537A1-D6FC-4f65-9D91-7224C49458BB}">
                  <c15:layout/>
                </c:ext>
              </c:extLst>
            </c:dLbl>
            <c:dLbl>
              <c:idx val="2"/>
              <c:layout>
                <c:manualLayout>
                  <c:x val="0.0536243847814641"/>
                  <c:y val="0.206887499998624"/>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sz="1600"/>
                      <a:t>0%</a:t>
                    </a:r>
                    <a:endParaRPr sz="1600"/>
                  </a:p>
                </c:rich>
              </c:tx>
              <c:dLblPos val="bestFit"/>
              <c:showLegendKey val="0"/>
              <c:showVal val="0"/>
              <c:showCatName val="0"/>
              <c:showSerName val="0"/>
              <c:showPercent val="1"/>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ctr"/>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基本支出</c:v>
                </c:pt>
                <c:pt idx="1">
                  <c:v>项目支出</c:v>
                </c:pt>
                <c:pt idx="2">
                  <c:v>经营支出</c:v>
                </c:pt>
              </c:strCache>
            </c:strRef>
          </c:cat>
          <c:val>
            <c:numRef>
              <c:f>Sheet1!$B$2:$B$4</c:f>
              <c:numCache>
                <c:formatCode>General</c:formatCode>
                <c:ptCount val="3"/>
                <c:pt idx="0">
                  <c:v>37.79</c:v>
                </c:pt>
                <c:pt idx="1">
                  <c:v>902.81</c:v>
                </c:pt>
                <c:pt idx="2">
                  <c:v>0</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财政拨款</c:v>
                </c:pt>
              </c:strCache>
            </c:strRef>
          </c:tx>
          <c:spPr>
            <a:solidFill>
              <a:schemeClr val="accent1"/>
            </a:solidFill>
            <a:ln>
              <a:noFill/>
            </a:ln>
            <a:effectLst/>
          </c:spPr>
          <c:invertIfNegative val="0"/>
          <c:dLbls>
            <c:delete val="1"/>
          </c:dLbls>
          <c:cat>
            <c:strRef>
              <c:f>Sheet1!$A$2:$A$3</c:f>
              <c:strCache>
                <c:ptCount val="2"/>
                <c:pt idx="0">
                  <c:v>2018年</c:v>
                </c:pt>
                <c:pt idx="1">
                  <c:v>2019年</c:v>
                </c:pt>
              </c:strCache>
            </c:strRef>
          </c:cat>
          <c:val>
            <c:numRef>
              <c:f>Sheet1!$B$2:$B$3</c:f>
              <c:numCache>
                <c:formatCode>General</c:formatCode>
                <c:ptCount val="2"/>
                <c:pt idx="0">
                  <c:v>1421</c:v>
                </c:pt>
                <c:pt idx="1">
                  <c:v>940</c:v>
                </c:pt>
              </c:numCache>
            </c:numRef>
          </c:val>
        </c:ser>
        <c:ser>
          <c:idx val="1"/>
          <c:order val="1"/>
          <c:tx>
            <c:strRef>
              <c:f>Sheet1!$C$1</c:f>
              <c:strCache>
                <c:ptCount val="1"/>
                <c:pt idx="0">
                  <c:v>一般公共预算</c:v>
                </c:pt>
              </c:strCache>
            </c:strRef>
          </c:tx>
          <c:spPr>
            <a:solidFill>
              <a:schemeClr val="accent2"/>
            </a:solidFill>
            <a:ln>
              <a:noFill/>
            </a:ln>
            <a:effectLst/>
          </c:spPr>
          <c:invertIfNegative val="0"/>
          <c:dLbls>
            <c:delete val="1"/>
          </c:dLbls>
          <c:cat>
            <c:strRef>
              <c:f>Sheet1!$A$2:$A$3</c:f>
              <c:strCache>
                <c:ptCount val="2"/>
                <c:pt idx="0">
                  <c:v>2018年</c:v>
                </c:pt>
                <c:pt idx="1">
                  <c:v>2019年</c:v>
                </c:pt>
              </c:strCache>
            </c:strRef>
          </c:cat>
          <c:val>
            <c:numRef>
              <c:f>Sheet1!$C$2:$C$3</c:f>
              <c:numCache>
                <c:formatCode>General</c:formatCode>
                <c:ptCount val="2"/>
                <c:pt idx="0">
                  <c:v>1408</c:v>
                </c:pt>
                <c:pt idx="1">
                  <c:v>931</c:v>
                </c:pt>
              </c:numCache>
            </c:numRef>
          </c:val>
        </c:ser>
        <c:dLbls>
          <c:showLegendKey val="0"/>
          <c:showVal val="0"/>
          <c:showCatName val="0"/>
          <c:showSerName val="0"/>
          <c:showPercent val="0"/>
          <c:showBubbleSize val="0"/>
        </c:dLbls>
        <c:gapWidth val="219"/>
        <c:overlap val="-27"/>
        <c:axId val="206706744"/>
        <c:axId val="185482740"/>
      </c:barChart>
      <c:lineChart>
        <c:grouping val="standard"/>
        <c:varyColors val="0"/>
        <c:ser>
          <c:idx val="2"/>
          <c:order val="2"/>
          <c:tx>
            <c:strRef>
              <c:f>Sheet1!#REF!</c:f>
              <c:strCache>
                <c:ptCount val="1"/>
                <c:pt idx="0">
                  <c:v/>
                </c:pt>
              </c:strCache>
            </c:strRef>
          </c:tx>
          <c:spPr>
            <a:ln w="28575" cap="rnd">
              <a:solidFill>
                <a:schemeClr val="accent3"/>
              </a:solidFill>
              <a:round/>
            </a:ln>
            <a:effectLst/>
          </c:spPr>
          <c:marker>
            <c:symbol val="none"/>
          </c:marker>
          <c:dLbls>
            <c:delete val="1"/>
          </c:dLbls>
          <c:cat>
            <c:strRef>
              <c:f>Sheet1!$A$2:$A$3</c:f>
              <c:strCache>
                <c:ptCount val="2"/>
                <c:pt idx="0">
                  <c:v>2018年</c:v>
                </c:pt>
                <c:pt idx="1">
                  <c:v>2019年</c:v>
                </c:pt>
              </c:strCache>
            </c:strRef>
          </c:cat>
          <c:val>
            <c:numRef>
              <c:f>Sheet1!#REF!</c:f>
              <c:numCache>
                <c:formatCode>General</c:formatCode>
                <c:ptCount val="1"/>
                <c:pt idx="0">
                  <c:v>1</c:v>
                </c:pt>
              </c:numCache>
            </c:numRef>
          </c:val>
          <c:smooth val="0"/>
        </c:ser>
        <c:dLbls>
          <c:showLegendKey val="0"/>
          <c:showVal val="0"/>
          <c:showCatName val="0"/>
          <c:showSerName val="0"/>
          <c:showPercent val="0"/>
          <c:showBubbleSize val="0"/>
        </c:dLbls>
        <c:marker val="0"/>
        <c:smooth val="0"/>
        <c:axId val="206706744"/>
        <c:axId val="185482740"/>
      </c:lineChart>
      <c:catAx>
        <c:axId val="206706744"/>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85482740"/>
        <c:crosses val="autoZero"/>
        <c:auto val="1"/>
        <c:lblAlgn val="ctr"/>
        <c:lblOffset val="100"/>
        <c:noMultiLvlLbl val="0"/>
      </c:catAx>
      <c:valAx>
        <c:axId val="18548274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06706744"/>
        <c:crosses val="autoZero"/>
        <c:crossBetween val="between"/>
      </c:valAx>
      <c:spPr>
        <a:noFill/>
        <a:ln>
          <a:noFill/>
        </a:ln>
        <a:effectLst/>
      </c:spPr>
    </c:plotArea>
    <c:legend>
      <c:legendPos val="b"/>
      <c:legendEntry>
        <c:idx val="2"/>
        <c:delete val="1"/>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26</Pages>
  <Words>1302</Words>
  <Characters>7428</Characters>
  <Lines>61</Lines>
  <Paragraphs>17</Paragraphs>
  <TotalTime>0</TotalTime>
  <ScaleCrop>false</ScaleCrop>
  <LinksUpToDate>false</LinksUpToDate>
  <CharactersWithSpaces>8713</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2020-09-17T02:02:00Z</dcterms:created>
  <dc:creator>lenovo</dc:creator>
  <cp:lastModifiedBy>dell</cp:lastModifiedBy>
  <cp:lastPrinted>2020-09-17T03:12:00Z</cp:lastPrinted>
  <dcterms:modified xsi:type="dcterms:W3CDTF">2020-09-22T03:34:18Z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