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240" w:lineRule="auto"/>
        <w:jc w:val="center"/>
        <w:textAlignment w:val="auto"/>
        <w:rPr>
          <w:rFonts w:cs="宋体" w:asciiTheme="minorEastAsia" w:hAnsiTheme="minorEastAsia"/>
          <w:b/>
          <w:sz w:val="44"/>
          <w:szCs w:val="44"/>
        </w:rPr>
      </w:pPr>
      <w:r>
        <w:rPr>
          <w:rFonts w:hint="eastAsia" w:cs="宋体" w:asciiTheme="minorEastAsia" w:hAnsiTheme="minorEastAsia"/>
          <w:b/>
          <w:sz w:val="44"/>
          <w:szCs w:val="44"/>
          <w:lang w:bidi="ar"/>
        </w:rPr>
        <w:t>原蓝田县粮食局</w:t>
      </w:r>
    </w:p>
    <w:p>
      <w:pPr>
        <w:keepNext w:val="0"/>
        <w:keepLines w:val="0"/>
        <w:pageBreakBefore w:val="0"/>
        <w:kinsoku/>
        <w:wordWrap/>
        <w:overflowPunct/>
        <w:topLinePunct w:val="0"/>
        <w:autoSpaceDE/>
        <w:autoSpaceDN/>
        <w:bidi w:val="0"/>
        <w:adjustRightInd/>
        <w:snapToGrid/>
        <w:spacing w:line="240" w:lineRule="auto"/>
        <w:jc w:val="center"/>
        <w:textAlignment w:val="auto"/>
        <w:rPr>
          <w:rFonts w:cs="宋体" w:asciiTheme="minorEastAsia" w:hAnsiTheme="minorEastAsia"/>
          <w:b/>
          <w:sz w:val="44"/>
          <w:szCs w:val="44"/>
        </w:rPr>
      </w:pPr>
      <w:r>
        <w:rPr>
          <w:rFonts w:hint="eastAsia" w:cs="宋体" w:asciiTheme="minorEastAsia" w:hAnsiTheme="minorEastAsia"/>
          <w:b/>
          <w:sz w:val="44"/>
          <w:szCs w:val="44"/>
          <w:lang w:bidi="ar"/>
        </w:rPr>
        <w:t>201</w:t>
      </w:r>
      <w:r>
        <w:rPr>
          <w:rFonts w:hint="eastAsia" w:cs="宋体" w:asciiTheme="minorEastAsia" w:hAnsiTheme="minorEastAsia"/>
          <w:b/>
          <w:sz w:val="44"/>
          <w:szCs w:val="44"/>
          <w:lang w:val="en-US" w:eastAsia="zh-CN" w:bidi="ar"/>
        </w:rPr>
        <w:t>9</w:t>
      </w:r>
      <w:r>
        <w:rPr>
          <w:rFonts w:hint="eastAsia" w:cs="宋体" w:asciiTheme="minorEastAsia" w:hAnsiTheme="minorEastAsia"/>
          <w:b/>
          <w:sz w:val="44"/>
          <w:szCs w:val="44"/>
          <w:lang w:bidi="ar"/>
        </w:rPr>
        <w:t>年度部门决算说明</w:t>
      </w:r>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600" w:firstLineChars="200"/>
        <w:textAlignment w:val="auto"/>
        <w:rPr>
          <w:rFonts w:hint="eastAsia" w:cs="宋体" w:asciiTheme="minorEastAsia" w:hAnsiTheme="minorEastAsia"/>
          <w:color w:val="3D3D3C"/>
          <w:sz w:val="30"/>
          <w:szCs w:val="30"/>
        </w:rPr>
      </w:pPr>
      <w:r>
        <w:rPr>
          <w:rFonts w:hint="eastAsia" w:cs="宋体" w:asciiTheme="minorEastAsia" w:hAnsiTheme="minorEastAsia"/>
          <w:color w:val="3D3D3C"/>
          <w:sz w:val="30"/>
          <w:szCs w:val="30"/>
        </w:rPr>
        <w:t>根据西安市委办公室、市政府办公室印发《蓝田县机构改革方案》通知，市办字（2009）55号文件，设立蓝田县粮食局。根据县委县政府办公室蓝办字（2019）12号机构改革精神，粮食局整体划归县发展和改革委员会，三定方案设有粮食科、加挂粮食和物资储备局牌子，本部门2019年划转至蓝田县发展和改革委员会，人员分别由县组织部和人事局整体划入，粮食局暂时保留一级预算核算，相关内设机构随之调整。</w:t>
      </w:r>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720" w:firstLineChars="200"/>
        <w:textAlignment w:val="auto"/>
        <w:rPr>
          <w:rFonts w:hint="eastAsia" w:ascii="黑体" w:hAnsi="黑体" w:eastAsia="黑体" w:cs="黑体"/>
          <w:color w:val="3D3D3C"/>
          <w:sz w:val="36"/>
          <w:szCs w:val="36"/>
          <w:lang w:val="en-US" w:eastAsia="zh-CN"/>
        </w:rPr>
      </w:pPr>
      <w:r>
        <w:rPr>
          <w:rFonts w:hint="eastAsia" w:ascii="黑体" w:hAnsi="黑体" w:eastAsia="黑体" w:cs="黑体"/>
          <w:color w:val="3D3D3C"/>
          <w:sz w:val="36"/>
          <w:szCs w:val="36"/>
          <w:lang w:val="en-US" w:eastAsia="zh-CN"/>
        </w:rPr>
        <w:t>部门概况</w:t>
      </w:r>
    </w:p>
    <w:p>
      <w:pPr>
        <w:pStyle w:val="5"/>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240" w:lineRule="auto"/>
        <w:ind w:firstLine="602" w:firstLineChars="200"/>
        <w:textAlignment w:val="auto"/>
        <w:rPr>
          <w:rFonts w:hint="eastAsia" w:cs="宋体" w:asciiTheme="minorEastAsia" w:hAnsiTheme="minorEastAsia"/>
          <w:b/>
          <w:bCs/>
          <w:color w:val="3D3D3C"/>
          <w:sz w:val="30"/>
          <w:szCs w:val="30"/>
          <w:lang w:val="en-US" w:eastAsia="zh-CN"/>
        </w:rPr>
      </w:pPr>
      <w:r>
        <w:rPr>
          <w:rFonts w:hint="eastAsia" w:cs="宋体" w:asciiTheme="minorEastAsia" w:hAnsiTheme="minorEastAsia"/>
          <w:b/>
          <w:bCs/>
          <w:color w:val="3D3D3C"/>
          <w:sz w:val="30"/>
          <w:szCs w:val="30"/>
        </w:rPr>
        <w:t>部门主要职责</w:t>
      </w:r>
      <w:r>
        <w:rPr>
          <w:rFonts w:hint="eastAsia" w:cs="宋体" w:asciiTheme="minorEastAsia" w:hAnsiTheme="minorEastAsia"/>
          <w:b/>
          <w:bCs/>
          <w:color w:val="3D3D3C"/>
          <w:sz w:val="30"/>
          <w:szCs w:val="30"/>
          <w:lang w:val="en-US" w:eastAsia="zh-CN"/>
        </w:rPr>
        <w:t>及内设机构</w:t>
      </w:r>
    </w:p>
    <w:p>
      <w:pPr>
        <w:pStyle w:val="5"/>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textAlignment w:val="auto"/>
        <w:rPr>
          <w:rFonts w:hint="default" w:cs="宋体" w:asciiTheme="minorEastAsia" w:hAnsiTheme="minorEastAsia"/>
          <w:b/>
          <w:bCs/>
          <w:color w:val="3D3D3C"/>
          <w:sz w:val="30"/>
          <w:szCs w:val="30"/>
          <w:lang w:val="en-US" w:eastAsia="zh-CN"/>
        </w:rPr>
      </w:pPr>
      <w:r>
        <w:rPr>
          <w:rFonts w:hint="eastAsia" w:cs="宋体" w:asciiTheme="minorEastAsia" w:hAnsiTheme="minorEastAsia"/>
          <w:b/>
          <w:bCs/>
          <w:color w:val="3D3D3C"/>
          <w:sz w:val="30"/>
          <w:szCs w:val="30"/>
          <w:lang w:val="en-US" w:eastAsia="zh-CN"/>
        </w:rPr>
        <w:t xml:space="preserve">    （一）主要职责</w:t>
      </w:r>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600" w:firstLineChars="200"/>
        <w:textAlignment w:val="auto"/>
        <w:rPr>
          <w:rFonts w:cs="宋体" w:asciiTheme="minorEastAsia" w:hAnsiTheme="minorEastAsia"/>
          <w:color w:val="3D3D3C"/>
          <w:sz w:val="30"/>
          <w:szCs w:val="30"/>
        </w:rPr>
      </w:pPr>
      <w:r>
        <w:rPr>
          <w:rFonts w:hint="eastAsia" w:cs="宋体" w:asciiTheme="minorEastAsia" w:hAnsiTheme="minorEastAsia"/>
          <w:color w:val="3D3D3C"/>
          <w:sz w:val="30"/>
          <w:szCs w:val="30"/>
          <w:lang w:val="en-US" w:eastAsia="zh-CN"/>
        </w:rPr>
        <w:t>1、</w:t>
      </w:r>
      <w:r>
        <w:rPr>
          <w:rFonts w:hint="eastAsia" w:cs="宋体" w:asciiTheme="minorEastAsia" w:hAnsiTheme="minorEastAsia"/>
          <w:color w:val="3D3D3C"/>
          <w:sz w:val="30"/>
          <w:szCs w:val="30"/>
        </w:rPr>
        <w:t xml:space="preserve">贯彻执行粮食方面的法律法规和方针政策。 </w:t>
      </w:r>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600" w:firstLineChars="200"/>
        <w:textAlignment w:val="auto"/>
        <w:rPr>
          <w:rFonts w:cs="宋体" w:asciiTheme="minorEastAsia" w:hAnsiTheme="minorEastAsia"/>
          <w:color w:val="3D3D3C"/>
          <w:sz w:val="30"/>
          <w:szCs w:val="30"/>
        </w:rPr>
      </w:pPr>
      <w:r>
        <w:rPr>
          <w:rFonts w:hint="eastAsia" w:cs="宋体" w:asciiTheme="minorEastAsia" w:hAnsiTheme="minorEastAsia"/>
          <w:color w:val="3D3D3C"/>
          <w:sz w:val="30"/>
          <w:szCs w:val="30"/>
        </w:rPr>
        <w:t xml:space="preserve">2、承担粮食监测和拟定全县粮食应急预案并组织实施。 </w:t>
      </w:r>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600" w:firstLineChars="200"/>
        <w:textAlignment w:val="auto"/>
        <w:rPr>
          <w:rFonts w:cs="宋体" w:asciiTheme="minorEastAsia" w:hAnsiTheme="minorEastAsia"/>
          <w:color w:val="3D3D3C"/>
          <w:sz w:val="30"/>
          <w:szCs w:val="30"/>
        </w:rPr>
      </w:pPr>
      <w:r>
        <w:rPr>
          <w:rFonts w:hint="eastAsia" w:cs="宋体" w:asciiTheme="minorEastAsia" w:hAnsiTheme="minorEastAsia"/>
          <w:color w:val="3D3D3C"/>
          <w:sz w:val="30"/>
          <w:szCs w:val="30"/>
        </w:rPr>
        <w:t xml:space="preserve">3、依法实施粮食流通监督检查 </w:t>
      </w:r>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600" w:firstLineChars="200"/>
        <w:textAlignment w:val="auto"/>
        <w:rPr>
          <w:rFonts w:cs="宋体" w:asciiTheme="minorEastAsia" w:hAnsiTheme="minorEastAsia"/>
          <w:color w:val="3D3D3C"/>
          <w:sz w:val="30"/>
          <w:szCs w:val="30"/>
        </w:rPr>
      </w:pPr>
      <w:r>
        <w:rPr>
          <w:rFonts w:hint="eastAsia" w:cs="宋体" w:asciiTheme="minorEastAsia" w:hAnsiTheme="minorEastAsia"/>
          <w:color w:val="3D3D3C"/>
          <w:sz w:val="30"/>
          <w:szCs w:val="30"/>
        </w:rPr>
        <w:t xml:space="preserve">4、负责全县粮食流通行业管理。 </w:t>
      </w:r>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600" w:firstLineChars="200"/>
        <w:textAlignment w:val="auto"/>
        <w:rPr>
          <w:rFonts w:cs="宋体" w:asciiTheme="minorEastAsia" w:hAnsiTheme="minorEastAsia"/>
          <w:color w:val="3D3D3C"/>
          <w:sz w:val="30"/>
          <w:szCs w:val="30"/>
        </w:rPr>
      </w:pPr>
      <w:r>
        <w:rPr>
          <w:rFonts w:hint="eastAsia" w:cs="宋体" w:asciiTheme="minorEastAsia" w:hAnsiTheme="minorEastAsia"/>
          <w:color w:val="3D3D3C"/>
          <w:sz w:val="30"/>
          <w:szCs w:val="30"/>
        </w:rPr>
        <w:t xml:space="preserve">5、负责市，县级储备粮行政管理工作。 </w:t>
      </w:r>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600" w:firstLineChars="200"/>
        <w:textAlignment w:val="auto"/>
        <w:rPr>
          <w:rFonts w:cs="宋体" w:asciiTheme="minorEastAsia" w:hAnsiTheme="minorEastAsia"/>
          <w:color w:val="3D3D3C"/>
          <w:sz w:val="30"/>
          <w:szCs w:val="30"/>
        </w:rPr>
      </w:pPr>
      <w:r>
        <w:rPr>
          <w:rFonts w:hint="eastAsia" w:cs="宋体" w:asciiTheme="minorEastAsia" w:hAnsiTheme="minorEastAsia"/>
          <w:color w:val="3D3D3C"/>
          <w:sz w:val="30"/>
          <w:szCs w:val="30"/>
        </w:rPr>
        <w:t xml:space="preserve">6、指导全县粮食系统专项资金管理工作。 </w:t>
      </w:r>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left="596" w:leftChars="284" w:firstLine="0" w:firstLineChars="0"/>
        <w:textAlignment w:val="auto"/>
        <w:rPr>
          <w:rFonts w:cs="宋体" w:asciiTheme="minorEastAsia" w:hAnsiTheme="minorEastAsia"/>
          <w:color w:val="3D3D3C"/>
          <w:sz w:val="30"/>
          <w:szCs w:val="30"/>
        </w:rPr>
      </w:pPr>
      <w:r>
        <w:rPr>
          <w:rFonts w:hint="eastAsia" w:cs="宋体" w:asciiTheme="minorEastAsia" w:hAnsiTheme="minorEastAsia"/>
          <w:color w:val="3D3D3C"/>
          <w:sz w:val="30"/>
          <w:szCs w:val="30"/>
        </w:rPr>
        <w:t>7、配合市上做好灾区移民和缺粮贫困地区的粮食供应工作。8、抓好全县25个放心粮油全覆盖网点工作。</w:t>
      </w:r>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602" w:firstLineChars="200"/>
        <w:textAlignment w:val="auto"/>
        <w:rPr>
          <w:rFonts w:cs="宋体" w:asciiTheme="minorEastAsia" w:hAnsiTheme="minorEastAsia"/>
          <w:b/>
          <w:color w:val="3D3D3C"/>
          <w:sz w:val="30"/>
          <w:szCs w:val="30"/>
        </w:rPr>
      </w:pPr>
      <w:r>
        <w:rPr>
          <w:rFonts w:hint="eastAsia" w:cs="宋体" w:asciiTheme="minorEastAsia" w:hAnsiTheme="minorEastAsia"/>
          <w:b/>
          <w:color w:val="3D3D3C"/>
          <w:sz w:val="30"/>
          <w:szCs w:val="30"/>
          <w:lang w:eastAsia="zh-CN"/>
        </w:rPr>
        <w:t>（</w:t>
      </w:r>
      <w:r>
        <w:rPr>
          <w:rFonts w:hint="eastAsia" w:cs="宋体" w:asciiTheme="minorEastAsia" w:hAnsiTheme="minorEastAsia"/>
          <w:b/>
          <w:color w:val="3D3D3C"/>
          <w:sz w:val="30"/>
          <w:szCs w:val="30"/>
          <w:lang w:val="en-US" w:eastAsia="zh-CN"/>
        </w:rPr>
        <w:t>二）</w:t>
      </w:r>
      <w:r>
        <w:rPr>
          <w:rFonts w:hint="eastAsia" w:cs="宋体" w:asciiTheme="minorEastAsia" w:hAnsiTheme="minorEastAsia"/>
          <w:b/>
          <w:color w:val="3D3D3C"/>
          <w:sz w:val="30"/>
          <w:szCs w:val="30"/>
        </w:rPr>
        <w:t>内设机构：</w:t>
      </w:r>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600" w:firstLineChars="200"/>
        <w:textAlignment w:val="auto"/>
        <w:rPr>
          <w:rFonts w:cs="宋体" w:asciiTheme="minorEastAsia" w:hAnsiTheme="minorEastAsia"/>
          <w:color w:val="3D3D3C"/>
          <w:sz w:val="30"/>
          <w:szCs w:val="30"/>
        </w:rPr>
      </w:pPr>
      <w:r>
        <w:rPr>
          <w:rFonts w:hint="eastAsia" w:cs="宋体" w:asciiTheme="minorEastAsia" w:hAnsiTheme="minorEastAsia"/>
          <w:color w:val="3D3D3C"/>
          <w:sz w:val="30"/>
          <w:szCs w:val="30"/>
        </w:rPr>
        <w:t>内设机构共有3个科室分别是：办公室、劳资综合科、监督检查科。</w:t>
      </w:r>
      <w:r>
        <w:rPr>
          <w:rFonts w:hint="eastAsia" w:asciiTheme="minorEastAsia" w:hAnsiTheme="minorEastAsia"/>
          <w:sz w:val="30"/>
          <w:szCs w:val="30"/>
        </w:rPr>
        <w:t>本单位无下属单位</w:t>
      </w:r>
      <w:r>
        <w:rPr>
          <w:rFonts w:hint="eastAsia" w:cs="宋体" w:asciiTheme="minorEastAsia" w:hAnsiTheme="minorEastAsia"/>
          <w:color w:val="3D3D3C"/>
          <w:sz w:val="30"/>
          <w:szCs w:val="30"/>
        </w:rPr>
        <w:t xml:space="preserve"> 。</w:t>
      </w:r>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602" w:firstLineChars="200"/>
        <w:textAlignment w:val="auto"/>
        <w:rPr>
          <w:rFonts w:cs="宋体" w:asciiTheme="minorEastAsia" w:hAnsiTheme="minorEastAsia"/>
          <w:color w:val="3D3D3C"/>
          <w:sz w:val="30"/>
          <w:szCs w:val="30"/>
        </w:rPr>
      </w:pPr>
      <w:r>
        <w:rPr>
          <w:rFonts w:hint="eastAsia" w:cs="宋体" w:asciiTheme="minorEastAsia" w:hAnsiTheme="minorEastAsia"/>
          <w:b/>
          <w:bCs/>
          <w:color w:val="3D3D3C"/>
          <w:sz w:val="30"/>
          <w:szCs w:val="30"/>
        </w:rPr>
        <w:t xml:space="preserve">二、部门决算单位构成 </w:t>
      </w:r>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600" w:firstLineChars="200"/>
        <w:textAlignment w:val="auto"/>
        <w:rPr>
          <w:rFonts w:hint="eastAsia" w:ascii="仿宋_GB2312" w:hAnsi="仿宋" w:eastAsia="仿宋_GB2312"/>
          <w:sz w:val="32"/>
          <w:szCs w:val="32"/>
        </w:rPr>
      </w:pPr>
      <w:r>
        <w:rPr>
          <w:rFonts w:hint="eastAsia" w:cs="宋体" w:asciiTheme="minorEastAsia" w:hAnsiTheme="minorEastAsia"/>
          <w:color w:val="3D3D3C"/>
          <w:sz w:val="30"/>
          <w:szCs w:val="30"/>
        </w:rPr>
        <w:t>纳入本部门201</w:t>
      </w:r>
      <w:r>
        <w:rPr>
          <w:rFonts w:hint="eastAsia" w:cs="宋体" w:asciiTheme="minorEastAsia" w:hAnsiTheme="minorEastAsia"/>
          <w:color w:val="3D3D3C"/>
          <w:sz w:val="30"/>
          <w:szCs w:val="30"/>
          <w:lang w:val="en-US" w:eastAsia="zh-CN"/>
        </w:rPr>
        <w:t>9</w:t>
      </w:r>
      <w:r>
        <w:rPr>
          <w:rFonts w:hint="eastAsia" w:cs="宋体" w:asciiTheme="minorEastAsia" w:hAnsiTheme="minorEastAsia"/>
          <w:color w:val="3D3D3C"/>
          <w:sz w:val="30"/>
          <w:szCs w:val="30"/>
        </w:rPr>
        <w:t>年度部门决算编制范围的一级决算单位</w:t>
      </w:r>
      <w:r>
        <w:rPr>
          <w:rFonts w:hint="eastAsia" w:ascii="仿宋_GB2312" w:hAnsi="仿宋" w:eastAsia="仿宋_GB2312"/>
          <w:sz w:val="32"/>
          <w:szCs w:val="32"/>
        </w:rPr>
        <w:t>1个，二级决算单位0个。</w:t>
      </w:r>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602" w:firstLineChars="200"/>
        <w:textAlignment w:val="auto"/>
        <w:rPr>
          <w:rFonts w:cs="宋体" w:asciiTheme="minorEastAsia" w:hAnsiTheme="minorEastAsia"/>
          <w:b/>
          <w:bCs/>
          <w:color w:val="3D3D3C"/>
          <w:sz w:val="30"/>
          <w:szCs w:val="30"/>
        </w:rPr>
      </w:pPr>
      <w:r>
        <w:rPr>
          <w:rFonts w:hint="eastAsia" w:cs="宋体" w:asciiTheme="minorEastAsia" w:hAnsiTheme="minorEastAsia"/>
          <w:b/>
          <w:bCs/>
          <w:color w:val="3D3D3C"/>
          <w:sz w:val="30"/>
          <w:szCs w:val="30"/>
        </w:rPr>
        <w:t xml:space="preserve">三、部门人员情况说明 </w:t>
      </w:r>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420"/>
        <w:textAlignment w:val="auto"/>
        <w:rPr>
          <w:rFonts w:cs="宋体" w:asciiTheme="minorEastAsia" w:hAnsiTheme="minorEastAsia"/>
          <w:color w:val="3D3D3C"/>
          <w:sz w:val="30"/>
          <w:szCs w:val="30"/>
        </w:rPr>
      </w:pPr>
      <w:r>
        <w:rPr>
          <w:rFonts w:hint="eastAsia" w:cs="宋体" w:asciiTheme="minorEastAsia" w:hAnsiTheme="minorEastAsia"/>
          <w:color w:val="3D3D3C"/>
          <w:sz w:val="30"/>
          <w:szCs w:val="30"/>
        </w:rPr>
        <w:t>截止201</w:t>
      </w:r>
      <w:r>
        <w:rPr>
          <w:rFonts w:hint="eastAsia" w:cs="宋体" w:asciiTheme="minorEastAsia" w:hAnsiTheme="minorEastAsia"/>
          <w:color w:val="3D3D3C"/>
          <w:sz w:val="30"/>
          <w:szCs w:val="30"/>
          <w:lang w:val="en-US" w:eastAsia="zh-CN"/>
        </w:rPr>
        <w:t>9</w:t>
      </w:r>
      <w:r>
        <w:rPr>
          <w:rFonts w:hint="eastAsia" w:cs="宋体" w:asciiTheme="minorEastAsia" w:hAnsiTheme="minorEastAsia"/>
          <w:color w:val="3D3D3C"/>
          <w:sz w:val="30"/>
          <w:szCs w:val="30"/>
        </w:rPr>
        <w:t>年底，本部门人员编制2</w:t>
      </w:r>
      <w:r>
        <w:rPr>
          <w:rFonts w:hint="eastAsia" w:cs="宋体" w:asciiTheme="minorEastAsia" w:hAnsiTheme="minorEastAsia"/>
          <w:color w:val="3D3D3C"/>
          <w:sz w:val="30"/>
          <w:szCs w:val="30"/>
          <w:lang w:val="en-US" w:eastAsia="zh-CN"/>
        </w:rPr>
        <w:t>4</w:t>
      </w:r>
      <w:r>
        <w:rPr>
          <w:rFonts w:hint="eastAsia" w:cs="宋体" w:asciiTheme="minorEastAsia" w:hAnsiTheme="minorEastAsia"/>
          <w:color w:val="3D3D3C"/>
          <w:sz w:val="30"/>
          <w:szCs w:val="30"/>
        </w:rPr>
        <w:t>人，其中行政编制1</w:t>
      </w:r>
      <w:r>
        <w:rPr>
          <w:rFonts w:hint="eastAsia" w:cs="宋体" w:asciiTheme="minorEastAsia" w:hAnsiTheme="minorEastAsia"/>
          <w:color w:val="3D3D3C"/>
          <w:sz w:val="30"/>
          <w:szCs w:val="30"/>
          <w:lang w:val="en-US" w:eastAsia="zh-CN"/>
        </w:rPr>
        <w:t>1</w:t>
      </w:r>
      <w:r>
        <w:rPr>
          <w:rFonts w:hint="eastAsia" w:cs="宋体" w:asciiTheme="minorEastAsia" w:hAnsiTheme="minorEastAsia"/>
          <w:color w:val="3D3D3C"/>
          <w:sz w:val="30"/>
          <w:szCs w:val="30"/>
        </w:rPr>
        <w:t>人、事业编制1</w:t>
      </w:r>
      <w:r>
        <w:rPr>
          <w:rFonts w:hint="eastAsia" w:cs="宋体" w:asciiTheme="minorEastAsia" w:hAnsiTheme="minorEastAsia"/>
          <w:color w:val="3D3D3C"/>
          <w:sz w:val="30"/>
          <w:szCs w:val="30"/>
          <w:lang w:val="en-US" w:eastAsia="zh-CN"/>
        </w:rPr>
        <w:t>3</w:t>
      </w:r>
      <w:r>
        <w:rPr>
          <w:rFonts w:hint="eastAsia" w:cs="宋体" w:asciiTheme="minorEastAsia" w:hAnsiTheme="minorEastAsia"/>
          <w:color w:val="3D3D3C"/>
          <w:sz w:val="30"/>
          <w:szCs w:val="30"/>
        </w:rPr>
        <w:t>人；实有人员2</w:t>
      </w:r>
      <w:r>
        <w:rPr>
          <w:rFonts w:hint="eastAsia" w:cs="宋体" w:asciiTheme="minorEastAsia" w:hAnsiTheme="minorEastAsia"/>
          <w:color w:val="3D3D3C"/>
          <w:sz w:val="30"/>
          <w:szCs w:val="30"/>
          <w:lang w:val="en-US" w:eastAsia="zh-CN"/>
        </w:rPr>
        <w:t>0</w:t>
      </w:r>
      <w:r>
        <w:rPr>
          <w:rFonts w:hint="eastAsia" w:cs="宋体" w:asciiTheme="minorEastAsia" w:hAnsiTheme="minorEastAsia"/>
          <w:color w:val="3D3D3C"/>
          <w:sz w:val="30"/>
          <w:szCs w:val="30"/>
        </w:rPr>
        <w:t>人，其中行政1</w:t>
      </w:r>
      <w:r>
        <w:rPr>
          <w:rFonts w:hint="eastAsia" w:cs="宋体" w:asciiTheme="minorEastAsia" w:hAnsiTheme="minorEastAsia"/>
          <w:color w:val="3D3D3C"/>
          <w:sz w:val="30"/>
          <w:szCs w:val="30"/>
          <w:lang w:val="en-US" w:eastAsia="zh-CN"/>
        </w:rPr>
        <w:t>0</w:t>
      </w:r>
      <w:r>
        <w:rPr>
          <w:rFonts w:hint="eastAsia" w:cs="宋体" w:asciiTheme="minorEastAsia" w:hAnsiTheme="minorEastAsia"/>
          <w:color w:val="3D3D3C"/>
          <w:sz w:val="30"/>
          <w:szCs w:val="30"/>
        </w:rPr>
        <w:t>人、事业10人。单位管理的离退休人员2</w:t>
      </w:r>
      <w:r>
        <w:rPr>
          <w:rFonts w:hint="eastAsia" w:cs="宋体" w:asciiTheme="minorEastAsia" w:hAnsiTheme="minorEastAsia"/>
          <w:color w:val="3D3D3C"/>
          <w:sz w:val="30"/>
          <w:szCs w:val="30"/>
          <w:lang w:val="en-US" w:eastAsia="zh-CN"/>
        </w:rPr>
        <w:t>1</w:t>
      </w:r>
      <w:r>
        <w:rPr>
          <w:rFonts w:hint="eastAsia" w:cs="宋体" w:asciiTheme="minorEastAsia" w:hAnsiTheme="minorEastAsia"/>
          <w:color w:val="3D3D3C"/>
          <w:sz w:val="30"/>
          <w:szCs w:val="30"/>
        </w:rPr>
        <w:t>人。</w:t>
      </w:r>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420"/>
        <w:textAlignment w:val="auto"/>
        <w:rPr>
          <w:rFonts w:cs="宋体" w:asciiTheme="minorEastAsia" w:hAnsiTheme="minorEastAsia"/>
          <w:color w:val="3D3D3C"/>
          <w:sz w:val="30"/>
          <w:szCs w:val="30"/>
        </w:rPr>
      </w:pPr>
      <w:r>
        <w:rPr>
          <w:rFonts w:cs="宋体" w:asciiTheme="minorEastAsia" w:hAnsiTheme="minorEastAsia"/>
          <w:color w:val="3D3D3C"/>
          <w:sz w:val="30"/>
          <w:szCs w:val="30"/>
        </w:rPr>
        <w:drawing>
          <wp:inline distT="0" distB="0" distL="0" distR="0">
            <wp:extent cx="4610100" cy="2524125"/>
            <wp:effectExtent l="0" t="0" r="0" b="0"/>
            <wp:docPr id="1" name="图表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602" w:firstLineChars="200"/>
        <w:textAlignment w:val="auto"/>
        <w:rPr>
          <w:rFonts w:cs="宋体" w:asciiTheme="minorEastAsia" w:hAnsiTheme="minorEastAsia"/>
          <w:b/>
          <w:bCs/>
          <w:color w:val="3D3D3C"/>
          <w:sz w:val="30"/>
          <w:szCs w:val="30"/>
        </w:rPr>
      </w:pPr>
      <w:r>
        <w:rPr>
          <w:rFonts w:hint="eastAsia" w:cs="宋体" w:asciiTheme="minorEastAsia" w:hAnsiTheme="minorEastAsia"/>
          <w:b/>
          <w:bCs/>
          <w:color w:val="3D3D3C"/>
          <w:sz w:val="30"/>
          <w:szCs w:val="30"/>
        </w:rPr>
        <w:t>四、201</w:t>
      </w:r>
      <w:r>
        <w:rPr>
          <w:rFonts w:hint="eastAsia" w:cs="宋体" w:asciiTheme="minorEastAsia" w:hAnsiTheme="minorEastAsia"/>
          <w:b/>
          <w:bCs/>
          <w:color w:val="3D3D3C"/>
          <w:sz w:val="30"/>
          <w:szCs w:val="30"/>
          <w:lang w:val="en-US" w:eastAsia="zh-CN"/>
        </w:rPr>
        <w:t>9</w:t>
      </w:r>
      <w:r>
        <w:rPr>
          <w:rFonts w:hint="eastAsia" w:cs="宋体" w:asciiTheme="minorEastAsia" w:hAnsiTheme="minorEastAsia"/>
          <w:b/>
          <w:bCs/>
          <w:color w:val="3D3D3C"/>
          <w:sz w:val="30"/>
          <w:szCs w:val="30"/>
        </w:rPr>
        <w:t xml:space="preserve">年度部门工作完成情况。 </w:t>
      </w:r>
    </w:p>
    <w:p>
      <w:pPr>
        <w:pStyle w:val="5"/>
        <w:keepNext w:val="0"/>
        <w:keepLines w:val="0"/>
        <w:pageBreakBefore w:val="0"/>
        <w:widowControl/>
        <w:numPr>
          <w:ilvl w:val="0"/>
          <w:numId w:val="2"/>
        </w:numPr>
        <w:kinsoku/>
        <w:wordWrap/>
        <w:overflowPunct/>
        <w:topLinePunct w:val="0"/>
        <w:autoSpaceDE/>
        <w:autoSpaceDN/>
        <w:bidi w:val="0"/>
        <w:adjustRightInd/>
        <w:snapToGrid/>
        <w:spacing w:beforeAutospacing="0" w:afterAutospacing="0" w:line="240" w:lineRule="auto"/>
        <w:ind w:firstLine="602" w:firstLineChars="200"/>
        <w:textAlignment w:val="auto"/>
        <w:rPr>
          <w:rFonts w:hint="eastAsia" w:cs="宋体" w:asciiTheme="minorEastAsia" w:hAnsiTheme="minorEastAsia"/>
          <w:b/>
          <w:color w:val="3D3D3C"/>
          <w:sz w:val="30"/>
          <w:szCs w:val="30"/>
        </w:rPr>
      </w:pPr>
      <w:r>
        <w:rPr>
          <w:rFonts w:hint="eastAsia" w:cs="宋体" w:asciiTheme="minorEastAsia" w:hAnsiTheme="minorEastAsia"/>
          <w:b/>
          <w:color w:val="3D3D3C"/>
          <w:sz w:val="30"/>
          <w:szCs w:val="30"/>
        </w:rPr>
        <w:t xml:space="preserve">全年目标责任完成情况 </w:t>
      </w:r>
    </w:p>
    <w:p>
      <w:pPr>
        <w:pStyle w:val="5"/>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firstLine="600" w:firstLineChars="200"/>
        <w:textAlignment w:val="auto"/>
        <w:rPr>
          <w:rFonts w:cs="宋体" w:asciiTheme="minorEastAsia" w:hAnsiTheme="minorEastAsia"/>
          <w:color w:val="3D3D3C"/>
          <w:sz w:val="30"/>
          <w:szCs w:val="30"/>
        </w:rPr>
      </w:pPr>
      <w:r>
        <w:rPr>
          <w:rFonts w:hint="eastAsia" w:cs="宋体" w:asciiTheme="minorEastAsia" w:hAnsiTheme="minorEastAsia"/>
          <w:color w:val="3D3D3C"/>
          <w:sz w:val="30"/>
          <w:szCs w:val="30"/>
        </w:rPr>
        <w:t>201</w:t>
      </w:r>
      <w:r>
        <w:rPr>
          <w:rFonts w:hint="eastAsia" w:cs="宋体" w:asciiTheme="minorEastAsia" w:hAnsiTheme="minorEastAsia"/>
          <w:color w:val="3D3D3C"/>
          <w:sz w:val="30"/>
          <w:szCs w:val="30"/>
          <w:lang w:val="en-US" w:eastAsia="zh-CN"/>
        </w:rPr>
        <w:t>9</w:t>
      </w:r>
      <w:r>
        <w:rPr>
          <w:rFonts w:hint="eastAsia" w:cs="宋体" w:asciiTheme="minorEastAsia" w:hAnsiTheme="minorEastAsia"/>
          <w:color w:val="3D3D3C"/>
          <w:sz w:val="30"/>
          <w:szCs w:val="30"/>
        </w:rPr>
        <w:t>年实际完成情况</w:t>
      </w:r>
      <w:r>
        <w:rPr>
          <w:rFonts w:hint="eastAsia" w:cs="宋体" w:asciiTheme="minorEastAsia" w:hAnsiTheme="minorEastAsia"/>
          <w:color w:val="3D3D3C"/>
          <w:sz w:val="30"/>
          <w:szCs w:val="30"/>
          <w:lang w:eastAsia="zh-CN"/>
        </w:rPr>
        <w:t>：</w:t>
      </w:r>
      <w:r>
        <w:rPr>
          <w:rFonts w:hint="eastAsia" w:cs="宋体" w:asciiTheme="minorEastAsia" w:hAnsiTheme="minorEastAsia"/>
          <w:color w:val="3D3D3C"/>
          <w:sz w:val="30"/>
          <w:szCs w:val="30"/>
        </w:rPr>
        <w:t xml:space="preserve">粮食收购7254吨，占计划的132%；销售粮食5520吨，占计划的100.4%;企业实现利润5万元，占计划100%；粮油配送210吨，占计划的105%；粮食市场专项检查6次，占计划的120%；市县级储备粮达到数量真实，质量良好，储存安全目标；建成“放心馒头”加工中心及销售网络；实现了放心粮油和粮食应急供应全覆盖，财政预算实行政府网公开，预算支出执行进度、党建、扶贫、信访维稳、“路长制”、安全生产、市县分配工作及宣传、统战、平安创建、工青妇、亲商助企、保密档案、离退休人员等各项工作也取得了较好成绩。 </w:t>
      </w:r>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602" w:firstLineChars="200"/>
        <w:textAlignment w:val="auto"/>
        <w:rPr>
          <w:rFonts w:cs="宋体" w:asciiTheme="minorEastAsia" w:hAnsiTheme="minorEastAsia"/>
          <w:b/>
          <w:color w:val="3D3D3C"/>
          <w:sz w:val="30"/>
          <w:szCs w:val="30"/>
        </w:rPr>
      </w:pPr>
      <w:r>
        <w:rPr>
          <w:rFonts w:hint="eastAsia" w:cs="宋体" w:asciiTheme="minorEastAsia" w:hAnsiTheme="minorEastAsia"/>
          <w:b/>
          <w:color w:val="3D3D3C"/>
          <w:sz w:val="30"/>
          <w:szCs w:val="30"/>
        </w:rPr>
        <w:t>（</w:t>
      </w:r>
      <w:r>
        <w:rPr>
          <w:rFonts w:hint="eastAsia" w:cs="宋体" w:asciiTheme="minorEastAsia" w:hAnsiTheme="minorEastAsia"/>
          <w:b/>
          <w:color w:val="3D3D3C"/>
          <w:sz w:val="30"/>
          <w:szCs w:val="30"/>
          <w:lang w:val="en-US" w:eastAsia="zh-CN"/>
        </w:rPr>
        <w:t>二</w:t>
      </w:r>
      <w:r>
        <w:rPr>
          <w:rFonts w:hint="eastAsia" w:cs="宋体" w:asciiTheme="minorEastAsia" w:hAnsiTheme="minorEastAsia"/>
          <w:b/>
          <w:color w:val="3D3D3C"/>
          <w:sz w:val="30"/>
          <w:szCs w:val="30"/>
        </w:rPr>
        <w:t xml:space="preserve">）粮食改革发展稳步推进 </w:t>
      </w:r>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600" w:firstLineChars="200"/>
        <w:textAlignment w:val="auto"/>
        <w:rPr>
          <w:rFonts w:cs="宋体" w:asciiTheme="minorEastAsia" w:hAnsiTheme="minorEastAsia"/>
          <w:color w:val="3D3D3C"/>
          <w:sz w:val="30"/>
          <w:szCs w:val="30"/>
        </w:rPr>
      </w:pPr>
      <w:r>
        <w:rPr>
          <w:rFonts w:hint="eastAsia" w:cs="宋体" w:asciiTheme="minorEastAsia" w:hAnsiTheme="minorEastAsia"/>
          <w:color w:val="3D3D3C"/>
          <w:sz w:val="30"/>
          <w:szCs w:val="30"/>
        </w:rPr>
        <w:t xml:space="preserve">强化各级储备粮管理，确保数量真实，质量良好，储存安全，顺利通过市粮食局检查。启动了粮食安全县长责任制各项工作 ，以县政府办名义印发了工作方案和考核办法，完成了粮食质量品质测报、市场收购和放心粮油检查年审、城乡居民粮油消费调查、收获粮食质量抽样调查等各项工作，启建粮食安全应急体系，完成放心粮油网络动态调整，建立了粮食应急供应23个，点实现了全覆盖，建成“放心馒头”加工中心，设置销售亭13处。 积极开展10.16世界粮食日和全国粮食周主题宣传和食品安全宣传活动，倡导节粮爱粮。 </w:t>
      </w:r>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602" w:firstLineChars="200"/>
        <w:textAlignment w:val="auto"/>
        <w:rPr>
          <w:rFonts w:cs="宋体" w:asciiTheme="minorEastAsia" w:hAnsiTheme="minorEastAsia"/>
          <w:b/>
          <w:color w:val="3D3D3C"/>
          <w:sz w:val="30"/>
          <w:szCs w:val="30"/>
        </w:rPr>
      </w:pPr>
      <w:r>
        <w:rPr>
          <w:rFonts w:hint="eastAsia" w:cs="宋体" w:asciiTheme="minorEastAsia" w:hAnsiTheme="minorEastAsia"/>
          <w:b/>
          <w:color w:val="3D3D3C"/>
          <w:sz w:val="30"/>
          <w:szCs w:val="30"/>
        </w:rPr>
        <w:t>（</w:t>
      </w:r>
      <w:r>
        <w:rPr>
          <w:rFonts w:hint="eastAsia" w:cs="宋体" w:asciiTheme="minorEastAsia" w:hAnsiTheme="minorEastAsia"/>
          <w:b/>
          <w:color w:val="3D3D3C"/>
          <w:sz w:val="30"/>
          <w:szCs w:val="30"/>
          <w:lang w:val="en-US" w:eastAsia="zh-CN"/>
        </w:rPr>
        <w:t>三</w:t>
      </w:r>
      <w:r>
        <w:rPr>
          <w:rFonts w:hint="eastAsia" w:cs="宋体" w:asciiTheme="minorEastAsia" w:hAnsiTheme="minorEastAsia"/>
          <w:b/>
          <w:color w:val="3D3D3C"/>
          <w:sz w:val="30"/>
          <w:szCs w:val="30"/>
        </w:rPr>
        <w:t xml:space="preserve">）“六化”同步抓好帮扶工作 </w:t>
      </w:r>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600" w:firstLineChars="200"/>
        <w:textAlignment w:val="auto"/>
        <w:rPr>
          <w:rFonts w:hint="eastAsia" w:cs="宋体" w:asciiTheme="minorEastAsia" w:hAnsiTheme="minorEastAsia"/>
          <w:color w:val="3D3D3C"/>
          <w:sz w:val="30"/>
          <w:szCs w:val="30"/>
        </w:rPr>
      </w:pPr>
      <w:r>
        <w:rPr>
          <w:rFonts w:hint="eastAsia" w:cs="宋体" w:asciiTheme="minorEastAsia" w:hAnsiTheme="minorEastAsia"/>
          <w:color w:val="3D3D3C"/>
          <w:sz w:val="30"/>
          <w:szCs w:val="30"/>
        </w:rPr>
        <w:t>成立脱贫攻坚领导小组，组建脱贫攻坚前线指挥部，统筹资源，挂图作战。派出驻村工作队和第一书记， 在基层党建、基础设施建设、产业发展、危房改造等方面倾力支持；厚镇</w:t>
      </w:r>
      <w:r>
        <w:rPr>
          <w:rFonts w:hint="eastAsia" w:cs="宋体" w:asciiTheme="minorEastAsia" w:hAnsiTheme="minorEastAsia"/>
          <w:color w:val="3D3D3C"/>
          <w:sz w:val="30"/>
          <w:szCs w:val="30"/>
          <w:lang w:val="en-US" w:eastAsia="zh-CN"/>
        </w:rPr>
        <w:t>韩坪</w:t>
      </w:r>
      <w:r>
        <w:rPr>
          <w:rFonts w:hint="eastAsia" w:cs="宋体" w:asciiTheme="minorEastAsia" w:hAnsiTheme="minorEastAsia"/>
          <w:color w:val="3D3D3C"/>
          <w:sz w:val="30"/>
          <w:szCs w:val="30"/>
        </w:rPr>
        <w:t>、</w:t>
      </w:r>
      <w:r>
        <w:rPr>
          <w:rFonts w:hint="eastAsia" w:cs="宋体" w:asciiTheme="minorEastAsia" w:hAnsiTheme="minorEastAsia"/>
          <w:color w:val="3D3D3C"/>
          <w:sz w:val="30"/>
          <w:szCs w:val="30"/>
          <w:lang w:val="en-US" w:eastAsia="zh-CN"/>
        </w:rPr>
        <w:t>清峪、</w:t>
      </w:r>
      <w:r>
        <w:rPr>
          <w:rFonts w:hint="eastAsia" w:cs="宋体" w:asciiTheme="minorEastAsia" w:hAnsiTheme="minorEastAsia"/>
          <w:color w:val="3D3D3C"/>
          <w:sz w:val="30"/>
          <w:szCs w:val="30"/>
        </w:rPr>
        <w:t>水洼村帮扶工作深入开展，深入开展脱贫攻坚冬季行动和暖冬活动。“十送”活动经常化，资料档案规范化，走访慰问常态化，帮扶措施具体化，帮扶效果明显化，工作成效认可化，获赠</w:t>
      </w:r>
      <w:r>
        <w:rPr>
          <w:rFonts w:hint="eastAsia" w:cs="宋体" w:asciiTheme="minorEastAsia" w:hAnsiTheme="minorEastAsia"/>
          <w:color w:val="3D3D3C"/>
          <w:sz w:val="30"/>
          <w:szCs w:val="30"/>
          <w:lang w:val="en-US" w:eastAsia="zh-CN"/>
        </w:rPr>
        <w:t>韩坪</w:t>
      </w:r>
      <w:r>
        <w:rPr>
          <w:rFonts w:hint="eastAsia" w:cs="宋体" w:asciiTheme="minorEastAsia" w:hAnsiTheme="minorEastAsia"/>
          <w:color w:val="3D3D3C"/>
          <w:sz w:val="30"/>
          <w:szCs w:val="30"/>
        </w:rPr>
        <w:t xml:space="preserve">村贫困户韩养田“扶贫帮困送温暖，办事到家为百姓”锦旗一面。 </w:t>
      </w:r>
      <w:bookmarkStart w:id="0" w:name="_GoBack"/>
      <w:bookmarkEnd w:id="0"/>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720" w:firstLineChars="200"/>
        <w:textAlignment w:val="auto"/>
        <w:rPr>
          <w:rFonts w:cs="宋体" w:asciiTheme="minorEastAsia" w:hAnsiTheme="minorEastAsia"/>
          <w:b/>
          <w:bCs/>
          <w:color w:val="3D3D3C"/>
          <w:sz w:val="30"/>
          <w:szCs w:val="30"/>
        </w:rPr>
      </w:pPr>
      <w:r>
        <w:rPr>
          <w:rFonts w:hint="eastAsia" w:ascii="黑体" w:hAnsi="黑体" w:eastAsia="黑体" w:cs="黑体"/>
          <w:color w:val="3D3D3C"/>
          <w:sz w:val="36"/>
          <w:szCs w:val="36"/>
          <w:lang w:val="en-US" w:eastAsia="zh-CN"/>
        </w:rPr>
        <w:t>2019年度部门决算情况说明</w:t>
      </w:r>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602" w:firstLineChars="200"/>
        <w:textAlignment w:val="auto"/>
        <w:rPr>
          <w:rFonts w:cs="宋体" w:asciiTheme="minorEastAsia" w:hAnsiTheme="minorEastAsia"/>
          <w:b/>
          <w:color w:val="3D3D3C"/>
          <w:sz w:val="30"/>
          <w:szCs w:val="30"/>
        </w:rPr>
      </w:pPr>
      <w:r>
        <w:rPr>
          <w:rFonts w:hint="eastAsia" w:cs="宋体" w:asciiTheme="minorEastAsia" w:hAnsiTheme="minorEastAsia"/>
          <w:b/>
          <w:color w:val="3D3D3C"/>
          <w:sz w:val="30"/>
          <w:szCs w:val="30"/>
          <w:lang w:val="en-US" w:eastAsia="zh-CN"/>
        </w:rPr>
        <w:t>一、</w:t>
      </w:r>
      <w:r>
        <w:rPr>
          <w:rFonts w:hint="eastAsia" w:cs="宋体" w:asciiTheme="minorEastAsia" w:hAnsiTheme="minorEastAsia"/>
          <w:b/>
          <w:color w:val="3D3D3C"/>
          <w:sz w:val="30"/>
          <w:szCs w:val="30"/>
        </w:rPr>
        <w:t>收入支出</w:t>
      </w:r>
      <w:r>
        <w:rPr>
          <w:rFonts w:hint="eastAsia" w:cs="宋体" w:asciiTheme="minorEastAsia" w:hAnsiTheme="minorEastAsia"/>
          <w:b/>
          <w:color w:val="3D3D3C"/>
          <w:sz w:val="30"/>
          <w:szCs w:val="30"/>
          <w:lang w:val="en-US" w:eastAsia="zh-CN"/>
        </w:rPr>
        <w:t>决算</w:t>
      </w:r>
      <w:r>
        <w:rPr>
          <w:rFonts w:hint="eastAsia" w:cs="宋体" w:asciiTheme="minorEastAsia" w:hAnsiTheme="minorEastAsia"/>
          <w:b/>
          <w:color w:val="3D3D3C"/>
          <w:sz w:val="30"/>
          <w:szCs w:val="30"/>
        </w:rPr>
        <w:t xml:space="preserve">总体情况说明 </w:t>
      </w:r>
    </w:p>
    <w:p>
      <w:pPr>
        <w:keepNext w:val="0"/>
        <w:keepLines w:val="0"/>
        <w:pageBreakBefore w:val="0"/>
        <w:kinsoku/>
        <w:wordWrap/>
        <w:overflowPunct/>
        <w:topLinePunct w:val="0"/>
        <w:autoSpaceDE/>
        <w:autoSpaceDN/>
        <w:bidi w:val="0"/>
        <w:adjustRightInd/>
        <w:snapToGrid/>
        <w:spacing w:line="240" w:lineRule="auto"/>
        <w:ind w:firstLine="600" w:firstLineChars="200"/>
        <w:textAlignment w:val="auto"/>
        <w:rPr>
          <w:rFonts w:hint="eastAsia" w:cs="Times New Roman" w:asciiTheme="minorEastAsia" w:hAnsiTheme="minorEastAsia"/>
          <w:sz w:val="30"/>
          <w:szCs w:val="30"/>
        </w:rPr>
      </w:pPr>
      <w:r>
        <w:rPr>
          <w:rFonts w:hint="eastAsia" w:cs="Times New Roman" w:asciiTheme="minorEastAsia" w:hAnsiTheme="minorEastAsia"/>
          <w:sz w:val="30"/>
          <w:szCs w:val="30"/>
        </w:rPr>
        <w:t>本年度收入支出总体情况。201</w:t>
      </w:r>
      <w:r>
        <w:rPr>
          <w:rFonts w:hint="eastAsia" w:cs="Times New Roman" w:asciiTheme="minorEastAsia" w:hAnsiTheme="minorEastAsia"/>
          <w:sz w:val="30"/>
          <w:szCs w:val="30"/>
          <w:lang w:val="en-US" w:eastAsia="zh-CN"/>
        </w:rPr>
        <w:t>9</w:t>
      </w:r>
      <w:r>
        <w:rPr>
          <w:rFonts w:hint="eastAsia" w:cs="Times New Roman" w:asciiTheme="minorEastAsia" w:hAnsiTheme="minorEastAsia"/>
          <w:sz w:val="30"/>
          <w:szCs w:val="30"/>
        </w:rPr>
        <w:t>年度收入为</w:t>
      </w:r>
      <w:r>
        <w:rPr>
          <w:rFonts w:hint="eastAsia" w:cs="Times New Roman" w:asciiTheme="minorEastAsia" w:hAnsiTheme="minorEastAsia"/>
          <w:sz w:val="30"/>
          <w:szCs w:val="30"/>
          <w:lang w:val="en-US" w:eastAsia="zh-CN"/>
        </w:rPr>
        <w:t>344.48</w:t>
      </w:r>
      <w:r>
        <w:rPr>
          <w:rFonts w:hint="eastAsia" w:cs="Times New Roman" w:asciiTheme="minorEastAsia" w:hAnsiTheme="minorEastAsia"/>
          <w:sz w:val="30"/>
          <w:szCs w:val="30"/>
        </w:rPr>
        <w:t>万元，</w:t>
      </w:r>
      <w:r>
        <w:rPr>
          <w:rFonts w:hint="eastAsia" w:cs="Times New Roman" w:asciiTheme="minorEastAsia" w:hAnsiTheme="minorEastAsia"/>
          <w:sz w:val="30"/>
          <w:szCs w:val="30"/>
          <w:lang w:val="en-US" w:eastAsia="zh-CN"/>
        </w:rPr>
        <w:t>上年度收入463.25万元</w:t>
      </w:r>
      <w:r>
        <w:rPr>
          <w:rFonts w:hint="eastAsia" w:cs="Times New Roman" w:asciiTheme="minorEastAsia" w:hAnsiTheme="minorEastAsia"/>
          <w:sz w:val="30"/>
          <w:szCs w:val="30"/>
        </w:rPr>
        <w:t>，</w:t>
      </w:r>
      <w:r>
        <w:rPr>
          <w:rFonts w:hint="eastAsia" w:cs="Times New Roman" w:asciiTheme="minorEastAsia" w:hAnsiTheme="minorEastAsia"/>
          <w:sz w:val="30"/>
          <w:szCs w:val="30"/>
          <w:lang w:val="en-US" w:eastAsia="zh-CN"/>
        </w:rPr>
        <w:t>较上年减少118.77万元，减少26%。主要是上年度收入中有</w:t>
      </w:r>
      <w:r>
        <w:rPr>
          <w:rFonts w:hint="eastAsia" w:cs="Times New Roman" w:asciiTheme="minorEastAsia" w:hAnsiTheme="minorEastAsia"/>
          <w:sz w:val="30"/>
          <w:szCs w:val="30"/>
        </w:rPr>
        <w:t>政府给西安万众放心馒头有限公司赔偿损失192万元。</w:t>
      </w:r>
    </w:p>
    <w:p>
      <w:pPr>
        <w:keepNext w:val="0"/>
        <w:keepLines w:val="0"/>
        <w:pageBreakBefore w:val="0"/>
        <w:kinsoku/>
        <w:wordWrap/>
        <w:overflowPunct/>
        <w:topLinePunct w:val="0"/>
        <w:autoSpaceDE/>
        <w:autoSpaceDN/>
        <w:bidi w:val="0"/>
        <w:adjustRightInd/>
        <w:snapToGrid/>
        <w:spacing w:line="240" w:lineRule="auto"/>
        <w:ind w:firstLine="600" w:firstLineChars="200"/>
        <w:textAlignment w:val="auto"/>
        <w:rPr>
          <w:rFonts w:hint="eastAsia" w:cs="Times New Roman" w:asciiTheme="minorEastAsia" w:hAnsiTheme="minorEastAsia"/>
          <w:sz w:val="30"/>
          <w:szCs w:val="30"/>
        </w:rPr>
      </w:pPr>
      <w:r>
        <w:rPr>
          <w:rFonts w:hint="eastAsia" w:cs="Times New Roman" w:asciiTheme="minorEastAsia" w:hAnsiTheme="minorEastAsia"/>
          <w:sz w:val="30"/>
          <w:szCs w:val="30"/>
        </w:rPr>
        <w:t>本年支出为</w:t>
      </w:r>
      <w:r>
        <w:rPr>
          <w:rFonts w:hint="eastAsia" w:cs="Times New Roman" w:asciiTheme="minorEastAsia" w:hAnsiTheme="minorEastAsia"/>
          <w:sz w:val="30"/>
          <w:szCs w:val="30"/>
          <w:lang w:val="en-US" w:eastAsia="zh-CN"/>
        </w:rPr>
        <w:t>344.48万元，上年度支出463.25万元，</w:t>
      </w:r>
      <w:r>
        <w:rPr>
          <w:rFonts w:hint="eastAsia" w:cs="Times New Roman" w:asciiTheme="minorEastAsia" w:hAnsiTheme="minorEastAsia"/>
          <w:sz w:val="30"/>
          <w:szCs w:val="30"/>
        </w:rPr>
        <w:t>年末结余和结转为0万元，</w:t>
      </w:r>
      <w:r>
        <w:rPr>
          <w:rFonts w:hint="eastAsia" w:cs="Times New Roman" w:asciiTheme="minorEastAsia" w:hAnsiTheme="minorEastAsia"/>
          <w:sz w:val="30"/>
          <w:szCs w:val="30"/>
          <w:lang w:val="en-US" w:eastAsia="zh-CN"/>
        </w:rPr>
        <w:t>支出</w:t>
      </w:r>
      <w:r>
        <w:rPr>
          <w:rFonts w:hint="eastAsia" w:cs="Times New Roman" w:asciiTheme="minorEastAsia" w:hAnsiTheme="minorEastAsia"/>
          <w:sz w:val="30"/>
          <w:szCs w:val="30"/>
        </w:rPr>
        <w:t>较上年</w:t>
      </w:r>
      <w:r>
        <w:rPr>
          <w:rFonts w:hint="eastAsia" w:cs="Times New Roman" w:asciiTheme="minorEastAsia" w:hAnsiTheme="minorEastAsia"/>
          <w:sz w:val="30"/>
          <w:szCs w:val="30"/>
          <w:lang w:val="en-US" w:eastAsia="zh-CN"/>
        </w:rPr>
        <w:t>减少118.77万元</w:t>
      </w:r>
      <w:r>
        <w:rPr>
          <w:rFonts w:hint="eastAsia" w:cs="Times New Roman" w:asciiTheme="minorEastAsia" w:hAnsiTheme="minorEastAsia"/>
          <w:sz w:val="30"/>
          <w:szCs w:val="30"/>
        </w:rPr>
        <w:t>，</w:t>
      </w:r>
      <w:r>
        <w:rPr>
          <w:rFonts w:hint="eastAsia" w:cs="Times New Roman" w:asciiTheme="minorEastAsia" w:hAnsiTheme="minorEastAsia"/>
          <w:sz w:val="30"/>
          <w:szCs w:val="30"/>
          <w:lang w:val="en-US" w:eastAsia="zh-CN"/>
        </w:rPr>
        <w:t>减少26</w:t>
      </w:r>
      <w:r>
        <w:rPr>
          <w:rFonts w:hint="eastAsia" w:cs="Times New Roman" w:asciiTheme="minorEastAsia" w:hAnsiTheme="minorEastAsia"/>
          <w:sz w:val="30"/>
          <w:szCs w:val="30"/>
        </w:rPr>
        <w:t>%，原因是2018年政府给西安万众放心馒头有限公司赔偿损失192万元。</w:t>
      </w:r>
    </w:p>
    <w:p>
      <w:pPr>
        <w:keepNext w:val="0"/>
        <w:keepLines w:val="0"/>
        <w:pageBreakBefore w:val="0"/>
        <w:kinsoku/>
        <w:wordWrap/>
        <w:overflowPunct/>
        <w:topLinePunct w:val="0"/>
        <w:autoSpaceDE/>
        <w:autoSpaceDN/>
        <w:bidi w:val="0"/>
        <w:adjustRightInd/>
        <w:snapToGrid/>
        <w:spacing w:line="240" w:lineRule="auto"/>
        <w:ind w:firstLine="600" w:firstLineChars="200"/>
        <w:textAlignment w:val="auto"/>
        <w:rPr>
          <w:rFonts w:hint="eastAsia" w:cs="Times New Roman" w:asciiTheme="minorEastAsia" w:hAnsiTheme="minorEastAsia"/>
          <w:sz w:val="30"/>
          <w:szCs w:val="30"/>
        </w:rPr>
      </w:pPr>
    </w:p>
    <w:p>
      <w:pPr>
        <w:keepNext w:val="0"/>
        <w:keepLines w:val="0"/>
        <w:pageBreakBefore w:val="0"/>
        <w:kinsoku/>
        <w:wordWrap/>
        <w:overflowPunct/>
        <w:topLinePunct w:val="0"/>
        <w:autoSpaceDE/>
        <w:autoSpaceDN/>
        <w:bidi w:val="0"/>
        <w:adjustRightInd/>
        <w:snapToGrid/>
        <w:spacing w:line="240" w:lineRule="auto"/>
        <w:ind w:firstLine="600" w:firstLineChars="200"/>
        <w:textAlignment w:val="auto"/>
        <w:rPr>
          <w:rFonts w:hint="eastAsia" w:cs="Times New Roman" w:asciiTheme="minorEastAsia" w:hAnsiTheme="minorEastAsia" w:eastAsiaTheme="minorEastAsia"/>
          <w:sz w:val="30"/>
          <w:szCs w:val="30"/>
          <w:lang w:eastAsia="zh-CN"/>
        </w:rPr>
      </w:pPr>
      <w:r>
        <w:rPr>
          <w:rFonts w:hint="eastAsia" w:cs="Times New Roman" w:asciiTheme="minorEastAsia" w:hAnsiTheme="minorEastAsia" w:eastAsiaTheme="minorEastAsia"/>
          <w:sz w:val="30"/>
          <w:szCs w:val="30"/>
          <w:lang w:eastAsia="zh-CN"/>
        </w:rPr>
        <w:drawing>
          <wp:inline distT="0" distB="0" distL="114300" distR="114300">
            <wp:extent cx="5080000" cy="2487930"/>
            <wp:effectExtent l="4445" t="4445" r="20955" b="22225"/>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pPr>
        <w:keepNext w:val="0"/>
        <w:keepLines w:val="0"/>
        <w:pageBreakBefore w:val="0"/>
        <w:kinsoku/>
        <w:wordWrap/>
        <w:overflowPunct/>
        <w:topLinePunct w:val="0"/>
        <w:autoSpaceDE/>
        <w:autoSpaceDN/>
        <w:bidi w:val="0"/>
        <w:adjustRightInd/>
        <w:snapToGrid/>
        <w:spacing w:line="240" w:lineRule="auto"/>
        <w:ind w:firstLine="600" w:firstLineChars="200"/>
        <w:textAlignment w:val="auto"/>
        <w:rPr>
          <w:rFonts w:hint="eastAsia" w:cs="Times New Roman" w:asciiTheme="minorEastAsia" w:hAnsiTheme="minorEastAsia"/>
          <w:sz w:val="30"/>
          <w:szCs w:val="30"/>
        </w:rPr>
      </w:pPr>
    </w:p>
    <w:p>
      <w:pPr>
        <w:keepNext w:val="0"/>
        <w:keepLines w:val="0"/>
        <w:pageBreakBefore w:val="0"/>
        <w:tabs>
          <w:tab w:val="left" w:pos="276"/>
        </w:tabs>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w:t>
      </w:r>
      <w:r>
        <w:rPr>
          <w:rFonts w:hint="eastAsia" w:ascii="黑体" w:hAnsi="黑体" w:eastAsia="黑体" w:cs="黑体"/>
          <w:sz w:val="32"/>
          <w:szCs w:val="32"/>
        </w:rPr>
        <w:t xml:space="preserve"> 收入情况</w:t>
      </w:r>
      <w:r>
        <w:rPr>
          <w:rFonts w:hint="eastAsia" w:ascii="黑体" w:hAnsi="黑体" w:eastAsia="黑体" w:cs="黑体"/>
          <w:sz w:val="32"/>
          <w:szCs w:val="32"/>
          <w:lang w:val="en-US" w:eastAsia="zh-CN"/>
        </w:rPr>
        <w:t>决算说明</w:t>
      </w:r>
    </w:p>
    <w:p>
      <w:pPr>
        <w:keepNext w:val="0"/>
        <w:keepLines w:val="0"/>
        <w:pageBreakBefore w:val="0"/>
        <w:kinsoku/>
        <w:wordWrap/>
        <w:overflowPunct/>
        <w:topLinePunct w:val="0"/>
        <w:autoSpaceDE/>
        <w:autoSpaceDN/>
        <w:bidi w:val="0"/>
        <w:adjustRightInd/>
        <w:snapToGrid/>
        <w:spacing w:line="240" w:lineRule="auto"/>
        <w:ind w:firstLine="600" w:firstLineChars="200"/>
        <w:textAlignment w:val="auto"/>
        <w:rPr>
          <w:rFonts w:cs="Times New Roman" w:asciiTheme="minorEastAsia" w:hAnsiTheme="minorEastAsia"/>
          <w:sz w:val="30"/>
          <w:szCs w:val="30"/>
        </w:rPr>
      </w:pPr>
      <w:r>
        <w:rPr>
          <w:rFonts w:hint="eastAsia" w:cs="Times New Roman" w:asciiTheme="minorEastAsia" w:hAnsiTheme="minorEastAsia"/>
          <w:sz w:val="30"/>
          <w:szCs w:val="30"/>
        </w:rPr>
        <w:t>201</w:t>
      </w:r>
      <w:r>
        <w:rPr>
          <w:rFonts w:hint="eastAsia" w:cs="Times New Roman" w:asciiTheme="minorEastAsia" w:hAnsiTheme="minorEastAsia"/>
          <w:sz w:val="30"/>
          <w:szCs w:val="30"/>
          <w:lang w:val="en-US" w:eastAsia="zh-CN"/>
        </w:rPr>
        <w:t>9</w:t>
      </w:r>
      <w:r>
        <w:rPr>
          <w:rFonts w:hint="eastAsia" w:cs="Times New Roman" w:asciiTheme="minorEastAsia" w:hAnsiTheme="minorEastAsia"/>
          <w:sz w:val="30"/>
          <w:szCs w:val="30"/>
        </w:rPr>
        <w:t>年度收入为</w:t>
      </w:r>
      <w:r>
        <w:rPr>
          <w:rFonts w:hint="eastAsia" w:cs="Times New Roman" w:asciiTheme="minorEastAsia" w:hAnsiTheme="minorEastAsia"/>
          <w:sz w:val="30"/>
          <w:szCs w:val="30"/>
          <w:lang w:val="en-US" w:eastAsia="zh-CN"/>
        </w:rPr>
        <w:t>344.48</w:t>
      </w:r>
      <w:r>
        <w:rPr>
          <w:rFonts w:hint="eastAsia" w:cs="Times New Roman" w:asciiTheme="minorEastAsia" w:hAnsiTheme="minorEastAsia"/>
          <w:sz w:val="30"/>
          <w:szCs w:val="30"/>
        </w:rPr>
        <w:t>万元，</w:t>
      </w:r>
      <w:r>
        <w:rPr>
          <w:rFonts w:hint="eastAsia" w:cs="Times New Roman" w:asciiTheme="minorEastAsia" w:hAnsiTheme="minorEastAsia"/>
          <w:sz w:val="30"/>
          <w:szCs w:val="30"/>
          <w:lang w:val="en-US" w:eastAsia="zh-CN"/>
        </w:rPr>
        <w:t>全部为</w:t>
      </w:r>
      <w:r>
        <w:rPr>
          <w:rFonts w:hint="eastAsia" w:cs="Times New Roman" w:asciiTheme="minorEastAsia" w:hAnsiTheme="minorEastAsia"/>
          <w:sz w:val="30"/>
          <w:szCs w:val="30"/>
        </w:rPr>
        <w:t>财政拨款收</w:t>
      </w:r>
      <w:r>
        <w:rPr>
          <w:rFonts w:hint="eastAsia" w:cs="Times New Roman" w:asciiTheme="minorEastAsia" w:hAnsiTheme="minorEastAsia"/>
          <w:sz w:val="30"/>
          <w:szCs w:val="30"/>
          <w:lang w:val="en-US" w:eastAsia="zh-CN"/>
        </w:rPr>
        <w:t>入，占收入100%</w:t>
      </w:r>
      <w:r>
        <w:rPr>
          <w:rFonts w:hint="eastAsia" w:cs="Times New Roman" w:asciiTheme="minorEastAsia" w:hAnsiTheme="minorEastAsia"/>
          <w:sz w:val="30"/>
          <w:szCs w:val="30"/>
        </w:rPr>
        <w:t>。</w:t>
      </w:r>
    </w:p>
    <w:p>
      <w:pPr>
        <w:keepNext w:val="0"/>
        <w:keepLines w:val="0"/>
        <w:pageBreakBefore w:val="0"/>
        <w:kinsoku/>
        <w:wordWrap/>
        <w:overflowPunct/>
        <w:topLinePunct w:val="0"/>
        <w:autoSpaceDE/>
        <w:autoSpaceDN/>
        <w:bidi w:val="0"/>
        <w:adjustRightInd/>
        <w:snapToGrid/>
        <w:spacing w:line="240" w:lineRule="auto"/>
        <w:ind w:firstLine="600" w:firstLineChars="200"/>
        <w:textAlignment w:val="auto"/>
        <w:rPr>
          <w:rFonts w:cs="Times New Roman" w:asciiTheme="minorEastAsia" w:hAnsiTheme="minorEastAsia"/>
          <w:sz w:val="30"/>
          <w:szCs w:val="30"/>
        </w:rPr>
      </w:pPr>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left="598" w:leftChars="142" w:hanging="300" w:hangingChars="100"/>
        <w:textAlignment w:val="auto"/>
        <w:rPr>
          <w:rFonts w:hint="eastAsia" w:ascii="黑体" w:hAnsi="黑体" w:eastAsia="黑体" w:cs="黑体"/>
          <w:color w:val="3D3D3C"/>
          <w:sz w:val="30"/>
          <w:szCs w:val="30"/>
          <w:lang w:val="en-US" w:eastAsia="zh-CN"/>
        </w:rPr>
      </w:pPr>
      <w:r>
        <w:rPr>
          <w:rFonts w:cs="宋体" w:asciiTheme="minorEastAsia" w:hAnsiTheme="minorEastAsia"/>
          <w:color w:val="3D3D3C"/>
          <w:sz w:val="30"/>
          <w:szCs w:val="30"/>
        </w:rPr>
        <w:drawing>
          <wp:inline distT="0" distB="0" distL="0" distR="0">
            <wp:extent cx="5286375" cy="2771775"/>
            <wp:effectExtent l="38100" t="57150" r="47625" b="47625"/>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r>
        <w:rPr>
          <w:rFonts w:hint="eastAsia" w:ascii="黑体" w:hAnsi="黑体" w:eastAsia="黑体" w:cs="黑体"/>
          <w:color w:val="3D3D3C"/>
          <w:sz w:val="30"/>
          <w:szCs w:val="30"/>
          <w:lang w:val="en-US" w:eastAsia="zh-CN"/>
        </w:rPr>
        <w:t>三、</w:t>
      </w:r>
      <w:r>
        <w:rPr>
          <w:rFonts w:hint="eastAsia" w:ascii="黑体" w:hAnsi="黑体" w:eastAsia="黑体" w:cs="黑体"/>
          <w:sz w:val="30"/>
          <w:szCs w:val="30"/>
        </w:rPr>
        <w:t>支出</w:t>
      </w:r>
      <w:r>
        <w:rPr>
          <w:rFonts w:hint="eastAsia" w:ascii="黑体" w:hAnsi="黑体" w:eastAsia="黑体" w:cs="黑体"/>
          <w:sz w:val="30"/>
          <w:szCs w:val="30"/>
          <w:lang w:val="en-US" w:eastAsia="zh-CN"/>
        </w:rPr>
        <w:t>决算情况说明</w:t>
      </w:r>
    </w:p>
    <w:p>
      <w:pPr>
        <w:keepNext w:val="0"/>
        <w:keepLines w:val="0"/>
        <w:pageBreakBefore w:val="0"/>
        <w:kinsoku/>
        <w:wordWrap/>
        <w:overflowPunct/>
        <w:topLinePunct w:val="0"/>
        <w:autoSpaceDE/>
        <w:autoSpaceDN/>
        <w:bidi w:val="0"/>
        <w:adjustRightInd/>
        <w:snapToGrid/>
        <w:spacing w:line="240" w:lineRule="auto"/>
        <w:ind w:firstLine="600" w:firstLineChars="200"/>
        <w:textAlignment w:val="auto"/>
        <w:rPr>
          <w:rFonts w:cs="Times New Roman" w:asciiTheme="minorEastAsia" w:hAnsiTheme="minorEastAsia"/>
          <w:sz w:val="30"/>
          <w:szCs w:val="30"/>
        </w:rPr>
      </w:pPr>
      <w:r>
        <w:rPr>
          <w:rFonts w:hint="eastAsia" w:cs="Times New Roman" w:asciiTheme="minorEastAsia" w:hAnsiTheme="minorEastAsia"/>
          <w:sz w:val="30"/>
          <w:szCs w:val="30"/>
          <w:lang w:val="en-US" w:eastAsia="zh-CN"/>
        </w:rPr>
        <w:t>2019年度</w:t>
      </w:r>
      <w:r>
        <w:rPr>
          <w:rFonts w:hint="eastAsia" w:cs="Times New Roman" w:asciiTheme="minorEastAsia" w:hAnsiTheme="minorEastAsia"/>
          <w:sz w:val="30"/>
          <w:szCs w:val="30"/>
        </w:rPr>
        <w:t>支出</w:t>
      </w:r>
      <w:r>
        <w:rPr>
          <w:rFonts w:hint="eastAsia" w:cs="Times New Roman" w:asciiTheme="minorEastAsia" w:hAnsiTheme="minorEastAsia"/>
          <w:sz w:val="30"/>
          <w:szCs w:val="30"/>
          <w:lang w:val="en-US" w:eastAsia="zh-CN"/>
        </w:rPr>
        <w:t>合计344.48</w:t>
      </w:r>
      <w:r>
        <w:rPr>
          <w:rFonts w:hint="eastAsia" w:cs="Times New Roman" w:asciiTheme="minorEastAsia" w:hAnsiTheme="minorEastAsia"/>
          <w:sz w:val="30"/>
          <w:szCs w:val="30"/>
        </w:rPr>
        <w:t>万元，其中：基本支出</w:t>
      </w:r>
      <w:r>
        <w:rPr>
          <w:rFonts w:hint="eastAsia" w:cs="Times New Roman" w:asciiTheme="minorEastAsia" w:hAnsiTheme="minorEastAsia"/>
          <w:sz w:val="30"/>
          <w:szCs w:val="30"/>
          <w:lang w:val="en-US" w:eastAsia="zh-CN"/>
        </w:rPr>
        <w:t>268.18</w:t>
      </w:r>
      <w:r>
        <w:rPr>
          <w:rFonts w:hint="eastAsia" w:cs="Times New Roman" w:asciiTheme="minorEastAsia" w:hAnsiTheme="minorEastAsia"/>
          <w:sz w:val="30"/>
          <w:szCs w:val="30"/>
        </w:rPr>
        <w:t>万元，</w:t>
      </w:r>
      <w:r>
        <w:rPr>
          <w:rFonts w:hint="eastAsia" w:cs="Times New Roman" w:asciiTheme="minorEastAsia" w:hAnsiTheme="minorEastAsia"/>
          <w:sz w:val="30"/>
          <w:szCs w:val="30"/>
          <w:lang w:val="en-US" w:eastAsia="zh-CN"/>
        </w:rPr>
        <w:t>占78%；</w:t>
      </w:r>
      <w:r>
        <w:rPr>
          <w:rFonts w:hint="eastAsia" w:cs="Times New Roman" w:asciiTheme="minorEastAsia" w:hAnsiTheme="minorEastAsia"/>
          <w:sz w:val="30"/>
          <w:szCs w:val="30"/>
        </w:rPr>
        <w:t>项目支出</w:t>
      </w:r>
      <w:r>
        <w:rPr>
          <w:rFonts w:hint="eastAsia" w:cs="Times New Roman" w:asciiTheme="minorEastAsia" w:hAnsiTheme="minorEastAsia"/>
          <w:sz w:val="30"/>
          <w:szCs w:val="30"/>
          <w:lang w:val="en-US" w:eastAsia="zh-CN"/>
        </w:rPr>
        <w:t>76.3万元，占22%</w:t>
      </w:r>
      <w:r>
        <w:rPr>
          <w:rFonts w:hint="eastAsia" w:cs="Times New Roman" w:asciiTheme="minorEastAsia" w:hAnsiTheme="minorEastAsia"/>
          <w:sz w:val="30"/>
          <w:szCs w:val="30"/>
        </w:rPr>
        <w:t>。</w:t>
      </w:r>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left="600" w:hanging="600" w:hangingChars="200"/>
        <w:textAlignment w:val="auto"/>
        <w:rPr>
          <w:rFonts w:hint="eastAsia" w:ascii="黑体" w:hAnsi="黑体" w:eastAsia="黑体" w:cs="黑体"/>
          <w:color w:val="3D3D3C"/>
          <w:sz w:val="30"/>
          <w:szCs w:val="30"/>
        </w:rPr>
      </w:pPr>
      <w:r>
        <w:rPr>
          <w:rFonts w:hint="eastAsia" w:asciiTheme="minorEastAsia" w:hAnsiTheme="minorEastAsia"/>
          <w:sz w:val="30"/>
          <w:szCs w:val="30"/>
        </w:rPr>
        <w:drawing>
          <wp:inline distT="0" distB="0" distL="0" distR="0">
            <wp:extent cx="5314950" cy="2190750"/>
            <wp:effectExtent l="4445" t="4445" r="14605" b="14605"/>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r>
        <w:rPr>
          <w:rFonts w:hint="eastAsia" w:ascii="黑体" w:hAnsi="黑体" w:eastAsia="黑体" w:cs="黑体"/>
          <w:sz w:val="30"/>
          <w:szCs w:val="30"/>
          <w:lang w:val="en-US" w:eastAsia="zh-CN"/>
        </w:rPr>
        <w:t>四、</w:t>
      </w:r>
      <w:r>
        <w:rPr>
          <w:rFonts w:hint="eastAsia" w:ascii="黑体" w:hAnsi="黑体" w:eastAsia="黑体" w:cs="黑体"/>
          <w:b/>
          <w:sz w:val="30"/>
          <w:szCs w:val="30"/>
        </w:rPr>
        <w:t>财政拨款收入支出</w:t>
      </w:r>
      <w:r>
        <w:rPr>
          <w:rFonts w:hint="eastAsia" w:ascii="黑体" w:hAnsi="黑体" w:eastAsia="黑体" w:cs="黑体"/>
          <w:b/>
          <w:sz w:val="30"/>
          <w:szCs w:val="30"/>
          <w:lang w:val="en-US" w:eastAsia="zh-CN"/>
        </w:rPr>
        <w:t>决算</w:t>
      </w:r>
      <w:r>
        <w:rPr>
          <w:rFonts w:hint="eastAsia" w:ascii="黑体" w:hAnsi="黑体" w:eastAsia="黑体" w:cs="黑体"/>
          <w:b/>
          <w:sz w:val="30"/>
          <w:szCs w:val="30"/>
        </w:rPr>
        <w:t xml:space="preserve">总体情况说明 </w:t>
      </w:r>
    </w:p>
    <w:p>
      <w:pPr>
        <w:keepNext w:val="0"/>
        <w:keepLines w:val="0"/>
        <w:pageBreakBefore w:val="0"/>
        <w:kinsoku/>
        <w:wordWrap/>
        <w:overflowPunct/>
        <w:topLinePunct w:val="0"/>
        <w:autoSpaceDE/>
        <w:autoSpaceDN/>
        <w:bidi w:val="0"/>
        <w:adjustRightInd/>
        <w:snapToGrid/>
        <w:spacing w:line="240" w:lineRule="auto"/>
        <w:ind w:firstLine="600" w:firstLineChars="200"/>
        <w:textAlignment w:val="auto"/>
        <w:rPr>
          <w:rFonts w:hint="eastAsia" w:cs="Times New Roman" w:asciiTheme="minorEastAsia" w:hAnsiTheme="minorEastAsia"/>
          <w:sz w:val="30"/>
          <w:szCs w:val="30"/>
        </w:rPr>
      </w:pPr>
      <w:r>
        <w:rPr>
          <w:rFonts w:hint="eastAsia" w:cs="Times New Roman" w:asciiTheme="minorEastAsia" w:hAnsiTheme="minorEastAsia"/>
          <w:sz w:val="30"/>
          <w:szCs w:val="30"/>
        </w:rPr>
        <w:t>201</w:t>
      </w:r>
      <w:r>
        <w:rPr>
          <w:rFonts w:hint="eastAsia" w:cs="Times New Roman" w:asciiTheme="minorEastAsia" w:hAnsiTheme="minorEastAsia"/>
          <w:sz w:val="30"/>
          <w:szCs w:val="30"/>
          <w:lang w:val="en-US" w:eastAsia="zh-CN"/>
        </w:rPr>
        <w:t>9</w:t>
      </w:r>
      <w:r>
        <w:rPr>
          <w:rFonts w:hint="eastAsia" w:cs="Times New Roman" w:asciiTheme="minorEastAsia" w:hAnsiTheme="minorEastAsia"/>
          <w:sz w:val="30"/>
          <w:szCs w:val="30"/>
        </w:rPr>
        <w:t>年度</w:t>
      </w:r>
      <w:r>
        <w:rPr>
          <w:rFonts w:hint="eastAsia" w:cs="Times New Roman" w:asciiTheme="minorEastAsia" w:hAnsiTheme="minorEastAsia"/>
          <w:sz w:val="30"/>
          <w:szCs w:val="30"/>
          <w:lang w:val="en-US" w:eastAsia="zh-CN"/>
        </w:rPr>
        <w:t>财政拨款</w:t>
      </w:r>
      <w:r>
        <w:rPr>
          <w:rFonts w:hint="eastAsia" w:cs="Times New Roman" w:asciiTheme="minorEastAsia" w:hAnsiTheme="minorEastAsia"/>
          <w:sz w:val="30"/>
          <w:szCs w:val="30"/>
        </w:rPr>
        <w:t>收入</w:t>
      </w:r>
      <w:r>
        <w:rPr>
          <w:rFonts w:hint="eastAsia" w:cs="Times New Roman" w:asciiTheme="minorEastAsia" w:hAnsiTheme="minorEastAsia"/>
          <w:sz w:val="30"/>
          <w:szCs w:val="30"/>
          <w:lang w:val="en-US" w:eastAsia="zh-CN"/>
        </w:rPr>
        <w:t>344.48</w:t>
      </w:r>
      <w:r>
        <w:rPr>
          <w:rFonts w:hint="eastAsia" w:cs="Times New Roman" w:asciiTheme="minorEastAsia" w:hAnsiTheme="minorEastAsia"/>
          <w:sz w:val="30"/>
          <w:szCs w:val="30"/>
        </w:rPr>
        <w:t>万元，</w:t>
      </w:r>
      <w:r>
        <w:rPr>
          <w:rFonts w:hint="eastAsia" w:cs="Times New Roman" w:asciiTheme="minorEastAsia" w:hAnsiTheme="minorEastAsia"/>
          <w:sz w:val="30"/>
          <w:szCs w:val="30"/>
          <w:lang w:val="en-US" w:eastAsia="zh-CN"/>
        </w:rPr>
        <w:t>上年度财政拨款收入463.25万元</w:t>
      </w:r>
      <w:r>
        <w:rPr>
          <w:rFonts w:hint="eastAsia" w:cs="Times New Roman" w:asciiTheme="minorEastAsia" w:hAnsiTheme="minorEastAsia"/>
          <w:sz w:val="30"/>
          <w:szCs w:val="30"/>
        </w:rPr>
        <w:t>，</w:t>
      </w:r>
      <w:r>
        <w:rPr>
          <w:rFonts w:hint="eastAsia" w:cs="Times New Roman" w:asciiTheme="minorEastAsia" w:hAnsiTheme="minorEastAsia"/>
          <w:sz w:val="30"/>
          <w:szCs w:val="30"/>
          <w:lang w:val="en-US" w:eastAsia="zh-CN"/>
        </w:rPr>
        <w:t>较上年减少118.77万元，减少26%。主要是上年度收入中有</w:t>
      </w:r>
      <w:r>
        <w:rPr>
          <w:rFonts w:hint="eastAsia" w:cs="Times New Roman" w:asciiTheme="minorEastAsia" w:hAnsiTheme="minorEastAsia"/>
          <w:sz w:val="30"/>
          <w:szCs w:val="30"/>
        </w:rPr>
        <w:t>政府给西安万众放心馒头有限公司赔偿损失192万元。</w:t>
      </w:r>
    </w:p>
    <w:p>
      <w:pPr>
        <w:keepNext w:val="0"/>
        <w:keepLines w:val="0"/>
        <w:pageBreakBefore w:val="0"/>
        <w:kinsoku/>
        <w:wordWrap/>
        <w:overflowPunct/>
        <w:topLinePunct w:val="0"/>
        <w:autoSpaceDE/>
        <w:autoSpaceDN/>
        <w:bidi w:val="0"/>
        <w:adjustRightInd/>
        <w:snapToGrid/>
        <w:spacing w:line="240" w:lineRule="auto"/>
        <w:ind w:firstLine="600" w:firstLineChars="200"/>
        <w:textAlignment w:val="auto"/>
        <w:rPr>
          <w:rFonts w:hint="eastAsia" w:cs="Times New Roman" w:asciiTheme="minorEastAsia" w:hAnsiTheme="minorEastAsia"/>
          <w:sz w:val="30"/>
          <w:szCs w:val="30"/>
        </w:rPr>
      </w:pPr>
      <w:r>
        <w:rPr>
          <w:rFonts w:hint="eastAsia" w:cs="Times New Roman" w:asciiTheme="minorEastAsia" w:hAnsiTheme="minorEastAsia"/>
          <w:sz w:val="30"/>
          <w:szCs w:val="30"/>
          <w:lang w:val="en-US" w:eastAsia="zh-CN"/>
        </w:rPr>
        <w:t>2019年度财政拨款</w:t>
      </w:r>
      <w:r>
        <w:rPr>
          <w:rFonts w:hint="eastAsia" w:cs="Times New Roman" w:asciiTheme="minorEastAsia" w:hAnsiTheme="minorEastAsia"/>
          <w:sz w:val="30"/>
          <w:szCs w:val="30"/>
        </w:rPr>
        <w:t>支出</w:t>
      </w:r>
      <w:r>
        <w:rPr>
          <w:rFonts w:hint="eastAsia" w:cs="Times New Roman" w:asciiTheme="minorEastAsia" w:hAnsiTheme="minorEastAsia"/>
          <w:sz w:val="30"/>
          <w:szCs w:val="30"/>
          <w:lang w:val="en-US" w:eastAsia="zh-CN"/>
        </w:rPr>
        <w:t>344.48万元，上年度财政拨款支出463.25万元，</w:t>
      </w:r>
      <w:r>
        <w:rPr>
          <w:rFonts w:hint="eastAsia" w:cs="Times New Roman" w:asciiTheme="minorEastAsia" w:hAnsiTheme="minorEastAsia"/>
          <w:sz w:val="30"/>
          <w:szCs w:val="30"/>
        </w:rPr>
        <w:t>年末结余和结转为0万元，</w:t>
      </w:r>
      <w:r>
        <w:rPr>
          <w:rFonts w:hint="eastAsia" w:cs="Times New Roman" w:asciiTheme="minorEastAsia" w:hAnsiTheme="minorEastAsia"/>
          <w:sz w:val="30"/>
          <w:szCs w:val="30"/>
          <w:lang w:val="en-US" w:eastAsia="zh-CN"/>
        </w:rPr>
        <w:t>财政拨款支出</w:t>
      </w:r>
      <w:r>
        <w:rPr>
          <w:rFonts w:hint="eastAsia" w:cs="Times New Roman" w:asciiTheme="minorEastAsia" w:hAnsiTheme="minorEastAsia"/>
          <w:sz w:val="30"/>
          <w:szCs w:val="30"/>
        </w:rPr>
        <w:t>较上年</w:t>
      </w:r>
      <w:r>
        <w:rPr>
          <w:rFonts w:hint="eastAsia" w:cs="Times New Roman" w:asciiTheme="minorEastAsia" w:hAnsiTheme="minorEastAsia"/>
          <w:sz w:val="30"/>
          <w:szCs w:val="30"/>
          <w:lang w:val="en-US" w:eastAsia="zh-CN"/>
        </w:rPr>
        <w:t>减少118.77万元</w:t>
      </w:r>
      <w:r>
        <w:rPr>
          <w:rFonts w:hint="eastAsia" w:cs="Times New Roman" w:asciiTheme="minorEastAsia" w:hAnsiTheme="minorEastAsia"/>
          <w:sz w:val="30"/>
          <w:szCs w:val="30"/>
        </w:rPr>
        <w:t>，</w:t>
      </w:r>
      <w:r>
        <w:rPr>
          <w:rFonts w:hint="eastAsia" w:cs="Times New Roman" w:asciiTheme="minorEastAsia" w:hAnsiTheme="minorEastAsia"/>
          <w:sz w:val="30"/>
          <w:szCs w:val="30"/>
          <w:lang w:val="en-US" w:eastAsia="zh-CN"/>
        </w:rPr>
        <w:t>减少26</w:t>
      </w:r>
      <w:r>
        <w:rPr>
          <w:rFonts w:hint="eastAsia" w:cs="Times New Roman" w:asciiTheme="minorEastAsia" w:hAnsiTheme="minorEastAsia"/>
          <w:sz w:val="30"/>
          <w:szCs w:val="30"/>
        </w:rPr>
        <w:t>%，原因是2018年政府给西安万众放心馒头有限公司赔偿损失192万元。</w:t>
      </w:r>
    </w:p>
    <w:p>
      <w:pPr>
        <w:keepNext w:val="0"/>
        <w:keepLines w:val="0"/>
        <w:pageBreakBefore w:val="0"/>
        <w:kinsoku/>
        <w:wordWrap/>
        <w:overflowPunct/>
        <w:topLinePunct w:val="0"/>
        <w:autoSpaceDE/>
        <w:autoSpaceDN/>
        <w:bidi w:val="0"/>
        <w:adjustRightInd/>
        <w:snapToGrid/>
        <w:spacing w:line="240" w:lineRule="auto"/>
        <w:ind w:left="596" w:leftChars="284" w:firstLine="0" w:firstLineChars="0"/>
        <w:textAlignment w:val="auto"/>
        <w:rPr>
          <w:rFonts w:hint="eastAsia" w:ascii="黑体" w:hAnsi="黑体" w:eastAsia="黑体" w:cs="黑体"/>
          <w:sz w:val="30"/>
          <w:szCs w:val="30"/>
          <w:lang w:val="en-US" w:eastAsia="zh-CN"/>
        </w:rPr>
      </w:pPr>
      <w:r>
        <w:rPr>
          <w:rFonts w:hint="eastAsia" w:cs="Times New Roman" w:asciiTheme="minorEastAsia" w:hAnsiTheme="minorEastAsia" w:eastAsiaTheme="minorEastAsia"/>
          <w:sz w:val="30"/>
          <w:szCs w:val="30"/>
          <w:lang w:eastAsia="zh-CN"/>
        </w:rPr>
        <w:drawing>
          <wp:inline distT="0" distB="0" distL="114300" distR="114300">
            <wp:extent cx="5080000" cy="2668905"/>
            <wp:effectExtent l="4445" t="4445" r="20955" b="1270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r>
        <w:rPr>
          <w:rFonts w:hint="eastAsia" w:ascii="黑体" w:hAnsi="黑体" w:eastAsia="黑体" w:cs="黑体"/>
          <w:sz w:val="30"/>
          <w:szCs w:val="30"/>
          <w:lang w:val="en-US" w:eastAsia="zh-CN"/>
        </w:rPr>
        <w:t>五、</w:t>
      </w:r>
      <w:r>
        <w:rPr>
          <w:rFonts w:hint="eastAsia" w:ascii="黑体" w:hAnsi="黑体" w:eastAsia="黑体" w:cs="黑体"/>
          <w:sz w:val="30"/>
          <w:szCs w:val="30"/>
        </w:rPr>
        <w:t>一般公共预算财政拨款支出</w:t>
      </w:r>
      <w:r>
        <w:rPr>
          <w:rFonts w:hint="eastAsia" w:ascii="黑体" w:hAnsi="黑体" w:eastAsia="黑体" w:cs="黑体"/>
          <w:sz w:val="30"/>
          <w:szCs w:val="30"/>
          <w:lang w:val="en-US" w:eastAsia="zh-CN"/>
        </w:rPr>
        <w:t>决算</w:t>
      </w:r>
      <w:r>
        <w:rPr>
          <w:rFonts w:hint="eastAsia" w:ascii="黑体" w:hAnsi="黑体" w:eastAsia="黑体" w:cs="黑体"/>
          <w:sz w:val="30"/>
          <w:szCs w:val="30"/>
        </w:rPr>
        <w:t>情况</w:t>
      </w:r>
      <w:r>
        <w:rPr>
          <w:rFonts w:hint="eastAsia" w:ascii="黑体" w:hAnsi="黑体" w:eastAsia="黑体" w:cs="黑体"/>
          <w:sz w:val="30"/>
          <w:szCs w:val="30"/>
          <w:lang w:val="en-US" w:eastAsia="zh-CN"/>
        </w:rPr>
        <w:t>说明</w:t>
      </w:r>
    </w:p>
    <w:p>
      <w:pPr>
        <w:keepNext w:val="0"/>
        <w:keepLines w:val="0"/>
        <w:pageBreakBefore w:val="0"/>
        <w:numPr>
          <w:ilvl w:val="0"/>
          <w:numId w:val="3"/>
        </w:numPr>
        <w:kinsoku/>
        <w:wordWrap/>
        <w:overflowPunct/>
        <w:topLinePunct w:val="0"/>
        <w:autoSpaceDE/>
        <w:autoSpaceDN/>
        <w:bidi w:val="0"/>
        <w:adjustRightInd/>
        <w:snapToGrid/>
        <w:spacing w:line="240" w:lineRule="auto"/>
        <w:ind w:firstLine="600" w:firstLineChars="200"/>
        <w:textAlignment w:val="auto"/>
        <w:rPr>
          <w:rFonts w:hint="eastAsia" w:asciiTheme="minorEastAsia" w:hAnsiTheme="minorEastAsia"/>
          <w:sz w:val="30"/>
          <w:szCs w:val="30"/>
          <w:lang w:val="en-US" w:eastAsia="zh-CN"/>
        </w:rPr>
      </w:pPr>
      <w:r>
        <w:rPr>
          <w:rFonts w:hint="eastAsia" w:asciiTheme="minorEastAsia" w:hAnsiTheme="minorEastAsia"/>
          <w:sz w:val="30"/>
          <w:szCs w:val="30"/>
          <w:lang w:val="en-US" w:eastAsia="zh-CN"/>
        </w:rPr>
        <w:t>财政拨款支出决算总体情况说明：</w:t>
      </w:r>
    </w:p>
    <w:p>
      <w:pPr>
        <w:keepNext w:val="0"/>
        <w:keepLines w:val="0"/>
        <w:pageBreakBefore w:val="0"/>
        <w:kinsoku/>
        <w:wordWrap/>
        <w:overflowPunct/>
        <w:topLinePunct w:val="0"/>
        <w:autoSpaceDE/>
        <w:autoSpaceDN/>
        <w:bidi w:val="0"/>
        <w:adjustRightInd/>
        <w:snapToGrid/>
        <w:spacing w:line="240" w:lineRule="auto"/>
        <w:ind w:firstLine="600" w:firstLineChars="200"/>
        <w:textAlignment w:val="auto"/>
        <w:rPr>
          <w:rFonts w:hint="eastAsia" w:cs="Times New Roman" w:asciiTheme="minorEastAsia" w:hAnsiTheme="minorEastAsia"/>
          <w:sz w:val="30"/>
          <w:szCs w:val="30"/>
        </w:rPr>
      </w:pPr>
      <w:r>
        <w:rPr>
          <w:rFonts w:hint="eastAsia" w:asciiTheme="minorEastAsia" w:hAnsiTheme="minorEastAsia"/>
          <w:sz w:val="30"/>
          <w:szCs w:val="30"/>
        </w:rPr>
        <w:t>201</w:t>
      </w:r>
      <w:r>
        <w:rPr>
          <w:rFonts w:hint="eastAsia" w:asciiTheme="minorEastAsia" w:hAnsiTheme="minorEastAsia"/>
          <w:sz w:val="30"/>
          <w:szCs w:val="30"/>
          <w:lang w:val="en-US" w:eastAsia="zh-CN"/>
        </w:rPr>
        <w:t>9</w:t>
      </w:r>
      <w:r>
        <w:rPr>
          <w:rFonts w:hint="eastAsia" w:asciiTheme="minorEastAsia" w:hAnsiTheme="minorEastAsia"/>
          <w:sz w:val="30"/>
          <w:szCs w:val="30"/>
        </w:rPr>
        <w:t>年一般财政拨款支出合计</w:t>
      </w:r>
      <w:r>
        <w:rPr>
          <w:rFonts w:hint="eastAsia" w:asciiTheme="minorEastAsia" w:hAnsiTheme="minorEastAsia"/>
          <w:sz w:val="30"/>
          <w:szCs w:val="30"/>
          <w:lang w:val="en-US" w:eastAsia="zh-CN"/>
        </w:rPr>
        <w:t>344.48</w:t>
      </w:r>
      <w:r>
        <w:rPr>
          <w:rFonts w:hint="eastAsia" w:asciiTheme="minorEastAsia" w:hAnsiTheme="minorEastAsia"/>
          <w:sz w:val="30"/>
          <w:szCs w:val="30"/>
        </w:rPr>
        <w:t>万元，</w:t>
      </w:r>
      <w:r>
        <w:rPr>
          <w:rFonts w:hint="eastAsia" w:asciiTheme="minorEastAsia" w:hAnsiTheme="minorEastAsia"/>
          <w:sz w:val="30"/>
          <w:szCs w:val="30"/>
          <w:lang w:val="en-US" w:eastAsia="zh-CN"/>
        </w:rPr>
        <w:t>占本年支出的100%。与上年相比，财政拨款支出减少118.77万元，主要原因是</w:t>
      </w:r>
      <w:r>
        <w:rPr>
          <w:rFonts w:hint="eastAsia" w:cs="Times New Roman" w:asciiTheme="minorEastAsia" w:hAnsiTheme="minorEastAsia"/>
          <w:sz w:val="30"/>
          <w:szCs w:val="30"/>
        </w:rPr>
        <w:t>2018年政府给西安万众放心馒头有限公司赔偿损失192万元。</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00" w:firstLineChars="200"/>
        <w:textAlignment w:val="auto"/>
        <w:rPr>
          <w:rFonts w:hint="eastAsia" w:asciiTheme="minorEastAsia" w:hAnsiTheme="minorEastAsia" w:eastAsiaTheme="minorEastAsia"/>
          <w:sz w:val="30"/>
          <w:szCs w:val="30"/>
          <w:lang w:eastAsia="zh-CN"/>
        </w:rPr>
      </w:pPr>
      <w:r>
        <w:rPr>
          <w:rFonts w:hint="eastAsia" w:asciiTheme="minorEastAsia" w:hAnsiTheme="minorEastAsia" w:eastAsiaTheme="minorEastAsia"/>
          <w:sz w:val="30"/>
          <w:szCs w:val="30"/>
          <w:lang w:eastAsia="zh-CN"/>
        </w:rPr>
        <w:drawing>
          <wp:inline distT="0" distB="0" distL="114300" distR="114300">
            <wp:extent cx="5080000" cy="2515235"/>
            <wp:effectExtent l="4445" t="4445" r="20955" b="1397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5"/>
        <w:keepNext w:val="0"/>
        <w:keepLines w:val="0"/>
        <w:pageBreakBefore w:val="0"/>
        <w:widowControl/>
        <w:numPr>
          <w:ilvl w:val="0"/>
          <w:numId w:val="0"/>
        </w:numPr>
        <w:kinsoku/>
        <w:wordWrap/>
        <w:overflowPunct/>
        <w:topLinePunct w:val="0"/>
        <w:autoSpaceDE/>
        <w:autoSpaceDN/>
        <w:bidi w:val="0"/>
        <w:adjustRightInd/>
        <w:snapToGrid/>
        <w:spacing w:before="100" w:after="100" w:line="240" w:lineRule="auto"/>
        <w:ind w:firstLine="600" w:firstLineChars="200"/>
        <w:textAlignment w:val="auto"/>
        <w:rPr>
          <w:rFonts w:hint="eastAsia" w:cs="宋体" w:asciiTheme="minorEastAsia" w:hAnsiTheme="minorEastAsia"/>
          <w:sz w:val="30"/>
          <w:szCs w:val="30"/>
          <w:lang w:val="en-US" w:eastAsia="zh-CN"/>
        </w:rPr>
      </w:pPr>
      <w:r>
        <w:rPr>
          <w:rFonts w:hint="eastAsia" w:cs="宋体" w:asciiTheme="minorEastAsia" w:hAnsiTheme="minorEastAsia"/>
          <w:sz w:val="30"/>
          <w:szCs w:val="30"/>
          <w:lang w:val="en-US" w:eastAsia="zh-CN"/>
        </w:rPr>
        <w:t>2、</w:t>
      </w:r>
      <w:r>
        <w:rPr>
          <w:rFonts w:hint="eastAsia" w:cs="宋体" w:asciiTheme="minorEastAsia" w:hAnsiTheme="minorEastAsia"/>
          <w:sz w:val="30"/>
          <w:szCs w:val="30"/>
        </w:rPr>
        <w:t>财政拨款</w:t>
      </w:r>
      <w:r>
        <w:rPr>
          <w:rFonts w:hint="eastAsia" w:cs="宋体" w:asciiTheme="minorEastAsia" w:hAnsiTheme="minorEastAsia"/>
          <w:sz w:val="30"/>
          <w:szCs w:val="30"/>
          <w:lang w:val="en-US" w:eastAsia="zh-CN"/>
        </w:rPr>
        <w:t>支出决算具体</w:t>
      </w:r>
      <w:r>
        <w:rPr>
          <w:rFonts w:hint="eastAsia" w:cs="宋体" w:asciiTheme="minorEastAsia" w:hAnsiTheme="minorEastAsia"/>
          <w:sz w:val="30"/>
          <w:szCs w:val="30"/>
        </w:rPr>
        <w:t>情况</w:t>
      </w:r>
      <w:r>
        <w:rPr>
          <w:rFonts w:hint="eastAsia" w:cs="宋体" w:asciiTheme="minorEastAsia" w:hAnsiTheme="minorEastAsia"/>
          <w:sz w:val="30"/>
          <w:szCs w:val="30"/>
          <w:lang w:val="en-US" w:eastAsia="zh-CN"/>
        </w:rPr>
        <w:t>说明</w:t>
      </w:r>
    </w:p>
    <w:p>
      <w:pPr>
        <w:pStyle w:val="5"/>
        <w:keepNext w:val="0"/>
        <w:keepLines w:val="0"/>
        <w:pageBreakBefore w:val="0"/>
        <w:widowControl/>
        <w:numPr>
          <w:ilvl w:val="0"/>
          <w:numId w:val="0"/>
        </w:numPr>
        <w:kinsoku/>
        <w:wordWrap/>
        <w:overflowPunct/>
        <w:topLinePunct w:val="0"/>
        <w:autoSpaceDE/>
        <w:autoSpaceDN/>
        <w:bidi w:val="0"/>
        <w:adjustRightInd/>
        <w:snapToGrid/>
        <w:spacing w:before="100" w:after="100" w:line="240" w:lineRule="auto"/>
        <w:ind w:firstLine="600" w:firstLineChars="200"/>
        <w:textAlignment w:val="auto"/>
        <w:rPr>
          <w:rFonts w:hint="eastAsia" w:cs="Times New Roman" w:asciiTheme="minorEastAsia" w:hAnsiTheme="minorEastAsia"/>
          <w:sz w:val="30"/>
          <w:szCs w:val="30"/>
          <w:lang w:val="en-US" w:eastAsia="zh-CN"/>
        </w:rPr>
      </w:pPr>
      <w:r>
        <w:rPr>
          <w:rFonts w:hint="eastAsia" w:cs="Times New Roman" w:asciiTheme="minorEastAsia" w:hAnsiTheme="minorEastAsia"/>
          <w:sz w:val="30"/>
          <w:szCs w:val="30"/>
        </w:rPr>
        <w:t>201</w:t>
      </w:r>
      <w:r>
        <w:rPr>
          <w:rFonts w:hint="eastAsia" w:cs="Times New Roman" w:asciiTheme="minorEastAsia" w:hAnsiTheme="minorEastAsia"/>
          <w:sz w:val="30"/>
          <w:szCs w:val="30"/>
          <w:lang w:val="en-US" w:eastAsia="zh-CN"/>
        </w:rPr>
        <w:t>9</w:t>
      </w:r>
      <w:r>
        <w:rPr>
          <w:rFonts w:hint="eastAsia" w:cs="Times New Roman" w:asciiTheme="minorEastAsia" w:hAnsiTheme="minorEastAsia"/>
          <w:sz w:val="30"/>
          <w:szCs w:val="30"/>
        </w:rPr>
        <w:t>年财政拨款支出</w:t>
      </w:r>
      <w:r>
        <w:rPr>
          <w:rFonts w:hint="eastAsia" w:cs="Times New Roman" w:asciiTheme="minorEastAsia" w:hAnsiTheme="minorEastAsia"/>
          <w:sz w:val="30"/>
          <w:szCs w:val="30"/>
          <w:lang w:val="en-US" w:eastAsia="zh-CN"/>
        </w:rPr>
        <w:t>年初预算344.48</w:t>
      </w:r>
      <w:r>
        <w:rPr>
          <w:rFonts w:hint="eastAsia" w:cs="Times New Roman" w:asciiTheme="minorEastAsia" w:hAnsiTheme="minorEastAsia"/>
          <w:sz w:val="30"/>
          <w:szCs w:val="30"/>
        </w:rPr>
        <w:t>万元，</w:t>
      </w:r>
      <w:r>
        <w:rPr>
          <w:rFonts w:hint="eastAsia" w:cs="Times New Roman" w:asciiTheme="minorEastAsia" w:hAnsiTheme="minorEastAsia"/>
          <w:sz w:val="30"/>
          <w:szCs w:val="30"/>
          <w:lang w:val="en-US" w:eastAsia="zh-CN"/>
        </w:rPr>
        <w:t>支出决算为344.48万元，完成年初预算的100%。按照政府功能分类科目，其中：</w:t>
      </w:r>
    </w:p>
    <w:p>
      <w:pPr>
        <w:pStyle w:val="5"/>
        <w:keepNext w:val="0"/>
        <w:keepLines w:val="0"/>
        <w:pageBreakBefore w:val="0"/>
        <w:widowControl/>
        <w:numPr>
          <w:ilvl w:val="0"/>
          <w:numId w:val="0"/>
        </w:numPr>
        <w:kinsoku/>
        <w:wordWrap/>
        <w:overflowPunct/>
        <w:topLinePunct w:val="0"/>
        <w:autoSpaceDE/>
        <w:autoSpaceDN/>
        <w:bidi w:val="0"/>
        <w:adjustRightInd/>
        <w:snapToGrid/>
        <w:spacing w:before="100" w:after="100" w:line="240" w:lineRule="auto"/>
        <w:ind w:firstLine="600"/>
        <w:textAlignment w:val="auto"/>
        <w:rPr>
          <w:rFonts w:hint="eastAsia" w:cs="Times New Roman" w:asciiTheme="minorEastAsia" w:hAnsiTheme="minorEastAsia"/>
          <w:sz w:val="30"/>
          <w:szCs w:val="30"/>
          <w:lang w:val="en-US" w:eastAsia="zh-CN"/>
        </w:rPr>
      </w:pPr>
      <w:r>
        <w:rPr>
          <w:rFonts w:hint="eastAsia" w:cs="Times New Roman" w:asciiTheme="minorEastAsia" w:hAnsiTheme="minorEastAsia"/>
          <w:sz w:val="30"/>
          <w:szCs w:val="30"/>
          <w:lang w:val="en-US" w:eastAsia="zh-CN"/>
        </w:rPr>
        <w:t>一般公共服务支出类行政运行：年初预算为239.76万元，支出决算为239.76万元，完成年初预算的100%，决算数与预算数持平。</w:t>
      </w:r>
    </w:p>
    <w:p>
      <w:pPr>
        <w:pStyle w:val="5"/>
        <w:keepNext w:val="0"/>
        <w:keepLines w:val="0"/>
        <w:pageBreakBefore w:val="0"/>
        <w:widowControl/>
        <w:numPr>
          <w:ilvl w:val="0"/>
          <w:numId w:val="4"/>
        </w:numPr>
        <w:kinsoku/>
        <w:wordWrap/>
        <w:overflowPunct/>
        <w:topLinePunct w:val="0"/>
        <w:autoSpaceDE/>
        <w:autoSpaceDN/>
        <w:bidi w:val="0"/>
        <w:adjustRightInd/>
        <w:snapToGrid/>
        <w:spacing w:before="100" w:after="100" w:line="240" w:lineRule="auto"/>
        <w:ind w:firstLine="600"/>
        <w:textAlignment w:val="auto"/>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一般公共预算财政拨款基本支出决算情况说明</w:t>
      </w:r>
    </w:p>
    <w:p>
      <w:pPr>
        <w:pStyle w:val="5"/>
        <w:keepNext w:val="0"/>
        <w:keepLines w:val="0"/>
        <w:pageBreakBefore w:val="0"/>
        <w:widowControl/>
        <w:numPr>
          <w:ilvl w:val="0"/>
          <w:numId w:val="0"/>
        </w:numPr>
        <w:kinsoku/>
        <w:wordWrap/>
        <w:overflowPunct/>
        <w:topLinePunct w:val="0"/>
        <w:autoSpaceDE/>
        <w:autoSpaceDN/>
        <w:bidi w:val="0"/>
        <w:adjustRightInd/>
        <w:snapToGrid/>
        <w:spacing w:before="100" w:after="100" w:line="240" w:lineRule="auto"/>
        <w:ind w:firstLine="600"/>
        <w:textAlignment w:val="auto"/>
        <w:rPr>
          <w:rFonts w:hint="eastAsia" w:asciiTheme="majorEastAsia" w:hAnsiTheme="majorEastAsia" w:eastAsiaTheme="majorEastAsia" w:cstheme="majorEastAsia"/>
          <w:sz w:val="30"/>
          <w:szCs w:val="30"/>
          <w:lang w:val="en-US" w:eastAsia="zh-CN"/>
        </w:rPr>
      </w:pPr>
      <w:r>
        <w:rPr>
          <w:rFonts w:hint="eastAsia" w:asciiTheme="majorEastAsia" w:hAnsiTheme="majorEastAsia" w:eastAsiaTheme="majorEastAsia" w:cstheme="majorEastAsia"/>
          <w:sz w:val="30"/>
          <w:szCs w:val="30"/>
          <w:lang w:val="en-US" w:eastAsia="zh-CN"/>
        </w:rPr>
        <w:t>2019年度一般公共预算财政拨款基本支出268.18万元，包括人员经费支出263.18万元，占基本支出的98%，公用经费支出5.01万元，占基本支出的2%。</w:t>
      </w:r>
    </w:p>
    <w:p>
      <w:pPr>
        <w:pStyle w:val="5"/>
        <w:keepNext w:val="0"/>
        <w:keepLines w:val="0"/>
        <w:pageBreakBefore w:val="0"/>
        <w:widowControl/>
        <w:numPr>
          <w:ilvl w:val="0"/>
          <w:numId w:val="0"/>
        </w:numPr>
        <w:kinsoku/>
        <w:wordWrap/>
        <w:overflowPunct/>
        <w:topLinePunct w:val="0"/>
        <w:autoSpaceDE/>
        <w:autoSpaceDN/>
        <w:bidi w:val="0"/>
        <w:adjustRightInd/>
        <w:snapToGrid/>
        <w:spacing w:before="100" w:after="100" w:line="240" w:lineRule="auto"/>
        <w:ind w:firstLine="600"/>
        <w:textAlignment w:val="auto"/>
        <w:rPr>
          <w:rFonts w:hint="eastAsia" w:asciiTheme="majorEastAsia" w:hAnsiTheme="majorEastAsia" w:eastAsiaTheme="majorEastAsia" w:cstheme="majorEastAsia"/>
          <w:sz w:val="30"/>
          <w:szCs w:val="30"/>
          <w:lang w:val="en-US" w:eastAsia="zh-CN"/>
        </w:rPr>
      </w:pPr>
      <w:r>
        <w:rPr>
          <w:rFonts w:hint="eastAsia" w:asciiTheme="majorEastAsia" w:hAnsiTheme="majorEastAsia" w:eastAsiaTheme="majorEastAsia" w:cstheme="majorEastAsia"/>
          <w:sz w:val="30"/>
          <w:szCs w:val="30"/>
          <w:lang w:val="en-US" w:eastAsia="zh-CN"/>
        </w:rPr>
        <w:t>人员经费263.18万元，主要包括人员工资234.75万元，养老保险22.53万元，医疗和工伤保险5.9万元。</w:t>
      </w:r>
    </w:p>
    <w:p>
      <w:pPr>
        <w:pStyle w:val="5"/>
        <w:keepNext w:val="0"/>
        <w:keepLines w:val="0"/>
        <w:pageBreakBefore w:val="0"/>
        <w:widowControl/>
        <w:numPr>
          <w:ilvl w:val="0"/>
          <w:numId w:val="0"/>
        </w:numPr>
        <w:kinsoku/>
        <w:wordWrap/>
        <w:overflowPunct/>
        <w:topLinePunct w:val="0"/>
        <w:autoSpaceDE/>
        <w:autoSpaceDN/>
        <w:bidi w:val="0"/>
        <w:adjustRightInd/>
        <w:snapToGrid/>
        <w:spacing w:before="100" w:after="100" w:line="240" w:lineRule="auto"/>
        <w:ind w:firstLine="600"/>
        <w:textAlignment w:val="auto"/>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公用经费5.01万元，主要是单位办公经费支出。</w:t>
      </w:r>
    </w:p>
    <w:p>
      <w:pPr>
        <w:pStyle w:val="5"/>
        <w:keepNext w:val="0"/>
        <w:keepLines w:val="0"/>
        <w:pageBreakBefore w:val="0"/>
        <w:widowControl/>
        <w:numPr>
          <w:ilvl w:val="0"/>
          <w:numId w:val="4"/>
        </w:numPr>
        <w:kinsoku/>
        <w:wordWrap/>
        <w:overflowPunct/>
        <w:topLinePunct w:val="0"/>
        <w:autoSpaceDE/>
        <w:autoSpaceDN/>
        <w:bidi w:val="0"/>
        <w:adjustRightInd/>
        <w:snapToGrid/>
        <w:spacing w:line="240" w:lineRule="auto"/>
        <w:ind w:left="0" w:leftChars="0" w:firstLine="600" w:firstLineChars="0"/>
        <w:textAlignment w:val="auto"/>
        <w:rPr>
          <w:rFonts w:hint="eastAsia" w:cs="宋体" w:asciiTheme="minorEastAsia" w:hAnsiTheme="minorEastAsia"/>
          <w:b/>
          <w:color w:val="3D3D3C"/>
          <w:sz w:val="30"/>
          <w:szCs w:val="30"/>
          <w:lang w:val="en-US" w:eastAsia="zh-CN"/>
        </w:rPr>
      </w:pPr>
      <w:r>
        <w:rPr>
          <w:rFonts w:hint="eastAsia" w:cs="宋体" w:asciiTheme="minorEastAsia" w:hAnsiTheme="minorEastAsia"/>
          <w:b/>
          <w:color w:val="3D3D3C"/>
          <w:sz w:val="30"/>
          <w:szCs w:val="30"/>
          <w:lang w:val="en-US" w:eastAsia="zh-CN"/>
        </w:rPr>
        <w:t>一般公共预算财政拨款“三公”经费及会议费、培训费支出决算情况说明</w:t>
      </w:r>
    </w:p>
    <w:p>
      <w:pPr>
        <w:pStyle w:val="5"/>
        <w:keepNext w:val="0"/>
        <w:keepLines w:val="0"/>
        <w:pageBreakBefore w:val="0"/>
        <w:widowControl/>
        <w:numPr>
          <w:ilvl w:val="0"/>
          <w:numId w:val="0"/>
        </w:numPr>
        <w:kinsoku/>
        <w:wordWrap/>
        <w:overflowPunct/>
        <w:topLinePunct w:val="0"/>
        <w:autoSpaceDE/>
        <w:autoSpaceDN/>
        <w:bidi w:val="0"/>
        <w:adjustRightInd/>
        <w:snapToGrid/>
        <w:spacing w:line="240" w:lineRule="auto"/>
        <w:ind w:left="600" w:leftChars="0"/>
        <w:textAlignment w:val="auto"/>
        <w:rPr>
          <w:rFonts w:hint="eastAsia" w:asciiTheme="minorEastAsia" w:hAnsiTheme="minorEastAsia"/>
          <w:b/>
          <w:bCs/>
          <w:color w:val="000000"/>
          <w:sz w:val="30"/>
          <w:szCs w:val="30"/>
          <w:lang w:val="en-US" w:eastAsia="zh-CN"/>
        </w:rPr>
      </w:pPr>
      <w:r>
        <w:rPr>
          <w:rFonts w:hint="eastAsia" w:asciiTheme="minorEastAsia" w:hAnsiTheme="minorEastAsia"/>
          <w:b/>
          <w:bCs/>
          <w:color w:val="000000"/>
          <w:sz w:val="30"/>
          <w:szCs w:val="30"/>
          <w:lang w:val="en-US" w:eastAsia="zh-CN"/>
        </w:rPr>
        <w:t>（一）“三公”经费财政拨款支出决算总体情况说明</w:t>
      </w:r>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600" w:firstLineChars="200"/>
        <w:textAlignment w:val="auto"/>
        <w:rPr>
          <w:rFonts w:hint="eastAsia" w:asciiTheme="minorEastAsia" w:hAnsiTheme="minorEastAsia"/>
          <w:color w:val="000000"/>
          <w:sz w:val="30"/>
          <w:szCs w:val="30"/>
          <w:lang w:val="en-US" w:eastAsia="zh-CN"/>
        </w:rPr>
      </w:pPr>
      <w:r>
        <w:rPr>
          <w:rFonts w:hint="eastAsia" w:asciiTheme="minorEastAsia" w:hAnsiTheme="minorEastAsia"/>
          <w:color w:val="000000"/>
          <w:sz w:val="30"/>
          <w:szCs w:val="30"/>
        </w:rPr>
        <w:t>201</w:t>
      </w:r>
      <w:r>
        <w:rPr>
          <w:rFonts w:hint="eastAsia" w:asciiTheme="minorEastAsia" w:hAnsiTheme="minorEastAsia"/>
          <w:color w:val="000000"/>
          <w:sz w:val="30"/>
          <w:szCs w:val="30"/>
          <w:lang w:val="en-US" w:eastAsia="zh-CN"/>
        </w:rPr>
        <w:t>9</w:t>
      </w:r>
      <w:r>
        <w:rPr>
          <w:rFonts w:hint="eastAsia" w:asciiTheme="minorEastAsia" w:hAnsiTheme="minorEastAsia"/>
          <w:color w:val="000000"/>
          <w:sz w:val="30"/>
          <w:szCs w:val="30"/>
        </w:rPr>
        <w:t>年度“三公”经费</w:t>
      </w:r>
      <w:r>
        <w:rPr>
          <w:rFonts w:hint="eastAsia" w:asciiTheme="minorEastAsia" w:hAnsiTheme="minorEastAsia"/>
          <w:color w:val="000000"/>
          <w:sz w:val="30"/>
          <w:szCs w:val="30"/>
          <w:lang w:val="en-US" w:eastAsia="zh-CN"/>
        </w:rPr>
        <w:t>财政拨款支出决算数为0万元，支出决算数为0万元。</w:t>
      </w:r>
    </w:p>
    <w:p>
      <w:pPr>
        <w:pStyle w:val="5"/>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leftChars="200"/>
        <w:textAlignment w:val="auto"/>
        <w:rPr>
          <w:rFonts w:hint="eastAsia" w:asciiTheme="minorEastAsia" w:hAnsiTheme="minorEastAsia"/>
          <w:b/>
          <w:bCs/>
          <w:color w:val="000000"/>
          <w:sz w:val="30"/>
          <w:szCs w:val="30"/>
          <w:lang w:val="en-US" w:eastAsia="zh-CN"/>
        </w:rPr>
      </w:pPr>
      <w:r>
        <w:rPr>
          <w:rFonts w:hint="eastAsia" w:asciiTheme="minorEastAsia" w:hAnsiTheme="minorEastAsia"/>
          <w:b/>
          <w:bCs/>
          <w:color w:val="000000"/>
          <w:sz w:val="30"/>
          <w:szCs w:val="30"/>
          <w:lang w:val="en-US" w:eastAsia="zh-CN"/>
        </w:rPr>
        <w:t>（二）“三公”经费财政拨款支出决算具体情况说明</w:t>
      </w:r>
    </w:p>
    <w:p>
      <w:pPr>
        <w:pStyle w:val="5"/>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firstLine="600" w:firstLineChars="200"/>
        <w:textAlignment w:val="auto"/>
        <w:rPr>
          <w:rFonts w:asciiTheme="minorEastAsia" w:hAnsiTheme="minorEastAsia"/>
          <w:color w:val="000000"/>
          <w:sz w:val="30"/>
          <w:szCs w:val="30"/>
        </w:rPr>
      </w:pPr>
      <w:r>
        <w:rPr>
          <w:rFonts w:hint="eastAsia" w:asciiTheme="minorEastAsia" w:hAnsiTheme="minorEastAsia"/>
          <w:color w:val="000000"/>
          <w:sz w:val="30"/>
          <w:szCs w:val="30"/>
          <w:lang w:val="en-US" w:eastAsia="zh-CN"/>
        </w:rPr>
        <w:t>2019年度“三公”经费财政拨款支出决算中，</w:t>
      </w:r>
      <w:r>
        <w:rPr>
          <w:rFonts w:hint="eastAsia" w:asciiTheme="minorEastAsia" w:hAnsiTheme="minorEastAsia"/>
          <w:color w:val="000000"/>
          <w:sz w:val="30"/>
          <w:szCs w:val="30"/>
        </w:rPr>
        <w:t>因公出国（境）费支出</w:t>
      </w:r>
      <w:r>
        <w:rPr>
          <w:rFonts w:hint="eastAsia" w:asciiTheme="minorEastAsia" w:hAnsiTheme="minorEastAsia"/>
          <w:color w:val="000000"/>
          <w:sz w:val="30"/>
          <w:szCs w:val="30"/>
          <w:lang w:val="en-US" w:eastAsia="zh-CN"/>
        </w:rPr>
        <w:t>决算</w:t>
      </w:r>
      <w:r>
        <w:rPr>
          <w:rFonts w:hint="eastAsia" w:asciiTheme="minorEastAsia" w:hAnsiTheme="minorEastAsia"/>
          <w:color w:val="000000"/>
          <w:sz w:val="30"/>
          <w:szCs w:val="30"/>
        </w:rPr>
        <w:t>0万元，占“三公”经费的0%；公务用车购费支出0万元，占“三公”经费的0%</w:t>
      </w:r>
      <w:r>
        <w:rPr>
          <w:rFonts w:hint="eastAsia" w:asciiTheme="minorEastAsia" w:hAnsiTheme="minorEastAsia"/>
          <w:color w:val="000000"/>
          <w:sz w:val="30"/>
          <w:szCs w:val="30"/>
          <w:lang w:eastAsia="zh-CN"/>
        </w:rPr>
        <w:t>；</w:t>
      </w:r>
      <w:r>
        <w:rPr>
          <w:rFonts w:hint="eastAsia" w:asciiTheme="minorEastAsia" w:hAnsiTheme="minorEastAsia"/>
          <w:color w:val="000000"/>
          <w:sz w:val="30"/>
          <w:szCs w:val="30"/>
          <w:lang w:val="en-US" w:eastAsia="zh-CN"/>
        </w:rPr>
        <w:t>公务用车运行维护费支出决算0万元，占“三公</w:t>
      </w:r>
      <w:r>
        <w:rPr>
          <w:rFonts w:hint="default" w:asciiTheme="minorEastAsia" w:hAnsiTheme="minorEastAsia"/>
          <w:color w:val="000000"/>
          <w:sz w:val="30"/>
          <w:szCs w:val="30"/>
          <w:lang w:val="en-US" w:eastAsia="zh-CN"/>
        </w:rPr>
        <w:t>’</w:t>
      </w:r>
      <w:r>
        <w:rPr>
          <w:rFonts w:hint="eastAsia" w:asciiTheme="minorEastAsia" w:hAnsiTheme="minorEastAsia"/>
          <w:color w:val="000000"/>
          <w:sz w:val="30"/>
          <w:szCs w:val="30"/>
          <w:lang w:val="en-US" w:eastAsia="zh-CN"/>
        </w:rPr>
        <w:t>经费100%;</w:t>
      </w:r>
      <w:r>
        <w:rPr>
          <w:rFonts w:hint="eastAsia" w:asciiTheme="minorEastAsia" w:hAnsiTheme="minorEastAsia"/>
          <w:color w:val="000000"/>
          <w:sz w:val="30"/>
          <w:szCs w:val="30"/>
        </w:rPr>
        <w:t>公务接待费支出</w:t>
      </w:r>
      <w:r>
        <w:rPr>
          <w:rFonts w:hint="eastAsia" w:asciiTheme="minorEastAsia" w:hAnsiTheme="minorEastAsia"/>
          <w:color w:val="000000"/>
          <w:sz w:val="30"/>
          <w:szCs w:val="30"/>
          <w:lang w:val="en-US" w:eastAsia="zh-CN"/>
        </w:rPr>
        <w:t>决算</w:t>
      </w:r>
      <w:r>
        <w:rPr>
          <w:rFonts w:hint="eastAsia" w:asciiTheme="minorEastAsia" w:hAnsiTheme="minorEastAsia"/>
          <w:color w:val="000000"/>
          <w:sz w:val="30"/>
          <w:szCs w:val="30"/>
        </w:rPr>
        <w:t>0万元，占“三公”经费的0%；具体情况如下：</w:t>
      </w:r>
    </w:p>
    <w:p>
      <w:pPr>
        <w:keepNext w:val="0"/>
        <w:keepLines w:val="0"/>
        <w:pageBreakBefore w:val="0"/>
        <w:widowControl/>
        <w:numPr>
          <w:ilvl w:val="0"/>
          <w:numId w:val="5"/>
        </w:numPr>
        <w:kinsoku/>
        <w:wordWrap/>
        <w:overflowPunct/>
        <w:topLinePunct w:val="0"/>
        <w:autoSpaceDE/>
        <w:autoSpaceDN/>
        <w:bidi w:val="0"/>
        <w:adjustRightInd/>
        <w:snapToGrid/>
        <w:spacing w:before="100" w:beforeAutospacing="1" w:after="100" w:afterAutospacing="1" w:line="240" w:lineRule="auto"/>
        <w:ind w:firstLine="600" w:firstLineChars="200"/>
        <w:textAlignment w:val="auto"/>
        <w:rPr>
          <w:rFonts w:hint="eastAsia" w:cs="宋体" w:asciiTheme="minorEastAsia" w:hAnsiTheme="minorEastAsia"/>
          <w:color w:val="000000"/>
          <w:kern w:val="0"/>
          <w:sz w:val="30"/>
          <w:szCs w:val="30"/>
          <w:lang w:val="en-US" w:eastAsia="zh-CN"/>
        </w:rPr>
      </w:pPr>
      <w:r>
        <w:rPr>
          <w:rFonts w:hint="eastAsia" w:cs="宋体" w:asciiTheme="minorEastAsia" w:hAnsiTheme="minorEastAsia"/>
          <w:color w:val="000000"/>
          <w:kern w:val="0"/>
          <w:sz w:val="30"/>
          <w:szCs w:val="30"/>
        </w:rPr>
        <w:t>因公出国（境）</w:t>
      </w:r>
      <w:r>
        <w:rPr>
          <w:rFonts w:hint="eastAsia" w:cs="宋体" w:asciiTheme="minorEastAsia" w:hAnsiTheme="minorEastAsia"/>
          <w:color w:val="000000"/>
          <w:kern w:val="0"/>
          <w:sz w:val="30"/>
          <w:szCs w:val="30"/>
          <w:lang w:val="en-US" w:eastAsia="zh-CN"/>
        </w:rPr>
        <w:t>支出情况说明。</w:t>
      </w:r>
    </w:p>
    <w:p>
      <w:pPr>
        <w:keepNext w:val="0"/>
        <w:keepLines w:val="0"/>
        <w:pageBreakBefore w:val="0"/>
        <w:widowControl/>
        <w:numPr>
          <w:ilvl w:val="0"/>
          <w:numId w:val="0"/>
        </w:numPr>
        <w:kinsoku/>
        <w:wordWrap/>
        <w:overflowPunct/>
        <w:topLinePunct w:val="0"/>
        <w:autoSpaceDE/>
        <w:autoSpaceDN/>
        <w:bidi w:val="0"/>
        <w:adjustRightInd/>
        <w:snapToGrid/>
        <w:spacing w:before="100" w:beforeAutospacing="1" w:after="100" w:afterAutospacing="1" w:line="240" w:lineRule="auto"/>
        <w:ind w:firstLine="600" w:firstLineChars="200"/>
        <w:textAlignment w:val="auto"/>
        <w:rPr>
          <w:rFonts w:cs="宋体" w:asciiTheme="minorEastAsia" w:hAnsiTheme="minorEastAsia"/>
          <w:color w:val="FF0000"/>
          <w:kern w:val="0"/>
          <w:sz w:val="30"/>
          <w:szCs w:val="30"/>
        </w:rPr>
      </w:pPr>
      <w:r>
        <w:rPr>
          <w:rFonts w:hint="eastAsia" w:cs="宋体" w:asciiTheme="minorEastAsia" w:hAnsiTheme="minorEastAsia"/>
          <w:color w:val="000000"/>
          <w:kern w:val="0"/>
          <w:sz w:val="30"/>
          <w:szCs w:val="30"/>
          <w:lang w:val="en-US" w:eastAsia="zh-CN"/>
        </w:rPr>
        <w:t>2019年度因公出国（境）0人0次，预算0万元，支出决算0万元，</w:t>
      </w:r>
      <w:r>
        <w:rPr>
          <w:rFonts w:hint="eastAsia" w:cs="宋体" w:asciiTheme="minorEastAsia" w:hAnsiTheme="minorEastAsia"/>
          <w:color w:val="000000"/>
          <w:kern w:val="0"/>
          <w:sz w:val="30"/>
          <w:szCs w:val="30"/>
        </w:rPr>
        <w:t>无开支。</w:t>
      </w:r>
      <w:r>
        <w:rPr>
          <w:rFonts w:hint="eastAsia" w:cs="宋体" w:asciiTheme="minorEastAsia" w:hAnsiTheme="minorEastAsia"/>
          <w:color w:val="000000" w:themeColor="text1"/>
          <w:kern w:val="0"/>
          <w:sz w:val="30"/>
          <w:szCs w:val="30"/>
          <w14:textFill>
            <w14:solidFill>
              <w14:schemeClr w14:val="tx1"/>
            </w14:solidFill>
          </w14:textFill>
        </w:rPr>
        <w:t>与预算比较无增减变化，原因是无预算</w:t>
      </w:r>
      <w:r>
        <w:rPr>
          <w:rFonts w:hint="eastAsia" w:cs="宋体" w:asciiTheme="minorEastAsia" w:hAnsiTheme="minorEastAsia"/>
          <w:color w:val="000000" w:themeColor="text1"/>
          <w:kern w:val="0"/>
          <w:sz w:val="30"/>
          <w:szCs w:val="30"/>
          <w:lang w:val="en-US" w:eastAsia="zh-CN"/>
          <w14:textFill>
            <w14:solidFill>
              <w14:schemeClr w14:val="tx1"/>
            </w14:solidFill>
          </w14:textFill>
        </w:rPr>
        <w:t>无支出</w:t>
      </w:r>
      <w:r>
        <w:rPr>
          <w:rFonts w:hint="eastAsia" w:cs="宋体" w:asciiTheme="minorEastAsia" w:hAnsiTheme="minorEastAsia"/>
          <w:color w:val="000000" w:themeColor="text1"/>
          <w:kern w:val="0"/>
          <w:sz w:val="30"/>
          <w:szCs w:val="30"/>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auto"/>
        <w:ind w:firstLine="600" w:firstLineChars="200"/>
        <w:textAlignment w:val="auto"/>
        <w:rPr>
          <w:rFonts w:cs="宋体" w:asciiTheme="minorEastAsia" w:hAnsiTheme="minorEastAsia"/>
          <w:color w:val="000000"/>
          <w:kern w:val="0"/>
          <w:sz w:val="30"/>
          <w:szCs w:val="30"/>
        </w:rPr>
      </w:pPr>
      <w:r>
        <w:rPr>
          <w:rFonts w:hint="eastAsia" w:cs="宋体" w:asciiTheme="minorEastAsia" w:hAnsiTheme="minorEastAsia"/>
          <w:color w:val="000000"/>
          <w:kern w:val="0"/>
          <w:sz w:val="30"/>
          <w:szCs w:val="30"/>
          <w:lang w:val="en-US" w:eastAsia="zh-CN"/>
        </w:rPr>
        <w:t>2、</w:t>
      </w:r>
      <w:r>
        <w:rPr>
          <w:rFonts w:hint="eastAsia" w:cs="宋体" w:asciiTheme="minorEastAsia" w:hAnsiTheme="minorEastAsia"/>
          <w:color w:val="000000"/>
          <w:kern w:val="0"/>
          <w:sz w:val="30"/>
          <w:szCs w:val="30"/>
        </w:rPr>
        <w:t>公务用车购置</w:t>
      </w:r>
      <w:r>
        <w:rPr>
          <w:rFonts w:hint="eastAsia" w:cs="宋体" w:asciiTheme="minorEastAsia" w:hAnsiTheme="minorEastAsia"/>
          <w:color w:val="000000"/>
          <w:kern w:val="0"/>
          <w:sz w:val="30"/>
          <w:szCs w:val="30"/>
          <w:lang w:val="en-US" w:eastAsia="zh-CN"/>
        </w:rPr>
        <w:t>费用支出情况说明。</w:t>
      </w:r>
    </w:p>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auto"/>
        <w:ind w:firstLine="600" w:firstLineChars="200"/>
        <w:textAlignment w:val="auto"/>
        <w:rPr>
          <w:rFonts w:cs="宋体" w:asciiTheme="minorEastAsia" w:hAnsiTheme="minorEastAsia"/>
          <w:color w:val="000000"/>
          <w:kern w:val="0"/>
          <w:sz w:val="30"/>
          <w:szCs w:val="30"/>
        </w:rPr>
      </w:pPr>
      <w:r>
        <w:rPr>
          <w:rFonts w:hint="eastAsia" w:cs="宋体" w:asciiTheme="minorEastAsia" w:hAnsiTheme="minorEastAsia"/>
          <w:color w:val="000000"/>
          <w:kern w:val="0"/>
          <w:sz w:val="30"/>
          <w:szCs w:val="30"/>
          <w:lang w:val="en-US" w:eastAsia="zh-CN"/>
        </w:rPr>
        <w:t>2019年度购置车辆0台，预算为0万元，支出决算为0万元，决算数与预算数无增减变化，原因是无预算无支出。</w:t>
      </w:r>
    </w:p>
    <w:p>
      <w:pPr>
        <w:keepNext w:val="0"/>
        <w:keepLines w:val="0"/>
        <w:pageBreakBefore w:val="0"/>
        <w:widowControl/>
        <w:numPr>
          <w:ilvl w:val="0"/>
          <w:numId w:val="0"/>
        </w:numPr>
        <w:kinsoku/>
        <w:wordWrap/>
        <w:overflowPunct/>
        <w:topLinePunct w:val="0"/>
        <w:autoSpaceDE/>
        <w:autoSpaceDN/>
        <w:bidi w:val="0"/>
        <w:adjustRightInd/>
        <w:snapToGrid/>
        <w:spacing w:before="100" w:beforeAutospacing="1" w:after="100" w:afterAutospacing="1" w:line="240" w:lineRule="auto"/>
        <w:ind w:leftChars="200"/>
        <w:textAlignment w:val="auto"/>
        <w:rPr>
          <w:rFonts w:hint="eastAsia" w:cs="宋体" w:asciiTheme="minorEastAsia" w:hAnsiTheme="minorEastAsia"/>
          <w:color w:val="000000"/>
          <w:kern w:val="0"/>
          <w:sz w:val="30"/>
          <w:szCs w:val="30"/>
          <w:lang w:val="en-US" w:eastAsia="zh-CN"/>
        </w:rPr>
      </w:pPr>
      <w:r>
        <w:rPr>
          <w:rFonts w:hint="eastAsia" w:cs="宋体" w:asciiTheme="minorEastAsia" w:hAnsiTheme="minorEastAsia"/>
          <w:color w:val="000000"/>
          <w:kern w:val="0"/>
          <w:sz w:val="30"/>
          <w:szCs w:val="30"/>
          <w:lang w:val="en-US" w:eastAsia="zh-CN"/>
        </w:rPr>
        <w:t>3、公务用车运行维护费用支出情况说明。</w:t>
      </w:r>
    </w:p>
    <w:p>
      <w:pPr>
        <w:keepNext w:val="0"/>
        <w:keepLines w:val="0"/>
        <w:pageBreakBefore w:val="0"/>
        <w:widowControl/>
        <w:numPr>
          <w:ilvl w:val="0"/>
          <w:numId w:val="0"/>
        </w:numPr>
        <w:kinsoku/>
        <w:wordWrap/>
        <w:overflowPunct/>
        <w:topLinePunct w:val="0"/>
        <w:autoSpaceDE/>
        <w:autoSpaceDN/>
        <w:bidi w:val="0"/>
        <w:adjustRightInd/>
        <w:snapToGrid/>
        <w:spacing w:before="100" w:beforeAutospacing="1" w:after="100" w:afterAutospacing="1" w:line="240" w:lineRule="auto"/>
        <w:ind w:firstLine="600" w:firstLineChars="200"/>
        <w:textAlignment w:val="auto"/>
        <w:rPr>
          <w:rFonts w:hint="eastAsia" w:cs="宋体" w:asciiTheme="minorEastAsia" w:hAnsiTheme="minorEastAsia"/>
          <w:color w:val="000000"/>
          <w:kern w:val="0"/>
          <w:sz w:val="30"/>
          <w:szCs w:val="30"/>
          <w:lang w:val="en-US" w:eastAsia="zh-CN"/>
        </w:rPr>
      </w:pPr>
      <w:r>
        <w:rPr>
          <w:rFonts w:hint="eastAsia" w:cs="宋体" w:asciiTheme="minorEastAsia" w:hAnsiTheme="minorEastAsia"/>
          <w:color w:val="000000"/>
          <w:kern w:val="0"/>
          <w:sz w:val="30"/>
          <w:szCs w:val="30"/>
          <w:lang w:val="en-US" w:eastAsia="zh-CN"/>
        </w:rPr>
        <w:t>2019年度公务用车运行维护费预算为0万元，支出决算为0万元，决算数较预算数无增减变化，原因是无公务用车。</w:t>
      </w:r>
    </w:p>
    <w:p>
      <w:pPr>
        <w:keepNext w:val="0"/>
        <w:keepLines w:val="0"/>
        <w:pageBreakBefore w:val="0"/>
        <w:widowControl/>
        <w:numPr>
          <w:ilvl w:val="0"/>
          <w:numId w:val="6"/>
        </w:numPr>
        <w:kinsoku/>
        <w:wordWrap/>
        <w:overflowPunct/>
        <w:topLinePunct w:val="0"/>
        <w:autoSpaceDE/>
        <w:autoSpaceDN/>
        <w:bidi w:val="0"/>
        <w:adjustRightInd/>
        <w:snapToGrid/>
        <w:spacing w:before="100" w:beforeAutospacing="1" w:after="100" w:afterAutospacing="1" w:line="240" w:lineRule="auto"/>
        <w:ind w:firstLine="600" w:firstLineChars="200"/>
        <w:textAlignment w:val="auto"/>
        <w:rPr>
          <w:rFonts w:cs="宋体" w:asciiTheme="minorEastAsia" w:hAnsiTheme="minorEastAsia"/>
          <w:color w:val="000000"/>
          <w:kern w:val="0"/>
          <w:sz w:val="30"/>
          <w:szCs w:val="30"/>
        </w:rPr>
      </w:pPr>
      <w:r>
        <w:rPr>
          <w:rFonts w:hint="eastAsia" w:cs="宋体" w:asciiTheme="minorEastAsia" w:hAnsiTheme="minorEastAsia"/>
          <w:color w:val="000000"/>
          <w:kern w:val="0"/>
          <w:sz w:val="30"/>
          <w:szCs w:val="30"/>
        </w:rPr>
        <w:t>公务接待费支出</w:t>
      </w:r>
      <w:r>
        <w:rPr>
          <w:rFonts w:hint="eastAsia" w:cs="宋体" w:asciiTheme="minorEastAsia" w:hAnsiTheme="minorEastAsia"/>
          <w:color w:val="000000"/>
          <w:kern w:val="0"/>
          <w:sz w:val="30"/>
          <w:szCs w:val="30"/>
          <w:lang w:val="en-US" w:eastAsia="zh-CN"/>
        </w:rPr>
        <w:t>情况说明。2019年度公务接待0批次，0人次，预算为0万元，支出决算为0万元，决算数较预算数无增减变化，</w:t>
      </w:r>
      <w:r>
        <w:rPr>
          <w:rFonts w:hint="eastAsia" w:cs="宋体" w:asciiTheme="minorEastAsia" w:hAnsiTheme="minorEastAsia"/>
          <w:color w:val="000000"/>
          <w:kern w:val="0"/>
          <w:sz w:val="30"/>
          <w:szCs w:val="30"/>
        </w:rPr>
        <w:t>主要原因为严格落实八项规定、厉行节约</w:t>
      </w:r>
      <w:r>
        <w:rPr>
          <w:rFonts w:hint="eastAsia" w:cs="宋体" w:asciiTheme="minorEastAsia" w:hAnsiTheme="minorEastAsia"/>
          <w:color w:val="000000"/>
          <w:kern w:val="0"/>
          <w:sz w:val="30"/>
          <w:szCs w:val="30"/>
          <w:lang w:eastAsia="zh-CN"/>
        </w:rPr>
        <w:t>，</w:t>
      </w:r>
      <w:r>
        <w:rPr>
          <w:rFonts w:hint="eastAsia" w:cs="宋体" w:asciiTheme="minorEastAsia" w:hAnsiTheme="minorEastAsia"/>
          <w:color w:val="000000"/>
          <w:kern w:val="0"/>
          <w:sz w:val="30"/>
          <w:szCs w:val="30"/>
          <w:lang w:val="en-US" w:eastAsia="zh-CN"/>
        </w:rPr>
        <w:t>全年无预算无公务接待支出。</w:t>
      </w:r>
    </w:p>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auto"/>
        <w:ind w:firstLine="640"/>
        <w:textAlignment w:val="auto"/>
        <w:rPr>
          <w:rFonts w:cs="宋体" w:asciiTheme="minorEastAsia" w:hAnsiTheme="minorEastAsia"/>
          <w:color w:val="000000"/>
          <w:kern w:val="0"/>
          <w:sz w:val="30"/>
          <w:szCs w:val="30"/>
        </w:rPr>
      </w:pPr>
    </w:p>
    <w:p>
      <w:pPr>
        <w:keepNext w:val="0"/>
        <w:keepLines w:val="0"/>
        <w:pageBreakBefore w:val="0"/>
        <w:widowControl/>
        <w:numPr>
          <w:ilvl w:val="0"/>
          <w:numId w:val="0"/>
        </w:numPr>
        <w:kinsoku/>
        <w:wordWrap/>
        <w:overflowPunct/>
        <w:topLinePunct w:val="0"/>
        <w:autoSpaceDE/>
        <w:autoSpaceDN/>
        <w:bidi w:val="0"/>
        <w:adjustRightInd/>
        <w:snapToGrid/>
        <w:spacing w:before="100" w:beforeAutospacing="1" w:after="100" w:afterAutospacing="1" w:line="240" w:lineRule="auto"/>
        <w:ind w:firstLine="602" w:firstLineChars="200"/>
        <w:textAlignment w:val="auto"/>
        <w:rPr>
          <w:rFonts w:hint="eastAsia" w:cs="宋体" w:asciiTheme="minorEastAsia" w:hAnsiTheme="minorEastAsia"/>
          <w:b/>
          <w:bCs/>
          <w:color w:val="000000"/>
          <w:kern w:val="0"/>
          <w:sz w:val="30"/>
          <w:szCs w:val="30"/>
          <w:lang w:val="en-US" w:eastAsia="zh-CN"/>
        </w:rPr>
      </w:pPr>
      <w:r>
        <w:rPr>
          <w:rFonts w:hint="eastAsia" w:cs="宋体" w:asciiTheme="minorEastAsia" w:hAnsiTheme="minorEastAsia"/>
          <w:b/>
          <w:bCs/>
          <w:color w:val="000000"/>
          <w:kern w:val="0"/>
          <w:sz w:val="30"/>
          <w:szCs w:val="30"/>
          <w:lang w:val="en-US" w:eastAsia="zh-CN"/>
        </w:rPr>
        <w:t>（三）培训费支出情况说明。</w:t>
      </w:r>
    </w:p>
    <w:p>
      <w:pPr>
        <w:keepNext w:val="0"/>
        <w:keepLines w:val="0"/>
        <w:pageBreakBefore w:val="0"/>
        <w:widowControl/>
        <w:numPr>
          <w:ilvl w:val="0"/>
          <w:numId w:val="0"/>
        </w:numPr>
        <w:kinsoku/>
        <w:wordWrap/>
        <w:overflowPunct/>
        <w:topLinePunct w:val="0"/>
        <w:autoSpaceDE/>
        <w:autoSpaceDN/>
        <w:bidi w:val="0"/>
        <w:adjustRightInd/>
        <w:snapToGrid/>
        <w:spacing w:before="100" w:beforeAutospacing="1" w:after="100" w:afterAutospacing="1" w:line="240" w:lineRule="auto"/>
        <w:ind w:firstLine="600" w:firstLineChars="200"/>
        <w:textAlignment w:val="auto"/>
        <w:rPr>
          <w:rFonts w:cs="宋体" w:asciiTheme="minorEastAsia" w:hAnsiTheme="minorEastAsia"/>
          <w:color w:val="000000"/>
          <w:kern w:val="0"/>
          <w:sz w:val="30"/>
          <w:szCs w:val="30"/>
        </w:rPr>
      </w:pPr>
      <w:r>
        <w:rPr>
          <w:rFonts w:hint="eastAsia" w:cs="宋体" w:asciiTheme="minorEastAsia" w:hAnsiTheme="minorEastAsia"/>
          <w:color w:val="000000"/>
          <w:kern w:val="0"/>
          <w:sz w:val="30"/>
          <w:szCs w:val="30"/>
          <w:lang w:val="en-US" w:eastAsia="zh-CN"/>
        </w:rPr>
        <w:t>2019年度培训费预算为0万元，支出决算数为0万元，决算数较预算数无增减变化，原因是无预算无培训费支出</w:t>
      </w:r>
      <w:r>
        <w:rPr>
          <w:rFonts w:hint="eastAsia" w:cs="宋体" w:asciiTheme="minorEastAsia" w:hAnsiTheme="minorEastAsia"/>
          <w:color w:val="000000"/>
          <w:kern w:val="0"/>
          <w:sz w:val="30"/>
          <w:szCs w:val="30"/>
        </w:rPr>
        <w:t>。</w:t>
      </w:r>
    </w:p>
    <w:p>
      <w:pPr>
        <w:keepNext w:val="0"/>
        <w:keepLines w:val="0"/>
        <w:pageBreakBefore w:val="0"/>
        <w:widowControl/>
        <w:numPr>
          <w:ilvl w:val="0"/>
          <w:numId w:val="7"/>
        </w:numPr>
        <w:kinsoku/>
        <w:wordWrap/>
        <w:overflowPunct/>
        <w:topLinePunct w:val="0"/>
        <w:autoSpaceDE/>
        <w:autoSpaceDN/>
        <w:bidi w:val="0"/>
        <w:adjustRightInd/>
        <w:snapToGrid/>
        <w:spacing w:before="100" w:beforeAutospacing="1" w:after="100" w:afterAutospacing="1" w:line="240" w:lineRule="auto"/>
        <w:ind w:firstLine="602" w:firstLineChars="200"/>
        <w:textAlignment w:val="auto"/>
        <w:rPr>
          <w:rFonts w:hint="eastAsia" w:cs="宋体" w:asciiTheme="minorEastAsia" w:hAnsiTheme="minorEastAsia"/>
          <w:b/>
          <w:bCs/>
          <w:color w:val="000000"/>
          <w:kern w:val="0"/>
          <w:sz w:val="30"/>
          <w:szCs w:val="30"/>
          <w:lang w:val="en-US" w:eastAsia="zh-CN"/>
        </w:rPr>
      </w:pPr>
      <w:r>
        <w:rPr>
          <w:rFonts w:hint="eastAsia" w:cs="宋体" w:asciiTheme="minorEastAsia" w:hAnsiTheme="minorEastAsia"/>
          <w:b/>
          <w:bCs/>
          <w:color w:val="000000"/>
          <w:kern w:val="0"/>
          <w:sz w:val="30"/>
          <w:szCs w:val="30"/>
          <w:lang w:val="en-US" w:eastAsia="zh-CN"/>
        </w:rPr>
        <w:t>会议费支出情况说明。</w:t>
      </w:r>
    </w:p>
    <w:p>
      <w:pPr>
        <w:keepNext w:val="0"/>
        <w:keepLines w:val="0"/>
        <w:pageBreakBefore w:val="0"/>
        <w:widowControl/>
        <w:numPr>
          <w:ilvl w:val="0"/>
          <w:numId w:val="0"/>
        </w:numPr>
        <w:kinsoku/>
        <w:wordWrap/>
        <w:overflowPunct/>
        <w:topLinePunct w:val="0"/>
        <w:autoSpaceDE/>
        <w:autoSpaceDN/>
        <w:bidi w:val="0"/>
        <w:adjustRightInd/>
        <w:snapToGrid/>
        <w:spacing w:before="100" w:beforeAutospacing="1" w:after="100" w:afterAutospacing="1" w:line="240" w:lineRule="auto"/>
        <w:ind w:firstLine="600" w:firstLineChars="200"/>
        <w:textAlignment w:val="auto"/>
        <w:rPr>
          <w:rFonts w:cs="宋体" w:asciiTheme="minorEastAsia" w:hAnsiTheme="minorEastAsia"/>
          <w:color w:val="000000"/>
          <w:kern w:val="0"/>
          <w:sz w:val="30"/>
          <w:szCs w:val="30"/>
        </w:rPr>
      </w:pPr>
      <w:r>
        <w:rPr>
          <w:rFonts w:hint="eastAsia" w:cs="宋体" w:asciiTheme="minorEastAsia" w:hAnsiTheme="minorEastAsia"/>
          <w:color w:val="000000"/>
          <w:kern w:val="0"/>
          <w:sz w:val="30"/>
          <w:szCs w:val="30"/>
          <w:lang w:val="en-US" w:eastAsia="zh-CN"/>
        </w:rPr>
        <w:t>2019年度会议费预算为0万元，支出决算为0万元，决算数较预算数无增减变化，主要原因是无预算无会议费支出。</w:t>
      </w:r>
    </w:p>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auto"/>
        <w:ind w:firstLine="602" w:firstLineChars="200"/>
        <w:textAlignment w:val="auto"/>
        <w:rPr>
          <w:rFonts w:cs="宋体" w:asciiTheme="minorEastAsia" w:hAnsiTheme="minorEastAsia"/>
          <w:color w:val="000000"/>
          <w:kern w:val="0"/>
          <w:sz w:val="30"/>
          <w:szCs w:val="30"/>
        </w:rPr>
      </w:pPr>
      <w:r>
        <w:rPr>
          <w:rFonts w:hint="eastAsia" w:cs="宋体" w:asciiTheme="minorEastAsia" w:hAnsiTheme="minorEastAsia"/>
          <w:b/>
          <w:bCs/>
          <w:color w:val="3D3D3C"/>
          <w:sz w:val="30"/>
          <w:szCs w:val="30"/>
          <w:lang w:val="en-US" w:eastAsia="zh-CN"/>
        </w:rPr>
        <w:t>八</w:t>
      </w:r>
      <w:r>
        <w:rPr>
          <w:rFonts w:hint="eastAsia" w:cs="宋体" w:asciiTheme="minorEastAsia" w:hAnsiTheme="minorEastAsia"/>
          <w:b/>
          <w:bCs/>
          <w:color w:val="3D3D3C"/>
          <w:sz w:val="30"/>
          <w:szCs w:val="30"/>
        </w:rPr>
        <w:t>、</w:t>
      </w:r>
      <w:r>
        <w:rPr>
          <w:rFonts w:hint="eastAsia" w:cs="宋体" w:asciiTheme="minorEastAsia" w:hAnsiTheme="minorEastAsia"/>
          <w:b/>
          <w:bCs/>
          <w:color w:val="3D3D3C"/>
          <w:sz w:val="30"/>
          <w:szCs w:val="30"/>
          <w:lang w:val="en-US" w:eastAsia="zh-CN"/>
        </w:rPr>
        <w:t>政府性基金预算财政拨款收入支出</w:t>
      </w:r>
      <w:r>
        <w:rPr>
          <w:rFonts w:hint="eastAsia" w:cs="宋体" w:asciiTheme="minorEastAsia" w:hAnsiTheme="minorEastAsia"/>
          <w:b/>
          <w:bCs/>
          <w:color w:val="3D3D3C"/>
          <w:sz w:val="30"/>
          <w:szCs w:val="30"/>
        </w:rPr>
        <w:t xml:space="preserve">情况说明 </w:t>
      </w:r>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600" w:firstLineChars="200"/>
        <w:textAlignment w:val="auto"/>
        <w:rPr>
          <w:rFonts w:hint="eastAsia" w:cs="宋体" w:asciiTheme="minorEastAsia" w:hAnsiTheme="minorEastAsia"/>
          <w:b w:val="0"/>
          <w:bCs w:val="0"/>
          <w:color w:val="3D3D3C"/>
          <w:sz w:val="30"/>
          <w:szCs w:val="30"/>
          <w:lang w:val="en-US" w:eastAsia="zh-CN"/>
        </w:rPr>
      </w:pPr>
      <w:r>
        <w:rPr>
          <w:rFonts w:hint="eastAsia" w:cs="宋体" w:asciiTheme="minorEastAsia" w:hAnsiTheme="minorEastAsia"/>
          <w:b w:val="0"/>
          <w:bCs w:val="0"/>
          <w:color w:val="3D3D3C"/>
          <w:sz w:val="30"/>
          <w:szCs w:val="30"/>
          <w:lang w:val="en-US" w:eastAsia="zh-CN"/>
        </w:rPr>
        <w:t>本部门无政府性基金决算收支，并已公开空表。</w:t>
      </w:r>
    </w:p>
    <w:p>
      <w:pPr>
        <w:pStyle w:val="5"/>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left="600" w:leftChars="0"/>
        <w:textAlignment w:val="auto"/>
        <w:rPr>
          <w:rFonts w:hint="eastAsia" w:cs="宋体" w:asciiTheme="minorEastAsia" w:hAnsiTheme="minorEastAsia"/>
          <w:b/>
          <w:bCs/>
          <w:color w:val="3D3D3C"/>
          <w:sz w:val="30"/>
          <w:szCs w:val="30"/>
          <w:lang w:val="en-US" w:eastAsia="zh-CN"/>
        </w:rPr>
      </w:pPr>
      <w:r>
        <w:rPr>
          <w:rFonts w:hint="eastAsia" w:cs="宋体" w:asciiTheme="minorEastAsia" w:hAnsiTheme="minorEastAsia"/>
          <w:b/>
          <w:bCs/>
          <w:color w:val="3D3D3C"/>
          <w:sz w:val="30"/>
          <w:szCs w:val="30"/>
          <w:lang w:val="en-US" w:eastAsia="zh-CN"/>
        </w:rPr>
        <w:t>九、国有资本经营财政拨款收入支出情况说明</w:t>
      </w:r>
    </w:p>
    <w:p>
      <w:pPr>
        <w:pStyle w:val="5"/>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firstLine="601"/>
        <w:textAlignment w:val="auto"/>
        <w:rPr>
          <w:rFonts w:hint="eastAsia" w:asciiTheme="majorEastAsia" w:hAnsiTheme="majorEastAsia" w:eastAsiaTheme="majorEastAsia" w:cstheme="majorEastAsia"/>
          <w:b w:val="0"/>
          <w:bCs w:val="0"/>
          <w:color w:val="3D3D3C"/>
          <w:sz w:val="30"/>
          <w:szCs w:val="30"/>
          <w:lang w:val="en-US" w:eastAsia="zh-CN"/>
        </w:rPr>
      </w:pPr>
      <w:r>
        <w:rPr>
          <w:rFonts w:hint="eastAsia" w:asciiTheme="majorEastAsia" w:hAnsiTheme="majorEastAsia" w:eastAsiaTheme="majorEastAsia" w:cstheme="majorEastAsia"/>
          <w:b w:val="0"/>
          <w:bCs w:val="0"/>
          <w:color w:val="3D3D3C"/>
          <w:sz w:val="30"/>
          <w:szCs w:val="30"/>
          <w:lang w:val="en-US" w:eastAsia="zh-CN"/>
        </w:rPr>
        <w:t>本部门无国有资本经营决算拨款收支</w:t>
      </w:r>
    </w:p>
    <w:p>
      <w:pPr>
        <w:pStyle w:val="5"/>
        <w:keepNext w:val="0"/>
        <w:keepLines w:val="0"/>
        <w:pageBreakBefore w:val="0"/>
        <w:widowControl/>
        <w:numPr>
          <w:ilvl w:val="0"/>
          <w:numId w:val="8"/>
        </w:numPr>
        <w:kinsoku/>
        <w:wordWrap/>
        <w:overflowPunct/>
        <w:topLinePunct w:val="0"/>
        <w:autoSpaceDE/>
        <w:autoSpaceDN/>
        <w:bidi w:val="0"/>
        <w:adjustRightInd/>
        <w:snapToGrid/>
        <w:spacing w:beforeAutospacing="0" w:afterAutospacing="0" w:line="240" w:lineRule="auto"/>
        <w:ind w:left="600" w:leftChars="0" w:firstLine="0" w:firstLineChars="0"/>
        <w:textAlignment w:val="auto"/>
        <w:rPr>
          <w:rFonts w:hint="eastAsia" w:asciiTheme="majorEastAsia" w:hAnsiTheme="majorEastAsia" w:eastAsiaTheme="majorEastAsia" w:cstheme="majorEastAsia"/>
          <w:b/>
          <w:bCs/>
          <w:color w:val="3D3D3C"/>
          <w:sz w:val="30"/>
          <w:szCs w:val="30"/>
          <w:lang w:val="en-US" w:eastAsia="zh-CN"/>
        </w:rPr>
      </w:pPr>
      <w:r>
        <w:rPr>
          <w:rFonts w:hint="eastAsia" w:asciiTheme="majorEastAsia" w:hAnsiTheme="majorEastAsia" w:eastAsiaTheme="majorEastAsia" w:cstheme="majorEastAsia"/>
          <w:b/>
          <w:bCs/>
          <w:color w:val="3D3D3C"/>
          <w:sz w:val="30"/>
          <w:szCs w:val="30"/>
          <w:lang w:val="en-US" w:eastAsia="zh-CN"/>
        </w:rPr>
        <w:t>预算绩效情况说明</w:t>
      </w:r>
    </w:p>
    <w:p>
      <w:pPr>
        <w:pStyle w:val="5"/>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240" w:lineRule="auto"/>
        <w:ind w:left="600" w:leftChars="0"/>
        <w:textAlignment w:val="auto"/>
        <w:rPr>
          <w:rFonts w:hint="eastAsia" w:asciiTheme="majorEastAsia" w:hAnsiTheme="majorEastAsia" w:eastAsiaTheme="majorEastAsia" w:cstheme="majorEastAsia"/>
          <w:b/>
          <w:bCs/>
          <w:color w:val="3D3D3C"/>
          <w:sz w:val="30"/>
          <w:szCs w:val="30"/>
          <w:lang w:val="en-US" w:eastAsia="zh-CN"/>
        </w:rPr>
      </w:pPr>
      <w:r>
        <w:rPr>
          <w:rFonts w:hint="eastAsia" w:asciiTheme="majorEastAsia" w:hAnsiTheme="majorEastAsia" w:eastAsiaTheme="majorEastAsia" w:cstheme="majorEastAsia"/>
          <w:b/>
          <w:bCs/>
          <w:color w:val="3D3D3C"/>
          <w:sz w:val="30"/>
          <w:szCs w:val="30"/>
          <w:lang w:val="en-US" w:eastAsia="zh-CN"/>
        </w:rPr>
        <w:t>预算绩效管理工作开展情况说明</w:t>
      </w:r>
    </w:p>
    <w:p>
      <w:pPr>
        <w:pStyle w:val="5"/>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firstLine="600"/>
        <w:textAlignment w:val="auto"/>
        <w:rPr>
          <w:rFonts w:hint="eastAsia" w:asciiTheme="majorEastAsia" w:hAnsiTheme="majorEastAsia" w:eastAsiaTheme="majorEastAsia" w:cstheme="majorEastAsia"/>
          <w:b w:val="0"/>
          <w:bCs w:val="0"/>
          <w:color w:val="3D3D3C"/>
          <w:sz w:val="30"/>
          <w:szCs w:val="30"/>
          <w:lang w:val="en-US" w:eastAsia="zh-CN"/>
        </w:rPr>
      </w:pPr>
      <w:r>
        <w:rPr>
          <w:rFonts w:hint="eastAsia" w:asciiTheme="majorEastAsia" w:hAnsiTheme="majorEastAsia" w:eastAsiaTheme="majorEastAsia" w:cstheme="majorEastAsia"/>
          <w:b w:val="0"/>
          <w:bCs w:val="0"/>
          <w:color w:val="3D3D3C"/>
          <w:sz w:val="30"/>
          <w:szCs w:val="30"/>
          <w:lang w:val="en-US" w:eastAsia="zh-CN"/>
        </w:rPr>
        <w:t>根据预算绩效管理要求，本部门组织对2019年一般公共预算3个项目支出开展了绩效评价，其中，一级项目0个，二级项目2个，共涉及资金76.3万元，占一般公共预算项目支出总额的100%；组织对2019年度政府性基金预算0个项目支出开展了绩效评价，涉及项目0个，共涉及资金0万元。</w:t>
      </w:r>
    </w:p>
    <w:p>
      <w:pPr>
        <w:pStyle w:val="5"/>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240" w:lineRule="auto"/>
        <w:ind w:left="600" w:leftChars="0" w:firstLine="0" w:firstLineChars="0"/>
        <w:textAlignment w:val="auto"/>
        <w:rPr>
          <w:rFonts w:hint="eastAsia" w:asciiTheme="majorEastAsia" w:hAnsiTheme="majorEastAsia" w:eastAsiaTheme="majorEastAsia" w:cstheme="majorEastAsia"/>
          <w:b/>
          <w:bCs/>
          <w:color w:val="3D3D3C"/>
          <w:sz w:val="30"/>
          <w:szCs w:val="30"/>
          <w:lang w:val="en-US" w:eastAsia="zh-CN"/>
        </w:rPr>
      </w:pPr>
      <w:r>
        <w:rPr>
          <w:rFonts w:hint="eastAsia" w:asciiTheme="majorEastAsia" w:hAnsiTheme="majorEastAsia" w:eastAsiaTheme="majorEastAsia" w:cstheme="majorEastAsia"/>
          <w:b/>
          <w:bCs/>
          <w:color w:val="3D3D3C"/>
          <w:sz w:val="30"/>
          <w:szCs w:val="30"/>
          <w:lang w:val="en-US" w:eastAsia="zh-CN"/>
        </w:rPr>
        <w:t>部门决算中项目绩效自评结果</w:t>
      </w:r>
    </w:p>
    <w:p>
      <w:pPr>
        <w:pStyle w:val="5"/>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firstLine="600"/>
        <w:textAlignment w:val="auto"/>
        <w:rPr>
          <w:rFonts w:hint="eastAsia" w:asciiTheme="majorEastAsia" w:hAnsiTheme="majorEastAsia" w:eastAsiaTheme="majorEastAsia" w:cstheme="majorEastAsia"/>
          <w:b w:val="0"/>
          <w:bCs w:val="0"/>
          <w:color w:val="3D3D3C"/>
          <w:sz w:val="30"/>
          <w:szCs w:val="30"/>
          <w:lang w:val="en-US" w:eastAsia="zh-CN"/>
        </w:rPr>
      </w:pPr>
      <w:r>
        <w:rPr>
          <w:rFonts w:hint="eastAsia" w:asciiTheme="majorEastAsia" w:hAnsiTheme="majorEastAsia" w:eastAsiaTheme="majorEastAsia" w:cstheme="majorEastAsia"/>
          <w:b w:val="0"/>
          <w:bCs w:val="0"/>
          <w:color w:val="3D3D3C"/>
          <w:sz w:val="30"/>
          <w:szCs w:val="30"/>
          <w:lang w:val="en-US" w:eastAsia="zh-CN"/>
        </w:rPr>
        <w:t>1、县级储备粮油补贴项目绩效自评综述：根据年初设定的绩效目标，项目自评得分86分。项目全年预算数40万元，执行数40万元，完成预算的100%。</w:t>
      </w:r>
    </w:p>
    <w:p>
      <w:pPr>
        <w:pStyle w:val="5"/>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firstLine="600"/>
        <w:textAlignment w:val="auto"/>
        <w:rPr>
          <w:rFonts w:hint="default" w:asciiTheme="majorEastAsia" w:hAnsiTheme="majorEastAsia" w:eastAsiaTheme="majorEastAsia" w:cstheme="majorEastAsia"/>
          <w:b w:val="0"/>
          <w:bCs w:val="0"/>
          <w:color w:val="3D3D3C"/>
          <w:sz w:val="30"/>
          <w:szCs w:val="30"/>
          <w:lang w:val="en-US" w:eastAsia="zh-CN"/>
        </w:rPr>
      </w:pPr>
      <w:r>
        <w:rPr>
          <w:rFonts w:hint="eastAsia" w:asciiTheme="majorEastAsia" w:hAnsiTheme="majorEastAsia" w:eastAsiaTheme="majorEastAsia" w:cstheme="majorEastAsia"/>
          <w:b w:val="0"/>
          <w:bCs w:val="0"/>
          <w:color w:val="3D3D3C"/>
          <w:sz w:val="30"/>
          <w:szCs w:val="30"/>
          <w:lang w:val="en-US" w:eastAsia="zh-CN"/>
        </w:rPr>
        <w:t>主要产出和效果：</w:t>
      </w:r>
    </w:p>
    <w:p>
      <w:pPr>
        <w:pStyle w:val="5"/>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firstLine="600"/>
        <w:textAlignment w:val="auto"/>
        <w:rPr>
          <w:rFonts w:hint="eastAsia" w:asciiTheme="majorEastAsia" w:hAnsiTheme="majorEastAsia" w:eastAsiaTheme="majorEastAsia" w:cstheme="majorEastAsia"/>
          <w:b w:val="0"/>
          <w:bCs w:val="0"/>
          <w:color w:val="3D3D3C"/>
          <w:sz w:val="30"/>
          <w:szCs w:val="30"/>
          <w:lang w:val="en-US" w:eastAsia="zh-CN"/>
        </w:rPr>
      </w:pPr>
      <w:r>
        <w:rPr>
          <w:rFonts w:hint="eastAsia" w:asciiTheme="majorEastAsia" w:hAnsiTheme="majorEastAsia" w:eastAsiaTheme="majorEastAsia" w:cstheme="majorEastAsia"/>
          <w:b w:val="0"/>
          <w:bCs w:val="0"/>
          <w:color w:val="3D3D3C"/>
          <w:sz w:val="30"/>
          <w:szCs w:val="30"/>
          <w:lang w:val="en-US" w:eastAsia="zh-CN"/>
        </w:rPr>
        <w:t>通过该项目的实施，保证了县级储备粮保管和利息费用按时足额到位，加强了企业对储备粮的监管责任，保障了粮食安全。</w:t>
      </w:r>
    </w:p>
    <w:p>
      <w:pPr>
        <w:pStyle w:val="5"/>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firstLine="600"/>
        <w:textAlignment w:val="auto"/>
        <w:rPr>
          <w:rFonts w:hint="eastAsia" w:asciiTheme="majorEastAsia" w:hAnsiTheme="majorEastAsia" w:eastAsiaTheme="majorEastAsia" w:cstheme="majorEastAsia"/>
          <w:b w:val="0"/>
          <w:bCs w:val="0"/>
          <w:color w:val="3D3D3C"/>
          <w:sz w:val="30"/>
          <w:szCs w:val="30"/>
          <w:lang w:val="en-US" w:eastAsia="zh-CN"/>
        </w:rPr>
      </w:pPr>
      <w:r>
        <w:rPr>
          <w:rFonts w:hint="eastAsia" w:asciiTheme="majorEastAsia" w:hAnsiTheme="majorEastAsia" w:eastAsiaTheme="majorEastAsia" w:cstheme="majorEastAsia"/>
          <w:b w:val="0"/>
          <w:bCs w:val="0"/>
          <w:color w:val="3D3D3C"/>
          <w:sz w:val="30"/>
          <w:szCs w:val="30"/>
          <w:lang w:val="en-US" w:eastAsia="zh-CN"/>
        </w:rPr>
        <w:t>发现的问题及原因：储备粮油补贴费用是保障粮食安全的基础，是一次性直接划拨企业的，所以无问题。</w:t>
      </w:r>
    </w:p>
    <w:p>
      <w:pPr>
        <w:pStyle w:val="5"/>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firstLine="600"/>
        <w:textAlignment w:val="auto"/>
        <w:rPr>
          <w:rFonts w:hint="eastAsia" w:asciiTheme="majorEastAsia" w:hAnsiTheme="majorEastAsia" w:eastAsiaTheme="majorEastAsia" w:cstheme="majorEastAsia"/>
          <w:b w:val="0"/>
          <w:bCs w:val="0"/>
          <w:color w:val="3D3D3C"/>
          <w:sz w:val="30"/>
          <w:szCs w:val="30"/>
          <w:lang w:val="en-US" w:eastAsia="zh-CN"/>
        </w:rPr>
      </w:pPr>
      <w:r>
        <w:rPr>
          <w:rFonts w:hint="eastAsia" w:asciiTheme="majorEastAsia" w:hAnsiTheme="majorEastAsia" w:eastAsiaTheme="majorEastAsia" w:cstheme="majorEastAsia"/>
          <w:b w:val="0"/>
          <w:bCs w:val="0"/>
          <w:color w:val="3D3D3C"/>
          <w:sz w:val="30"/>
          <w:szCs w:val="30"/>
          <w:lang w:val="en-US" w:eastAsia="zh-CN"/>
        </w:rPr>
        <w:t>下一步改进措施：储备粮油补贴费用具体由企业来支付相关费用，严格按照财务管理制度的规定和有关资金管理办法执行。</w:t>
      </w:r>
    </w:p>
    <w:p>
      <w:pPr>
        <w:pStyle w:val="5"/>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firstLine="600"/>
        <w:textAlignment w:val="auto"/>
        <w:rPr>
          <w:rFonts w:hint="eastAsia" w:asciiTheme="majorEastAsia" w:hAnsiTheme="majorEastAsia" w:eastAsiaTheme="majorEastAsia" w:cstheme="majorEastAsia"/>
          <w:b w:val="0"/>
          <w:bCs w:val="0"/>
          <w:color w:val="3D3D3C"/>
          <w:sz w:val="30"/>
          <w:szCs w:val="30"/>
          <w:lang w:val="en-US" w:eastAsia="zh-CN"/>
        </w:rPr>
      </w:pPr>
      <w:r>
        <w:rPr>
          <w:rFonts w:hint="eastAsia" w:asciiTheme="majorEastAsia" w:hAnsiTheme="majorEastAsia" w:eastAsiaTheme="majorEastAsia" w:cstheme="majorEastAsia"/>
          <w:b w:val="0"/>
          <w:bCs w:val="0"/>
          <w:color w:val="3D3D3C"/>
          <w:sz w:val="30"/>
          <w:szCs w:val="30"/>
          <w:lang w:val="en-US" w:eastAsia="zh-CN"/>
        </w:rPr>
        <w:t>2、粮食财务挂账利息补贴项目绩效自评综述：根据年初设定的绩效目标，项目自评得分88分。项目全年预算数26.5万元，执行数26.5万元，完成预算的100%。</w:t>
      </w:r>
    </w:p>
    <w:p>
      <w:pPr>
        <w:pStyle w:val="5"/>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firstLine="600"/>
        <w:textAlignment w:val="auto"/>
        <w:rPr>
          <w:rFonts w:hint="default" w:asciiTheme="majorEastAsia" w:hAnsiTheme="majorEastAsia" w:eastAsiaTheme="majorEastAsia" w:cstheme="majorEastAsia"/>
          <w:b w:val="0"/>
          <w:bCs w:val="0"/>
          <w:color w:val="3D3D3C"/>
          <w:sz w:val="30"/>
          <w:szCs w:val="30"/>
          <w:lang w:val="en-US" w:eastAsia="zh-CN"/>
        </w:rPr>
      </w:pPr>
      <w:r>
        <w:rPr>
          <w:rFonts w:hint="eastAsia" w:asciiTheme="majorEastAsia" w:hAnsiTheme="majorEastAsia" w:eastAsiaTheme="majorEastAsia" w:cstheme="majorEastAsia"/>
          <w:b w:val="0"/>
          <w:bCs w:val="0"/>
          <w:color w:val="3D3D3C"/>
          <w:sz w:val="30"/>
          <w:szCs w:val="30"/>
          <w:lang w:val="en-US" w:eastAsia="zh-CN"/>
        </w:rPr>
        <w:t>主要产出和效果：</w:t>
      </w:r>
    </w:p>
    <w:p>
      <w:pPr>
        <w:pStyle w:val="5"/>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firstLine="600"/>
        <w:textAlignment w:val="auto"/>
        <w:rPr>
          <w:rFonts w:hint="eastAsia" w:asciiTheme="majorEastAsia" w:hAnsiTheme="majorEastAsia" w:eastAsiaTheme="majorEastAsia" w:cstheme="majorEastAsia"/>
          <w:b w:val="0"/>
          <w:bCs w:val="0"/>
          <w:color w:val="3D3D3C"/>
          <w:sz w:val="30"/>
          <w:szCs w:val="30"/>
          <w:lang w:val="en-US" w:eastAsia="zh-CN"/>
        </w:rPr>
      </w:pPr>
      <w:r>
        <w:rPr>
          <w:rFonts w:hint="eastAsia" w:asciiTheme="majorEastAsia" w:hAnsiTheme="majorEastAsia" w:eastAsiaTheme="majorEastAsia" w:cstheme="majorEastAsia"/>
          <w:b w:val="0"/>
          <w:bCs w:val="0"/>
          <w:color w:val="3D3D3C"/>
          <w:sz w:val="30"/>
          <w:szCs w:val="30"/>
          <w:lang w:val="en-US" w:eastAsia="zh-CN"/>
        </w:rPr>
        <w:t>通过该项目的实施，使以前年度财务挂账利息有了来源和保障，加强企业对储备粮的监管责任，保证了粮食安全。</w:t>
      </w:r>
    </w:p>
    <w:p>
      <w:pPr>
        <w:pStyle w:val="5"/>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firstLine="600"/>
        <w:textAlignment w:val="auto"/>
        <w:rPr>
          <w:rFonts w:hint="eastAsia" w:asciiTheme="majorEastAsia" w:hAnsiTheme="majorEastAsia" w:eastAsiaTheme="majorEastAsia" w:cstheme="majorEastAsia"/>
          <w:b w:val="0"/>
          <w:bCs w:val="0"/>
          <w:color w:val="3D3D3C"/>
          <w:sz w:val="30"/>
          <w:szCs w:val="30"/>
          <w:lang w:val="en-US" w:eastAsia="zh-CN"/>
        </w:rPr>
      </w:pPr>
      <w:r>
        <w:rPr>
          <w:rFonts w:hint="eastAsia" w:asciiTheme="majorEastAsia" w:hAnsiTheme="majorEastAsia" w:eastAsiaTheme="majorEastAsia" w:cstheme="majorEastAsia"/>
          <w:b w:val="0"/>
          <w:bCs w:val="0"/>
          <w:color w:val="3D3D3C"/>
          <w:sz w:val="30"/>
          <w:szCs w:val="30"/>
          <w:lang w:val="en-US" w:eastAsia="zh-CN"/>
        </w:rPr>
        <w:t>发现的问题及原因：财务挂账利息补贴是专门拨付给农业发展银行的专项利息，所以无问题。</w:t>
      </w:r>
    </w:p>
    <w:p>
      <w:pPr>
        <w:pStyle w:val="5"/>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firstLine="600"/>
        <w:textAlignment w:val="auto"/>
        <w:rPr>
          <w:rFonts w:hint="eastAsia" w:asciiTheme="majorEastAsia" w:hAnsiTheme="majorEastAsia" w:eastAsiaTheme="majorEastAsia" w:cstheme="majorEastAsia"/>
          <w:b w:val="0"/>
          <w:bCs w:val="0"/>
          <w:color w:val="3D3D3C"/>
          <w:sz w:val="30"/>
          <w:szCs w:val="30"/>
          <w:lang w:val="en-US" w:eastAsia="zh-CN"/>
        </w:rPr>
      </w:pPr>
      <w:r>
        <w:rPr>
          <w:rFonts w:hint="eastAsia" w:asciiTheme="majorEastAsia" w:hAnsiTheme="majorEastAsia" w:eastAsiaTheme="majorEastAsia" w:cstheme="majorEastAsia"/>
          <w:b w:val="0"/>
          <w:bCs w:val="0"/>
          <w:color w:val="3D3D3C"/>
          <w:sz w:val="30"/>
          <w:szCs w:val="30"/>
          <w:lang w:val="en-US" w:eastAsia="zh-CN"/>
        </w:rPr>
        <w:t>下一步改进措施：财务挂账利息补贴拨付手续严格按照财务管理制度的规定和有关资金管理办法执行。</w:t>
      </w:r>
    </w:p>
    <w:p>
      <w:pPr>
        <w:pStyle w:val="5"/>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240" w:lineRule="auto"/>
        <w:ind w:left="600" w:leftChars="0" w:firstLine="0" w:firstLineChars="0"/>
        <w:textAlignment w:val="auto"/>
        <w:rPr>
          <w:rFonts w:hint="eastAsia" w:asciiTheme="majorEastAsia" w:hAnsiTheme="majorEastAsia" w:eastAsiaTheme="majorEastAsia" w:cstheme="majorEastAsia"/>
          <w:b/>
          <w:bCs/>
          <w:color w:val="3D3D3C"/>
          <w:sz w:val="30"/>
          <w:szCs w:val="30"/>
          <w:lang w:val="en-US" w:eastAsia="zh-CN"/>
        </w:rPr>
      </w:pPr>
      <w:r>
        <w:rPr>
          <w:rFonts w:hint="eastAsia" w:asciiTheme="majorEastAsia" w:hAnsiTheme="majorEastAsia" w:eastAsiaTheme="majorEastAsia" w:cstheme="majorEastAsia"/>
          <w:b/>
          <w:bCs/>
          <w:color w:val="3D3D3C"/>
          <w:sz w:val="30"/>
          <w:szCs w:val="30"/>
          <w:lang w:val="en-US" w:eastAsia="zh-CN"/>
        </w:rPr>
        <w:t>部门决算中整体支出绩效自评结果</w:t>
      </w:r>
    </w:p>
    <w:p>
      <w:pPr>
        <w:pStyle w:val="5"/>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firstLine="600" w:firstLineChars="200"/>
        <w:textAlignment w:val="auto"/>
        <w:rPr>
          <w:rFonts w:hint="eastAsia" w:asciiTheme="majorEastAsia" w:hAnsiTheme="majorEastAsia" w:eastAsiaTheme="majorEastAsia" w:cstheme="majorEastAsia"/>
          <w:b w:val="0"/>
          <w:bCs w:val="0"/>
          <w:color w:val="3D3D3C"/>
          <w:sz w:val="30"/>
          <w:szCs w:val="30"/>
          <w:lang w:val="en-US" w:eastAsia="zh-CN"/>
        </w:rPr>
      </w:pPr>
      <w:r>
        <w:rPr>
          <w:rFonts w:hint="eastAsia" w:asciiTheme="majorEastAsia" w:hAnsiTheme="majorEastAsia" w:eastAsiaTheme="majorEastAsia" w:cstheme="majorEastAsia"/>
          <w:b w:val="0"/>
          <w:bCs w:val="0"/>
          <w:color w:val="3D3D3C"/>
          <w:sz w:val="30"/>
          <w:szCs w:val="30"/>
          <w:lang w:val="en-US" w:eastAsia="zh-CN"/>
        </w:rPr>
        <w:t>根据年初设定的绩效目标，本部门对2019年度整体自评得分86分，全年预算76.3万元，执行数76.3万元，完成预算的100%。</w:t>
      </w:r>
    </w:p>
    <w:p>
      <w:pPr>
        <w:pStyle w:val="5"/>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firstLine="600"/>
        <w:textAlignment w:val="auto"/>
        <w:rPr>
          <w:rFonts w:hint="eastAsia" w:asciiTheme="majorEastAsia" w:hAnsiTheme="majorEastAsia" w:eastAsiaTheme="majorEastAsia" w:cstheme="majorEastAsia"/>
          <w:b w:val="0"/>
          <w:bCs w:val="0"/>
          <w:color w:val="3D3D3C"/>
          <w:sz w:val="30"/>
          <w:szCs w:val="30"/>
          <w:lang w:val="en-US" w:eastAsia="zh-CN"/>
        </w:rPr>
      </w:pPr>
      <w:r>
        <w:rPr>
          <w:rFonts w:hint="eastAsia" w:asciiTheme="majorEastAsia" w:hAnsiTheme="majorEastAsia" w:eastAsiaTheme="majorEastAsia" w:cstheme="majorEastAsia"/>
          <w:b w:val="0"/>
          <w:bCs w:val="0"/>
          <w:color w:val="3D3D3C"/>
          <w:sz w:val="30"/>
          <w:szCs w:val="30"/>
          <w:lang w:val="en-US" w:eastAsia="zh-CN"/>
        </w:rPr>
        <w:t>主要工作绩效是：加强了企业对储备粮的监管责任，保障了粮食安全。</w:t>
      </w:r>
    </w:p>
    <w:p>
      <w:pPr>
        <w:pStyle w:val="5"/>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firstLine="600"/>
        <w:textAlignment w:val="auto"/>
        <w:rPr>
          <w:rFonts w:hint="eastAsia" w:asciiTheme="majorEastAsia" w:hAnsiTheme="majorEastAsia" w:eastAsiaTheme="majorEastAsia" w:cstheme="majorEastAsia"/>
          <w:b w:val="0"/>
          <w:bCs w:val="0"/>
          <w:color w:val="3D3D3C"/>
          <w:sz w:val="30"/>
          <w:szCs w:val="30"/>
          <w:lang w:val="en-US" w:eastAsia="zh-CN"/>
        </w:rPr>
      </w:pPr>
      <w:r>
        <w:rPr>
          <w:rFonts w:hint="eastAsia" w:asciiTheme="majorEastAsia" w:hAnsiTheme="majorEastAsia" w:eastAsiaTheme="majorEastAsia" w:cstheme="majorEastAsia"/>
          <w:b w:val="0"/>
          <w:bCs w:val="0"/>
          <w:color w:val="3D3D3C"/>
          <w:sz w:val="30"/>
          <w:szCs w:val="30"/>
          <w:lang w:val="en-US" w:eastAsia="zh-CN"/>
        </w:rPr>
        <w:t>发现的问题及原因：费用补贴直接划拨企业，按照费用发生合理使用。</w:t>
      </w:r>
    </w:p>
    <w:p>
      <w:pPr>
        <w:pStyle w:val="5"/>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firstLine="600"/>
        <w:textAlignment w:val="auto"/>
        <w:rPr>
          <w:rFonts w:hint="eastAsia" w:asciiTheme="majorEastAsia" w:hAnsiTheme="majorEastAsia" w:eastAsiaTheme="majorEastAsia" w:cstheme="majorEastAsia"/>
          <w:b w:val="0"/>
          <w:bCs w:val="0"/>
          <w:color w:val="3D3D3C"/>
          <w:sz w:val="30"/>
          <w:szCs w:val="30"/>
          <w:lang w:val="en-US" w:eastAsia="zh-CN"/>
        </w:rPr>
      </w:pPr>
      <w:r>
        <w:rPr>
          <w:rFonts w:hint="eastAsia" w:asciiTheme="majorEastAsia" w:hAnsiTheme="majorEastAsia" w:eastAsiaTheme="majorEastAsia" w:cstheme="majorEastAsia"/>
          <w:b w:val="0"/>
          <w:bCs w:val="0"/>
          <w:color w:val="3D3D3C"/>
          <w:sz w:val="30"/>
          <w:szCs w:val="30"/>
          <w:lang w:val="en-US" w:eastAsia="zh-CN"/>
        </w:rPr>
        <w:t>下一步改进措施：企业将严格按照财务管理制度的规定和有关资金管理办法执行。</w:t>
      </w:r>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602" w:firstLineChars="200"/>
        <w:textAlignment w:val="auto"/>
        <w:rPr>
          <w:rFonts w:cs="宋体" w:asciiTheme="minorEastAsia" w:hAnsiTheme="minorEastAsia"/>
          <w:b/>
          <w:bCs/>
          <w:color w:val="3D3D3C"/>
          <w:sz w:val="30"/>
          <w:szCs w:val="30"/>
        </w:rPr>
      </w:pPr>
      <w:r>
        <w:rPr>
          <w:rFonts w:hint="eastAsia" w:cs="宋体" w:asciiTheme="minorEastAsia" w:hAnsiTheme="minorEastAsia"/>
          <w:b/>
          <w:bCs/>
          <w:color w:val="3D3D3C"/>
          <w:sz w:val="30"/>
          <w:szCs w:val="30"/>
          <w:lang w:val="en-US" w:eastAsia="zh-CN"/>
        </w:rPr>
        <w:t>十一、</w:t>
      </w:r>
      <w:r>
        <w:rPr>
          <w:rFonts w:hint="eastAsia" w:cs="宋体" w:asciiTheme="minorEastAsia" w:hAnsiTheme="minorEastAsia"/>
          <w:b/>
          <w:bCs/>
          <w:color w:val="3D3D3C"/>
          <w:sz w:val="30"/>
          <w:szCs w:val="30"/>
        </w:rPr>
        <w:t xml:space="preserve">其他重要事项的情况说明 </w:t>
      </w:r>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602" w:firstLineChars="200"/>
        <w:textAlignment w:val="auto"/>
        <w:rPr>
          <w:rFonts w:hint="eastAsia" w:cs="宋体" w:asciiTheme="minorEastAsia" w:hAnsiTheme="minorEastAsia" w:eastAsiaTheme="minorEastAsia"/>
          <w:b/>
          <w:color w:val="3D3D3C"/>
          <w:sz w:val="30"/>
          <w:szCs w:val="30"/>
          <w:lang w:val="en-US" w:eastAsia="zh-CN"/>
        </w:rPr>
      </w:pPr>
      <w:r>
        <w:rPr>
          <w:rFonts w:hint="eastAsia" w:cs="宋体" w:asciiTheme="minorEastAsia" w:hAnsiTheme="minorEastAsia"/>
          <w:b/>
          <w:color w:val="3D3D3C"/>
          <w:sz w:val="30"/>
          <w:szCs w:val="30"/>
        </w:rPr>
        <w:t>（一）机关运行经费支出情况</w:t>
      </w:r>
      <w:r>
        <w:rPr>
          <w:rFonts w:hint="eastAsia" w:cs="宋体" w:asciiTheme="minorEastAsia" w:hAnsiTheme="minorEastAsia"/>
          <w:b/>
          <w:color w:val="3D3D3C"/>
          <w:sz w:val="30"/>
          <w:szCs w:val="30"/>
          <w:lang w:val="en-US" w:eastAsia="zh-CN"/>
        </w:rPr>
        <w:t>说明</w:t>
      </w:r>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600" w:firstLineChars="200"/>
        <w:textAlignment w:val="auto"/>
        <w:rPr>
          <w:rFonts w:hint="eastAsia" w:cs="宋体" w:asciiTheme="minorEastAsia" w:hAnsiTheme="minorEastAsia"/>
          <w:color w:val="3D3D3C"/>
          <w:sz w:val="30"/>
          <w:szCs w:val="30"/>
          <w:lang w:val="en-US" w:eastAsia="zh-CN"/>
        </w:rPr>
      </w:pPr>
      <w:r>
        <w:rPr>
          <w:rFonts w:hint="eastAsia" w:cs="宋体" w:asciiTheme="minorEastAsia" w:hAnsiTheme="minorEastAsia"/>
          <w:color w:val="3D3D3C"/>
          <w:sz w:val="30"/>
          <w:szCs w:val="30"/>
        </w:rPr>
        <w:t>201</w:t>
      </w:r>
      <w:r>
        <w:rPr>
          <w:rFonts w:hint="eastAsia" w:cs="宋体" w:asciiTheme="minorEastAsia" w:hAnsiTheme="minorEastAsia"/>
          <w:color w:val="3D3D3C"/>
          <w:sz w:val="30"/>
          <w:szCs w:val="30"/>
          <w:lang w:val="en-US" w:eastAsia="zh-CN"/>
        </w:rPr>
        <w:t>9</w:t>
      </w:r>
      <w:r>
        <w:rPr>
          <w:rFonts w:hint="eastAsia" w:cs="宋体" w:asciiTheme="minorEastAsia" w:hAnsiTheme="minorEastAsia"/>
          <w:color w:val="3D3D3C"/>
          <w:sz w:val="30"/>
          <w:szCs w:val="30"/>
        </w:rPr>
        <w:t>年</w:t>
      </w:r>
      <w:r>
        <w:rPr>
          <w:rFonts w:hint="eastAsia" w:cs="宋体" w:asciiTheme="minorEastAsia" w:hAnsiTheme="minorEastAsia"/>
          <w:color w:val="3D3D3C"/>
          <w:sz w:val="30"/>
          <w:szCs w:val="30"/>
          <w:lang w:val="en-US" w:eastAsia="zh-CN"/>
        </w:rPr>
        <w:t>度</w:t>
      </w:r>
      <w:r>
        <w:rPr>
          <w:rFonts w:hint="eastAsia" w:cs="宋体" w:asciiTheme="minorEastAsia" w:hAnsiTheme="minorEastAsia"/>
          <w:color w:val="3D3D3C"/>
          <w:sz w:val="30"/>
          <w:szCs w:val="30"/>
        </w:rPr>
        <w:t>机关运行经费</w:t>
      </w:r>
      <w:r>
        <w:rPr>
          <w:rFonts w:hint="eastAsia" w:cs="宋体" w:asciiTheme="minorEastAsia" w:hAnsiTheme="minorEastAsia"/>
          <w:color w:val="3D3D3C"/>
          <w:sz w:val="30"/>
          <w:szCs w:val="30"/>
          <w:lang w:val="en-US" w:eastAsia="zh-CN"/>
        </w:rPr>
        <w:t>预算为5.01</w:t>
      </w:r>
      <w:r>
        <w:rPr>
          <w:rFonts w:hint="eastAsia" w:cs="宋体" w:asciiTheme="minorEastAsia" w:hAnsiTheme="minorEastAsia"/>
          <w:color w:val="3D3D3C"/>
          <w:sz w:val="30"/>
          <w:szCs w:val="30"/>
        </w:rPr>
        <w:t>万元，</w:t>
      </w:r>
      <w:r>
        <w:rPr>
          <w:rFonts w:hint="eastAsia" w:cs="宋体" w:asciiTheme="minorEastAsia" w:hAnsiTheme="minorEastAsia"/>
          <w:color w:val="3D3D3C"/>
          <w:sz w:val="30"/>
          <w:szCs w:val="30"/>
          <w:lang w:val="en-US" w:eastAsia="zh-CN"/>
        </w:rPr>
        <w:t>支出决算为5.01万元，完成预算的100%。决算数较预算数无增减变化。</w:t>
      </w:r>
    </w:p>
    <w:p>
      <w:pPr>
        <w:pStyle w:val="5"/>
        <w:keepNext w:val="0"/>
        <w:keepLines w:val="0"/>
        <w:pageBreakBefore w:val="0"/>
        <w:widowControl/>
        <w:numPr>
          <w:ilvl w:val="0"/>
          <w:numId w:val="2"/>
        </w:numPr>
        <w:kinsoku/>
        <w:wordWrap/>
        <w:overflowPunct/>
        <w:topLinePunct w:val="0"/>
        <w:autoSpaceDE/>
        <w:autoSpaceDN/>
        <w:bidi w:val="0"/>
        <w:adjustRightInd/>
        <w:snapToGrid/>
        <w:spacing w:beforeAutospacing="0" w:afterAutospacing="0" w:line="240" w:lineRule="auto"/>
        <w:ind w:left="0" w:leftChars="0" w:firstLine="602" w:firstLineChars="200"/>
        <w:textAlignment w:val="auto"/>
        <w:rPr>
          <w:rFonts w:hint="eastAsia" w:cs="宋体" w:asciiTheme="minorEastAsia" w:hAnsiTheme="minorEastAsia"/>
          <w:b/>
          <w:bCs/>
          <w:color w:val="3D3D3C"/>
          <w:sz w:val="30"/>
          <w:szCs w:val="30"/>
          <w:lang w:val="en-US" w:eastAsia="zh-CN"/>
        </w:rPr>
      </w:pPr>
      <w:r>
        <w:rPr>
          <w:rFonts w:hint="eastAsia" w:cs="宋体" w:asciiTheme="minorEastAsia" w:hAnsiTheme="minorEastAsia"/>
          <w:b/>
          <w:bCs/>
          <w:color w:val="3D3D3C"/>
          <w:sz w:val="30"/>
          <w:szCs w:val="30"/>
          <w:lang w:val="en-US" w:eastAsia="zh-CN"/>
        </w:rPr>
        <w:t>政府采购支出情况说明</w:t>
      </w:r>
    </w:p>
    <w:p>
      <w:pPr>
        <w:pStyle w:val="5"/>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textAlignment w:val="auto"/>
        <w:rPr>
          <w:rFonts w:cs="宋体" w:asciiTheme="minorEastAsia" w:hAnsiTheme="minorEastAsia"/>
          <w:color w:val="3D3D3C"/>
          <w:sz w:val="30"/>
          <w:szCs w:val="30"/>
        </w:rPr>
      </w:pPr>
      <w:r>
        <w:rPr>
          <w:rFonts w:hint="eastAsia" w:cs="宋体" w:asciiTheme="minorEastAsia" w:hAnsiTheme="minorEastAsia"/>
          <w:color w:val="3D3D3C"/>
          <w:sz w:val="30"/>
          <w:szCs w:val="30"/>
          <w:lang w:val="en-US" w:eastAsia="zh-CN"/>
        </w:rPr>
        <w:t xml:space="preserve">    本部门2019年度无政府采购支出。</w:t>
      </w:r>
      <w:r>
        <w:rPr>
          <w:rFonts w:hint="eastAsia" w:cs="宋体" w:asciiTheme="minorEastAsia" w:hAnsiTheme="minorEastAsia"/>
          <w:color w:val="3D3D3C"/>
          <w:sz w:val="30"/>
          <w:szCs w:val="30"/>
        </w:rPr>
        <w:t xml:space="preserve"> </w:t>
      </w:r>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602" w:firstLineChars="200"/>
        <w:textAlignment w:val="auto"/>
        <w:rPr>
          <w:rFonts w:cs="宋体" w:asciiTheme="minorEastAsia" w:hAnsiTheme="minorEastAsia"/>
          <w:b/>
          <w:color w:val="3D3D3C"/>
          <w:sz w:val="30"/>
          <w:szCs w:val="30"/>
        </w:rPr>
      </w:pPr>
      <w:r>
        <w:rPr>
          <w:rFonts w:hint="eastAsia" w:cs="宋体" w:asciiTheme="minorEastAsia" w:hAnsiTheme="minorEastAsia"/>
          <w:b/>
          <w:color w:val="3D3D3C"/>
          <w:sz w:val="30"/>
          <w:szCs w:val="30"/>
        </w:rPr>
        <w:t>（</w:t>
      </w:r>
      <w:r>
        <w:rPr>
          <w:rFonts w:hint="eastAsia" w:cs="宋体" w:asciiTheme="minorEastAsia" w:hAnsiTheme="minorEastAsia"/>
          <w:b/>
          <w:color w:val="3D3D3C"/>
          <w:sz w:val="30"/>
          <w:szCs w:val="30"/>
          <w:lang w:val="en-US" w:eastAsia="zh-CN"/>
        </w:rPr>
        <w:t>三</w:t>
      </w:r>
      <w:r>
        <w:rPr>
          <w:rFonts w:hint="eastAsia" w:cs="宋体" w:asciiTheme="minorEastAsia" w:hAnsiTheme="minorEastAsia"/>
          <w:b/>
          <w:color w:val="3D3D3C"/>
          <w:sz w:val="30"/>
          <w:szCs w:val="30"/>
        </w:rPr>
        <w:t>）国有资产占用及购置情况说明</w:t>
      </w:r>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420"/>
        <w:textAlignment w:val="auto"/>
        <w:rPr>
          <w:rFonts w:cs="宋体" w:asciiTheme="minorEastAsia" w:hAnsiTheme="minorEastAsia"/>
          <w:color w:val="3D3D3C"/>
          <w:sz w:val="30"/>
          <w:szCs w:val="30"/>
        </w:rPr>
      </w:pPr>
      <w:r>
        <w:rPr>
          <w:rFonts w:hint="eastAsia" w:cs="宋体" w:asciiTheme="minorEastAsia" w:hAnsiTheme="minorEastAsia"/>
          <w:color w:val="3D3D3C"/>
          <w:sz w:val="30"/>
          <w:szCs w:val="30"/>
        </w:rPr>
        <w:t xml:space="preserve"> </w:t>
      </w:r>
      <w:r>
        <w:rPr>
          <w:rFonts w:hint="eastAsia" w:asciiTheme="minorEastAsia" w:hAnsiTheme="minorEastAsia"/>
          <w:color w:val="000000"/>
          <w:sz w:val="30"/>
          <w:szCs w:val="30"/>
        </w:rPr>
        <w:t>截至201</w:t>
      </w:r>
      <w:r>
        <w:rPr>
          <w:rFonts w:hint="eastAsia" w:asciiTheme="minorEastAsia" w:hAnsiTheme="minorEastAsia"/>
          <w:color w:val="000000"/>
          <w:sz w:val="30"/>
          <w:szCs w:val="30"/>
          <w:lang w:val="en-US" w:eastAsia="zh-CN"/>
        </w:rPr>
        <w:t>9</w:t>
      </w:r>
      <w:r>
        <w:rPr>
          <w:rFonts w:hint="eastAsia" w:asciiTheme="minorEastAsia" w:hAnsiTheme="minorEastAsia"/>
          <w:color w:val="000000"/>
          <w:sz w:val="30"/>
          <w:szCs w:val="30"/>
        </w:rPr>
        <w:t>年末，本部门</w:t>
      </w:r>
      <w:r>
        <w:rPr>
          <w:rFonts w:hint="eastAsia" w:asciiTheme="minorEastAsia" w:hAnsiTheme="minorEastAsia"/>
          <w:color w:val="000000"/>
          <w:sz w:val="30"/>
          <w:szCs w:val="30"/>
          <w:lang w:val="en-US" w:eastAsia="zh-CN"/>
        </w:rPr>
        <w:t>机关</w:t>
      </w:r>
      <w:r>
        <w:rPr>
          <w:rFonts w:hint="eastAsia" w:asciiTheme="minorEastAsia" w:hAnsiTheme="minorEastAsia"/>
          <w:color w:val="000000"/>
          <w:sz w:val="30"/>
          <w:szCs w:val="30"/>
        </w:rPr>
        <w:t>所属单位共有车辆0辆；单价50万元以上的通用设备0台（套）；单价100万元以上的通用设备0台（套）。201</w:t>
      </w:r>
      <w:r>
        <w:rPr>
          <w:rFonts w:hint="eastAsia" w:asciiTheme="minorEastAsia" w:hAnsiTheme="minorEastAsia"/>
          <w:color w:val="000000"/>
          <w:sz w:val="30"/>
          <w:szCs w:val="30"/>
          <w:lang w:val="en-US" w:eastAsia="zh-CN"/>
        </w:rPr>
        <w:t>9</w:t>
      </w:r>
      <w:r>
        <w:rPr>
          <w:rFonts w:hint="eastAsia" w:asciiTheme="minorEastAsia" w:hAnsiTheme="minorEastAsia"/>
          <w:color w:val="000000"/>
          <w:sz w:val="30"/>
          <w:szCs w:val="30"/>
        </w:rPr>
        <w:t>年当年购置车辆0辆；购置单价50万元以上的设备0台（套）；购置单价100万元以上的通用设备0台（套）。</w:t>
      </w:r>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602" w:firstLineChars="200"/>
        <w:textAlignment w:val="auto"/>
        <w:rPr>
          <w:rFonts w:cs="宋体" w:asciiTheme="minorEastAsia" w:hAnsiTheme="minorEastAsia"/>
          <w:b/>
          <w:bCs/>
          <w:color w:val="3D3D3C"/>
          <w:sz w:val="30"/>
          <w:szCs w:val="30"/>
        </w:rPr>
      </w:pPr>
      <w:r>
        <w:rPr>
          <w:rFonts w:hint="eastAsia" w:cs="宋体" w:asciiTheme="minorEastAsia" w:hAnsiTheme="minorEastAsia"/>
          <w:b/>
          <w:bCs/>
          <w:color w:val="3D3D3C"/>
          <w:sz w:val="30"/>
          <w:szCs w:val="30"/>
        </w:rPr>
        <w:t xml:space="preserve">八、专业名词解释 </w:t>
      </w:r>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600" w:firstLineChars="200"/>
        <w:textAlignment w:val="auto"/>
        <w:rPr>
          <w:rFonts w:cs="宋体" w:asciiTheme="minorEastAsia" w:hAnsiTheme="minorEastAsia"/>
          <w:color w:val="3D3D3C"/>
          <w:sz w:val="30"/>
          <w:szCs w:val="30"/>
        </w:rPr>
      </w:pPr>
      <w:r>
        <w:rPr>
          <w:rFonts w:hint="eastAsia" w:cs="宋体" w:asciiTheme="minorEastAsia" w:hAnsiTheme="minorEastAsia"/>
          <w:color w:val="3D3D3C"/>
          <w:sz w:val="30"/>
          <w:szCs w:val="30"/>
        </w:rPr>
        <w:t xml:space="preserve">1.基本支出：指为保障机构正常运转、完成日常工作任务而发生的各项支出。 </w:t>
      </w:r>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600" w:firstLineChars="200"/>
        <w:textAlignment w:val="auto"/>
        <w:rPr>
          <w:rFonts w:cs="宋体" w:asciiTheme="minorEastAsia" w:hAnsiTheme="minorEastAsia"/>
          <w:color w:val="3D3D3C"/>
          <w:sz w:val="30"/>
          <w:szCs w:val="30"/>
        </w:rPr>
      </w:pPr>
      <w:r>
        <w:rPr>
          <w:rFonts w:hint="eastAsia" w:cs="宋体" w:asciiTheme="minorEastAsia" w:hAnsiTheme="minorEastAsia"/>
          <w:color w:val="3D3D3C"/>
          <w:sz w:val="30"/>
          <w:szCs w:val="30"/>
        </w:rPr>
        <w:t xml:space="preserve">2.项目支出：指单位为完成特定的行政工作任务或事业发展目标所发生的各项支出。 </w:t>
      </w:r>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600" w:firstLineChars="200"/>
        <w:textAlignment w:val="auto"/>
        <w:rPr>
          <w:rFonts w:cs="宋体" w:asciiTheme="minorEastAsia" w:hAnsiTheme="minorEastAsia"/>
          <w:color w:val="3D3D3C"/>
          <w:sz w:val="30"/>
          <w:szCs w:val="30"/>
        </w:rPr>
      </w:pPr>
      <w:r>
        <w:rPr>
          <w:rFonts w:hint="eastAsia" w:cs="宋体" w:asciiTheme="minorEastAsia" w:hAnsiTheme="minorEastAsia"/>
          <w:color w:val="3D3D3C"/>
          <w:sz w:val="30"/>
          <w:szCs w:val="30"/>
        </w:rPr>
        <w:t xml:space="preserve">3.“三公”经费：指部门使用一般公共预算财政拨款安排的因公出国（境）费、公务用车购置及运行费和公务接待费支出。 </w:t>
      </w:r>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600" w:firstLineChars="200"/>
        <w:textAlignment w:val="auto"/>
        <w:rPr>
          <w:rFonts w:cs="宋体" w:asciiTheme="minorEastAsia" w:hAnsiTheme="minorEastAsia"/>
          <w:color w:val="3D3D3C"/>
          <w:sz w:val="30"/>
          <w:szCs w:val="30"/>
        </w:rPr>
      </w:pPr>
      <w:r>
        <w:rPr>
          <w:rFonts w:hint="eastAsia" w:cs="宋体" w:asciiTheme="minorEastAsia" w:hAnsiTheme="minorEastAsia"/>
          <w:color w:val="3D3D3C"/>
          <w:sz w:val="30"/>
          <w:szCs w:val="30"/>
        </w:rPr>
        <w:t xml:space="preserve">4.机关运行经费：指行政单位和参照公务员法管理的事业单位使用一般公共预算财政拨款安排的日常公共经费支出。 </w:t>
      </w:r>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600" w:firstLineChars="200"/>
        <w:textAlignment w:val="auto"/>
        <w:rPr>
          <w:rFonts w:cs="宋体" w:asciiTheme="minorEastAsia" w:hAnsiTheme="minorEastAsia"/>
          <w:color w:val="3D3D3C"/>
          <w:sz w:val="30"/>
          <w:szCs w:val="30"/>
        </w:rPr>
      </w:pPr>
      <w:r>
        <w:rPr>
          <w:rFonts w:hint="eastAsia" w:cs="宋体" w:asciiTheme="minorEastAsia" w:hAnsiTheme="minorEastAsia"/>
          <w:color w:val="3D3D3C"/>
          <w:sz w:val="30"/>
          <w:szCs w:val="30"/>
        </w:rPr>
        <w:t xml:space="preserve">九、部门决算表 </w:t>
      </w:r>
    </w:p>
    <w:p>
      <w:pPr>
        <w:keepNext w:val="0"/>
        <w:keepLines w:val="0"/>
        <w:pageBreakBefore w:val="0"/>
        <w:kinsoku/>
        <w:wordWrap/>
        <w:overflowPunct/>
        <w:topLinePunct w:val="0"/>
        <w:autoSpaceDE/>
        <w:autoSpaceDN/>
        <w:bidi w:val="0"/>
        <w:adjustRightInd/>
        <w:snapToGrid/>
        <w:spacing w:line="240" w:lineRule="auto"/>
        <w:textAlignment w:val="auto"/>
        <w:rPr>
          <w:rFonts w:cs="仿宋_GB2312" w:asciiTheme="minorEastAsia" w:hAnsiTheme="minorEastAsia"/>
          <w:b/>
          <w:sz w:val="30"/>
          <w:szCs w:val="30"/>
          <w:lang w:bidi="ar"/>
        </w:rPr>
      </w:pPr>
      <w:r>
        <w:rPr>
          <w:rFonts w:hint="eastAsia" w:cs="仿宋_GB2312" w:asciiTheme="minorEastAsia" w:hAnsiTheme="minorEastAsia"/>
          <w:b/>
          <w:sz w:val="30"/>
          <w:szCs w:val="30"/>
          <w:lang w:bidi="ar"/>
        </w:rPr>
        <w:t>九、部门决算表（附后）</w:t>
      </w:r>
    </w:p>
    <w:p>
      <w:pPr>
        <w:keepNext w:val="0"/>
        <w:keepLines w:val="0"/>
        <w:pageBreakBefore w:val="0"/>
        <w:kinsoku/>
        <w:wordWrap/>
        <w:overflowPunct/>
        <w:topLinePunct w:val="0"/>
        <w:autoSpaceDE/>
        <w:autoSpaceDN/>
        <w:bidi w:val="0"/>
        <w:adjustRightInd/>
        <w:snapToGrid/>
        <w:spacing w:line="240" w:lineRule="auto"/>
        <w:ind w:firstLine="300" w:firstLineChars="100"/>
        <w:textAlignment w:val="auto"/>
        <w:rPr>
          <w:rFonts w:cs="Times New Roman" w:asciiTheme="minorEastAsia" w:hAnsiTheme="minorEastAsia"/>
          <w:sz w:val="30"/>
          <w:szCs w:val="30"/>
        </w:rPr>
      </w:pPr>
      <w:r>
        <w:rPr>
          <w:rFonts w:hint="eastAsia" w:cs="Times New Roman" w:asciiTheme="minorEastAsia" w:hAnsiTheme="minorEastAsia"/>
          <w:sz w:val="30"/>
          <w:szCs w:val="30"/>
        </w:rPr>
        <w:t>封面、目录</w:t>
      </w:r>
    </w:p>
    <w:p>
      <w:pPr>
        <w:keepNext w:val="0"/>
        <w:keepLines w:val="0"/>
        <w:pageBreakBefore w:val="0"/>
        <w:kinsoku/>
        <w:wordWrap/>
        <w:overflowPunct/>
        <w:topLinePunct w:val="0"/>
        <w:autoSpaceDE/>
        <w:autoSpaceDN/>
        <w:bidi w:val="0"/>
        <w:adjustRightInd/>
        <w:snapToGrid/>
        <w:spacing w:line="240" w:lineRule="auto"/>
        <w:textAlignment w:val="auto"/>
        <w:rPr>
          <w:rFonts w:cs="仿宋_GB2312" w:asciiTheme="minorEastAsia" w:hAnsiTheme="minorEastAsia"/>
          <w:sz w:val="30"/>
          <w:szCs w:val="30"/>
        </w:rPr>
      </w:pPr>
      <w:r>
        <w:rPr>
          <w:rFonts w:hint="eastAsia" w:cs="仿宋_GB2312" w:asciiTheme="minorEastAsia" w:hAnsiTheme="minorEastAsia"/>
          <w:sz w:val="30"/>
          <w:szCs w:val="30"/>
          <w:lang w:bidi="ar"/>
        </w:rPr>
        <w:t>（一）部门收支总体情况表。(公开表1)</w:t>
      </w:r>
    </w:p>
    <w:p>
      <w:pPr>
        <w:keepNext w:val="0"/>
        <w:keepLines w:val="0"/>
        <w:pageBreakBefore w:val="0"/>
        <w:kinsoku/>
        <w:wordWrap/>
        <w:overflowPunct/>
        <w:topLinePunct w:val="0"/>
        <w:autoSpaceDE/>
        <w:autoSpaceDN/>
        <w:bidi w:val="0"/>
        <w:adjustRightInd/>
        <w:snapToGrid/>
        <w:spacing w:line="240" w:lineRule="auto"/>
        <w:textAlignment w:val="auto"/>
        <w:rPr>
          <w:rFonts w:cs="仿宋_GB2312" w:asciiTheme="minorEastAsia" w:hAnsiTheme="minorEastAsia"/>
          <w:sz w:val="30"/>
          <w:szCs w:val="30"/>
        </w:rPr>
      </w:pPr>
      <w:r>
        <w:rPr>
          <w:rFonts w:hint="eastAsia" w:cs="仿宋_GB2312" w:asciiTheme="minorEastAsia" w:hAnsiTheme="minorEastAsia"/>
          <w:sz w:val="30"/>
          <w:szCs w:val="30"/>
          <w:lang w:bidi="ar"/>
        </w:rPr>
        <w:t>（二）部门收入总体情况表。(公开表2)</w:t>
      </w:r>
    </w:p>
    <w:p>
      <w:pPr>
        <w:keepNext w:val="0"/>
        <w:keepLines w:val="0"/>
        <w:pageBreakBefore w:val="0"/>
        <w:kinsoku/>
        <w:wordWrap/>
        <w:overflowPunct/>
        <w:topLinePunct w:val="0"/>
        <w:autoSpaceDE/>
        <w:autoSpaceDN/>
        <w:bidi w:val="0"/>
        <w:adjustRightInd/>
        <w:snapToGrid/>
        <w:spacing w:line="240" w:lineRule="auto"/>
        <w:textAlignment w:val="auto"/>
        <w:rPr>
          <w:rFonts w:cs="仿宋_GB2312" w:asciiTheme="minorEastAsia" w:hAnsiTheme="minorEastAsia"/>
          <w:sz w:val="30"/>
          <w:szCs w:val="30"/>
        </w:rPr>
      </w:pPr>
      <w:r>
        <w:rPr>
          <w:rFonts w:hint="eastAsia" w:cs="仿宋_GB2312" w:asciiTheme="minorEastAsia" w:hAnsiTheme="minorEastAsia"/>
          <w:sz w:val="30"/>
          <w:szCs w:val="30"/>
          <w:lang w:bidi="ar"/>
        </w:rPr>
        <w:t>（三）部门支出总体情况表。(公开表3)</w:t>
      </w:r>
    </w:p>
    <w:p>
      <w:pPr>
        <w:keepNext w:val="0"/>
        <w:keepLines w:val="0"/>
        <w:pageBreakBefore w:val="0"/>
        <w:kinsoku/>
        <w:wordWrap/>
        <w:overflowPunct/>
        <w:topLinePunct w:val="0"/>
        <w:autoSpaceDE/>
        <w:autoSpaceDN/>
        <w:bidi w:val="0"/>
        <w:adjustRightInd/>
        <w:snapToGrid/>
        <w:spacing w:line="240" w:lineRule="auto"/>
        <w:textAlignment w:val="auto"/>
        <w:rPr>
          <w:rFonts w:cs="仿宋_GB2312" w:asciiTheme="minorEastAsia" w:hAnsiTheme="minorEastAsia"/>
          <w:sz w:val="30"/>
          <w:szCs w:val="30"/>
        </w:rPr>
      </w:pPr>
      <w:r>
        <w:rPr>
          <w:rFonts w:hint="eastAsia" w:cs="仿宋_GB2312" w:asciiTheme="minorEastAsia" w:hAnsiTheme="minorEastAsia"/>
          <w:sz w:val="30"/>
          <w:szCs w:val="30"/>
          <w:lang w:bidi="ar"/>
        </w:rPr>
        <w:t>（四）财政拨款收支总体情况表。(公开表4)</w:t>
      </w:r>
    </w:p>
    <w:p>
      <w:pPr>
        <w:keepNext w:val="0"/>
        <w:keepLines w:val="0"/>
        <w:pageBreakBefore w:val="0"/>
        <w:kinsoku/>
        <w:wordWrap/>
        <w:overflowPunct/>
        <w:topLinePunct w:val="0"/>
        <w:autoSpaceDE/>
        <w:autoSpaceDN/>
        <w:bidi w:val="0"/>
        <w:adjustRightInd/>
        <w:snapToGrid/>
        <w:spacing w:line="240" w:lineRule="auto"/>
        <w:ind w:left="600" w:hanging="600" w:hangingChars="200"/>
        <w:textAlignment w:val="auto"/>
        <w:rPr>
          <w:rFonts w:cs="仿宋_GB2312" w:asciiTheme="minorEastAsia" w:hAnsiTheme="minorEastAsia"/>
          <w:sz w:val="30"/>
          <w:szCs w:val="30"/>
        </w:rPr>
      </w:pPr>
      <w:r>
        <w:rPr>
          <w:rFonts w:hint="eastAsia" w:cs="仿宋_GB2312" w:asciiTheme="minorEastAsia" w:hAnsiTheme="minorEastAsia"/>
          <w:sz w:val="30"/>
          <w:szCs w:val="30"/>
          <w:lang w:bidi="ar"/>
        </w:rPr>
        <w:t>（五）</w:t>
      </w:r>
      <w:r>
        <w:rPr>
          <w:rFonts w:hint="eastAsia" w:cs="宋体" w:asciiTheme="minorEastAsia" w:hAnsiTheme="minorEastAsia"/>
          <w:color w:val="000000"/>
          <w:kern w:val="0"/>
          <w:sz w:val="30"/>
          <w:szCs w:val="30"/>
          <w:lang w:bidi="ar"/>
        </w:rPr>
        <w:t>一般公共预算支出情况表（按功能科目</w:t>
      </w:r>
      <w:r>
        <w:rPr>
          <w:rFonts w:hint="eastAsia" w:cs="宋体" w:asciiTheme="minorEastAsia" w:hAnsiTheme="minorEastAsia"/>
          <w:color w:val="000000"/>
          <w:kern w:val="0"/>
          <w:sz w:val="30"/>
          <w:szCs w:val="30"/>
          <w:lang w:val="en-US" w:eastAsia="zh-CN" w:bidi="ar"/>
        </w:rPr>
        <w:t>分类</w:t>
      </w:r>
      <w:r>
        <w:rPr>
          <w:rFonts w:hint="eastAsia" w:cs="宋体" w:asciiTheme="minorEastAsia" w:hAnsiTheme="minorEastAsia"/>
          <w:color w:val="000000"/>
          <w:kern w:val="0"/>
          <w:sz w:val="30"/>
          <w:szCs w:val="30"/>
          <w:lang w:bidi="ar"/>
        </w:rPr>
        <w:t>）</w:t>
      </w:r>
      <w:r>
        <w:rPr>
          <w:rFonts w:hint="eastAsia" w:cs="宋体" w:asciiTheme="minorEastAsia" w:hAnsiTheme="minorEastAsia"/>
          <w:color w:val="000000"/>
          <w:kern w:val="0"/>
          <w:sz w:val="30"/>
          <w:szCs w:val="30"/>
          <w:lang w:bidi="ar"/>
        </w:rPr>
        <w:tab/>
      </w:r>
      <w:r>
        <w:rPr>
          <w:rFonts w:hint="eastAsia" w:cs="宋体" w:asciiTheme="minorEastAsia" w:hAnsiTheme="minorEastAsia"/>
          <w:color w:val="000000"/>
          <w:kern w:val="0"/>
          <w:sz w:val="30"/>
          <w:szCs w:val="30"/>
          <w:lang w:bidi="ar"/>
        </w:rPr>
        <w:tab/>
      </w:r>
      <w:r>
        <w:rPr>
          <w:rFonts w:hint="eastAsia" w:cs="宋体" w:asciiTheme="minorEastAsia" w:hAnsiTheme="minorEastAsia"/>
          <w:color w:val="000000"/>
          <w:kern w:val="0"/>
          <w:sz w:val="30"/>
          <w:szCs w:val="30"/>
          <w:lang w:bidi="ar"/>
        </w:rPr>
        <w:t xml:space="preserve">   </w:t>
      </w:r>
      <w:r>
        <w:rPr>
          <w:rFonts w:hint="eastAsia" w:cs="仿宋_GB2312" w:asciiTheme="minorEastAsia" w:hAnsiTheme="minorEastAsia"/>
          <w:sz w:val="30"/>
          <w:szCs w:val="30"/>
          <w:lang w:bidi="ar"/>
        </w:rPr>
        <w:t>(公开表5)</w:t>
      </w:r>
    </w:p>
    <w:p>
      <w:pPr>
        <w:keepNext w:val="0"/>
        <w:keepLines w:val="0"/>
        <w:pageBreakBefore w:val="0"/>
        <w:kinsoku/>
        <w:wordWrap/>
        <w:overflowPunct/>
        <w:topLinePunct w:val="0"/>
        <w:autoSpaceDE/>
        <w:autoSpaceDN/>
        <w:bidi w:val="0"/>
        <w:adjustRightInd/>
        <w:snapToGrid/>
        <w:spacing w:line="240" w:lineRule="auto"/>
        <w:ind w:left="300" w:hanging="300" w:hangingChars="100"/>
        <w:textAlignment w:val="auto"/>
        <w:rPr>
          <w:rFonts w:cs="仿宋_GB2312" w:asciiTheme="minorEastAsia" w:hAnsiTheme="minorEastAsia"/>
          <w:sz w:val="30"/>
          <w:szCs w:val="30"/>
        </w:rPr>
      </w:pPr>
      <w:r>
        <w:rPr>
          <w:rFonts w:hint="eastAsia" w:cs="仿宋_GB2312" w:asciiTheme="minorEastAsia" w:hAnsiTheme="minorEastAsia"/>
          <w:sz w:val="30"/>
          <w:szCs w:val="30"/>
          <w:lang w:bidi="ar"/>
        </w:rPr>
        <w:t>（六）</w:t>
      </w:r>
      <w:r>
        <w:rPr>
          <w:rFonts w:hint="eastAsia" w:cs="宋体" w:asciiTheme="minorEastAsia" w:hAnsiTheme="minorEastAsia"/>
          <w:color w:val="000000"/>
          <w:kern w:val="0"/>
          <w:sz w:val="30"/>
          <w:szCs w:val="30"/>
          <w:lang w:bidi="ar"/>
        </w:rPr>
        <w:t>一般公共预算基本支出情况表（按经济科目</w:t>
      </w:r>
      <w:r>
        <w:rPr>
          <w:rFonts w:hint="eastAsia" w:cs="宋体" w:asciiTheme="minorEastAsia" w:hAnsiTheme="minorEastAsia"/>
          <w:color w:val="000000"/>
          <w:kern w:val="0"/>
          <w:sz w:val="30"/>
          <w:szCs w:val="30"/>
          <w:lang w:val="en-US" w:eastAsia="zh-CN" w:bidi="ar"/>
        </w:rPr>
        <w:t>分类</w:t>
      </w:r>
      <w:r>
        <w:rPr>
          <w:rFonts w:hint="eastAsia" w:cs="宋体" w:asciiTheme="minorEastAsia" w:hAnsiTheme="minorEastAsia"/>
          <w:color w:val="000000"/>
          <w:kern w:val="0"/>
          <w:sz w:val="30"/>
          <w:szCs w:val="30"/>
          <w:lang w:bidi="ar"/>
        </w:rPr>
        <w:t>）</w:t>
      </w:r>
      <w:r>
        <w:rPr>
          <w:rFonts w:hint="eastAsia" w:cs="宋体" w:asciiTheme="minorEastAsia" w:hAnsiTheme="minorEastAsia"/>
          <w:color w:val="000000"/>
          <w:kern w:val="0"/>
          <w:sz w:val="30"/>
          <w:szCs w:val="30"/>
          <w:lang w:bidi="ar"/>
        </w:rPr>
        <w:tab/>
      </w:r>
      <w:r>
        <w:rPr>
          <w:rFonts w:hint="eastAsia" w:cs="宋体" w:asciiTheme="minorEastAsia" w:hAnsiTheme="minorEastAsia"/>
          <w:color w:val="000000"/>
          <w:kern w:val="0"/>
          <w:sz w:val="30"/>
          <w:szCs w:val="30"/>
          <w:lang w:bidi="ar"/>
        </w:rPr>
        <w:tab/>
      </w:r>
      <w:r>
        <w:rPr>
          <w:rFonts w:hint="eastAsia" w:cs="宋体" w:asciiTheme="minorEastAsia" w:hAnsiTheme="minorEastAsia"/>
          <w:color w:val="000000"/>
          <w:kern w:val="0"/>
          <w:sz w:val="30"/>
          <w:szCs w:val="30"/>
          <w:lang w:bidi="ar"/>
        </w:rPr>
        <w:t xml:space="preserve">   </w:t>
      </w:r>
      <w:r>
        <w:rPr>
          <w:rFonts w:hint="eastAsia" w:cs="仿宋_GB2312" w:asciiTheme="minorEastAsia" w:hAnsiTheme="minorEastAsia"/>
          <w:sz w:val="30"/>
          <w:szCs w:val="30"/>
          <w:lang w:bidi="ar"/>
        </w:rPr>
        <w:t>（公开表6)</w:t>
      </w:r>
    </w:p>
    <w:p>
      <w:pPr>
        <w:keepNext w:val="0"/>
        <w:keepLines w:val="0"/>
        <w:pageBreakBefore w:val="0"/>
        <w:kinsoku/>
        <w:wordWrap/>
        <w:overflowPunct/>
        <w:topLinePunct w:val="0"/>
        <w:autoSpaceDE/>
        <w:autoSpaceDN/>
        <w:bidi w:val="0"/>
        <w:adjustRightInd/>
        <w:snapToGrid/>
        <w:spacing w:line="240" w:lineRule="auto"/>
        <w:ind w:left="600" w:hanging="600" w:hangingChars="200"/>
        <w:textAlignment w:val="auto"/>
        <w:rPr>
          <w:rFonts w:cs="仿宋_GB2312" w:asciiTheme="minorEastAsia" w:hAnsiTheme="minorEastAsia"/>
          <w:sz w:val="30"/>
          <w:szCs w:val="30"/>
        </w:rPr>
      </w:pPr>
      <w:r>
        <w:rPr>
          <w:rFonts w:hint="eastAsia" w:cs="仿宋_GB2312" w:asciiTheme="minorEastAsia" w:hAnsiTheme="minorEastAsia"/>
          <w:sz w:val="30"/>
          <w:szCs w:val="30"/>
          <w:lang w:bidi="ar"/>
        </w:rPr>
        <w:t>（七）一般公共预算“三公经费”及会议费、培训费支出情况表。(公开表7)</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cs="仿宋_GB2312" w:asciiTheme="minorEastAsia" w:hAnsiTheme="minorEastAsia"/>
          <w:sz w:val="30"/>
          <w:szCs w:val="30"/>
        </w:rPr>
      </w:pPr>
      <w:r>
        <w:rPr>
          <w:rFonts w:hint="eastAsia" w:cs="仿宋_GB2312" w:asciiTheme="minorEastAsia" w:hAnsiTheme="minorEastAsia"/>
          <w:sz w:val="30"/>
          <w:szCs w:val="30"/>
          <w:lang w:bidi="ar"/>
        </w:rPr>
        <w:t>（八）</w:t>
      </w:r>
      <w:r>
        <w:rPr>
          <w:rFonts w:hint="eastAsia" w:cs="宋体" w:asciiTheme="minorEastAsia" w:hAnsiTheme="minorEastAsia"/>
          <w:color w:val="000000"/>
          <w:kern w:val="0"/>
          <w:sz w:val="30"/>
          <w:szCs w:val="30"/>
          <w:lang w:bidi="ar"/>
        </w:rPr>
        <w:t>政府性基金预算收支情况表。</w:t>
      </w:r>
      <w:r>
        <w:rPr>
          <w:rFonts w:hint="eastAsia" w:cs="仿宋_GB2312" w:asciiTheme="minorEastAsia" w:hAnsiTheme="minorEastAsia"/>
          <w:sz w:val="30"/>
          <w:szCs w:val="30"/>
          <w:lang w:bidi="ar"/>
        </w:rPr>
        <w:t>(公开表8)</w:t>
      </w:r>
    </w:p>
    <w:p>
      <w:pPr>
        <w:keepNext w:val="0"/>
        <w:keepLines w:val="0"/>
        <w:pageBreakBefore w:val="0"/>
        <w:kinsoku/>
        <w:wordWrap/>
        <w:overflowPunct/>
        <w:topLinePunct w:val="0"/>
        <w:autoSpaceDE/>
        <w:autoSpaceDN/>
        <w:bidi w:val="0"/>
        <w:adjustRightInd/>
        <w:snapToGrid/>
        <w:spacing w:line="240" w:lineRule="auto"/>
        <w:textAlignment w:val="auto"/>
        <w:rPr>
          <w:rFonts w:cs="仿宋_GB2312" w:asciiTheme="minorEastAsia" w:hAnsiTheme="minorEastAsia"/>
          <w:sz w:val="30"/>
          <w:szCs w:val="30"/>
          <w:lang w:bidi="ar"/>
        </w:rPr>
      </w:pPr>
    </w:p>
    <w:p>
      <w:pPr>
        <w:keepNext w:val="0"/>
        <w:keepLines w:val="0"/>
        <w:pageBreakBefore w:val="0"/>
        <w:kinsoku/>
        <w:wordWrap/>
        <w:overflowPunct/>
        <w:topLinePunct w:val="0"/>
        <w:autoSpaceDE/>
        <w:autoSpaceDN/>
        <w:bidi w:val="0"/>
        <w:adjustRightInd/>
        <w:snapToGrid/>
        <w:spacing w:line="240" w:lineRule="auto"/>
        <w:ind w:firstLine="600" w:firstLineChars="200"/>
        <w:textAlignment w:val="auto"/>
        <w:rPr>
          <w:rFonts w:cs="仿宋_GB2312" w:asciiTheme="minorEastAsia" w:hAnsiTheme="minorEastAsia"/>
          <w:sz w:val="30"/>
          <w:szCs w:val="30"/>
        </w:rPr>
      </w:pPr>
      <w:r>
        <w:rPr>
          <w:rFonts w:hint="eastAsia" w:cs="仿宋_GB2312" w:asciiTheme="minorEastAsia" w:hAnsiTheme="minorEastAsia"/>
          <w:sz w:val="30"/>
          <w:szCs w:val="30"/>
          <w:lang w:bidi="ar"/>
        </w:rPr>
        <w:t xml:space="preserve"> </w:t>
      </w:r>
    </w:p>
    <w:p>
      <w:pPr>
        <w:keepNext w:val="0"/>
        <w:keepLines w:val="0"/>
        <w:pageBreakBefore w:val="0"/>
        <w:kinsoku/>
        <w:wordWrap/>
        <w:overflowPunct/>
        <w:topLinePunct w:val="0"/>
        <w:autoSpaceDE/>
        <w:autoSpaceDN/>
        <w:bidi w:val="0"/>
        <w:adjustRightInd/>
        <w:snapToGrid/>
        <w:spacing w:line="240" w:lineRule="auto"/>
        <w:jc w:val="left"/>
        <w:textAlignment w:val="auto"/>
        <w:rPr>
          <w:rFonts w:cs="宋体" w:asciiTheme="minorEastAsia" w:hAnsiTheme="minorEastAsia"/>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716E76B"/>
    <w:multiLevelType w:val="singleLevel"/>
    <w:tmpl w:val="9716E76B"/>
    <w:lvl w:ilvl="0" w:tentative="0">
      <w:start w:val="1"/>
      <w:numFmt w:val="chineseCounting"/>
      <w:suff w:val="nothing"/>
      <w:lvlText w:val="（%1）"/>
      <w:lvlJc w:val="left"/>
      <w:rPr>
        <w:rFonts w:hint="eastAsia"/>
      </w:rPr>
    </w:lvl>
  </w:abstractNum>
  <w:abstractNum w:abstractNumId="1">
    <w:nsid w:val="9B51A71B"/>
    <w:multiLevelType w:val="singleLevel"/>
    <w:tmpl w:val="9B51A71B"/>
    <w:lvl w:ilvl="0" w:tentative="0">
      <w:start w:val="1"/>
      <w:numFmt w:val="chineseCounting"/>
      <w:suff w:val="nothing"/>
      <w:lvlText w:val="（%1）"/>
      <w:lvlJc w:val="left"/>
      <w:rPr>
        <w:rFonts w:hint="eastAsia"/>
      </w:rPr>
    </w:lvl>
  </w:abstractNum>
  <w:abstractNum w:abstractNumId="2">
    <w:nsid w:val="9E3BC9D8"/>
    <w:multiLevelType w:val="singleLevel"/>
    <w:tmpl w:val="9E3BC9D8"/>
    <w:lvl w:ilvl="0" w:tentative="0">
      <w:start w:val="1"/>
      <w:numFmt w:val="chineseCounting"/>
      <w:suff w:val="nothing"/>
      <w:lvlText w:val="%1、"/>
      <w:lvlJc w:val="left"/>
      <w:rPr>
        <w:rFonts w:hint="eastAsia"/>
      </w:rPr>
    </w:lvl>
  </w:abstractNum>
  <w:abstractNum w:abstractNumId="3">
    <w:nsid w:val="A510D68B"/>
    <w:multiLevelType w:val="singleLevel"/>
    <w:tmpl w:val="A510D68B"/>
    <w:lvl w:ilvl="0" w:tentative="0">
      <w:start w:val="1"/>
      <w:numFmt w:val="decimal"/>
      <w:suff w:val="nothing"/>
      <w:lvlText w:val="%1、"/>
      <w:lvlJc w:val="left"/>
    </w:lvl>
  </w:abstractNum>
  <w:abstractNum w:abstractNumId="4">
    <w:nsid w:val="AB7E7121"/>
    <w:multiLevelType w:val="singleLevel"/>
    <w:tmpl w:val="AB7E7121"/>
    <w:lvl w:ilvl="0" w:tentative="0">
      <w:start w:val="10"/>
      <w:numFmt w:val="chineseCounting"/>
      <w:suff w:val="nothing"/>
      <w:lvlText w:val="%1、"/>
      <w:lvlJc w:val="left"/>
      <w:pPr>
        <w:ind w:left="600" w:leftChars="0" w:firstLine="0" w:firstLineChars="0"/>
      </w:pPr>
      <w:rPr>
        <w:rFonts w:hint="eastAsia"/>
      </w:rPr>
    </w:lvl>
  </w:abstractNum>
  <w:abstractNum w:abstractNumId="5">
    <w:nsid w:val="439DC05D"/>
    <w:multiLevelType w:val="singleLevel"/>
    <w:tmpl w:val="439DC05D"/>
    <w:lvl w:ilvl="0" w:tentative="0">
      <w:start w:val="4"/>
      <w:numFmt w:val="chineseCounting"/>
      <w:suff w:val="nothing"/>
      <w:lvlText w:val="（%1）"/>
      <w:lvlJc w:val="left"/>
      <w:rPr>
        <w:rFonts w:hint="eastAsia"/>
      </w:rPr>
    </w:lvl>
  </w:abstractNum>
  <w:abstractNum w:abstractNumId="6">
    <w:nsid w:val="4C84AD8C"/>
    <w:multiLevelType w:val="singleLevel"/>
    <w:tmpl w:val="4C84AD8C"/>
    <w:lvl w:ilvl="0" w:tentative="0">
      <w:start w:val="6"/>
      <w:numFmt w:val="chineseCounting"/>
      <w:suff w:val="nothing"/>
      <w:lvlText w:val="%1、"/>
      <w:lvlJc w:val="left"/>
      <w:rPr>
        <w:rFonts w:hint="eastAsia"/>
      </w:rPr>
    </w:lvl>
  </w:abstractNum>
  <w:abstractNum w:abstractNumId="7">
    <w:nsid w:val="65F5B077"/>
    <w:multiLevelType w:val="singleLevel"/>
    <w:tmpl w:val="65F5B077"/>
    <w:lvl w:ilvl="0" w:tentative="0">
      <w:start w:val="4"/>
      <w:numFmt w:val="decimal"/>
      <w:suff w:val="nothing"/>
      <w:lvlText w:val="%1、"/>
      <w:lvlJc w:val="left"/>
    </w:lvl>
  </w:abstractNum>
  <w:abstractNum w:abstractNumId="8">
    <w:nsid w:val="72BA1C01"/>
    <w:multiLevelType w:val="singleLevel"/>
    <w:tmpl w:val="72BA1C01"/>
    <w:lvl w:ilvl="0" w:tentative="0">
      <w:start w:val="1"/>
      <w:numFmt w:val="decimal"/>
      <w:suff w:val="nothing"/>
      <w:lvlText w:val="%1、"/>
      <w:lvlJc w:val="left"/>
    </w:lvl>
  </w:abstractNum>
  <w:num w:numId="1">
    <w:abstractNumId w:val="2"/>
  </w:num>
  <w:num w:numId="2">
    <w:abstractNumId w:val="1"/>
  </w:num>
  <w:num w:numId="3">
    <w:abstractNumId w:val="3"/>
  </w:num>
  <w:num w:numId="4">
    <w:abstractNumId w:val="6"/>
  </w:num>
  <w:num w:numId="5">
    <w:abstractNumId w:val="8"/>
  </w:num>
  <w:num w:numId="6">
    <w:abstractNumId w:val="7"/>
  </w:num>
  <w:num w:numId="7">
    <w:abstractNumId w:val="5"/>
  </w:num>
  <w:num w:numId="8">
    <w:abstractNumId w:val="4"/>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141D"/>
    <w:rsid w:val="00033495"/>
    <w:rsid w:val="0013188B"/>
    <w:rsid w:val="001A6CEA"/>
    <w:rsid w:val="001B7DB8"/>
    <w:rsid w:val="001D1BF3"/>
    <w:rsid w:val="002114C5"/>
    <w:rsid w:val="00254052"/>
    <w:rsid w:val="0026002F"/>
    <w:rsid w:val="00266DC2"/>
    <w:rsid w:val="002A6680"/>
    <w:rsid w:val="002B22E1"/>
    <w:rsid w:val="00331DAC"/>
    <w:rsid w:val="003B5178"/>
    <w:rsid w:val="003C16F1"/>
    <w:rsid w:val="003E301A"/>
    <w:rsid w:val="00436E74"/>
    <w:rsid w:val="0047657E"/>
    <w:rsid w:val="00480957"/>
    <w:rsid w:val="0049764F"/>
    <w:rsid w:val="00502998"/>
    <w:rsid w:val="005A4428"/>
    <w:rsid w:val="005C45F9"/>
    <w:rsid w:val="005D6AEC"/>
    <w:rsid w:val="00606FA2"/>
    <w:rsid w:val="00613754"/>
    <w:rsid w:val="00645075"/>
    <w:rsid w:val="0065220B"/>
    <w:rsid w:val="006A5E37"/>
    <w:rsid w:val="006D3AF2"/>
    <w:rsid w:val="00707501"/>
    <w:rsid w:val="00720B56"/>
    <w:rsid w:val="007222EF"/>
    <w:rsid w:val="007550BD"/>
    <w:rsid w:val="00766920"/>
    <w:rsid w:val="007821E9"/>
    <w:rsid w:val="007A3F58"/>
    <w:rsid w:val="007C33D3"/>
    <w:rsid w:val="0087429C"/>
    <w:rsid w:val="008D2E38"/>
    <w:rsid w:val="009949AF"/>
    <w:rsid w:val="009E3257"/>
    <w:rsid w:val="00A47593"/>
    <w:rsid w:val="00A625DB"/>
    <w:rsid w:val="00AA325B"/>
    <w:rsid w:val="00AC0FCC"/>
    <w:rsid w:val="00B044B6"/>
    <w:rsid w:val="00B06BDF"/>
    <w:rsid w:val="00B943EC"/>
    <w:rsid w:val="00C27FCF"/>
    <w:rsid w:val="00C44F81"/>
    <w:rsid w:val="00CC4634"/>
    <w:rsid w:val="00CE40B4"/>
    <w:rsid w:val="00D572B3"/>
    <w:rsid w:val="00DE439E"/>
    <w:rsid w:val="00E32404"/>
    <w:rsid w:val="00E60370"/>
    <w:rsid w:val="00E6141D"/>
    <w:rsid w:val="00E731B3"/>
    <w:rsid w:val="00E917CC"/>
    <w:rsid w:val="00E95D22"/>
    <w:rsid w:val="00EF0037"/>
    <w:rsid w:val="00F1221D"/>
    <w:rsid w:val="00F136D9"/>
    <w:rsid w:val="00F52A5E"/>
    <w:rsid w:val="00FA411F"/>
    <w:rsid w:val="0F154E67"/>
    <w:rsid w:val="12C2755E"/>
    <w:rsid w:val="187E2490"/>
    <w:rsid w:val="2E970DFA"/>
    <w:rsid w:val="34C91A5F"/>
    <w:rsid w:val="3BB40B68"/>
    <w:rsid w:val="45BB2094"/>
    <w:rsid w:val="53B76865"/>
    <w:rsid w:val="54796B4F"/>
    <w:rsid w:val="5C446FF9"/>
    <w:rsid w:val="5F321FBD"/>
    <w:rsid w:val="666B6471"/>
    <w:rsid w:val="716247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uiPriority w:val="0"/>
    <w:rPr>
      <w:sz w:val="18"/>
      <w:szCs w:val="18"/>
    </w:rPr>
  </w:style>
  <w:style w:type="paragraph" w:styleId="3">
    <w:name w:val="footer"/>
    <w:basedOn w:val="1"/>
    <w:link w:val="10"/>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spacing w:beforeAutospacing="1" w:afterAutospacing="1"/>
      <w:jc w:val="left"/>
    </w:pPr>
    <w:rPr>
      <w:rFonts w:cs="Times New Roman"/>
      <w:kern w:val="0"/>
      <w:sz w:val="24"/>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页眉 Char"/>
    <w:basedOn w:val="8"/>
    <w:link w:val="4"/>
    <w:qFormat/>
    <w:uiPriority w:val="0"/>
    <w:rPr>
      <w:rFonts w:asciiTheme="minorHAnsi" w:hAnsiTheme="minorHAnsi" w:eastAsiaTheme="minorEastAsia" w:cstheme="minorBidi"/>
      <w:kern w:val="2"/>
      <w:sz w:val="18"/>
      <w:szCs w:val="18"/>
    </w:rPr>
  </w:style>
  <w:style w:type="character" w:customStyle="1" w:styleId="10">
    <w:name w:val="页脚 Char"/>
    <w:basedOn w:val="8"/>
    <w:link w:val="3"/>
    <w:qFormat/>
    <w:uiPriority w:val="0"/>
    <w:rPr>
      <w:rFonts w:asciiTheme="minorHAnsi" w:hAnsiTheme="minorHAnsi" w:eastAsiaTheme="minorEastAsia" w:cstheme="minorBidi"/>
      <w:kern w:val="2"/>
      <w:sz w:val="18"/>
      <w:szCs w:val="18"/>
    </w:rPr>
  </w:style>
  <w:style w:type="character" w:customStyle="1" w:styleId="11">
    <w:name w:val="批注框文本 Char"/>
    <w:basedOn w:val="8"/>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hart" Target="charts/chart6.xml"/><Relationship Id="rId8" Type="http://schemas.openxmlformats.org/officeDocument/2006/relationships/chart" Target="charts/chart5.xml"/><Relationship Id="rId7" Type="http://schemas.openxmlformats.org/officeDocument/2006/relationships/chart" Target="charts/chart4.xml"/><Relationship Id="rId6" Type="http://schemas.openxmlformats.org/officeDocument/2006/relationships/chart" Target="charts/chart3.xml"/><Relationship Id="rId5" Type="http://schemas.openxmlformats.org/officeDocument/2006/relationships/chart" Target="charts/chart2.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6.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5.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4.xlsx"/></Relationships>
</file>

<file path=word/charts/_rels/chart6.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5.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623655913978495"/>
          <c:y val="0.0470588235294118"/>
          <c:w val="0.716129032258065"/>
          <c:h val="0.811764705882353"/>
        </c:manualLayout>
      </c:layout>
      <c:barChart>
        <c:barDir val="col"/>
        <c:grouping val="clustered"/>
        <c:varyColors val="0"/>
        <c:ser>
          <c:idx val="2"/>
          <c:order val="0"/>
          <c:tx>
            <c:strRef>
              <c:f>Sheet1!$A$2</c:f>
              <c:strCache>
                <c:ptCount val="1"/>
                <c:pt idx="0">
                  <c:v>行政编制</c:v>
                </c:pt>
              </c:strCache>
            </c:strRef>
          </c:tx>
          <c:spPr>
            <a:solidFill>
              <a:srgbClr val="FFFFCC"/>
            </a:solidFill>
            <a:ln w="12512">
              <a:solidFill>
                <a:srgbClr val="000000"/>
              </a:solidFill>
              <a:prstDash val="solid"/>
            </a:ln>
          </c:spPr>
          <c:invertIfNegative val="0"/>
          <c:dLbls>
            <c:delete val="1"/>
          </c:dLbls>
          <c:cat>
            <c:strRef>
              <c:f>Sheet1!$B$1:$C$1</c:f>
              <c:strCache>
                <c:ptCount val="2"/>
                <c:pt idx="0">
                  <c:v>编制数</c:v>
                </c:pt>
                <c:pt idx="1">
                  <c:v>实有人数</c:v>
                </c:pt>
              </c:strCache>
            </c:strRef>
          </c:cat>
          <c:val>
            <c:numRef>
              <c:f>Sheet1!$B$2:$C$2</c:f>
              <c:numCache>
                <c:formatCode>General</c:formatCode>
                <c:ptCount val="2"/>
                <c:pt idx="0">
                  <c:v>11</c:v>
                </c:pt>
                <c:pt idx="1">
                  <c:v>10</c:v>
                </c:pt>
              </c:numCache>
            </c:numRef>
          </c:val>
        </c:ser>
        <c:ser>
          <c:idx val="3"/>
          <c:order val="1"/>
          <c:tx>
            <c:strRef>
              <c:f>Sheet1!$A$3</c:f>
              <c:strCache>
                <c:ptCount val="1"/>
                <c:pt idx="0">
                  <c:v>事业编制</c:v>
                </c:pt>
              </c:strCache>
            </c:strRef>
          </c:tx>
          <c:spPr>
            <a:solidFill>
              <a:srgbClr val="CCFFFF"/>
            </a:solidFill>
            <a:ln w="12512">
              <a:solidFill>
                <a:srgbClr val="000000"/>
              </a:solidFill>
              <a:prstDash val="solid"/>
            </a:ln>
          </c:spPr>
          <c:invertIfNegative val="0"/>
          <c:dLbls>
            <c:delete val="1"/>
          </c:dLbls>
          <c:cat>
            <c:strRef>
              <c:f>Sheet1!$B$1:$C$1</c:f>
              <c:strCache>
                <c:ptCount val="2"/>
                <c:pt idx="0">
                  <c:v>编制数</c:v>
                </c:pt>
                <c:pt idx="1">
                  <c:v>实有人数</c:v>
                </c:pt>
              </c:strCache>
            </c:strRef>
          </c:cat>
          <c:val>
            <c:numRef>
              <c:f>Sheet1!$B$3:$C$3</c:f>
              <c:numCache>
                <c:formatCode>General</c:formatCode>
                <c:ptCount val="2"/>
                <c:pt idx="0">
                  <c:v>13</c:v>
                </c:pt>
                <c:pt idx="1">
                  <c:v>10</c:v>
                </c:pt>
              </c:numCache>
            </c:numRef>
          </c:val>
        </c:ser>
        <c:ser>
          <c:idx val="0"/>
          <c:order val="2"/>
          <c:tx>
            <c:strRef>
              <c:f>Sheet1!$A$4</c:f>
              <c:strCache>
                <c:ptCount val="1"/>
                <c:pt idx="0">
                  <c:v>总计</c:v>
                </c:pt>
              </c:strCache>
            </c:strRef>
          </c:tx>
          <c:spPr>
            <a:solidFill>
              <a:srgbClr val="9999FF"/>
            </a:solidFill>
            <a:ln w="12512">
              <a:solidFill>
                <a:srgbClr val="000000"/>
              </a:solidFill>
              <a:prstDash val="solid"/>
            </a:ln>
          </c:spPr>
          <c:invertIfNegative val="0"/>
          <c:dLbls>
            <c:delete val="1"/>
          </c:dLbls>
          <c:cat>
            <c:strRef>
              <c:f>Sheet1!$B$1:$C$1</c:f>
              <c:strCache>
                <c:ptCount val="2"/>
                <c:pt idx="0">
                  <c:v>编制数</c:v>
                </c:pt>
                <c:pt idx="1">
                  <c:v>实有人数</c:v>
                </c:pt>
              </c:strCache>
            </c:strRef>
          </c:cat>
          <c:val>
            <c:numRef>
              <c:f>Sheet1!$B$4:$C$4</c:f>
              <c:numCache>
                <c:formatCode>General</c:formatCode>
                <c:ptCount val="2"/>
                <c:pt idx="0">
                  <c:v>24</c:v>
                </c:pt>
                <c:pt idx="1">
                  <c:v>20</c:v>
                </c:pt>
              </c:numCache>
            </c:numRef>
          </c:val>
        </c:ser>
        <c:dLbls>
          <c:showLegendKey val="0"/>
          <c:showVal val="0"/>
          <c:showCatName val="0"/>
          <c:showSerName val="0"/>
          <c:showPercent val="0"/>
          <c:showBubbleSize val="0"/>
        </c:dLbls>
        <c:gapWidth val="150"/>
        <c:axId val="47555712"/>
        <c:axId val="47557248"/>
      </c:barChart>
      <c:catAx>
        <c:axId val="47555712"/>
        <c:scaling>
          <c:orientation val="minMax"/>
        </c:scaling>
        <c:delete val="0"/>
        <c:axPos val="b"/>
        <c:numFmt formatCode="General" sourceLinked="1"/>
        <c:majorTickMark val="in"/>
        <c:minorTickMark val="none"/>
        <c:tickLblPos val="low"/>
        <c:spPr>
          <a:ln w="3128" cap="flat" cmpd="sng" algn="ctr">
            <a:solidFill>
              <a:srgbClr val="000000"/>
            </a:solidFill>
            <a:prstDash val="solid"/>
            <a:round/>
          </a:ln>
        </c:spPr>
        <c:txPr>
          <a:bodyPr rot="0" spcFirstLastPara="0" vertOverflow="ellipsis" vert="horz" wrap="square" anchor="ctr" anchorCtr="1"/>
          <a:lstStyle/>
          <a:p>
            <a:pPr>
              <a:defRPr lang="zh-CN" sz="118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47557248"/>
        <c:crosses val="autoZero"/>
        <c:auto val="1"/>
        <c:lblAlgn val="ctr"/>
        <c:lblOffset val="100"/>
        <c:tickLblSkip val="1"/>
        <c:noMultiLvlLbl val="0"/>
      </c:catAx>
      <c:valAx>
        <c:axId val="47557248"/>
        <c:scaling>
          <c:orientation val="minMax"/>
        </c:scaling>
        <c:delete val="0"/>
        <c:axPos val="l"/>
        <c:majorGridlines>
          <c:spPr>
            <a:ln w="3128" cap="flat" cmpd="sng" algn="ctr">
              <a:solidFill>
                <a:srgbClr val="000000"/>
              </a:solidFill>
              <a:prstDash val="solid"/>
              <a:round/>
            </a:ln>
          </c:spPr>
        </c:majorGridlines>
        <c:numFmt formatCode="General" sourceLinked="1"/>
        <c:majorTickMark val="in"/>
        <c:minorTickMark val="none"/>
        <c:tickLblPos val="nextTo"/>
        <c:spPr>
          <a:ln w="3128" cap="flat" cmpd="sng" algn="ctr">
            <a:solidFill>
              <a:srgbClr val="000000"/>
            </a:solidFill>
            <a:prstDash val="solid"/>
            <a:round/>
          </a:ln>
        </c:spPr>
        <c:txPr>
          <a:bodyPr rot="0" spcFirstLastPara="0" vertOverflow="ellipsis" vert="horz" wrap="square" anchor="ctr" anchorCtr="1"/>
          <a:lstStyle/>
          <a:p>
            <a:pPr>
              <a:defRPr lang="zh-CN" sz="118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47555712"/>
        <c:crosses val="autoZero"/>
        <c:crossBetween val="between"/>
      </c:valAx>
      <c:spPr>
        <a:solidFill>
          <a:srgbClr val="C0C0C0"/>
        </a:solidFill>
        <a:ln w="12700">
          <a:solidFill>
            <a:srgbClr val="808080"/>
          </a:solidFill>
          <a:prstDash val="solid"/>
        </a:ln>
        <a:effectLst/>
      </c:spPr>
    </c:plotArea>
    <c:legend>
      <c:legendPos val="r"/>
      <c:layout>
        <c:manualLayout>
          <c:xMode val="edge"/>
          <c:yMode val="edge"/>
          <c:x val="0.802150537634409"/>
          <c:y val="0.376470588235294"/>
          <c:w val="0.189247311827957"/>
          <c:h val="0.250980392156863"/>
        </c:manualLayout>
      </c:layout>
      <c:overlay val="0"/>
      <c:spPr>
        <a:noFill/>
        <a:ln w="3128">
          <a:solidFill>
            <a:srgbClr val="000000"/>
          </a:solidFill>
          <a:prstDash val="solid"/>
        </a:ln>
      </c:spPr>
      <c:txPr>
        <a:bodyPr rot="0" spcFirstLastPara="0" vertOverflow="ellipsis" vert="horz" wrap="square" anchor="ctr" anchorCtr="1"/>
        <a:lstStyle/>
        <a:p>
          <a:pPr>
            <a:defRPr lang="zh-CN" sz="108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noFill/>
    <a:ln w="6350" cap="flat" cmpd="sng" algn="ctr">
      <a:noFill/>
      <a:prstDash val="solid"/>
      <a:round/>
    </a:ln>
  </c:spPr>
  <c:txPr>
    <a:bodyPr/>
    <a:lstStyle/>
    <a:p>
      <a:pPr>
        <a:defRPr lang="zh-CN" sz="118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收入和支出与上年比较图</a:t>
            </a:r>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总收入</c:v>
                </c:pt>
              </c:strCache>
            </c:strRef>
          </c:tx>
          <c:spPr>
            <a:solidFill>
              <a:schemeClr val="accent1"/>
            </a:solidFill>
            <a:ln>
              <a:noFill/>
            </a:ln>
            <a:effectLst/>
          </c:spPr>
          <c:invertIfNegative val="0"/>
          <c:dLbls>
            <c:delete val="1"/>
          </c:dLbls>
          <c:cat>
            <c:strRef>
              <c:f>Sheet1!$A$2:$A$5</c:f>
              <c:strCache>
                <c:ptCount val="4"/>
                <c:pt idx="0">
                  <c:v>2019年度</c:v>
                </c:pt>
                <c:pt idx="1">
                  <c:v>2018年度</c:v>
                </c:pt>
              </c:strCache>
            </c:strRef>
          </c:cat>
          <c:val>
            <c:numRef>
              <c:f>Sheet1!$B$2:$B$5</c:f>
              <c:numCache>
                <c:formatCode>General</c:formatCode>
                <c:ptCount val="4"/>
                <c:pt idx="0">
                  <c:v>344.48</c:v>
                </c:pt>
                <c:pt idx="1">
                  <c:v>463.25</c:v>
                </c:pt>
              </c:numCache>
            </c:numRef>
          </c:val>
        </c:ser>
        <c:ser>
          <c:idx val="1"/>
          <c:order val="1"/>
          <c:tx>
            <c:strRef>
              <c:f>Sheet1!$C$1</c:f>
              <c:strCache>
                <c:ptCount val="1"/>
                <c:pt idx="0">
                  <c:v>总支出</c:v>
                </c:pt>
              </c:strCache>
            </c:strRef>
          </c:tx>
          <c:spPr>
            <a:solidFill>
              <a:schemeClr val="accent2"/>
            </a:solidFill>
            <a:ln>
              <a:noFill/>
            </a:ln>
            <a:effectLst/>
          </c:spPr>
          <c:invertIfNegative val="0"/>
          <c:dLbls>
            <c:delete val="1"/>
          </c:dLbls>
          <c:cat>
            <c:strRef>
              <c:f>Sheet1!$A$2:$A$5</c:f>
              <c:strCache>
                <c:ptCount val="4"/>
                <c:pt idx="0">
                  <c:v>2019年度</c:v>
                </c:pt>
                <c:pt idx="1">
                  <c:v>2018年度</c:v>
                </c:pt>
              </c:strCache>
            </c:strRef>
          </c:cat>
          <c:val>
            <c:numRef>
              <c:f>Sheet1!$C$2:$C$5</c:f>
              <c:numCache>
                <c:formatCode>General</c:formatCode>
                <c:ptCount val="4"/>
                <c:pt idx="0">
                  <c:v>344.48</c:v>
                </c:pt>
                <c:pt idx="1">
                  <c:v>463.25</c:v>
                </c:pt>
              </c:numCache>
            </c:numRef>
          </c:val>
        </c:ser>
        <c:ser>
          <c:idx val="2"/>
          <c:order val="2"/>
          <c:tx>
            <c:strRef>
              <c:f>Sheet1!$D$1</c:f>
              <c:strCache>
                <c:ptCount val="1"/>
                <c:pt idx="0">
                  <c:v/>
                </c:pt>
              </c:strCache>
            </c:strRef>
          </c:tx>
          <c:spPr>
            <a:solidFill>
              <a:schemeClr val="accent3"/>
            </a:solidFill>
            <a:ln>
              <a:noFill/>
            </a:ln>
            <a:effectLst/>
          </c:spPr>
          <c:invertIfNegative val="0"/>
          <c:dLbls>
            <c:delete val="1"/>
          </c:dLbls>
          <c:cat>
            <c:strRef>
              <c:f>Sheet1!$A$2:$A$5</c:f>
              <c:strCache>
                <c:ptCount val="4"/>
                <c:pt idx="0">
                  <c:v>2019年度</c:v>
                </c:pt>
                <c:pt idx="1">
                  <c:v>2018年度</c:v>
                </c:pt>
              </c:strCache>
            </c:strRef>
          </c:cat>
          <c:val>
            <c:numRef>
              <c:f>Sheet1!$D$2:$D$5</c:f>
              <c:numCache>
                <c:formatCode>General</c:formatCode>
                <c:ptCount val="4"/>
              </c:numCache>
            </c:numRef>
          </c:val>
        </c:ser>
        <c:dLbls>
          <c:showLegendKey val="0"/>
          <c:showVal val="0"/>
          <c:showCatName val="0"/>
          <c:showSerName val="0"/>
          <c:showPercent val="0"/>
          <c:showBubbleSize val="0"/>
        </c:dLbls>
        <c:gapWidth val="219"/>
        <c:overlap val="-27"/>
        <c:axId val="216034816"/>
        <c:axId val="792260802"/>
      </c:barChart>
      <c:catAx>
        <c:axId val="216034816"/>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92260802"/>
        <c:crosses val="autoZero"/>
        <c:auto val="1"/>
        <c:lblAlgn val="ctr"/>
        <c:lblOffset val="100"/>
        <c:noMultiLvlLbl val="0"/>
      </c:catAx>
      <c:valAx>
        <c:axId val="79226080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6034816"/>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44080300773214"/>
          <c:y val="0.0469945962637023"/>
          <c:w val="0.553600766120451"/>
          <c:h val="0.846966599763265"/>
        </c:manualLayout>
      </c:layout>
      <c:barChart>
        <c:barDir val="col"/>
        <c:grouping val="clustered"/>
        <c:varyColors val="0"/>
        <c:ser>
          <c:idx val="0"/>
          <c:order val="0"/>
          <c:tx>
            <c:strRef>
              <c:f>Sheet1!$B$1</c:f>
              <c:strCache>
                <c:ptCount val="1"/>
                <c:pt idx="0">
                  <c:v>年度收入</c:v>
                </c:pt>
              </c:strCache>
            </c:strRef>
          </c:tx>
          <c:invertIfNegative val="0"/>
          <c:dLbls>
            <c:delete val="1"/>
          </c:dLbls>
          <c:cat>
            <c:numRef>
              <c:f>Sheet1!$A$2:$A$5</c:f>
              <c:numCache>
                <c:formatCode>General</c:formatCode>
                <c:ptCount val="4"/>
                <c:pt idx="0">
                  <c:v>2019</c:v>
                </c:pt>
              </c:numCache>
            </c:numRef>
          </c:cat>
          <c:val>
            <c:numRef>
              <c:f>Sheet1!$B$2:$B$5</c:f>
              <c:numCache>
                <c:formatCode>General</c:formatCode>
                <c:ptCount val="4"/>
                <c:pt idx="0">
                  <c:v>344.48</c:v>
                </c:pt>
              </c:numCache>
            </c:numRef>
          </c:val>
        </c:ser>
        <c:ser>
          <c:idx val="1"/>
          <c:order val="1"/>
          <c:tx>
            <c:strRef>
              <c:f>Sheet1!$C$1</c:f>
              <c:strCache>
                <c:ptCount val="1"/>
                <c:pt idx="0">
                  <c:v>财政拨款</c:v>
                </c:pt>
              </c:strCache>
            </c:strRef>
          </c:tx>
          <c:invertIfNegative val="0"/>
          <c:dLbls>
            <c:delete val="1"/>
          </c:dLbls>
          <c:cat>
            <c:numRef>
              <c:f>Sheet1!$A$2:$A$5</c:f>
              <c:numCache>
                <c:formatCode>General</c:formatCode>
                <c:ptCount val="4"/>
                <c:pt idx="0">
                  <c:v>2019</c:v>
                </c:pt>
              </c:numCache>
            </c:numRef>
          </c:cat>
          <c:val>
            <c:numRef>
              <c:f>Sheet1!$C$2:$C$5</c:f>
              <c:numCache>
                <c:formatCode>General</c:formatCode>
                <c:ptCount val="4"/>
                <c:pt idx="0">
                  <c:v>344.48</c:v>
                </c:pt>
              </c:numCache>
            </c:numRef>
          </c:val>
        </c:ser>
        <c:ser>
          <c:idx val="2"/>
          <c:order val="2"/>
          <c:tx>
            <c:strRef>
              <c:f>Sheet1!$D$1</c:f>
              <c:strCache>
                <c:ptCount val="1"/>
                <c:pt idx="0">
                  <c:v>其他收入</c:v>
                </c:pt>
              </c:strCache>
            </c:strRef>
          </c:tx>
          <c:invertIfNegative val="0"/>
          <c:dLbls>
            <c:delete val="1"/>
          </c:dLbls>
          <c:cat>
            <c:numRef>
              <c:f>Sheet1!$A$2:$A$5</c:f>
              <c:numCache>
                <c:formatCode>General</c:formatCode>
                <c:ptCount val="4"/>
                <c:pt idx="0">
                  <c:v>2019</c:v>
                </c:pt>
              </c:numCache>
            </c:numRef>
          </c:cat>
          <c:val>
            <c:numRef>
              <c:f>Sheet1!$D$2:$D$5</c:f>
              <c:numCache>
                <c:formatCode>General</c:formatCode>
                <c:ptCount val="4"/>
                <c:pt idx="0">
                  <c:v>0</c:v>
                </c:pt>
              </c:numCache>
            </c:numRef>
          </c:val>
        </c:ser>
        <c:dLbls>
          <c:showLegendKey val="0"/>
          <c:showVal val="0"/>
          <c:showCatName val="0"/>
          <c:showSerName val="0"/>
          <c:showPercent val="0"/>
          <c:showBubbleSize val="0"/>
        </c:dLbls>
        <c:gapWidth val="150"/>
        <c:axId val="157417472"/>
        <c:axId val="157419008"/>
      </c:barChart>
      <c:catAx>
        <c:axId val="157417472"/>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57419008"/>
        <c:crosses val="autoZero"/>
        <c:auto val="1"/>
        <c:lblAlgn val="ctr"/>
        <c:lblOffset val="100"/>
        <c:noMultiLvlLbl val="0"/>
      </c:catAx>
      <c:valAx>
        <c:axId val="157419008"/>
        <c:scaling>
          <c:orientation val="minMax"/>
        </c:scaling>
        <c:delete val="0"/>
        <c:axPos val="l"/>
        <c:majorGridlines/>
        <c:numFmt formatCode="General" sourceLinked="1"/>
        <c:majorTickMark val="out"/>
        <c:minorTickMark val="none"/>
        <c:tickLblPos val="nextTo"/>
        <c:spPr>
          <a:effectLst>
            <a:outerShdw blurRad="50800" dist="38100" dir="18900000" algn="bl" rotWithShape="0">
              <a:schemeClr val="accent1">
                <a:lumMod val="40000"/>
                <a:lumOff val="60000"/>
                <a:alpha val="40000"/>
              </a:schemeClr>
            </a:outerShdw>
          </a:effectLst>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57417472"/>
        <c:crosses val="autoZero"/>
        <c:crossBetween val="between"/>
      </c:valAx>
      <c:spPr>
        <a:solidFill>
          <a:schemeClr val="accent1">
            <a:lumMod val="20000"/>
            <a:lumOff val="80000"/>
          </a:schemeClr>
        </a:solidFill>
      </c:spPr>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spPr>
    <a:solidFill>
      <a:schemeClr val="bg1"/>
    </a:solidFill>
    <a:ln w="6350" cap="flat" cmpd="sng" algn="ctr">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prstDash val="solid"/>
      <a:miter lim="800000"/>
    </a:ln>
    <a:effectLst>
      <a:innerShdw blurRad="63500" dist="50800" dir="13500000">
        <a:prstClr val="black">
          <a:alpha val="50000"/>
        </a:prstClr>
      </a:innerShdw>
    </a:effectLst>
    <a:scene3d>
      <a:camera prst="orthographicFront"/>
      <a:lightRig rig="threePt" dir="t"/>
    </a:scene3d>
    <a:sp3d>
      <a:bevelB/>
    </a:sp3d>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2019年</c:v>
                </c:pt>
              </c:strCache>
            </c:strRef>
          </c:tx>
          <c:explosion val="0"/>
          <c:dPt>
            <c:idx val="0"/>
            <c:bubble3D val="0"/>
          </c:dPt>
          <c:dPt>
            <c:idx val="1"/>
            <c:bubble3D val="0"/>
          </c:dPt>
          <c:dPt>
            <c:idx val="2"/>
            <c:bubble3D val="0"/>
          </c:dPt>
          <c:dLbls>
            <c:delete val="1"/>
          </c:dLbls>
          <c:cat>
            <c:strRef>
              <c:f>Sheet1!$A$2:$A$4</c:f>
              <c:strCache>
                <c:ptCount val="3"/>
                <c:pt idx="0">
                  <c:v>本年支出合计</c:v>
                </c:pt>
                <c:pt idx="1">
                  <c:v>基本支出</c:v>
                </c:pt>
                <c:pt idx="2">
                  <c:v>项目支出</c:v>
                </c:pt>
              </c:strCache>
            </c:strRef>
          </c:cat>
          <c:val>
            <c:numRef>
              <c:f>Sheet1!$B$2:$B$4</c:f>
              <c:numCache>
                <c:formatCode>General</c:formatCode>
                <c:ptCount val="3"/>
                <c:pt idx="0">
                  <c:v>344.48</c:v>
                </c:pt>
                <c:pt idx="1">
                  <c:v>268.18</c:v>
                </c:pt>
                <c:pt idx="2">
                  <c:v>76.3</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barChart>
        <c:barDir val="col"/>
        <c:grouping val="clustered"/>
        <c:varyColors val="0"/>
        <c:ser>
          <c:idx val="0"/>
          <c:order val="0"/>
          <c:tx>
            <c:strRef>
              <c:f>Sheet1!$B$1</c:f>
              <c:strCache>
                <c:ptCount val="1"/>
                <c:pt idx="0">
                  <c:v>财政拨款收入</c:v>
                </c:pt>
              </c:strCache>
            </c:strRef>
          </c:tx>
          <c:spPr>
            <a:solidFill>
              <a:schemeClr val="accent1"/>
            </a:solidFill>
            <a:ln>
              <a:noFill/>
            </a:ln>
            <a:effectLst/>
          </c:spPr>
          <c:invertIfNegative val="0"/>
          <c:dLbls>
            <c:delete val="1"/>
          </c:dLbls>
          <c:cat>
            <c:strRef>
              <c:f>Sheet1!$A$2:$A$5</c:f>
              <c:strCache>
                <c:ptCount val="4"/>
                <c:pt idx="0">
                  <c:v>2019年度</c:v>
                </c:pt>
                <c:pt idx="1">
                  <c:v>2018年度</c:v>
                </c:pt>
              </c:strCache>
            </c:strRef>
          </c:cat>
          <c:val>
            <c:numRef>
              <c:f>Sheet1!$B$2:$B$5</c:f>
              <c:numCache>
                <c:formatCode>General</c:formatCode>
                <c:ptCount val="4"/>
                <c:pt idx="0">
                  <c:v>344.48</c:v>
                </c:pt>
                <c:pt idx="1">
                  <c:v>463.25</c:v>
                </c:pt>
              </c:numCache>
            </c:numRef>
          </c:val>
        </c:ser>
        <c:ser>
          <c:idx val="1"/>
          <c:order val="1"/>
          <c:tx>
            <c:strRef>
              <c:f>Sheet1!$C$1</c:f>
              <c:strCache>
                <c:ptCount val="1"/>
                <c:pt idx="0">
                  <c:v>财政拨款支出</c:v>
                </c:pt>
              </c:strCache>
            </c:strRef>
          </c:tx>
          <c:spPr>
            <a:solidFill>
              <a:schemeClr val="accent2"/>
            </a:solidFill>
            <a:ln>
              <a:noFill/>
            </a:ln>
            <a:effectLst/>
          </c:spPr>
          <c:invertIfNegative val="0"/>
          <c:dLbls>
            <c:delete val="1"/>
          </c:dLbls>
          <c:cat>
            <c:strRef>
              <c:f>Sheet1!$A$2:$A$5</c:f>
              <c:strCache>
                <c:ptCount val="4"/>
                <c:pt idx="0">
                  <c:v>2019年度</c:v>
                </c:pt>
                <c:pt idx="1">
                  <c:v>2018年度</c:v>
                </c:pt>
              </c:strCache>
            </c:strRef>
          </c:cat>
          <c:val>
            <c:numRef>
              <c:f>Sheet1!$C$2:$C$5</c:f>
              <c:numCache>
                <c:formatCode>General</c:formatCode>
                <c:ptCount val="4"/>
                <c:pt idx="0">
                  <c:v>344.48</c:v>
                </c:pt>
                <c:pt idx="1">
                  <c:v>463.25</c:v>
                </c:pt>
              </c:numCache>
            </c:numRef>
          </c:val>
        </c:ser>
        <c:ser>
          <c:idx val="2"/>
          <c:order val="2"/>
          <c:tx>
            <c:strRef>
              <c:f>Sheet1!$D$1</c:f>
              <c:strCache>
                <c:ptCount val="1"/>
                <c:pt idx="0">
                  <c:v/>
                </c:pt>
              </c:strCache>
            </c:strRef>
          </c:tx>
          <c:spPr>
            <a:solidFill>
              <a:schemeClr val="accent3"/>
            </a:solidFill>
            <a:ln>
              <a:noFill/>
            </a:ln>
            <a:effectLst/>
          </c:spPr>
          <c:invertIfNegative val="0"/>
          <c:dLbls>
            <c:delete val="1"/>
          </c:dLbls>
          <c:cat>
            <c:strRef>
              <c:f>Sheet1!$A$2:$A$5</c:f>
              <c:strCache>
                <c:ptCount val="4"/>
                <c:pt idx="0">
                  <c:v>2019年度</c:v>
                </c:pt>
                <c:pt idx="1">
                  <c:v>2018年度</c:v>
                </c:pt>
              </c:strCache>
            </c:strRef>
          </c:cat>
          <c:val>
            <c:numRef>
              <c:f>Sheet1!$D$2:$D$5</c:f>
              <c:numCache>
                <c:formatCode>General</c:formatCode>
                <c:ptCount val="4"/>
              </c:numCache>
            </c:numRef>
          </c:val>
        </c:ser>
        <c:dLbls>
          <c:showLegendKey val="0"/>
          <c:showVal val="0"/>
          <c:showCatName val="0"/>
          <c:showSerName val="0"/>
          <c:showPercent val="0"/>
          <c:showBubbleSize val="0"/>
        </c:dLbls>
        <c:gapWidth val="219"/>
        <c:overlap val="-27"/>
        <c:axId val="397849740"/>
        <c:axId val="502836135"/>
      </c:barChart>
      <c:catAx>
        <c:axId val="397849740"/>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02836135"/>
        <c:crosses val="autoZero"/>
        <c:auto val="1"/>
        <c:lblAlgn val="ctr"/>
        <c:lblOffset val="100"/>
        <c:noMultiLvlLbl val="0"/>
      </c:catAx>
      <c:valAx>
        <c:axId val="50283613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97849740"/>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barChart>
        <c:barDir val="col"/>
        <c:grouping val="clustered"/>
        <c:varyColors val="0"/>
        <c:ser>
          <c:idx val="0"/>
          <c:order val="0"/>
          <c:tx>
            <c:strRef>
              <c:f>Sheet1!$B$1</c:f>
              <c:strCache>
                <c:ptCount val="1"/>
                <c:pt idx="0">
                  <c:v>本年度支出</c:v>
                </c:pt>
              </c:strCache>
            </c:strRef>
          </c:tx>
          <c:spPr>
            <a:solidFill>
              <a:schemeClr val="accent1"/>
            </a:solidFill>
            <a:ln>
              <a:noFill/>
            </a:ln>
            <a:effectLst/>
          </c:spPr>
          <c:invertIfNegative val="0"/>
          <c:dLbls>
            <c:delete val="1"/>
          </c:dLbls>
          <c:cat>
            <c:strRef>
              <c:f>Sheet1!$A$2:$A$5</c:f>
              <c:strCache>
                <c:ptCount val="4"/>
                <c:pt idx="0">
                  <c:v>2019年度</c:v>
                </c:pt>
              </c:strCache>
            </c:strRef>
          </c:cat>
          <c:val>
            <c:numRef>
              <c:f>Sheet1!$B$2:$B$5</c:f>
              <c:numCache>
                <c:formatCode>General</c:formatCode>
                <c:ptCount val="4"/>
                <c:pt idx="0">
                  <c:v>344.48</c:v>
                </c:pt>
              </c:numCache>
            </c:numRef>
          </c:val>
        </c:ser>
        <c:ser>
          <c:idx val="1"/>
          <c:order val="1"/>
          <c:tx>
            <c:strRef>
              <c:f>Sheet1!$C$1</c:f>
              <c:strCache>
                <c:ptCount val="1"/>
                <c:pt idx="0">
                  <c:v>财政拨款支出</c:v>
                </c:pt>
              </c:strCache>
            </c:strRef>
          </c:tx>
          <c:spPr>
            <a:solidFill>
              <a:schemeClr val="accent2"/>
            </a:solidFill>
            <a:ln>
              <a:noFill/>
            </a:ln>
            <a:effectLst/>
          </c:spPr>
          <c:invertIfNegative val="0"/>
          <c:dLbls>
            <c:delete val="1"/>
          </c:dLbls>
          <c:cat>
            <c:strRef>
              <c:f>Sheet1!$A$2:$A$5</c:f>
              <c:strCache>
                <c:ptCount val="4"/>
                <c:pt idx="0">
                  <c:v>2019年度</c:v>
                </c:pt>
              </c:strCache>
            </c:strRef>
          </c:cat>
          <c:val>
            <c:numRef>
              <c:f>Sheet1!$C$2:$C$5</c:f>
              <c:numCache>
                <c:formatCode>General</c:formatCode>
                <c:ptCount val="4"/>
                <c:pt idx="0">
                  <c:v>344.48</c:v>
                </c:pt>
              </c:numCache>
            </c:numRef>
          </c:val>
        </c:ser>
        <c:ser>
          <c:idx val="2"/>
          <c:order val="2"/>
          <c:tx>
            <c:strRef>
              <c:f>Sheet1!$D$1</c:f>
              <c:strCache>
                <c:ptCount val="1"/>
                <c:pt idx="0">
                  <c:v/>
                </c:pt>
              </c:strCache>
            </c:strRef>
          </c:tx>
          <c:spPr>
            <a:solidFill>
              <a:schemeClr val="accent3"/>
            </a:solidFill>
            <a:ln>
              <a:noFill/>
            </a:ln>
            <a:effectLst/>
          </c:spPr>
          <c:invertIfNegative val="0"/>
          <c:dLbls>
            <c:delete val="1"/>
          </c:dLbls>
          <c:cat>
            <c:strRef>
              <c:f>Sheet1!$A$2:$A$5</c:f>
              <c:strCache>
                <c:ptCount val="4"/>
                <c:pt idx="0">
                  <c:v>2019年度</c:v>
                </c:pt>
              </c:strCache>
            </c:strRef>
          </c:cat>
          <c:val>
            <c:numRef>
              <c:f>Sheet1!$D$2:$D$5</c:f>
              <c:numCache>
                <c:formatCode>General</c:formatCode>
                <c:ptCount val="4"/>
              </c:numCache>
            </c:numRef>
          </c:val>
        </c:ser>
        <c:dLbls>
          <c:showLegendKey val="0"/>
          <c:showVal val="0"/>
          <c:showCatName val="0"/>
          <c:showSerName val="0"/>
          <c:showPercent val="0"/>
          <c:showBubbleSize val="0"/>
        </c:dLbls>
        <c:gapWidth val="182"/>
        <c:overlap val="0"/>
        <c:axId val="117218938"/>
        <c:axId val="199540059"/>
      </c:barChart>
      <c:catAx>
        <c:axId val="117218938"/>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99540059"/>
        <c:crosses val="autoZero"/>
        <c:auto val="1"/>
        <c:lblAlgn val="ctr"/>
        <c:lblOffset val="100"/>
        <c:noMultiLvlLbl val="0"/>
      </c:catAx>
      <c:valAx>
        <c:axId val="19954005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17218938"/>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DC9E887-3F8C-457E-A16D-B01CEBFF0B08}">
  <ds:schemaRefs/>
</ds:datastoreItem>
</file>

<file path=docProps/app.xml><?xml version="1.0" encoding="utf-8"?>
<Properties xmlns="http://schemas.openxmlformats.org/officeDocument/2006/extended-properties" xmlns:vt="http://schemas.openxmlformats.org/officeDocument/2006/docPropsVTypes">
  <Template>Normal</Template>
  <Company>HP</Company>
  <Pages>11</Pages>
  <Words>671</Words>
  <Characters>3830</Characters>
  <Lines>31</Lines>
  <Paragraphs>8</Paragraphs>
  <TotalTime>26</TotalTime>
  <ScaleCrop>false</ScaleCrop>
  <LinksUpToDate>false</LinksUpToDate>
  <CharactersWithSpaces>4493</CharactersWithSpaces>
  <Application>WPS Office_11.1.0.10000_F1E327BC-269C-435d-A152-05C5408002CA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2019-12-03T11:44:00Z</dcterms:created>
  <dc:creator>王菲飞</dc:creator>
  <cp:lastModifiedBy>Lenovo</cp:lastModifiedBy>
  <dcterms:modified xsi:type="dcterms:W3CDTF">2020-09-22T03:33:36Z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ies>
</file>