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cs="宋体"/>
          <w:b/>
          <w:bCs/>
          <w:sz w:val="44"/>
          <w:szCs w:val="44"/>
        </w:rPr>
      </w:pPr>
    </w:p>
    <w:p>
      <w:pPr>
        <w:spacing w:line="440" w:lineRule="exact"/>
        <w:jc w:val="center"/>
        <w:rPr>
          <w:rFonts w:ascii="宋体" w:hAnsi="宋体" w:eastAsia="宋体" w:cs="宋体"/>
          <w:b/>
          <w:bCs/>
          <w:sz w:val="44"/>
          <w:szCs w:val="44"/>
        </w:rPr>
      </w:pPr>
    </w:p>
    <w:p>
      <w:pPr>
        <w:spacing w:line="560" w:lineRule="exact"/>
        <w:jc w:val="center"/>
        <w:rPr>
          <w:rFonts w:ascii="宋体" w:hAnsi="宋体" w:eastAsia="宋体" w:cstheme="majorEastAsia"/>
          <w:b/>
          <w:bCs/>
          <w:sz w:val="48"/>
          <w:szCs w:val="48"/>
        </w:rPr>
      </w:pPr>
      <w:r>
        <w:rPr>
          <w:rFonts w:hint="eastAsia" w:ascii="宋体" w:hAnsi="宋体" w:eastAsia="宋体" w:cstheme="majorEastAsia"/>
          <w:b/>
          <w:bCs/>
          <w:sz w:val="48"/>
          <w:szCs w:val="48"/>
        </w:rPr>
        <w:t>蓝田县住房和城乡建设局</w:t>
      </w:r>
    </w:p>
    <w:p>
      <w:pPr>
        <w:spacing w:line="560" w:lineRule="exact"/>
        <w:jc w:val="center"/>
        <w:rPr>
          <w:rFonts w:ascii="宋体" w:hAnsi="宋体" w:eastAsia="宋体" w:cstheme="majorEastAsia"/>
          <w:b/>
          <w:bCs/>
          <w:sz w:val="48"/>
          <w:szCs w:val="48"/>
        </w:rPr>
      </w:pPr>
      <w:r>
        <w:rPr>
          <w:rFonts w:hint="eastAsia" w:ascii="宋体" w:hAnsi="宋体" w:eastAsia="宋体" w:cstheme="majorEastAsia"/>
          <w:b/>
          <w:bCs/>
          <w:sz w:val="48"/>
          <w:szCs w:val="48"/>
        </w:rPr>
        <w:t>2019年度部门决算</w:t>
      </w:r>
    </w:p>
    <w:p>
      <w:pPr>
        <w:spacing w:line="560" w:lineRule="exact"/>
        <w:jc w:val="center"/>
        <w:rPr>
          <w:rFonts w:asciiTheme="majorEastAsia" w:hAnsiTheme="majorEastAsia" w:eastAsiaTheme="majorEastAsia" w:cstheme="majorEastAsia"/>
          <w:b/>
          <w:bCs/>
          <w:sz w:val="44"/>
          <w:szCs w:val="44"/>
        </w:rPr>
      </w:pPr>
    </w:p>
    <w:p>
      <w:pPr>
        <w:spacing w:line="560" w:lineRule="exact"/>
        <w:jc w:val="center"/>
        <w:rPr>
          <w:rFonts w:asciiTheme="majorEastAsia" w:hAnsiTheme="majorEastAsia" w:eastAsiaTheme="majorEastAsia" w:cstheme="majorEastAsia"/>
          <w:b/>
          <w:bCs/>
          <w:sz w:val="44"/>
          <w:szCs w:val="44"/>
        </w:rPr>
      </w:pPr>
    </w:p>
    <w:p>
      <w:pPr>
        <w:spacing w:line="560" w:lineRule="exact"/>
        <w:jc w:val="center"/>
        <w:rPr>
          <w:rFonts w:asciiTheme="majorEastAsia" w:hAnsiTheme="majorEastAsia" w:eastAsiaTheme="majorEastAsia" w:cstheme="majorEastAsia"/>
          <w:b/>
          <w:bCs/>
          <w:sz w:val="44"/>
          <w:szCs w:val="44"/>
        </w:rPr>
      </w:pPr>
    </w:p>
    <w:p>
      <w:pPr>
        <w:spacing w:line="560" w:lineRule="exact"/>
        <w:jc w:val="center"/>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400" w:lineRule="exact"/>
        <w:ind w:firstLine="2570" w:firstLineChars="800"/>
        <w:rPr>
          <w:rFonts w:asciiTheme="majorEastAsia" w:hAnsiTheme="majorEastAsia" w:eastAsiaTheme="majorEastAsia" w:cstheme="majorEastAsia"/>
          <w:b/>
          <w:bCs/>
          <w:szCs w:val="32"/>
        </w:rPr>
      </w:pPr>
    </w:p>
    <w:p>
      <w:pPr>
        <w:spacing w:line="400" w:lineRule="exact"/>
        <w:ind w:firstLine="2570" w:firstLineChars="800"/>
        <w:rPr>
          <w:rFonts w:asciiTheme="majorEastAsia" w:hAnsiTheme="majorEastAsia" w:eastAsiaTheme="majorEastAsia" w:cstheme="majorEastAsia"/>
          <w:b/>
          <w:bCs/>
          <w:szCs w:val="32"/>
        </w:rPr>
      </w:pPr>
    </w:p>
    <w:p>
      <w:pPr>
        <w:spacing w:line="400" w:lineRule="exact"/>
        <w:ind w:firstLine="2088" w:firstLineChars="650"/>
        <w:rPr>
          <w:rFonts w:ascii="宋体" w:hAnsi="宋体" w:eastAsia="宋体" w:cstheme="minorEastAsia"/>
          <w:b/>
          <w:bCs/>
          <w:szCs w:val="32"/>
        </w:rPr>
      </w:pPr>
      <w:r>
        <w:rPr>
          <w:rFonts w:hint="eastAsia" w:ascii="宋体" w:hAnsi="宋体" w:eastAsia="宋体" w:cstheme="minorEastAsia"/>
          <w:b/>
          <w:bCs/>
          <w:szCs w:val="32"/>
        </w:rPr>
        <w:t>保密审查情况：已审查</w:t>
      </w:r>
    </w:p>
    <w:p>
      <w:pPr>
        <w:spacing w:line="400" w:lineRule="exact"/>
        <w:jc w:val="center"/>
        <w:rPr>
          <w:rFonts w:ascii="宋体" w:hAnsi="宋体" w:eastAsia="宋体" w:cstheme="minorEastAsia"/>
          <w:b/>
          <w:bCs/>
          <w:szCs w:val="32"/>
        </w:rPr>
      </w:pPr>
    </w:p>
    <w:p>
      <w:pPr>
        <w:spacing w:line="400" w:lineRule="exact"/>
        <w:ind w:firstLine="2088" w:firstLineChars="650"/>
        <w:rPr>
          <w:rFonts w:ascii="宋体" w:hAnsi="宋体" w:eastAsia="宋体" w:cs="宋体"/>
          <w:b/>
          <w:bCs/>
          <w:szCs w:val="32"/>
        </w:rPr>
      </w:pPr>
      <w:r>
        <w:rPr>
          <w:rFonts w:hint="eastAsia" w:ascii="宋体" w:hAnsi="宋体" w:eastAsia="宋体" w:cstheme="minorEastAsia"/>
          <w:b/>
          <w:bCs/>
          <w:szCs w:val="32"/>
        </w:rPr>
        <w:t>部门主要负责人审签情况：已审签</w:t>
      </w:r>
    </w:p>
    <w:p>
      <w:pPr>
        <w:spacing w:line="400" w:lineRule="exact"/>
        <w:rPr>
          <w:rFonts w:ascii="宋体" w:hAnsi="宋体" w:cs="宋体"/>
          <w:b/>
          <w:bCs/>
          <w:szCs w:val="32"/>
        </w:rPr>
      </w:pPr>
    </w:p>
    <w:p>
      <w:pPr>
        <w:spacing w:line="400" w:lineRule="exact"/>
        <w:rPr>
          <w:rFonts w:ascii="宋体" w:hAnsi="宋体" w:cs="宋体"/>
          <w:b/>
          <w:bCs/>
          <w:szCs w:val="32"/>
        </w:rPr>
      </w:pPr>
    </w:p>
    <w:p>
      <w:pPr>
        <w:jc w:val="center"/>
        <w:rPr>
          <w:rFonts w:ascii="黑体" w:hAnsi="宋体" w:eastAsia="黑体"/>
          <w:bCs/>
          <w:color w:val="000000"/>
          <w:kern w:val="0"/>
          <w:sz w:val="36"/>
          <w:szCs w:val="36"/>
        </w:rPr>
      </w:pPr>
    </w:p>
    <w:p>
      <w:pPr>
        <w:jc w:val="center"/>
        <w:rPr>
          <w:rFonts w:ascii="黑体" w:hAnsi="宋体" w:eastAsia="黑体"/>
          <w:bCs/>
          <w:color w:val="000000"/>
          <w:kern w:val="0"/>
          <w:sz w:val="36"/>
          <w:szCs w:val="36"/>
        </w:rPr>
      </w:pPr>
    </w:p>
    <w:p>
      <w:pPr>
        <w:jc w:val="center"/>
        <w:rPr>
          <w:rFonts w:hint="eastAsia" w:ascii="黑体" w:hAnsi="宋体" w:eastAsia="黑体"/>
          <w:bCs/>
          <w:color w:val="000000"/>
          <w:kern w:val="0"/>
          <w:sz w:val="36"/>
          <w:szCs w:val="36"/>
        </w:rPr>
      </w:pPr>
    </w:p>
    <w:p>
      <w:pPr>
        <w:jc w:val="center"/>
        <w:rPr>
          <w:rFonts w:ascii="黑体" w:hAnsi="宋体" w:eastAsia="黑体"/>
          <w:bCs/>
          <w:color w:val="000000"/>
          <w:kern w:val="0"/>
          <w:sz w:val="36"/>
          <w:szCs w:val="36"/>
        </w:rPr>
      </w:pPr>
      <w:r>
        <w:rPr>
          <w:rFonts w:ascii="黑体" w:hAnsi="宋体" w:eastAsia="黑体"/>
          <w:bCs/>
          <w:color w:val="000000"/>
          <w:kern w:val="0"/>
          <w:sz w:val="36"/>
          <w:szCs w:val="36"/>
        </w:rPr>
        <w:t>目录</w:t>
      </w:r>
    </w:p>
    <w:p>
      <w:pPr>
        <w:widowControl/>
        <w:spacing w:before="217" w:beforeLines="50"/>
        <w:jc w:val="center"/>
      </w:pPr>
      <w:r>
        <w:rPr>
          <w:rFonts w:hint="eastAsia" w:ascii="黑体" w:hAnsi="宋体" w:eastAsia="黑体"/>
          <w:color w:val="000000"/>
          <w:kern w:val="0"/>
          <w:szCs w:val="32"/>
        </w:rPr>
        <w:t>第一部分 部门概况</w:t>
      </w:r>
    </w:p>
    <w:p>
      <w:pPr>
        <w:widowControl/>
        <w:spacing w:before="217" w:beforeLines="50"/>
        <w:jc w:val="left"/>
        <w:rPr>
          <w:rFonts w:ascii="仿宋" w:hAnsi="仿宋" w:eastAsia="仿宋" w:cs="楷体"/>
          <w:color w:val="000000"/>
          <w:kern w:val="0"/>
          <w:szCs w:val="32"/>
        </w:rPr>
      </w:pPr>
      <w:r>
        <w:rPr>
          <w:rFonts w:hint="eastAsia" w:ascii="仿宋" w:hAnsi="仿宋" w:eastAsia="仿宋" w:cs="楷体"/>
          <w:color w:val="000000"/>
          <w:kern w:val="0"/>
          <w:szCs w:val="32"/>
        </w:rPr>
        <w:t>一、部门主要职责及内设机构</w:t>
      </w:r>
    </w:p>
    <w:p>
      <w:pPr>
        <w:widowControl/>
        <w:spacing w:before="217" w:beforeLines="50"/>
        <w:jc w:val="left"/>
        <w:rPr>
          <w:rFonts w:ascii="仿宋" w:hAnsi="仿宋" w:eastAsia="仿宋" w:cs="楷体"/>
          <w:color w:val="000000"/>
          <w:kern w:val="0"/>
          <w:szCs w:val="32"/>
        </w:rPr>
      </w:pPr>
      <w:r>
        <w:rPr>
          <w:rFonts w:hint="eastAsia" w:ascii="仿宋" w:hAnsi="仿宋" w:eastAsia="仿宋" w:cs="楷体"/>
          <w:color w:val="000000"/>
          <w:kern w:val="0"/>
          <w:szCs w:val="32"/>
        </w:rPr>
        <w:t>二、部门决算单位构成</w:t>
      </w:r>
    </w:p>
    <w:p>
      <w:pPr>
        <w:widowControl/>
        <w:spacing w:before="217" w:beforeLines="50"/>
        <w:jc w:val="left"/>
        <w:rPr>
          <w:rFonts w:ascii="仿宋" w:hAnsi="仿宋" w:eastAsia="仿宋" w:cs="楷体"/>
          <w:color w:val="000000"/>
          <w:kern w:val="0"/>
          <w:szCs w:val="32"/>
        </w:rPr>
      </w:pPr>
      <w:r>
        <w:rPr>
          <w:rFonts w:hint="eastAsia" w:ascii="仿宋" w:hAnsi="仿宋" w:eastAsia="仿宋" w:cs="楷体"/>
          <w:color w:val="000000"/>
          <w:kern w:val="0"/>
          <w:szCs w:val="32"/>
        </w:rPr>
        <w:t>三、部门人员情况</w:t>
      </w:r>
    </w:p>
    <w:p>
      <w:pPr>
        <w:widowControl/>
        <w:spacing w:before="217" w:beforeLines="50"/>
        <w:jc w:val="center"/>
      </w:pPr>
      <w:r>
        <w:rPr>
          <w:rFonts w:hint="eastAsia" w:ascii="黑体" w:hAnsi="宋体" w:eastAsia="黑体"/>
          <w:color w:val="000000"/>
          <w:kern w:val="0"/>
          <w:szCs w:val="32"/>
        </w:rPr>
        <w:t>第二部分  2019年度部门决算表</w:t>
      </w:r>
    </w:p>
    <w:p>
      <w:pPr>
        <w:widowControl/>
        <w:spacing w:before="217" w:beforeLines="50"/>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一、收入支出决算总表     </w:t>
      </w:r>
    </w:p>
    <w:p>
      <w:pPr>
        <w:widowControl/>
        <w:spacing w:before="217" w:beforeLines="50"/>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二、收入决算总表     </w:t>
      </w:r>
    </w:p>
    <w:p>
      <w:pPr>
        <w:widowControl/>
        <w:spacing w:before="217" w:beforeLines="50"/>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三、支出决算总表    </w:t>
      </w:r>
    </w:p>
    <w:p>
      <w:pPr>
        <w:widowControl/>
        <w:spacing w:before="217" w:beforeLines="50"/>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四、财政拨款收入支出决算总表    </w:t>
      </w:r>
    </w:p>
    <w:p>
      <w:pPr>
        <w:widowControl/>
        <w:spacing w:before="217" w:beforeLines="50"/>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五、一般公共预算财政拨款支出决算表  </w:t>
      </w:r>
    </w:p>
    <w:p>
      <w:pPr>
        <w:widowControl/>
        <w:spacing w:before="217" w:beforeLines="50"/>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六、一般公共预算财政拨款基本支出决算表    </w:t>
      </w:r>
    </w:p>
    <w:p>
      <w:pPr>
        <w:widowControl/>
        <w:spacing w:before="217" w:beforeLines="50"/>
        <w:ind w:left="640" w:hanging="640" w:hangingChars="200"/>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七、一般公共预算财政拨款“三公”经费及会议费、培训费支出决算表    </w:t>
      </w:r>
    </w:p>
    <w:p>
      <w:pPr>
        <w:widowControl/>
        <w:spacing w:before="217" w:beforeLines="50"/>
        <w:jc w:val="left"/>
        <w:rPr>
          <w:rFonts w:ascii="仿宋" w:hAnsi="仿宋" w:eastAsia="仿宋" w:cs="楷体"/>
          <w:color w:val="000000"/>
          <w:kern w:val="0"/>
          <w:szCs w:val="32"/>
        </w:rPr>
      </w:pPr>
      <w:r>
        <w:rPr>
          <w:rFonts w:hint="eastAsia" w:ascii="仿宋" w:hAnsi="仿宋" w:eastAsia="仿宋" w:cs="楷体"/>
          <w:color w:val="000000"/>
          <w:kern w:val="0"/>
          <w:szCs w:val="32"/>
        </w:rPr>
        <w:t>八、政府性基金预算财政拨款收入支出决算表</w:t>
      </w:r>
    </w:p>
    <w:p>
      <w:pPr>
        <w:widowControl/>
        <w:spacing w:before="217" w:beforeLines="50"/>
        <w:jc w:val="center"/>
      </w:pPr>
      <w:r>
        <w:rPr>
          <w:rFonts w:hint="eastAsia" w:ascii="黑体" w:hAnsi="宋体" w:eastAsia="黑体"/>
          <w:color w:val="000000"/>
          <w:kern w:val="0"/>
          <w:szCs w:val="32"/>
        </w:rPr>
        <w:t>第三部分 2019年度部门决算情况说明</w:t>
      </w:r>
    </w:p>
    <w:p>
      <w:pPr>
        <w:widowControl/>
        <w:spacing w:before="217" w:beforeLines="50"/>
        <w:jc w:val="left"/>
        <w:rPr>
          <w:rFonts w:ascii="仿宋" w:hAnsi="仿宋" w:eastAsia="仿宋" w:cs="楷体"/>
          <w:color w:val="000000"/>
          <w:kern w:val="0"/>
          <w:szCs w:val="32"/>
        </w:rPr>
      </w:pPr>
      <w:r>
        <w:rPr>
          <w:rFonts w:hint="eastAsia" w:ascii="仿宋" w:hAnsi="仿宋" w:eastAsia="仿宋" w:cs="楷体"/>
          <w:color w:val="000000"/>
          <w:kern w:val="0"/>
          <w:szCs w:val="32"/>
        </w:rPr>
        <w:t>一、收入支出决算总体情况说明</w:t>
      </w:r>
    </w:p>
    <w:p>
      <w:pPr>
        <w:widowControl/>
        <w:spacing w:before="217" w:beforeLines="50"/>
        <w:jc w:val="left"/>
        <w:rPr>
          <w:rFonts w:ascii="仿宋" w:hAnsi="仿宋" w:eastAsia="仿宋" w:cs="楷体"/>
          <w:color w:val="000000"/>
          <w:kern w:val="0"/>
          <w:szCs w:val="32"/>
        </w:rPr>
      </w:pPr>
      <w:r>
        <w:rPr>
          <w:rFonts w:hint="eastAsia" w:ascii="仿宋" w:hAnsi="仿宋" w:eastAsia="仿宋" w:cs="楷体"/>
          <w:color w:val="000000"/>
          <w:kern w:val="0"/>
          <w:szCs w:val="32"/>
        </w:rPr>
        <w:t>二、收入决算情况说明</w:t>
      </w:r>
    </w:p>
    <w:p>
      <w:pPr>
        <w:widowControl/>
        <w:spacing w:before="217" w:beforeLines="50"/>
        <w:jc w:val="left"/>
        <w:rPr>
          <w:rFonts w:ascii="仿宋" w:hAnsi="仿宋" w:eastAsia="仿宋" w:cs="楷体"/>
          <w:color w:val="000000"/>
          <w:kern w:val="0"/>
          <w:szCs w:val="32"/>
        </w:rPr>
      </w:pPr>
      <w:r>
        <w:rPr>
          <w:rFonts w:hint="eastAsia" w:ascii="仿宋" w:hAnsi="仿宋" w:eastAsia="仿宋" w:cs="楷体"/>
          <w:color w:val="000000"/>
          <w:kern w:val="0"/>
          <w:szCs w:val="32"/>
        </w:rPr>
        <w:t>三、支出决算情况说明</w:t>
      </w:r>
    </w:p>
    <w:p>
      <w:pPr>
        <w:widowControl/>
        <w:spacing w:before="217" w:beforeLines="50"/>
        <w:jc w:val="left"/>
        <w:rPr>
          <w:rFonts w:ascii="楷体" w:hAnsi="楷体" w:eastAsia="楷体" w:cs="楷体"/>
        </w:rPr>
      </w:pPr>
      <w:r>
        <w:rPr>
          <w:rFonts w:hint="eastAsia" w:ascii="仿宋" w:hAnsi="仿宋" w:eastAsia="仿宋" w:cs="楷体"/>
          <w:color w:val="000000"/>
          <w:kern w:val="0"/>
          <w:szCs w:val="32"/>
        </w:rPr>
        <w:t>四、财政拨款收入支出决算总体情况说明</w:t>
      </w:r>
    </w:p>
    <w:p>
      <w:pPr>
        <w:widowControl/>
        <w:spacing w:before="217" w:beforeLines="50"/>
        <w:jc w:val="left"/>
        <w:rPr>
          <w:rFonts w:ascii="仿宋" w:hAnsi="仿宋" w:eastAsia="仿宋" w:cs="楷体"/>
          <w:color w:val="000000"/>
          <w:kern w:val="0"/>
          <w:szCs w:val="32"/>
        </w:rPr>
      </w:pPr>
      <w:r>
        <w:rPr>
          <w:rFonts w:hint="eastAsia" w:ascii="仿宋" w:hAnsi="仿宋" w:eastAsia="仿宋" w:cs="楷体"/>
          <w:color w:val="000000"/>
          <w:kern w:val="0"/>
          <w:szCs w:val="32"/>
        </w:rPr>
        <w:t>五、一般公共预算财政拨款支出决算情况说明</w:t>
      </w:r>
    </w:p>
    <w:p>
      <w:pPr>
        <w:widowControl/>
        <w:spacing w:before="217" w:beforeLines="50"/>
        <w:jc w:val="left"/>
        <w:rPr>
          <w:rFonts w:ascii="仿宋" w:hAnsi="仿宋" w:eastAsia="仿宋" w:cs="楷体"/>
          <w:color w:val="000000"/>
          <w:kern w:val="0"/>
          <w:szCs w:val="32"/>
        </w:rPr>
      </w:pPr>
      <w:r>
        <w:rPr>
          <w:rFonts w:hint="eastAsia" w:ascii="仿宋" w:hAnsi="仿宋" w:eastAsia="仿宋" w:cs="楷体"/>
          <w:color w:val="000000"/>
          <w:kern w:val="0"/>
          <w:szCs w:val="32"/>
        </w:rPr>
        <w:t>（一）财政拨款支出决算总体情况说明</w:t>
      </w:r>
    </w:p>
    <w:p>
      <w:pPr>
        <w:widowControl/>
        <w:spacing w:before="217" w:beforeLines="50"/>
        <w:jc w:val="left"/>
        <w:rPr>
          <w:rFonts w:ascii="仿宋" w:hAnsi="仿宋" w:eastAsia="仿宋" w:cs="楷体"/>
          <w:color w:val="000000"/>
          <w:kern w:val="0"/>
          <w:szCs w:val="32"/>
        </w:rPr>
      </w:pPr>
      <w:r>
        <w:rPr>
          <w:rFonts w:hint="eastAsia" w:ascii="仿宋" w:hAnsi="仿宋" w:eastAsia="仿宋" w:cs="楷体"/>
          <w:color w:val="000000"/>
          <w:kern w:val="0"/>
          <w:szCs w:val="32"/>
        </w:rPr>
        <w:t>（二）财政拨款支出决算具体情况说明</w:t>
      </w:r>
    </w:p>
    <w:p>
      <w:pPr>
        <w:widowControl/>
        <w:spacing w:before="217" w:beforeLines="50"/>
        <w:jc w:val="left"/>
        <w:rPr>
          <w:rFonts w:ascii="仿宋" w:hAnsi="仿宋" w:eastAsia="仿宋" w:cs="楷体"/>
          <w:color w:val="000000"/>
          <w:kern w:val="0"/>
          <w:szCs w:val="32"/>
        </w:rPr>
      </w:pPr>
      <w:r>
        <w:rPr>
          <w:rFonts w:hint="eastAsia" w:ascii="仿宋" w:hAnsi="仿宋" w:eastAsia="仿宋" w:cs="楷体"/>
          <w:color w:val="000000"/>
          <w:kern w:val="0"/>
          <w:szCs w:val="32"/>
        </w:rPr>
        <w:t>六、一般公共预算财政拨款基本支出决算情况说明</w:t>
      </w:r>
    </w:p>
    <w:p>
      <w:pPr>
        <w:widowControl/>
        <w:spacing w:before="217" w:beforeLines="50"/>
        <w:jc w:val="left"/>
        <w:rPr>
          <w:rFonts w:ascii="仿宋" w:hAnsi="仿宋" w:eastAsia="仿宋" w:cs="楷体"/>
          <w:color w:val="000000"/>
          <w:kern w:val="0"/>
          <w:szCs w:val="32"/>
        </w:rPr>
      </w:pPr>
      <w:r>
        <w:rPr>
          <w:rFonts w:hint="eastAsia" w:ascii="仿宋" w:hAnsi="仿宋" w:eastAsia="仿宋" w:cs="楷体"/>
          <w:color w:val="000000"/>
          <w:kern w:val="0"/>
          <w:szCs w:val="32"/>
        </w:rPr>
        <w:t>七、一般公共预算财政拨款“三公”经费及会议费、培训费支出决算情况说明</w:t>
      </w:r>
    </w:p>
    <w:p>
      <w:pPr>
        <w:widowControl/>
        <w:spacing w:before="217" w:beforeLines="50"/>
        <w:jc w:val="left"/>
        <w:rPr>
          <w:rFonts w:ascii="仿宋" w:hAnsi="仿宋" w:eastAsia="仿宋" w:cs="楷体"/>
          <w:color w:val="000000"/>
          <w:kern w:val="0"/>
          <w:szCs w:val="32"/>
        </w:rPr>
      </w:pPr>
      <w:r>
        <w:rPr>
          <w:rFonts w:hint="eastAsia" w:ascii="仿宋" w:hAnsi="仿宋" w:eastAsia="仿宋" w:cs="楷体"/>
          <w:color w:val="000000"/>
          <w:kern w:val="0"/>
          <w:szCs w:val="32"/>
        </w:rPr>
        <w:t>（一）“三公”经费财政拨款支出决算总体情况说明</w:t>
      </w:r>
    </w:p>
    <w:p>
      <w:pPr>
        <w:widowControl/>
        <w:spacing w:before="217" w:beforeLines="50"/>
        <w:jc w:val="left"/>
        <w:rPr>
          <w:rFonts w:ascii="仿宋" w:hAnsi="仿宋" w:eastAsia="仿宋" w:cs="楷体"/>
          <w:color w:val="000000"/>
          <w:kern w:val="0"/>
          <w:szCs w:val="32"/>
        </w:rPr>
      </w:pPr>
      <w:r>
        <w:rPr>
          <w:rFonts w:hint="eastAsia" w:ascii="仿宋" w:hAnsi="仿宋" w:eastAsia="仿宋" w:cs="楷体"/>
          <w:color w:val="000000"/>
          <w:kern w:val="0"/>
          <w:szCs w:val="32"/>
        </w:rPr>
        <w:t>（二）“三公”经费财政拨款支出决算具体情况说明</w:t>
      </w:r>
    </w:p>
    <w:p>
      <w:pPr>
        <w:widowControl/>
        <w:spacing w:before="217" w:beforeLines="50"/>
        <w:jc w:val="left"/>
        <w:rPr>
          <w:rFonts w:ascii="仿宋" w:hAnsi="仿宋" w:eastAsia="仿宋" w:cs="楷体"/>
          <w:color w:val="000000"/>
          <w:kern w:val="0"/>
          <w:szCs w:val="32"/>
        </w:rPr>
      </w:pPr>
      <w:r>
        <w:rPr>
          <w:rFonts w:hint="eastAsia" w:ascii="仿宋" w:hAnsi="仿宋" w:eastAsia="仿宋" w:cs="楷体"/>
          <w:color w:val="000000"/>
          <w:kern w:val="0"/>
          <w:szCs w:val="32"/>
        </w:rPr>
        <w:t>（三）培训费支出情况说明</w:t>
      </w:r>
    </w:p>
    <w:p>
      <w:pPr>
        <w:widowControl/>
        <w:spacing w:before="217" w:beforeLines="50"/>
        <w:jc w:val="left"/>
        <w:rPr>
          <w:rFonts w:ascii="仿宋" w:hAnsi="仿宋" w:eastAsia="仿宋" w:cs="楷体"/>
          <w:color w:val="000000"/>
          <w:kern w:val="0"/>
          <w:szCs w:val="32"/>
        </w:rPr>
      </w:pPr>
      <w:r>
        <w:rPr>
          <w:rFonts w:hint="eastAsia" w:ascii="仿宋" w:hAnsi="仿宋" w:eastAsia="仿宋" w:cs="楷体"/>
          <w:color w:val="000000"/>
          <w:kern w:val="0"/>
          <w:szCs w:val="32"/>
        </w:rPr>
        <w:t>（四）会议费支出情况说明</w:t>
      </w:r>
    </w:p>
    <w:p>
      <w:pPr>
        <w:widowControl/>
        <w:spacing w:before="217" w:beforeLines="50"/>
        <w:jc w:val="left"/>
        <w:rPr>
          <w:rFonts w:ascii="仿宋" w:hAnsi="仿宋" w:eastAsia="仿宋" w:cs="楷体"/>
          <w:color w:val="000000"/>
          <w:kern w:val="0"/>
          <w:szCs w:val="32"/>
        </w:rPr>
      </w:pPr>
      <w:r>
        <w:rPr>
          <w:rFonts w:hint="eastAsia" w:ascii="仿宋" w:hAnsi="仿宋" w:eastAsia="仿宋" w:cs="楷体"/>
          <w:color w:val="000000"/>
          <w:kern w:val="0"/>
          <w:szCs w:val="32"/>
        </w:rPr>
        <w:t>八、政府性基金预算财政拨款收入支出情况说明</w:t>
      </w:r>
    </w:p>
    <w:p>
      <w:pPr>
        <w:widowControl/>
        <w:spacing w:before="217" w:beforeLines="50"/>
        <w:jc w:val="left"/>
        <w:rPr>
          <w:rFonts w:ascii="仿宋" w:hAnsi="仿宋" w:eastAsia="仿宋" w:cs="楷体"/>
          <w:color w:val="000000"/>
          <w:kern w:val="0"/>
          <w:szCs w:val="32"/>
        </w:rPr>
      </w:pPr>
      <w:r>
        <w:rPr>
          <w:rFonts w:hint="eastAsia" w:ascii="仿宋" w:hAnsi="仿宋" w:eastAsia="仿宋" w:cs="楷体"/>
          <w:color w:val="000000"/>
          <w:kern w:val="0"/>
          <w:szCs w:val="32"/>
        </w:rPr>
        <w:t>九、国有资本经营财政拨款收入支出情况说明</w:t>
      </w:r>
    </w:p>
    <w:p>
      <w:pPr>
        <w:widowControl/>
        <w:spacing w:before="217" w:beforeLines="50"/>
        <w:jc w:val="left"/>
        <w:rPr>
          <w:rFonts w:ascii="仿宋" w:hAnsi="仿宋" w:eastAsia="仿宋" w:cs="楷体"/>
          <w:color w:val="000000"/>
          <w:kern w:val="0"/>
          <w:szCs w:val="32"/>
        </w:rPr>
      </w:pPr>
      <w:r>
        <w:rPr>
          <w:rFonts w:hint="eastAsia" w:ascii="仿宋" w:hAnsi="仿宋" w:eastAsia="仿宋" w:cs="楷体"/>
          <w:color w:val="000000"/>
          <w:kern w:val="0"/>
          <w:szCs w:val="32"/>
        </w:rPr>
        <w:t>十、预算绩效情况说明</w:t>
      </w:r>
    </w:p>
    <w:p>
      <w:pPr>
        <w:widowControl/>
        <w:spacing w:before="217" w:beforeLines="50"/>
        <w:jc w:val="left"/>
        <w:rPr>
          <w:rFonts w:ascii="仿宋" w:hAnsi="仿宋" w:eastAsia="仿宋" w:cs="楷体"/>
          <w:color w:val="000000"/>
          <w:kern w:val="0"/>
          <w:szCs w:val="32"/>
        </w:rPr>
      </w:pPr>
      <w:r>
        <w:rPr>
          <w:rFonts w:hint="eastAsia" w:ascii="仿宋" w:hAnsi="仿宋" w:eastAsia="仿宋" w:cs="楷体"/>
          <w:color w:val="000000"/>
          <w:kern w:val="0"/>
          <w:szCs w:val="32"/>
        </w:rPr>
        <w:t>（一）预算绩效管理工作开展情况说明</w:t>
      </w:r>
    </w:p>
    <w:p>
      <w:pPr>
        <w:widowControl/>
        <w:spacing w:before="217" w:beforeLines="50"/>
        <w:jc w:val="left"/>
        <w:rPr>
          <w:rFonts w:ascii="仿宋" w:hAnsi="仿宋" w:eastAsia="仿宋" w:cs="楷体"/>
          <w:color w:val="000000"/>
          <w:kern w:val="0"/>
          <w:szCs w:val="32"/>
        </w:rPr>
      </w:pPr>
      <w:r>
        <w:rPr>
          <w:rFonts w:hint="eastAsia" w:ascii="仿宋" w:hAnsi="仿宋" w:eastAsia="仿宋" w:cs="楷体"/>
          <w:color w:val="000000"/>
          <w:kern w:val="0"/>
          <w:szCs w:val="32"/>
        </w:rPr>
        <w:t>（二）部门决算中项目绩效自评结果</w:t>
      </w:r>
    </w:p>
    <w:p>
      <w:pPr>
        <w:widowControl/>
        <w:spacing w:before="217" w:beforeLines="50"/>
        <w:jc w:val="left"/>
        <w:rPr>
          <w:rFonts w:ascii="仿宋" w:hAnsi="仿宋" w:eastAsia="仿宋" w:cs="楷体"/>
          <w:color w:val="000000"/>
          <w:kern w:val="0"/>
          <w:szCs w:val="32"/>
        </w:rPr>
      </w:pPr>
      <w:r>
        <w:rPr>
          <w:rFonts w:hint="eastAsia" w:ascii="仿宋" w:hAnsi="仿宋" w:eastAsia="仿宋" w:cs="楷体"/>
          <w:color w:val="000000"/>
          <w:kern w:val="0"/>
          <w:szCs w:val="32"/>
        </w:rPr>
        <w:t>（三）部门决算中整体支出绩效自评结果</w:t>
      </w:r>
    </w:p>
    <w:p>
      <w:pPr>
        <w:widowControl/>
        <w:spacing w:before="217" w:beforeLines="50"/>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 十一、其他重要事项说明</w:t>
      </w:r>
    </w:p>
    <w:p>
      <w:pPr>
        <w:widowControl/>
        <w:spacing w:before="217" w:beforeLines="50"/>
        <w:jc w:val="left"/>
        <w:rPr>
          <w:rFonts w:ascii="仿宋" w:hAnsi="仿宋" w:eastAsia="仿宋" w:cs="楷体"/>
          <w:color w:val="000000"/>
          <w:kern w:val="0"/>
          <w:szCs w:val="32"/>
        </w:rPr>
      </w:pPr>
      <w:r>
        <w:rPr>
          <w:rFonts w:hint="eastAsia" w:ascii="仿宋" w:hAnsi="仿宋" w:eastAsia="仿宋" w:cs="楷体"/>
          <w:color w:val="000000"/>
          <w:kern w:val="0"/>
          <w:szCs w:val="32"/>
        </w:rPr>
        <w:t>（一）机关运行经费支出情况说明</w:t>
      </w:r>
    </w:p>
    <w:p>
      <w:pPr>
        <w:widowControl/>
        <w:spacing w:before="217" w:beforeLines="50"/>
        <w:jc w:val="left"/>
        <w:rPr>
          <w:rFonts w:ascii="仿宋" w:hAnsi="仿宋" w:eastAsia="仿宋" w:cs="楷体"/>
          <w:color w:val="000000"/>
          <w:kern w:val="0"/>
          <w:szCs w:val="32"/>
        </w:rPr>
      </w:pPr>
      <w:r>
        <w:rPr>
          <w:rFonts w:hint="eastAsia" w:ascii="仿宋" w:hAnsi="仿宋" w:eastAsia="仿宋" w:cs="楷体"/>
          <w:color w:val="000000"/>
          <w:kern w:val="0"/>
          <w:szCs w:val="32"/>
        </w:rPr>
        <w:t>（二）政府采购支出情况说明</w:t>
      </w:r>
    </w:p>
    <w:p>
      <w:pPr>
        <w:widowControl/>
        <w:spacing w:before="217" w:beforeLines="50"/>
        <w:jc w:val="left"/>
        <w:rPr>
          <w:rFonts w:ascii="仿宋" w:hAnsi="仿宋" w:eastAsia="仿宋" w:cs="楷体"/>
          <w:color w:val="000000"/>
          <w:kern w:val="0"/>
          <w:szCs w:val="32"/>
        </w:rPr>
      </w:pPr>
      <w:r>
        <w:rPr>
          <w:rFonts w:hint="eastAsia" w:ascii="仿宋" w:hAnsi="仿宋" w:eastAsia="仿宋" w:cs="楷体"/>
          <w:color w:val="000000"/>
          <w:kern w:val="0"/>
          <w:szCs w:val="32"/>
        </w:rPr>
        <w:t>（三）国有资产占用及购置情况说明</w:t>
      </w:r>
    </w:p>
    <w:p>
      <w:pPr>
        <w:spacing w:before="217" w:beforeLines="50"/>
        <w:jc w:val="center"/>
        <w:rPr>
          <w:rFonts w:ascii="黑体" w:hAnsi="宋体" w:eastAsia="黑体"/>
          <w:color w:val="000000"/>
          <w:kern w:val="0"/>
          <w:szCs w:val="32"/>
        </w:rPr>
      </w:pPr>
      <w:r>
        <w:rPr>
          <w:rFonts w:hint="eastAsia" w:ascii="黑体" w:hAnsi="宋体" w:eastAsia="黑体"/>
          <w:color w:val="000000"/>
          <w:kern w:val="0"/>
          <w:szCs w:val="32"/>
        </w:rPr>
        <w:t>第四部分 专业名词解释</w:t>
      </w:r>
    </w:p>
    <w:p>
      <w:pPr>
        <w:rPr>
          <w:rFonts w:ascii="黑体" w:hAnsi="宋体" w:eastAsia="黑体"/>
          <w:color w:val="000000"/>
          <w:kern w:val="0"/>
          <w:szCs w:val="32"/>
        </w:rPr>
      </w:pPr>
    </w:p>
    <w:p>
      <w:pPr>
        <w:jc w:val="center"/>
        <w:rPr>
          <w:rFonts w:hint="eastAsia" w:ascii="黑体" w:hAnsi="宋体" w:eastAsia="黑体"/>
          <w:color w:val="000000"/>
          <w:kern w:val="0"/>
          <w:sz w:val="44"/>
          <w:szCs w:val="44"/>
        </w:rPr>
      </w:pPr>
    </w:p>
    <w:p>
      <w:pPr>
        <w:jc w:val="center"/>
        <w:rPr>
          <w:rFonts w:ascii="黑体" w:hAnsi="宋体" w:eastAsia="黑体"/>
          <w:color w:val="000000"/>
          <w:kern w:val="0"/>
          <w:sz w:val="44"/>
          <w:szCs w:val="44"/>
        </w:rPr>
      </w:pPr>
    </w:p>
    <w:p>
      <w:pPr>
        <w:numPr>
          <w:ilvl w:val="0"/>
          <w:numId w:val="1"/>
        </w:numPr>
        <w:jc w:val="center"/>
        <w:rPr>
          <w:rFonts w:ascii="黑体" w:hAnsi="宋体" w:eastAsia="黑体"/>
          <w:color w:val="000000"/>
          <w:kern w:val="0"/>
          <w:sz w:val="44"/>
          <w:szCs w:val="44"/>
        </w:rPr>
      </w:pPr>
      <w:r>
        <w:rPr>
          <w:rFonts w:hint="eastAsia" w:ascii="黑体" w:hAnsi="宋体" w:eastAsia="黑体"/>
          <w:color w:val="000000"/>
          <w:kern w:val="0"/>
          <w:sz w:val="44"/>
          <w:szCs w:val="44"/>
        </w:rPr>
        <w:t>部门</w:t>
      </w:r>
      <w:r>
        <w:rPr>
          <w:rFonts w:ascii="黑体" w:hAnsi="宋体" w:eastAsia="黑体"/>
          <w:color w:val="000000"/>
          <w:kern w:val="0"/>
          <w:sz w:val="44"/>
          <w:szCs w:val="44"/>
        </w:rPr>
        <w:t>概况</w:t>
      </w:r>
    </w:p>
    <w:p>
      <w:pPr>
        <w:widowControl/>
        <w:ind w:firstLine="640" w:firstLineChars="200"/>
        <w:jc w:val="left"/>
        <w:rPr>
          <w:rFonts w:ascii="黑体" w:hAnsi="宋体" w:eastAsia="黑体"/>
          <w:color w:val="000000"/>
          <w:kern w:val="0"/>
          <w:szCs w:val="32"/>
        </w:rPr>
      </w:pPr>
      <w:r>
        <w:rPr>
          <w:rFonts w:hint="eastAsia" w:ascii="黑体" w:hAnsi="宋体" w:eastAsia="黑体"/>
          <w:color w:val="000000"/>
          <w:kern w:val="0"/>
          <w:szCs w:val="32"/>
        </w:rPr>
        <w:t>一、部门主要职责及内设机构</w:t>
      </w:r>
    </w:p>
    <w:p>
      <w:pPr>
        <w:widowControl/>
        <w:ind w:firstLine="643" w:firstLineChars="200"/>
        <w:jc w:val="left"/>
        <w:rPr>
          <w:rFonts w:ascii="楷体" w:hAnsi="楷体" w:eastAsia="楷体" w:cs="楷体"/>
          <w:b/>
          <w:bCs/>
          <w:color w:val="000000"/>
          <w:kern w:val="0"/>
          <w:szCs w:val="32"/>
        </w:rPr>
      </w:pPr>
      <w:r>
        <w:rPr>
          <w:rFonts w:hint="eastAsia" w:ascii="楷体" w:hAnsi="楷体" w:eastAsia="楷体" w:cs="楷体"/>
          <w:b/>
          <w:bCs/>
          <w:color w:val="000000"/>
          <w:kern w:val="0"/>
          <w:szCs w:val="32"/>
        </w:rPr>
        <w:t>（一）主要职责</w:t>
      </w:r>
    </w:p>
    <w:p>
      <w:pPr>
        <w:spacing w:line="600" w:lineRule="exact"/>
        <w:ind w:firstLine="800" w:firstLineChars="250"/>
        <w:rPr>
          <w:rFonts w:ascii="仿宋_GB2312" w:hAnsi="仿宋" w:eastAsia="仿宋_GB2312"/>
          <w:szCs w:val="32"/>
        </w:rPr>
      </w:pPr>
      <w:r>
        <w:rPr>
          <w:rFonts w:hint="eastAsia" w:ascii="仿宋_GB2312" w:hAnsi="仿宋" w:eastAsia="仿宋_GB2312"/>
          <w:szCs w:val="32"/>
        </w:rPr>
        <w:t xml:space="preserve"> 1、贯彻执行有关规划建设的方针、政策、法律、法规，负责起草有关规划建设的地方性规定；负责编制城乡建设中长期计划，并组织实施。</w:t>
      </w:r>
    </w:p>
    <w:p>
      <w:pPr>
        <w:spacing w:line="600" w:lineRule="exact"/>
        <w:rPr>
          <w:rFonts w:ascii="仿宋_GB2312" w:hAnsi="仿宋" w:eastAsia="仿宋_GB2312"/>
          <w:szCs w:val="32"/>
        </w:rPr>
      </w:pPr>
      <w:r>
        <w:rPr>
          <w:rFonts w:hint="eastAsia" w:eastAsia="仿宋_GB2312"/>
          <w:szCs w:val="32"/>
        </w:rPr>
        <w:t>   </w:t>
      </w:r>
      <w:r>
        <w:rPr>
          <w:rFonts w:hint="eastAsia" w:ascii="仿宋_GB2312" w:eastAsia="仿宋_GB2312"/>
          <w:szCs w:val="32"/>
        </w:rPr>
        <w:t xml:space="preserve">  </w:t>
      </w:r>
      <w:r>
        <w:rPr>
          <w:rFonts w:hint="eastAsia" w:ascii="仿宋_GB2312" w:hAnsi="仿宋" w:eastAsia="仿宋_GB2312"/>
          <w:szCs w:val="32"/>
        </w:rPr>
        <w:t xml:space="preserve"> 2、编制全县城镇总体规划、分区规划、详细规划，并组织实施。参与编制土地利用的总体规划。参与重大建设项目选址定点，实施方案的审查，组织审定工程建设项目的初步设计。</w:t>
      </w:r>
    </w:p>
    <w:p>
      <w:pPr>
        <w:spacing w:line="600" w:lineRule="exact"/>
        <w:rPr>
          <w:rFonts w:ascii="仿宋_GB2312" w:hAnsi="仿宋" w:eastAsia="仿宋_GB2312"/>
          <w:szCs w:val="32"/>
        </w:rPr>
      </w:pPr>
      <w:r>
        <w:rPr>
          <w:rFonts w:hint="eastAsia" w:eastAsia="仿宋_GB2312"/>
          <w:szCs w:val="32"/>
        </w:rPr>
        <w:t>   </w:t>
      </w:r>
      <w:r>
        <w:rPr>
          <w:rFonts w:hint="eastAsia" w:ascii="仿宋_GB2312" w:eastAsia="仿宋_GB2312"/>
          <w:szCs w:val="32"/>
        </w:rPr>
        <w:t xml:space="preserve">  </w:t>
      </w:r>
      <w:r>
        <w:rPr>
          <w:rFonts w:hint="eastAsia" w:ascii="仿宋_GB2312" w:hAnsi="仿宋" w:eastAsia="仿宋_GB2312"/>
          <w:szCs w:val="32"/>
        </w:rPr>
        <w:t xml:space="preserve"> 3、负责全县规划区建设项目管理。核发建设项目选址意见书，建设用地规划许可证，建设工程规划许可证，建筑工程施工许可证。</w:t>
      </w:r>
    </w:p>
    <w:p>
      <w:pPr>
        <w:spacing w:line="600" w:lineRule="exact"/>
        <w:rPr>
          <w:rFonts w:ascii="仿宋_GB2312" w:hAnsi="仿宋" w:eastAsia="仿宋_GB2312"/>
          <w:szCs w:val="32"/>
        </w:rPr>
      </w:pPr>
      <w:r>
        <w:rPr>
          <w:rFonts w:hint="eastAsia" w:eastAsia="仿宋_GB2312"/>
          <w:szCs w:val="32"/>
        </w:rPr>
        <w:t>   </w:t>
      </w:r>
      <w:r>
        <w:rPr>
          <w:rFonts w:hint="eastAsia" w:ascii="仿宋_GB2312" w:hAnsi="仿宋" w:eastAsia="仿宋_GB2312"/>
          <w:szCs w:val="32"/>
        </w:rPr>
        <w:t xml:space="preserve">   4、负责全县规划设计、勘测、管理工作。负责县域内地图和专题地图的报批监制，管理勘察测绘成果。负责城市县城地下空间和地下资源的开发利用，光波通信走廊控制、道路管线、地下人防工程等基础设施的规划管理。会同有关部门做好城市街景设计、城市广场、雕塑及建筑物的规划管理。负责对全县规划实施监督检查工作。</w:t>
      </w:r>
    </w:p>
    <w:p>
      <w:pPr>
        <w:spacing w:line="600" w:lineRule="exact"/>
        <w:rPr>
          <w:rFonts w:ascii="仿宋_GB2312" w:hAnsi="仿宋" w:eastAsia="仿宋_GB2312"/>
          <w:szCs w:val="32"/>
        </w:rPr>
      </w:pPr>
      <w:r>
        <w:rPr>
          <w:rFonts w:hint="eastAsia" w:eastAsia="仿宋_GB2312"/>
          <w:szCs w:val="32"/>
        </w:rPr>
        <w:t>   </w:t>
      </w:r>
      <w:r>
        <w:rPr>
          <w:rFonts w:hint="eastAsia" w:ascii="仿宋_GB2312" w:hAnsi="仿宋" w:eastAsia="仿宋_GB2312"/>
          <w:szCs w:val="32"/>
        </w:rPr>
        <w:t xml:space="preserve">   5、负责拟订城市建设年度投资计划，并组织实施；负责城建项目投资概算、决算的审核；会同财政部门监督、管理城建资金；负责城市建设投资融资工作；负责城市建设相关收费的管理；负责城乡建设档案管理。</w:t>
      </w:r>
    </w:p>
    <w:p>
      <w:pPr>
        <w:spacing w:line="600" w:lineRule="exact"/>
        <w:rPr>
          <w:rFonts w:ascii="仿宋_GB2312" w:hAnsi="仿宋" w:eastAsia="仿宋_GB2312"/>
          <w:szCs w:val="32"/>
        </w:rPr>
      </w:pPr>
      <w:r>
        <w:rPr>
          <w:rFonts w:hint="eastAsia" w:eastAsia="仿宋_GB2312"/>
          <w:szCs w:val="32"/>
        </w:rPr>
        <w:t>   </w:t>
      </w:r>
      <w:r>
        <w:rPr>
          <w:rFonts w:hint="eastAsia" w:ascii="仿宋_GB2312" w:hAnsi="仿宋" w:eastAsia="仿宋_GB2312"/>
          <w:szCs w:val="32"/>
        </w:rPr>
        <w:t xml:space="preserve">   6、负责拟订全县房地产行业发展规划和产业政策，牵头指导推进住宅产业工作；负责房地产开发项目的建设条件核准；负责房地产市场监督管理。新建商品房项目预售证发放、房屋产权检查、测绘、登记；二手房交易过户审核、登记；购房合同备案登记；房产证抵押登记；</w:t>
      </w:r>
      <w:r>
        <w:rPr>
          <w:rFonts w:hint="eastAsia" w:ascii="仿宋_GB2312" w:hAnsi="仿宋" w:eastAsia="仿宋_GB2312" w:cs="宋体"/>
          <w:bCs/>
          <w:color w:val="3E3E3E"/>
          <w:spacing w:val="12"/>
          <w:kern w:val="0"/>
          <w:szCs w:val="32"/>
        </w:rPr>
        <w:t>住宅房屋租赁登记备案</w:t>
      </w:r>
      <w:r>
        <w:rPr>
          <w:rFonts w:hint="eastAsia" w:ascii="仿宋_GB2312" w:hAnsi="仿宋" w:eastAsia="仿宋_GB2312"/>
          <w:szCs w:val="32"/>
        </w:rPr>
        <w:t>；住宅专项维修资金管理；房地产咨询、评估和信息收集发布。房地产物业管理。房地产物业管理企业备案登记、</w:t>
      </w:r>
      <w:r>
        <w:rPr>
          <w:rFonts w:hint="eastAsia" w:ascii="仿宋_GB2312" w:hAnsi="仿宋" w:eastAsia="仿宋_GB2312" w:cs="宋体"/>
          <w:bCs/>
          <w:color w:val="3E3E3E"/>
          <w:spacing w:val="12"/>
          <w:kern w:val="0"/>
          <w:szCs w:val="32"/>
        </w:rPr>
        <w:t>前期物业管理招标备案、</w:t>
      </w:r>
      <w:r>
        <w:rPr>
          <w:rFonts w:hint="eastAsia" w:ascii="仿宋_GB2312" w:hAnsi="仿宋" w:eastAsia="仿宋_GB2312"/>
          <w:szCs w:val="32"/>
        </w:rPr>
        <w:t>物业管理人员培训及物业纠纷调解等工作；房屋安全鉴定和公房管理；负责全县的住房保障工作。</w:t>
      </w:r>
    </w:p>
    <w:p>
      <w:pPr>
        <w:spacing w:line="600" w:lineRule="exact"/>
        <w:ind w:firstLine="480" w:firstLineChars="150"/>
        <w:rPr>
          <w:rFonts w:ascii="仿宋_GB2312" w:hAnsi="仿宋" w:eastAsia="仿宋_GB2312"/>
          <w:szCs w:val="32"/>
        </w:rPr>
      </w:pPr>
      <w:r>
        <w:rPr>
          <w:rFonts w:hint="eastAsia" w:ascii="仿宋_GB2312" w:hAnsi="仿宋" w:eastAsia="仿宋_GB2312"/>
          <w:szCs w:val="32"/>
        </w:rPr>
        <w:t xml:space="preserve"> 7、负责全县工程勘察设计咨询业管理、培育，规范勘察设计市场，负责施工图审查管理和勘察设计质量管理；负责勘察设计市场准入和招投标管理。</w:t>
      </w:r>
    </w:p>
    <w:p>
      <w:pPr>
        <w:spacing w:line="600" w:lineRule="exact"/>
        <w:rPr>
          <w:rFonts w:ascii="仿宋_GB2312" w:hAnsi="仿宋" w:eastAsia="仿宋_GB2312"/>
          <w:szCs w:val="32"/>
        </w:rPr>
      </w:pPr>
      <w:r>
        <w:rPr>
          <w:rFonts w:hint="eastAsia" w:eastAsia="仿宋_GB2312"/>
          <w:szCs w:val="32"/>
        </w:rPr>
        <w:t>   </w:t>
      </w:r>
      <w:r>
        <w:rPr>
          <w:rFonts w:hint="eastAsia" w:ascii="仿宋_GB2312" w:hAnsi="仿宋" w:eastAsia="仿宋_GB2312"/>
          <w:szCs w:val="32"/>
        </w:rPr>
        <w:t xml:space="preserve">   8、负责建筑工程质量安全的监管。负责监督和指导建筑工程质量安全监管工作；负责落实工程竣工验收备案政策规定；负责组织、指导建筑施工企业一线工人培训。</w:t>
      </w:r>
    </w:p>
    <w:p>
      <w:pPr>
        <w:spacing w:line="600" w:lineRule="exact"/>
        <w:ind w:firstLine="640" w:firstLineChars="200"/>
        <w:rPr>
          <w:rFonts w:ascii="仿宋_GB2312" w:eastAsia="仿宋_GB2312"/>
          <w:szCs w:val="32"/>
        </w:rPr>
      </w:pPr>
      <w:r>
        <w:rPr>
          <w:rFonts w:hint="eastAsia" w:ascii="仿宋_GB2312" w:hAnsi="仿宋" w:eastAsia="仿宋_GB2312"/>
          <w:szCs w:val="32"/>
        </w:rPr>
        <w:t>9、负责建筑节能推进和监督管理。负责建筑节能、绿色建筑发展与市场管理工作；负责新型建筑节能材料的推广应用；负责散装水泥和建筑装饰行业管理。</w:t>
      </w:r>
      <w:r>
        <w:rPr>
          <w:rFonts w:hint="eastAsia" w:eastAsia="仿宋_GB2312"/>
          <w:szCs w:val="32"/>
        </w:rPr>
        <w:t>  </w:t>
      </w:r>
    </w:p>
    <w:p>
      <w:pPr>
        <w:spacing w:line="600" w:lineRule="exact"/>
        <w:ind w:firstLine="640" w:firstLineChars="200"/>
        <w:rPr>
          <w:rFonts w:ascii="仿宋_GB2312" w:hAnsi="仿宋" w:eastAsia="仿宋_GB2312" w:cs="宋体"/>
          <w:bCs/>
          <w:color w:val="3E3E3E"/>
          <w:spacing w:val="12"/>
          <w:kern w:val="0"/>
          <w:szCs w:val="32"/>
          <w:shd w:val="pct10" w:color="auto" w:fill="FFFFFF"/>
        </w:rPr>
      </w:pPr>
      <w:r>
        <w:rPr>
          <w:rFonts w:hint="eastAsia" w:ascii="仿宋_GB2312" w:hAnsi="仿宋" w:eastAsia="仿宋_GB2312"/>
          <w:szCs w:val="32"/>
        </w:rPr>
        <w:t>10、负责监督和管理全县村镇建设工作。指导全县重点镇、试点村镇和农村危房改造工作；</w:t>
      </w:r>
      <w:r>
        <w:rPr>
          <w:rFonts w:hint="eastAsia" w:ascii="仿宋_GB2312" w:hAnsi="仿宋" w:eastAsia="仿宋_GB2312" w:cs="宋体"/>
          <w:bCs/>
          <w:color w:val="3E3E3E"/>
          <w:spacing w:val="12"/>
          <w:kern w:val="0"/>
          <w:szCs w:val="32"/>
        </w:rPr>
        <w:t>乡村建设规划许可证核发;</w:t>
      </w:r>
      <w:r>
        <w:rPr>
          <w:rFonts w:hint="eastAsia" w:ascii="仿宋_GB2312" w:hAnsi="仿宋" w:eastAsia="仿宋_GB2312"/>
          <w:szCs w:val="32"/>
        </w:rPr>
        <w:t>推进小城镇建设和村庄人居环境改善。</w:t>
      </w:r>
    </w:p>
    <w:p>
      <w:pPr>
        <w:spacing w:line="600" w:lineRule="exact"/>
        <w:ind w:firstLine="640" w:firstLineChars="200"/>
        <w:rPr>
          <w:rFonts w:ascii="仿宋_GB2312" w:hAnsi="仿宋" w:eastAsia="仿宋_GB2312" w:cs="宋体"/>
          <w:bCs/>
          <w:color w:val="3E3E3E"/>
          <w:spacing w:val="12"/>
          <w:kern w:val="0"/>
          <w:szCs w:val="32"/>
        </w:rPr>
      </w:pPr>
      <w:r>
        <w:rPr>
          <w:rFonts w:hint="eastAsia" w:ascii="仿宋_GB2312" w:hAnsi="仿宋" w:eastAsia="仿宋_GB2312"/>
          <w:szCs w:val="32"/>
        </w:rPr>
        <w:t>11、负责全县建筑业务劳保统筹金的收缴管理和液化气、天然气的安全管理工作。</w:t>
      </w:r>
      <w:r>
        <w:rPr>
          <w:rFonts w:hint="eastAsia" w:eastAsia="仿宋_GB2312"/>
          <w:szCs w:val="32"/>
        </w:rPr>
        <w:t>  </w:t>
      </w:r>
      <w:r>
        <w:rPr>
          <w:rFonts w:hint="eastAsia" w:ascii="仿宋_GB2312" w:eastAsia="仿宋_GB2312"/>
          <w:szCs w:val="32"/>
        </w:rPr>
        <w:t>负责</w:t>
      </w:r>
      <w:r>
        <w:rPr>
          <w:rFonts w:hint="eastAsia" w:eastAsia="仿宋_GB2312"/>
          <w:szCs w:val="32"/>
        </w:rPr>
        <w:t> </w:t>
      </w:r>
      <w:r>
        <w:rPr>
          <w:rFonts w:hint="eastAsia" w:ascii="仿宋_GB2312" w:hAnsi="仿宋" w:eastAsia="仿宋_GB2312" w:cs="宋体"/>
          <w:bCs/>
          <w:color w:val="3E3E3E"/>
          <w:spacing w:val="12"/>
          <w:kern w:val="0"/>
          <w:szCs w:val="32"/>
        </w:rPr>
        <w:t>燃气经营者改动市政燃气设施审批；除管道燃气企业的经营许可外，其它企业的燃气经营许可。</w:t>
      </w:r>
      <w:r>
        <w:rPr>
          <w:rFonts w:hint="eastAsia" w:ascii="仿宋_GB2312" w:hAnsi="仿宋" w:eastAsia="仿宋_GB2312"/>
          <w:szCs w:val="32"/>
        </w:rPr>
        <w:t xml:space="preserve"> </w:t>
      </w:r>
    </w:p>
    <w:p>
      <w:pPr>
        <w:spacing w:line="360" w:lineRule="auto"/>
        <w:ind w:firstLine="640" w:firstLineChars="200"/>
        <w:rPr>
          <w:rFonts w:ascii="仿宋_GB2312" w:hAnsi="仿宋" w:eastAsia="仿宋_GB2312"/>
          <w:szCs w:val="32"/>
        </w:rPr>
      </w:pPr>
      <w:r>
        <w:rPr>
          <w:rFonts w:hint="eastAsia" w:ascii="仿宋_GB2312" w:hAnsi="仿宋" w:eastAsia="仿宋_GB2312"/>
          <w:szCs w:val="32"/>
        </w:rPr>
        <w:t>12、机构设置情况如下：</w:t>
      </w:r>
    </w:p>
    <w:p>
      <w:pPr>
        <w:spacing w:line="360" w:lineRule="auto"/>
        <w:ind w:firstLine="640" w:firstLineChars="200"/>
        <w:rPr>
          <w:rFonts w:ascii="仿宋_GB2312" w:hAnsi="仿宋" w:eastAsia="仿宋_GB2312"/>
          <w:szCs w:val="32"/>
        </w:rPr>
      </w:pPr>
      <w:r>
        <w:rPr>
          <w:rFonts w:hint="eastAsia" w:ascii="仿宋_GB2312" w:hAnsi="仿宋" w:eastAsia="仿宋_GB2312"/>
          <w:szCs w:val="32"/>
        </w:rPr>
        <w:t>（1）住建局（机关）内设：财务科、党政办公室、建设科、招标科、统筹科、监察科、房改科、档案科、路灯科、行政审批科、扬尘治理办公室。</w:t>
      </w:r>
    </w:p>
    <w:p>
      <w:pPr>
        <w:spacing w:line="360" w:lineRule="auto"/>
        <w:ind w:firstLine="640" w:firstLineChars="200"/>
        <w:rPr>
          <w:rFonts w:ascii="仿宋_GB2312" w:hAnsi="仿宋" w:eastAsia="仿宋_GB2312"/>
          <w:szCs w:val="32"/>
        </w:rPr>
      </w:pPr>
      <w:r>
        <w:rPr>
          <w:rFonts w:hint="eastAsia" w:ascii="仿宋_GB2312" w:hAnsi="仿宋" w:eastAsia="仿宋_GB2312"/>
          <w:szCs w:val="32"/>
        </w:rPr>
        <w:t>（2）质监站内设：财务科、办公室、检测科、安全监督科。</w:t>
      </w:r>
    </w:p>
    <w:p>
      <w:pPr>
        <w:spacing w:line="360" w:lineRule="auto"/>
        <w:ind w:firstLine="640" w:firstLineChars="200"/>
        <w:rPr>
          <w:rFonts w:ascii="仿宋_GB2312" w:hAnsi="仿宋" w:eastAsia="仿宋_GB2312"/>
          <w:szCs w:val="32"/>
        </w:rPr>
      </w:pPr>
      <w:r>
        <w:rPr>
          <w:rFonts w:hint="eastAsia" w:ascii="仿宋_GB2312" w:hAnsi="仿宋" w:eastAsia="仿宋_GB2312"/>
          <w:szCs w:val="32"/>
        </w:rPr>
        <w:t>（3）房管所内设：财务科、办公室、物业办。</w:t>
      </w:r>
    </w:p>
    <w:p>
      <w:pPr>
        <w:spacing w:line="360" w:lineRule="auto"/>
        <w:ind w:firstLine="640" w:firstLineChars="200"/>
        <w:rPr>
          <w:rFonts w:ascii="仿宋_GB2312" w:hAnsi="仿宋" w:eastAsia="仿宋_GB2312"/>
          <w:szCs w:val="32"/>
        </w:rPr>
      </w:pPr>
      <w:r>
        <w:rPr>
          <w:rFonts w:hint="eastAsia" w:ascii="仿宋_GB2312" w:hAnsi="仿宋" w:eastAsia="仿宋_GB2312"/>
          <w:szCs w:val="32"/>
        </w:rPr>
        <w:t>（4）燃气办内设：办公室。</w:t>
      </w:r>
    </w:p>
    <w:p>
      <w:pPr>
        <w:spacing w:line="360" w:lineRule="auto"/>
        <w:ind w:firstLine="704" w:firstLineChars="220"/>
        <w:rPr>
          <w:rFonts w:ascii="仿宋_GB2312" w:hAnsi="仿宋" w:eastAsia="仿宋_GB2312"/>
          <w:szCs w:val="32"/>
        </w:rPr>
      </w:pPr>
      <w:r>
        <w:rPr>
          <w:rFonts w:hint="eastAsia" w:ascii="仿宋_GB2312" w:hAnsi="仿宋" w:eastAsia="仿宋_GB2312"/>
          <w:szCs w:val="32"/>
        </w:rPr>
        <w:t>13、承办县政府交办的其它工作。</w:t>
      </w:r>
    </w:p>
    <w:p>
      <w:pPr>
        <w:widowControl/>
        <w:ind w:firstLine="643" w:firstLineChars="200"/>
        <w:jc w:val="left"/>
        <w:rPr>
          <w:rFonts w:ascii="楷体" w:hAnsi="楷体" w:eastAsia="楷体" w:cs="楷体"/>
          <w:b/>
          <w:bCs/>
          <w:color w:val="000000"/>
          <w:kern w:val="0"/>
          <w:szCs w:val="32"/>
        </w:rPr>
      </w:pPr>
      <w:r>
        <w:rPr>
          <w:rFonts w:hint="eastAsia" w:ascii="楷体" w:hAnsi="楷体" w:eastAsia="楷体" w:cs="楷体"/>
          <w:b/>
          <w:bCs/>
          <w:color w:val="000000"/>
          <w:kern w:val="0"/>
          <w:szCs w:val="32"/>
        </w:rPr>
        <w:t>（二）内设机构</w:t>
      </w:r>
    </w:p>
    <w:p>
      <w:pPr>
        <w:widowControl/>
        <w:ind w:firstLine="640" w:firstLineChars="200"/>
        <w:jc w:val="left"/>
      </w:pPr>
      <w:r>
        <w:rPr>
          <w:rFonts w:ascii="黑体" w:hAnsi="宋体" w:eastAsia="黑体"/>
          <w:color w:val="000000"/>
          <w:kern w:val="0"/>
          <w:szCs w:val="32"/>
        </w:rPr>
        <w:t>二、</w:t>
      </w:r>
      <w:r>
        <w:rPr>
          <w:rFonts w:hint="eastAsia" w:ascii="黑体" w:hAnsi="宋体" w:eastAsia="黑体"/>
          <w:color w:val="000000"/>
          <w:kern w:val="0"/>
          <w:szCs w:val="32"/>
        </w:rPr>
        <w:t>部门决算单位构成</w:t>
      </w:r>
    </w:p>
    <w:p>
      <w:pPr>
        <w:spacing w:before="217" w:beforeLines="50"/>
        <w:ind w:firstLine="640"/>
        <w:rPr>
          <w:rFonts w:ascii="仿宋_GB2312" w:hAnsi="仿宋_GB2312" w:eastAsia="仿宋_GB2312" w:cs="仿宋_GB2312"/>
          <w:szCs w:val="32"/>
        </w:rPr>
      </w:pPr>
      <w:r>
        <w:rPr>
          <w:rFonts w:hint="eastAsia" w:ascii="仿宋_GB2312" w:hAnsi="仿宋_GB2312" w:eastAsia="仿宋_GB2312" w:cs="仿宋_GB2312"/>
          <w:szCs w:val="32"/>
        </w:rPr>
        <w:t>纳入2019年度本部门决算编制范围的单位共4个，包括本级及所属3个</w:t>
      </w:r>
      <w:r>
        <w:rPr>
          <w:rFonts w:ascii="仿宋_GB2312" w:hAnsi="仿宋_GB2312" w:eastAsia="仿宋_GB2312" w:cs="仿宋_GB2312"/>
          <w:color w:val="000000"/>
          <w:kern w:val="0"/>
          <w:sz w:val="31"/>
          <w:szCs w:val="31"/>
        </w:rPr>
        <w:t>二级预算</w:t>
      </w:r>
      <w:r>
        <w:rPr>
          <w:rFonts w:hint="eastAsia" w:ascii="仿宋_GB2312" w:hAnsi="仿宋_GB2312" w:eastAsia="仿宋_GB2312" w:cs="仿宋_GB2312"/>
          <w:szCs w:val="32"/>
        </w:rPr>
        <w:t>单位：</w:t>
      </w:r>
    </w:p>
    <w:tbl>
      <w:tblPr>
        <w:tblStyle w:val="6"/>
        <w:tblW w:w="89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1"/>
        <w:gridCol w:w="72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jc w:val="center"/>
        </w:trPr>
        <w:tc>
          <w:tcPr>
            <w:tcW w:w="1681" w:type="dxa"/>
            <w:vAlign w:val="center"/>
          </w:tcPr>
          <w:p>
            <w:pPr>
              <w:jc w:val="center"/>
              <w:rPr>
                <w:rFonts w:ascii="黑体" w:hAnsi="黑体" w:eastAsia="黑体"/>
                <w:kern w:val="0"/>
                <w:szCs w:val="32"/>
              </w:rPr>
            </w:pPr>
            <w:r>
              <w:rPr>
                <w:rFonts w:hint="eastAsia" w:ascii="黑体" w:hAnsi="黑体" w:eastAsia="黑体"/>
                <w:kern w:val="0"/>
                <w:szCs w:val="32"/>
              </w:rPr>
              <w:t>序号</w:t>
            </w:r>
          </w:p>
        </w:tc>
        <w:tc>
          <w:tcPr>
            <w:tcW w:w="7278" w:type="dxa"/>
            <w:vAlign w:val="center"/>
          </w:tcPr>
          <w:p>
            <w:pPr>
              <w:jc w:val="center"/>
              <w:rPr>
                <w:rFonts w:ascii="黑体" w:hAnsi="黑体" w:eastAsia="黑体"/>
                <w:kern w:val="0"/>
                <w:szCs w:val="32"/>
              </w:rPr>
            </w:pPr>
            <w:r>
              <w:rPr>
                <w:rFonts w:hint="eastAsia" w:ascii="黑体" w:hAnsi="黑体" w:eastAsia="黑体"/>
                <w:kern w:val="0"/>
                <w:szCs w:val="32"/>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jc w:val="center"/>
        </w:trPr>
        <w:tc>
          <w:tcPr>
            <w:tcW w:w="1681" w:type="dxa"/>
            <w:vAlign w:val="center"/>
          </w:tcPr>
          <w:p>
            <w:pPr>
              <w:jc w:val="center"/>
              <w:rPr>
                <w:rFonts w:ascii="仿宋_GB2312" w:hAnsi="仿宋_GB2312" w:eastAsia="仿宋_GB2312" w:cs="仿宋_GB2312"/>
                <w:kern w:val="0"/>
                <w:szCs w:val="32"/>
              </w:rPr>
            </w:pPr>
            <w:r>
              <w:rPr>
                <w:rFonts w:hint="eastAsia" w:ascii="仿宋_GB2312" w:hAnsi="仿宋_GB2312" w:eastAsia="仿宋_GB2312" w:cs="仿宋_GB2312"/>
                <w:kern w:val="0"/>
                <w:szCs w:val="32"/>
              </w:rPr>
              <w:t>1</w:t>
            </w:r>
          </w:p>
        </w:tc>
        <w:tc>
          <w:tcPr>
            <w:tcW w:w="7278" w:type="dxa"/>
            <w:vAlign w:val="center"/>
          </w:tcPr>
          <w:p>
            <w:pPr>
              <w:jc w:val="center"/>
              <w:rPr>
                <w:rFonts w:ascii="仿宋_GB2312" w:hAnsi="仿宋_GB2312" w:eastAsia="仿宋_GB2312" w:cs="仿宋_GB2312"/>
                <w:kern w:val="0"/>
                <w:szCs w:val="32"/>
              </w:rPr>
            </w:pPr>
            <w:r>
              <w:rPr>
                <w:rFonts w:hint="eastAsia" w:eastAsia="仿宋_GB2312"/>
                <w:kern w:val="0"/>
                <w:szCs w:val="32"/>
              </w:rPr>
              <w:t>蓝田县住房和城乡建设局</w:t>
            </w:r>
            <w:r>
              <w:rPr>
                <w:rFonts w:hint="eastAsia" w:ascii="仿宋_GB2312" w:hAnsi="仿宋_GB2312" w:eastAsia="仿宋_GB2312" w:cs="仿宋_GB2312"/>
                <w:kern w:val="0"/>
                <w:szCs w:val="32"/>
              </w:rPr>
              <w:t>本级（机关）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jc w:val="center"/>
        </w:trPr>
        <w:tc>
          <w:tcPr>
            <w:tcW w:w="1681" w:type="dxa"/>
            <w:vAlign w:val="center"/>
          </w:tcPr>
          <w:p>
            <w:pPr>
              <w:jc w:val="center"/>
              <w:rPr>
                <w:rFonts w:ascii="仿宋_GB2312" w:hAnsi="仿宋_GB2312" w:eastAsia="仿宋_GB2312" w:cs="仿宋_GB2312"/>
                <w:kern w:val="0"/>
                <w:szCs w:val="32"/>
              </w:rPr>
            </w:pPr>
            <w:r>
              <w:rPr>
                <w:rFonts w:hint="eastAsia" w:ascii="仿宋_GB2312" w:hAnsi="仿宋_GB2312" w:eastAsia="仿宋_GB2312" w:cs="仿宋_GB2312"/>
                <w:kern w:val="0"/>
                <w:szCs w:val="32"/>
              </w:rPr>
              <w:t>2</w:t>
            </w:r>
          </w:p>
        </w:tc>
        <w:tc>
          <w:tcPr>
            <w:tcW w:w="7278" w:type="dxa"/>
            <w:vAlign w:val="center"/>
          </w:tcPr>
          <w:p>
            <w:pPr>
              <w:jc w:val="center"/>
              <w:rPr>
                <w:rFonts w:eastAsia="仿宋_GB2312"/>
                <w:kern w:val="0"/>
                <w:szCs w:val="32"/>
              </w:rPr>
            </w:pPr>
            <w:r>
              <w:rPr>
                <w:rFonts w:hint="eastAsia" w:eastAsia="仿宋_GB2312"/>
                <w:kern w:val="0"/>
                <w:szCs w:val="32"/>
              </w:rPr>
              <w:t>蓝田县建设工程质量监督站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jc w:val="center"/>
        </w:trPr>
        <w:tc>
          <w:tcPr>
            <w:tcW w:w="1681" w:type="dxa"/>
            <w:vAlign w:val="center"/>
          </w:tcPr>
          <w:p>
            <w:pPr>
              <w:jc w:val="center"/>
              <w:rPr>
                <w:rFonts w:ascii="仿宋_GB2312" w:hAnsi="仿宋_GB2312" w:eastAsia="仿宋_GB2312" w:cs="仿宋_GB2312"/>
                <w:kern w:val="0"/>
                <w:szCs w:val="32"/>
              </w:rPr>
            </w:pPr>
            <w:r>
              <w:rPr>
                <w:rFonts w:hint="eastAsia" w:ascii="仿宋_GB2312" w:hAnsi="仿宋_GB2312" w:eastAsia="仿宋_GB2312" w:cs="仿宋_GB2312"/>
                <w:kern w:val="0"/>
                <w:szCs w:val="32"/>
              </w:rPr>
              <w:t>3</w:t>
            </w:r>
          </w:p>
        </w:tc>
        <w:tc>
          <w:tcPr>
            <w:tcW w:w="7278" w:type="dxa"/>
            <w:vAlign w:val="center"/>
          </w:tcPr>
          <w:p>
            <w:pPr>
              <w:jc w:val="center"/>
              <w:rPr>
                <w:rFonts w:eastAsia="仿宋_GB2312"/>
                <w:kern w:val="0"/>
                <w:szCs w:val="32"/>
              </w:rPr>
            </w:pPr>
            <w:r>
              <w:rPr>
                <w:rFonts w:hint="eastAsia" w:eastAsia="仿宋_GB2312"/>
                <w:kern w:val="0"/>
                <w:szCs w:val="32"/>
              </w:rPr>
              <w:t>蓝田县房地产管理所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681" w:type="dxa"/>
            <w:vAlign w:val="center"/>
          </w:tcPr>
          <w:p>
            <w:pPr>
              <w:jc w:val="center"/>
              <w:rPr>
                <w:rFonts w:ascii="仿宋_GB2312" w:hAnsi="仿宋_GB2312" w:eastAsia="仿宋_GB2312" w:cs="仿宋_GB2312"/>
                <w:kern w:val="0"/>
                <w:szCs w:val="32"/>
              </w:rPr>
            </w:pPr>
            <w:r>
              <w:rPr>
                <w:rFonts w:hint="eastAsia" w:ascii="仿宋_GB2312" w:hAnsi="仿宋_GB2312" w:eastAsia="仿宋_GB2312" w:cs="仿宋_GB2312"/>
                <w:kern w:val="0"/>
                <w:szCs w:val="32"/>
              </w:rPr>
              <w:t>4</w:t>
            </w:r>
          </w:p>
        </w:tc>
        <w:tc>
          <w:tcPr>
            <w:tcW w:w="7278" w:type="dxa"/>
            <w:vAlign w:val="center"/>
          </w:tcPr>
          <w:p>
            <w:pPr>
              <w:jc w:val="center"/>
              <w:rPr>
                <w:rFonts w:eastAsia="仿宋_GB2312"/>
                <w:kern w:val="0"/>
                <w:szCs w:val="32"/>
              </w:rPr>
            </w:pPr>
            <w:r>
              <w:rPr>
                <w:rFonts w:hint="eastAsia" w:eastAsia="仿宋_GB2312"/>
                <w:kern w:val="0"/>
                <w:szCs w:val="32"/>
              </w:rPr>
              <w:t>蓝田县燃气管理办公室</w:t>
            </w:r>
          </w:p>
        </w:tc>
      </w:tr>
    </w:tbl>
    <w:p>
      <w:pPr>
        <w:ind w:firstLine="640"/>
        <w:rPr>
          <w:rFonts w:ascii="黑体" w:hAnsi="黑体" w:eastAsia="黑体"/>
          <w:b/>
          <w:bCs/>
          <w:szCs w:val="32"/>
        </w:rPr>
      </w:pPr>
      <w:r>
        <w:rPr>
          <w:rFonts w:hint="eastAsia" w:ascii="黑体" w:hAnsi="黑体" w:eastAsia="黑体"/>
          <w:b/>
          <w:bCs/>
          <w:szCs w:val="32"/>
        </w:rPr>
        <w:t>三、部门人员情况</w:t>
      </w:r>
    </w:p>
    <w:p>
      <w:pPr>
        <w:ind w:firstLine="640"/>
        <w:rPr>
          <w:rFonts w:ascii="仿宋_GB2312" w:hAnsi="仿宋_GB2312" w:eastAsia="仿宋_GB2312" w:cs="仿宋_GB2312"/>
          <w:szCs w:val="32"/>
        </w:rPr>
      </w:pPr>
      <w:r>
        <w:rPr>
          <w:rFonts w:hint="eastAsia" w:ascii="仿宋_GB2312" w:hAnsi="仿宋_GB2312" w:eastAsia="仿宋_GB2312" w:cs="仿宋_GB2312"/>
          <w:szCs w:val="32"/>
        </w:rPr>
        <w:t>截止2019年底，本部门人员编制83人，其中：住建局（机关）行政编制14人；质监站事业编制24人；房管所事业编制30人；燃气办事业编制15人。实有人员69人，其中：住建局（机关）20人；质监站24人；房管所22人；燃气办3人。单位管理的离退休人员35人，其中：住建局（机关）28人、质监站6人、房管所1人。</w:t>
      </w:r>
    </w:p>
    <w:p>
      <w:pPr>
        <w:ind w:firstLine="640"/>
        <w:jc w:val="center"/>
        <w:rPr>
          <w:rFonts w:ascii="仿宋_GB2312" w:hAnsi="仿宋_GB2312" w:eastAsia="仿宋_GB2312" w:cs="仿宋_GB2312"/>
          <w:szCs w:val="32"/>
        </w:rPr>
      </w:pPr>
      <w:r>
        <w:rPr>
          <w:rFonts w:ascii="仿宋_GB2312" w:hAnsi="仿宋_GB2312" w:eastAsia="仿宋_GB2312" w:cs="仿宋_GB2312"/>
          <w:szCs w:val="32"/>
        </w:rPr>
        <w:drawing>
          <wp:inline distT="0" distB="0" distL="0" distR="0">
            <wp:extent cx="4714875" cy="2536190"/>
            <wp:effectExtent l="0" t="0" r="9525" b="1651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inline>
        </w:drawing>
      </w:r>
    </w:p>
    <w:p>
      <w:pPr>
        <w:widowControl/>
        <w:jc w:val="center"/>
        <w:rPr>
          <w:sz w:val="44"/>
          <w:szCs w:val="44"/>
        </w:rPr>
      </w:pPr>
      <w:r>
        <w:rPr>
          <w:rFonts w:ascii="黑体" w:hAnsi="宋体" w:eastAsia="黑体"/>
          <w:color w:val="000000"/>
          <w:kern w:val="0"/>
          <w:sz w:val="44"/>
          <w:szCs w:val="44"/>
        </w:rPr>
        <w:t>第二部分 2019年度部门决算表</w:t>
      </w:r>
    </w:p>
    <w:tbl>
      <w:tblPr>
        <w:tblStyle w:val="5"/>
        <w:tblW w:w="5000" w:type="pct"/>
        <w:tblInd w:w="0" w:type="dxa"/>
        <w:tblLayout w:type="autofit"/>
        <w:tblCellMar>
          <w:top w:w="0" w:type="dxa"/>
          <w:left w:w="108" w:type="dxa"/>
          <w:bottom w:w="0" w:type="dxa"/>
          <w:right w:w="108" w:type="dxa"/>
        </w:tblCellMar>
      </w:tblPr>
      <w:tblGrid>
        <w:gridCol w:w="660"/>
        <w:gridCol w:w="6655"/>
        <w:gridCol w:w="1104"/>
        <w:gridCol w:w="1549"/>
      </w:tblGrid>
      <w:tr>
        <w:tblPrEx>
          <w:tblCellMar>
            <w:top w:w="0" w:type="dxa"/>
            <w:left w:w="108" w:type="dxa"/>
            <w:bottom w:w="0" w:type="dxa"/>
            <w:right w:w="108" w:type="dxa"/>
          </w:tblCellMar>
        </w:tblPrEx>
        <w:trPr>
          <w:trHeight w:val="664" w:hRule="atLeast"/>
        </w:trPr>
        <w:tc>
          <w:tcPr>
            <w:tcW w:w="5000" w:type="pct"/>
            <w:gridSpan w:val="4"/>
            <w:tcBorders>
              <w:top w:val="nil"/>
              <w:left w:val="nil"/>
              <w:bottom w:val="nil"/>
              <w:right w:val="nil"/>
            </w:tcBorders>
            <w:shd w:val="clear" w:color="auto" w:fill="auto"/>
            <w:noWrap/>
            <w:vAlign w:val="center"/>
          </w:tcPr>
          <w:p>
            <w:pPr>
              <w:widowControl/>
              <w:jc w:val="center"/>
              <w:rPr>
                <w:rFonts w:ascii="宋体" w:hAnsi="宋体" w:eastAsia="宋体" w:cs="Arial"/>
                <w:color w:val="000000"/>
                <w:kern w:val="0"/>
                <w:sz w:val="40"/>
                <w:szCs w:val="40"/>
              </w:rPr>
            </w:pPr>
            <w:r>
              <w:rPr>
                <w:rFonts w:hint="eastAsia" w:ascii="宋体" w:hAnsi="宋体" w:eastAsia="宋体" w:cs="Arial"/>
                <w:color w:val="000000"/>
                <w:kern w:val="0"/>
                <w:sz w:val="40"/>
                <w:szCs w:val="40"/>
              </w:rPr>
              <w:t>目录</w:t>
            </w:r>
          </w:p>
        </w:tc>
      </w:tr>
      <w:tr>
        <w:tblPrEx>
          <w:tblCellMar>
            <w:top w:w="0" w:type="dxa"/>
            <w:left w:w="108" w:type="dxa"/>
            <w:bottom w:w="0" w:type="dxa"/>
            <w:right w:w="108" w:type="dxa"/>
          </w:tblCellMar>
        </w:tblPrEx>
        <w:trPr>
          <w:trHeight w:val="435" w:hRule="atLeast"/>
        </w:trPr>
        <w:tc>
          <w:tcPr>
            <w:tcW w:w="5000" w:type="pct"/>
            <w:gridSpan w:val="4"/>
            <w:tcBorders>
              <w:top w:val="nil"/>
              <w:left w:val="nil"/>
              <w:bottom w:val="single" w:color="000000" w:sz="4" w:space="0"/>
              <w:right w:val="nil"/>
            </w:tcBorders>
            <w:vAlign w:val="center"/>
          </w:tcPr>
          <w:p>
            <w:pPr>
              <w:widowControl/>
              <w:jc w:val="left"/>
              <w:rPr>
                <w:rFonts w:ascii="宋体" w:hAnsi="宋体" w:eastAsia="宋体" w:cs="Arial"/>
                <w:color w:val="000000"/>
                <w:kern w:val="0"/>
                <w:sz w:val="20"/>
              </w:rPr>
            </w:pPr>
          </w:p>
        </w:tc>
      </w:tr>
      <w:tr>
        <w:tblPrEx>
          <w:tblCellMar>
            <w:top w:w="0" w:type="dxa"/>
            <w:left w:w="108" w:type="dxa"/>
            <w:bottom w:w="0" w:type="dxa"/>
            <w:right w:w="108" w:type="dxa"/>
          </w:tblCellMar>
        </w:tblPrEx>
        <w:trPr>
          <w:trHeight w:val="402" w:hRule="atLeast"/>
        </w:trPr>
        <w:tc>
          <w:tcPr>
            <w:tcW w:w="349" w:type="pct"/>
            <w:tcBorders>
              <w:top w:val="nil"/>
              <w:left w:val="single" w:color="000000" w:sz="4" w:space="0"/>
              <w:bottom w:val="single" w:color="000000" w:sz="4" w:space="0"/>
              <w:right w:val="single" w:color="000000" w:sz="4" w:space="0"/>
            </w:tcBorders>
            <w:shd w:val="clear" w:color="auto" w:fill="auto"/>
            <w:noWrap/>
            <w:vAlign w:val="center"/>
          </w:tcPr>
          <w:p>
            <w:pPr>
              <w:widowControl/>
              <w:jc w:val="center"/>
              <w:rPr>
                <w:rFonts w:ascii="黑体" w:hAnsi="黑体" w:eastAsia="黑体" w:cs="Arial"/>
                <w:color w:val="000000"/>
                <w:kern w:val="0"/>
                <w:sz w:val="24"/>
                <w:szCs w:val="24"/>
              </w:rPr>
            </w:pPr>
            <w:r>
              <w:rPr>
                <w:rFonts w:hint="eastAsia" w:ascii="黑体" w:hAnsi="黑体" w:eastAsia="黑体" w:cs="Arial"/>
                <w:color w:val="000000"/>
                <w:kern w:val="0"/>
                <w:sz w:val="24"/>
                <w:szCs w:val="24"/>
              </w:rPr>
              <w:t>序号</w:t>
            </w:r>
          </w:p>
        </w:tc>
        <w:tc>
          <w:tcPr>
            <w:tcW w:w="3230" w:type="pct"/>
            <w:tcBorders>
              <w:top w:val="nil"/>
              <w:left w:val="nil"/>
              <w:bottom w:val="single" w:color="000000" w:sz="4" w:space="0"/>
              <w:right w:val="single" w:color="000000" w:sz="4" w:space="0"/>
            </w:tcBorders>
            <w:shd w:val="clear" w:color="auto" w:fill="auto"/>
            <w:noWrap/>
            <w:vAlign w:val="center"/>
          </w:tcPr>
          <w:p>
            <w:pPr>
              <w:widowControl/>
              <w:jc w:val="center"/>
              <w:rPr>
                <w:rFonts w:ascii="黑体" w:hAnsi="黑体" w:eastAsia="黑体" w:cs="Arial"/>
                <w:color w:val="000000"/>
                <w:kern w:val="0"/>
                <w:sz w:val="24"/>
                <w:szCs w:val="24"/>
              </w:rPr>
            </w:pPr>
            <w:r>
              <w:rPr>
                <w:rFonts w:hint="eastAsia" w:ascii="黑体" w:hAnsi="黑体" w:eastAsia="黑体" w:cs="Arial"/>
                <w:color w:val="000000"/>
                <w:kern w:val="0"/>
                <w:sz w:val="24"/>
                <w:szCs w:val="24"/>
              </w:rPr>
              <w:t>内容</w:t>
            </w:r>
          </w:p>
        </w:tc>
        <w:tc>
          <w:tcPr>
            <w:tcW w:w="590" w:type="pct"/>
            <w:tcBorders>
              <w:top w:val="nil"/>
              <w:left w:val="nil"/>
              <w:bottom w:val="single" w:color="000000" w:sz="4" w:space="0"/>
              <w:right w:val="single" w:color="000000" w:sz="4" w:space="0"/>
            </w:tcBorders>
            <w:shd w:val="clear" w:color="auto" w:fill="auto"/>
            <w:noWrap/>
            <w:vAlign w:val="center"/>
          </w:tcPr>
          <w:p>
            <w:pPr>
              <w:widowControl/>
              <w:jc w:val="center"/>
              <w:rPr>
                <w:rFonts w:ascii="黑体" w:hAnsi="黑体" w:eastAsia="黑体" w:cs="Arial"/>
                <w:color w:val="000000"/>
                <w:kern w:val="0"/>
                <w:sz w:val="24"/>
                <w:szCs w:val="24"/>
              </w:rPr>
            </w:pPr>
            <w:r>
              <w:rPr>
                <w:rFonts w:hint="eastAsia" w:ascii="黑体" w:hAnsi="黑体" w:eastAsia="黑体" w:cs="Arial"/>
                <w:color w:val="000000"/>
                <w:kern w:val="0"/>
                <w:sz w:val="24"/>
                <w:szCs w:val="24"/>
              </w:rPr>
              <w:t>是否空表</w:t>
            </w:r>
          </w:p>
        </w:tc>
        <w:tc>
          <w:tcPr>
            <w:tcW w:w="831" w:type="pct"/>
            <w:tcBorders>
              <w:top w:val="nil"/>
              <w:left w:val="nil"/>
              <w:bottom w:val="single" w:color="000000" w:sz="4" w:space="0"/>
              <w:right w:val="single" w:color="000000" w:sz="4" w:space="0"/>
            </w:tcBorders>
            <w:shd w:val="clear" w:color="auto" w:fill="auto"/>
            <w:noWrap/>
            <w:vAlign w:val="center"/>
          </w:tcPr>
          <w:p>
            <w:pPr>
              <w:widowControl/>
              <w:jc w:val="center"/>
              <w:rPr>
                <w:rFonts w:ascii="黑体" w:hAnsi="黑体" w:eastAsia="黑体" w:cs="Arial"/>
                <w:color w:val="000000"/>
                <w:kern w:val="0"/>
                <w:sz w:val="24"/>
                <w:szCs w:val="24"/>
              </w:rPr>
            </w:pPr>
            <w:r>
              <w:rPr>
                <w:rFonts w:hint="eastAsia" w:ascii="黑体" w:hAnsi="黑体" w:eastAsia="黑体" w:cs="Arial"/>
                <w:color w:val="000000"/>
                <w:kern w:val="0"/>
                <w:sz w:val="24"/>
                <w:szCs w:val="24"/>
              </w:rPr>
              <w:t>公开空表理由</w:t>
            </w:r>
          </w:p>
        </w:tc>
      </w:tr>
      <w:tr>
        <w:tblPrEx>
          <w:tblCellMar>
            <w:top w:w="0" w:type="dxa"/>
            <w:left w:w="108" w:type="dxa"/>
            <w:bottom w:w="0" w:type="dxa"/>
            <w:right w:w="108" w:type="dxa"/>
          </w:tblCellMar>
        </w:tblPrEx>
        <w:trPr>
          <w:trHeight w:val="402" w:hRule="atLeast"/>
        </w:trPr>
        <w:tc>
          <w:tcPr>
            <w:tcW w:w="349" w:type="pct"/>
            <w:tcBorders>
              <w:top w:val="nil"/>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Arial"/>
                <w:color w:val="000000"/>
                <w:kern w:val="0"/>
                <w:sz w:val="24"/>
                <w:szCs w:val="24"/>
              </w:rPr>
            </w:pPr>
            <w:r>
              <w:rPr>
                <w:rFonts w:hint="eastAsia" w:ascii="宋体" w:hAnsi="宋体" w:eastAsia="宋体" w:cs="Arial"/>
                <w:color w:val="000000"/>
                <w:kern w:val="0"/>
                <w:sz w:val="24"/>
                <w:szCs w:val="24"/>
              </w:rPr>
              <w:t>表1</w:t>
            </w:r>
          </w:p>
        </w:tc>
        <w:tc>
          <w:tcPr>
            <w:tcW w:w="323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4"/>
                <w:szCs w:val="24"/>
              </w:rPr>
            </w:pPr>
            <w:r>
              <w:rPr>
                <w:rFonts w:hint="eastAsia" w:ascii="宋体" w:hAnsi="宋体" w:eastAsia="宋体" w:cs="Arial"/>
                <w:color w:val="000000"/>
                <w:kern w:val="0"/>
                <w:sz w:val="24"/>
                <w:szCs w:val="24"/>
              </w:rPr>
              <w:t>收入支出决算总表</w:t>
            </w:r>
          </w:p>
        </w:tc>
        <w:tc>
          <w:tcPr>
            <w:tcW w:w="590"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eastAsia="宋体" w:cs="Arial"/>
                <w:color w:val="000000"/>
                <w:kern w:val="0"/>
                <w:sz w:val="24"/>
                <w:szCs w:val="24"/>
              </w:rPr>
            </w:pPr>
            <w:r>
              <w:rPr>
                <w:rFonts w:hint="eastAsia" w:ascii="宋体" w:hAnsi="宋体" w:eastAsia="宋体" w:cs="Arial"/>
                <w:color w:val="000000"/>
                <w:kern w:val="0"/>
                <w:sz w:val="24"/>
                <w:szCs w:val="24"/>
              </w:rPr>
              <w:t>否</w:t>
            </w:r>
          </w:p>
        </w:tc>
        <w:tc>
          <w:tcPr>
            <w:tcW w:w="831"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4"/>
                <w:szCs w:val="24"/>
              </w:rPr>
            </w:pPr>
            <w:r>
              <w:rPr>
                <w:rFonts w:hint="eastAsia" w:ascii="宋体" w:hAnsi="宋体" w:eastAsia="宋体" w:cs="Arial"/>
                <w:color w:val="000000"/>
                <w:kern w:val="0"/>
                <w:sz w:val="24"/>
                <w:szCs w:val="24"/>
              </w:rPr>
              <w:t>　</w:t>
            </w:r>
          </w:p>
        </w:tc>
      </w:tr>
      <w:tr>
        <w:tblPrEx>
          <w:tblCellMar>
            <w:top w:w="0" w:type="dxa"/>
            <w:left w:w="108" w:type="dxa"/>
            <w:bottom w:w="0" w:type="dxa"/>
            <w:right w:w="108" w:type="dxa"/>
          </w:tblCellMar>
        </w:tblPrEx>
        <w:trPr>
          <w:trHeight w:val="402" w:hRule="atLeast"/>
        </w:trPr>
        <w:tc>
          <w:tcPr>
            <w:tcW w:w="349" w:type="pct"/>
            <w:tcBorders>
              <w:top w:val="nil"/>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Arial"/>
                <w:color w:val="000000"/>
                <w:kern w:val="0"/>
                <w:sz w:val="24"/>
                <w:szCs w:val="24"/>
              </w:rPr>
            </w:pPr>
            <w:r>
              <w:rPr>
                <w:rFonts w:hint="eastAsia" w:ascii="宋体" w:hAnsi="宋体" w:eastAsia="宋体" w:cs="Arial"/>
                <w:color w:val="000000"/>
                <w:kern w:val="0"/>
                <w:sz w:val="24"/>
                <w:szCs w:val="24"/>
              </w:rPr>
              <w:t>表2</w:t>
            </w:r>
          </w:p>
        </w:tc>
        <w:tc>
          <w:tcPr>
            <w:tcW w:w="323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4"/>
                <w:szCs w:val="24"/>
              </w:rPr>
            </w:pPr>
            <w:r>
              <w:rPr>
                <w:rFonts w:hint="eastAsia" w:ascii="宋体" w:hAnsi="宋体" w:eastAsia="宋体" w:cs="Arial"/>
                <w:color w:val="000000"/>
                <w:kern w:val="0"/>
                <w:sz w:val="24"/>
                <w:szCs w:val="24"/>
              </w:rPr>
              <w:t>收入决算表</w:t>
            </w:r>
          </w:p>
        </w:tc>
        <w:tc>
          <w:tcPr>
            <w:tcW w:w="590"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eastAsia="宋体" w:cs="Arial"/>
                <w:color w:val="000000"/>
                <w:kern w:val="0"/>
                <w:sz w:val="24"/>
                <w:szCs w:val="24"/>
              </w:rPr>
            </w:pPr>
            <w:r>
              <w:rPr>
                <w:rFonts w:hint="eastAsia" w:ascii="宋体" w:hAnsi="宋体" w:eastAsia="宋体" w:cs="Arial"/>
                <w:color w:val="000000"/>
                <w:kern w:val="0"/>
                <w:sz w:val="24"/>
                <w:szCs w:val="24"/>
              </w:rPr>
              <w:t>否</w:t>
            </w:r>
          </w:p>
        </w:tc>
        <w:tc>
          <w:tcPr>
            <w:tcW w:w="831"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4"/>
                <w:szCs w:val="24"/>
              </w:rPr>
            </w:pPr>
            <w:r>
              <w:rPr>
                <w:rFonts w:hint="eastAsia" w:ascii="宋体" w:hAnsi="宋体" w:eastAsia="宋体" w:cs="Arial"/>
                <w:color w:val="000000"/>
                <w:kern w:val="0"/>
                <w:sz w:val="24"/>
                <w:szCs w:val="24"/>
              </w:rPr>
              <w:t>　</w:t>
            </w:r>
          </w:p>
        </w:tc>
      </w:tr>
      <w:tr>
        <w:tblPrEx>
          <w:tblCellMar>
            <w:top w:w="0" w:type="dxa"/>
            <w:left w:w="108" w:type="dxa"/>
            <w:bottom w:w="0" w:type="dxa"/>
            <w:right w:w="108" w:type="dxa"/>
          </w:tblCellMar>
        </w:tblPrEx>
        <w:trPr>
          <w:trHeight w:val="402" w:hRule="atLeast"/>
        </w:trPr>
        <w:tc>
          <w:tcPr>
            <w:tcW w:w="349" w:type="pct"/>
            <w:tcBorders>
              <w:top w:val="nil"/>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Arial"/>
                <w:color w:val="000000"/>
                <w:kern w:val="0"/>
                <w:sz w:val="24"/>
                <w:szCs w:val="24"/>
              </w:rPr>
            </w:pPr>
            <w:r>
              <w:rPr>
                <w:rFonts w:hint="eastAsia" w:ascii="宋体" w:hAnsi="宋体" w:eastAsia="宋体" w:cs="Arial"/>
                <w:color w:val="000000"/>
                <w:kern w:val="0"/>
                <w:sz w:val="24"/>
                <w:szCs w:val="24"/>
              </w:rPr>
              <w:t>表3</w:t>
            </w:r>
          </w:p>
        </w:tc>
        <w:tc>
          <w:tcPr>
            <w:tcW w:w="323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4"/>
                <w:szCs w:val="24"/>
              </w:rPr>
            </w:pPr>
            <w:r>
              <w:rPr>
                <w:rFonts w:hint="eastAsia" w:ascii="宋体" w:hAnsi="宋体" w:eastAsia="宋体" w:cs="Arial"/>
                <w:color w:val="000000"/>
                <w:kern w:val="0"/>
                <w:sz w:val="24"/>
                <w:szCs w:val="24"/>
              </w:rPr>
              <w:t>支出决算表</w:t>
            </w:r>
          </w:p>
        </w:tc>
        <w:tc>
          <w:tcPr>
            <w:tcW w:w="590"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eastAsia="宋体" w:cs="Arial"/>
                <w:color w:val="000000"/>
                <w:kern w:val="0"/>
                <w:sz w:val="24"/>
                <w:szCs w:val="24"/>
              </w:rPr>
            </w:pPr>
            <w:r>
              <w:rPr>
                <w:rFonts w:hint="eastAsia" w:ascii="宋体" w:hAnsi="宋体" w:eastAsia="宋体" w:cs="Arial"/>
                <w:color w:val="000000"/>
                <w:kern w:val="0"/>
                <w:sz w:val="24"/>
                <w:szCs w:val="24"/>
              </w:rPr>
              <w:t>否</w:t>
            </w:r>
          </w:p>
        </w:tc>
        <w:tc>
          <w:tcPr>
            <w:tcW w:w="831"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4"/>
                <w:szCs w:val="24"/>
              </w:rPr>
            </w:pPr>
            <w:r>
              <w:rPr>
                <w:rFonts w:hint="eastAsia" w:ascii="宋体" w:hAnsi="宋体" w:eastAsia="宋体" w:cs="Arial"/>
                <w:color w:val="000000"/>
                <w:kern w:val="0"/>
                <w:sz w:val="24"/>
                <w:szCs w:val="24"/>
              </w:rPr>
              <w:t>　</w:t>
            </w:r>
          </w:p>
        </w:tc>
      </w:tr>
      <w:tr>
        <w:tblPrEx>
          <w:tblCellMar>
            <w:top w:w="0" w:type="dxa"/>
            <w:left w:w="108" w:type="dxa"/>
            <w:bottom w:w="0" w:type="dxa"/>
            <w:right w:w="108" w:type="dxa"/>
          </w:tblCellMar>
        </w:tblPrEx>
        <w:trPr>
          <w:trHeight w:val="402" w:hRule="atLeast"/>
        </w:trPr>
        <w:tc>
          <w:tcPr>
            <w:tcW w:w="349" w:type="pct"/>
            <w:tcBorders>
              <w:top w:val="nil"/>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Arial"/>
                <w:color w:val="000000"/>
                <w:kern w:val="0"/>
                <w:sz w:val="24"/>
                <w:szCs w:val="24"/>
              </w:rPr>
            </w:pPr>
            <w:r>
              <w:rPr>
                <w:rFonts w:hint="eastAsia" w:ascii="宋体" w:hAnsi="宋体" w:eastAsia="宋体" w:cs="Arial"/>
                <w:color w:val="000000"/>
                <w:kern w:val="0"/>
                <w:sz w:val="24"/>
                <w:szCs w:val="24"/>
              </w:rPr>
              <w:t>表4</w:t>
            </w:r>
          </w:p>
        </w:tc>
        <w:tc>
          <w:tcPr>
            <w:tcW w:w="323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4"/>
                <w:szCs w:val="24"/>
              </w:rPr>
            </w:pPr>
            <w:r>
              <w:rPr>
                <w:rFonts w:hint="eastAsia" w:ascii="宋体" w:hAnsi="宋体" w:eastAsia="宋体" w:cs="Arial"/>
                <w:color w:val="000000"/>
                <w:kern w:val="0"/>
                <w:sz w:val="24"/>
                <w:szCs w:val="24"/>
              </w:rPr>
              <w:t>财政拨款收入支出决算总表</w:t>
            </w:r>
          </w:p>
        </w:tc>
        <w:tc>
          <w:tcPr>
            <w:tcW w:w="590"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eastAsia="宋体" w:cs="Arial"/>
                <w:color w:val="000000"/>
                <w:kern w:val="0"/>
                <w:sz w:val="24"/>
                <w:szCs w:val="24"/>
              </w:rPr>
            </w:pPr>
            <w:r>
              <w:rPr>
                <w:rFonts w:hint="eastAsia" w:ascii="宋体" w:hAnsi="宋体" w:eastAsia="宋体" w:cs="Arial"/>
                <w:color w:val="000000"/>
                <w:kern w:val="0"/>
                <w:sz w:val="24"/>
                <w:szCs w:val="24"/>
              </w:rPr>
              <w:t>否</w:t>
            </w:r>
          </w:p>
        </w:tc>
        <w:tc>
          <w:tcPr>
            <w:tcW w:w="831"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4"/>
                <w:szCs w:val="24"/>
              </w:rPr>
            </w:pPr>
            <w:r>
              <w:rPr>
                <w:rFonts w:hint="eastAsia" w:ascii="宋体" w:hAnsi="宋体" w:eastAsia="宋体" w:cs="Arial"/>
                <w:color w:val="000000"/>
                <w:kern w:val="0"/>
                <w:sz w:val="24"/>
                <w:szCs w:val="24"/>
              </w:rPr>
              <w:t>　</w:t>
            </w:r>
          </w:p>
        </w:tc>
      </w:tr>
      <w:tr>
        <w:tblPrEx>
          <w:tblCellMar>
            <w:top w:w="0" w:type="dxa"/>
            <w:left w:w="108" w:type="dxa"/>
            <w:bottom w:w="0" w:type="dxa"/>
            <w:right w:w="108" w:type="dxa"/>
          </w:tblCellMar>
        </w:tblPrEx>
        <w:trPr>
          <w:trHeight w:val="402" w:hRule="atLeast"/>
        </w:trPr>
        <w:tc>
          <w:tcPr>
            <w:tcW w:w="349" w:type="pct"/>
            <w:tcBorders>
              <w:top w:val="nil"/>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Arial"/>
                <w:color w:val="000000"/>
                <w:kern w:val="0"/>
                <w:sz w:val="24"/>
                <w:szCs w:val="24"/>
              </w:rPr>
            </w:pPr>
            <w:r>
              <w:rPr>
                <w:rFonts w:hint="eastAsia" w:ascii="宋体" w:hAnsi="宋体" w:eastAsia="宋体" w:cs="Arial"/>
                <w:color w:val="000000"/>
                <w:kern w:val="0"/>
                <w:sz w:val="24"/>
                <w:szCs w:val="24"/>
              </w:rPr>
              <w:t>表5</w:t>
            </w:r>
          </w:p>
        </w:tc>
        <w:tc>
          <w:tcPr>
            <w:tcW w:w="323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4"/>
                <w:szCs w:val="24"/>
              </w:rPr>
            </w:pPr>
            <w:r>
              <w:rPr>
                <w:rFonts w:hint="eastAsia" w:ascii="宋体" w:hAnsi="宋体" w:eastAsia="宋体" w:cs="Arial"/>
                <w:color w:val="000000"/>
                <w:kern w:val="0"/>
                <w:sz w:val="24"/>
                <w:szCs w:val="24"/>
              </w:rPr>
              <w:t>一般公共预算财政拨款支出决算表（按功能分类科目）</w:t>
            </w:r>
          </w:p>
        </w:tc>
        <w:tc>
          <w:tcPr>
            <w:tcW w:w="590"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eastAsia="宋体" w:cs="Arial"/>
                <w:color w:val="000000"/>
                <w:kern w:val="0"/>
                <w:sz w:val="24"/>
                <w:szCs w:val="24"/>
              </w:rPr>
            </w:pPr>
            <w:r>
              <w:rPr>
                <w:rFonts w:hint="eastAsia" w:ascii="宋体" w:hAnsi="宋体" w:eastAsia="宋体" w:cs="Arial"/>
                <w:color w:val="000000"/>
                <w:kern w:val="0"/>
                <w:sz w:val="24"/>
                <w:szCs w:val="24"/>
              </w:rPr>
              <w:t>否</w:t>
            </w:r>
          </w:p>
        </w:tc>
        <w:tc>
          <w:tcPr>
            <w:tcW w:w="831"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4"/>
                <w:szCs w:val="24"/>
              </w:rPr>
            </w:pPr>
            <w:r>
              <w:rPr>
                <w:rFonts w:hint="eastAsia" w:ascii="宋体" w:hAnsi="宋体" w:eastAsia="宋体" w:cs="Arial"/>
                <w:color w:val="000000"/>
                <w:kern w:val="0"/>
                <w:sz w:val="24"/>
                <w:szCs w:val="24"/>
              </w:rPr>
              <w:t>　</w:t>
            </w:r>
          </w:p>
        </w:tc>
      </w:tr>
      <w:tr>
        <w:tblPrEx>
          <w:tblCellMar>
            <w:top w:w="0" w:type="dxa"/>
            <w:left w:w="108" w:type="dxa"/>
            <w:bottom w:w="0" w:type="dxa"/>
            <w:right w:w="108" w:type="dxa"/>
          </w:tblCellMar>
        </w:tblPrEx>
        <w:trPr>
          <w:trHeight w:val="402" w:hRule="atLeast"/>
        </w:trPr>
        <w:tc>
          <w:tcPr>
            <w:tcW w:w="349" w:type="pct"/>
            <w:tcBorders>
              <w:top w:val="nil"/>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Arial"/>
                <w:color w:val="000000"/>
                <w:kern w:val="0"/>
                <w:sz w:val="24"/>
                <w:szCs w:val="24"/>
              </w:rPr>
            </w:pPr>
            <w:r>
              <w:rPr>
                <w:rFonts w:hint="eastAsia" w:ascii="宋体" w:hAnsi="宋体" w:eastAsia="宋体" w:cs="Arial"/>
                <w:color w:val="000000"/>
                <w:kern w:val="0"/>
                <w:sz w:val="24"/>
                <w:szCs w:val="24"/>
              </w:rPr>
              <w:t>表6</w:t>
            </w:r>
          </w:p>
        </w:tc>
        <w:tc>
          <w:tcPr>
            <w:tcW w:w="323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4"/>
                <w:szCs w:val="24"/>
              </w:rPr>
            </w:pPr>
            <w:r>
              <w:rPr>
                <w:rFonts w:hint="eastAsia" w:ascii="宋体" w:hAnsi="宋体" w:eastAsia="宋体" w:cs="Arial"/>
                <w:color w:val="000000"/>
                <w:kern w:val="0"/>
                <w:sz w:val="24"/>
                <w:szCs w:val="24"/>
              </w:rPr>
              <w:t>一般公共预算财政拨款基本支出决算表（按经济分类科目）</w:t>
            </w:r>
          </w:p>
        </w:tc>
        <w:tc>
          <w:tcPr>
            <w:tcW w:w="590"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eastAsia="宋体" w:cs="Arial"/>
                <w:color w:val="000000"/>
                <w:kern w:val="0"/>
                <w:sz w:val="24"/>
                <w:szCs w:val="24"/>
              </w:rPr>
            </w:pPr>
            <w:r>
              <w:rPr>
                <w:rFonts w:hint="eastAsia" w:ascii="宋体" w:hAnsi="宋体" w:eastAsia="宋体" w:cs="Arial"/>
                <w:color w:val="000000"/>
                <w:kern w:val="0"/>
                <w:sz w:val="24"/>
                <w:szCs w:val="24"/>
              </w:rPr>
              <w:t>否</w:t>
            </w:r>
          </w:p>
        </w:tc>
        <w:tc>
          <w:tcPr>
            <w:tcW w:w="831"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4"/>
                <w:szCs w:val="24"/>
              </w:rPr>
            </w:pPr>
            <w:r>
              <w:rPr>
                <w:rFonts w:hint="eastAsia" w:ascii="宋体" w:hAnsi="宋体" w:eastAsia="宋体" w:cs="Arial"/>
                <w:color w:val="000000"/>
                <w:kern w:val="0"/>
                <w:sz w:val="24"/>
                <w:szCs w:val="24"/>
              </w:rPr>
              <w:t>　</w:t>
            </w:r>
          </w:p>
        </w:tc>
      </w:tr>
      <w:tr>
        <w:tblPrEx>
          <w:tblCellMar>
            <w:top w:w="0" w:type="dxa"/>
            <w:left w:w="108" w:type="dxa"/>
            <w:bottom w:w="0" w:type="dxa"/>
            <w:right w:w="108" w:type="dxa"/>
          </w:tblCellMar>
        </w:tblPrEx>
        <w:trPr>
          <w:trHeight w:val="402" w:hRule="atLeast"/>
        </w:trPr>
        <w:tc>
          <w:tcPr>
            <w:tcW w:w="349" w:type="pct"/>
            <w:tcBorders>
              <w:top w:val="nil"/>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Arial"/>
                <w:color w:val="000000"/>
                <w:kern w:val="0"/>
                <w:sz w:val="24"/>
                <w:szCs w:val="24"/>
              </w:rPr>
            </w:pPr>
            <w:r>
              <w:rPr>
                <w:rFonts w:hint="eastAsia" w:ascii="宋体" w:hAnsi="宋体" w:eastAsia="宋体" w:cs="Arial"/>
                <w:color w:val="000000"/>
                <w:kern w:val="0"/>
                <w:sz w:val="24"/>
                <w:szCs w:val="24"/>
              </w:rPr>
              <w:t>表7</w:t>
            </w:r>
          </w:p>
        </w:tc>
        <w:tc>
          <w:tcPr>
            <w:tcW w:w="323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4"/>
                <w:szCs w:val="24"/>
              </w:rPr>
            </w:pPr>
            <w:r>
              <w:rPr>
                <w:rFonts w:hint="eastAsia" w:ascii="宋体" w:hAnsi="宋体" w:eastAsia="宋体" w:cs="Arial"/>
                <w:color w:val="000000"/>
                <w:kern w:val="0"/>
                <w:sz w:val="24"/>
                <w:szCs w:val="24"/>
              </w:rPr>
              <w:t>一般公共预算财政拨款“三公”经费及会议费、培训费支出决算表</w:t>
            </w:r>
          </w:p>
        </w:tc>
        <w:tc>
          <w:tcPr>
            <w:tcW w:w="590"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eastAsia="宋体" w:cs="Arial"/>
                <w:color w:val="000000"/>
                <w:kern w:val="0"/>
                <w:sz w:val="24"/>
                <w:szCs w:val="24"/>
              </w:rPr>
            </w:pPr>
            <w:r>
              <w:rPr>
                <w:rFonts w:hint="eastAsia" w:ascii="宋体" w:hAnsi="宋体" w:eastAsia="宋体" w:cs="Arial"/>
                <w:color w:val="000000"/>
                <w:kern w:val="0"/>
                <w:sz w:val="24"/>
                <w:szCs w:val="24"/>
              </w:rPr>
              <w:t>否</w:t>
            </w:r>
          </w:p>
        </w:tc>
        <w:tc>
          <w:tcPr>
            <w:tcW w:w="831"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4"/>
                <w:szCs w:val="24"/>
              </w:rPr>
            </w:pPr>
            <w:r>
              <w:rPr>
                <w:rFonts w:hint="eastAsia" w:ascii="宋体" w:hAnsi="宋体" w:eastAsia="宋体" w:cs="Arial"/>
                <w:color w:val="000000"/>
                <w:kern w:val="0"/>
                <w:sz w:val="24"/>
                <w:szCs w:val="24"/>
              </w:rPr>
              <w:t>　</w:t>
            </w:r>
          </w:p>
        </w:tc>
      </w:tr>
      <w:tr>
        <w:tblPrEx>
          <w:tblCellMar>
            <w:top w:w="0" w:type="dxa"/>
            <w:left w:w="108" w:type="dxa"/>
            <w:bottom w:w="0" w:type="dxa"/>
            <w:right w:w="108" w:type="dxa"/>
          </w:tblCellMar>
        </w:tblPrEx>
        <w:trPr>
          <w:trHeight w:val="402" w:hRule="atLeast"/>
        </w:trPr>
        <w:tc>
          <w:tcPr>
            <w:tcW w:w="349" w:type="pct"/>
            <w:tcBorders>
              <w:top w:val="nil"/>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s="Arial"/>
                <w:color w:val="000000"/>
                <w:kern w:val="0"/>
                <w:sz w:val="24"/>
                <w:szCs w:val="24"/>
              </w:rPr>
            </w:pPr>
            <w:r>
              <w:rPr>
                <w:rFonts w:hint="eastAsia" w:ascii="宋体" w:hAnsi="宋体" w:eastAsia="宋体" w:cs="Arial"/>
                <w:color w:val="000000"/>
                <w:kern w:val="0"/>
                <w:sz w:val="24"/>
                <w:szCs w:val="24"/>
              </w:rPr>
              <w:t>表8</w:t>
            </w:r>
          </w:p>
        </w:tc>
        <w:tc>
          <w:tcPr>
            <w:tcW w:w="3230"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4"/>
                <w:szCs w:val="24"/>
              </w:rPr>
            </w:pPr>
            <w:r>
              <w:rPr>
                <w:rFonts w:hint="eastAsia" w:ascii="宋体" w:hAnsi="宋体" w:eastAsia="宋体" w:cs="Arial"/>
                <w:color w:val="000000"/>
                <w:kern w:val="0"/>
                <w:sz w:val="24"/>
                <w:szCs w:val="24"/>
              </w:rPr>
              <w:t>政府性基金预算财政拨款收入支出决算表</w:t>
            </w:r>
          </w:p>
        </w:tc>
        <w:tc>
          <w:tcPr>
            <w:tcW w:w="590" w:type="pct"/>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eastAsia="宋体" w:cs="Arial"/>
                <w:color w:val="000000"/>
                <w:kern w:val="0"/>
                <w:sz w:val="24"/>
                <w:szCs w:val="24"/>
              </w:rPr>
            </w:pPr>
            <w:r>
              <w:rPr>
                <w:rFonts w:hint="eastAsia" w:ascii="宋体" w:hAnsi="宋体" w:eastAsia="宋体" w:cs="Arial"/>
                <w:color w:val="000000"/>
                <w:kern w:val="0"/>
                <w:sz w:val="24"/>
                <w:szCs w:val="24"/>
              </w:rPr>
              <w:t>否</w:t>
            </w:r>
          </w:p>
        </w:tc>
        <w:tc>
          <w:tcPr>
            <w:tcW w:w="831"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4"/>
                <w:szCs w:val="24"/>
              </w:rPr>
            </w:pPr>
            <w:r>
              <w:rPr>
                <w:rFonts w:hint="eastAsia" w:ascii="宋体" w:hAnsi="宋体" w:eastAsia="宋体" w:cs="Arial"/>
                <w:color w:val="000000"/>
                <w:kern w:val="0"/>
                <w:sz w:val="24"/>
                <w:szCs w:val="24"/>
              </w:rPr>
              <w:t>　</w:t>
            </w:r>
          </w:p>
        </w:tc>
      </w:tr>
    </w:tbl>
    <w:p>
      <w:pPr>
        <w:widowControl/>
        <w:jc w:val="center"/>
        <w:rPr>
          <w:rFonts w:hint="eastAsia" w:ascii="黑体" w:hAnsi="宋体" w:eastAsia="黑体"/>
          <w:color w:val="000000"/>
          <w:kern w:val="0"/>
          <w:sz w:val="44"/>
          <w:szCs w:val="44"/>
        </w:rPr>
      </w:pPr>
    </w:p>
    <w:p>
      <w:pPr>
        <w:widowControl/>
        <w:jc w:val="center"/>
        <w:rPr>
          <w:rFonts w:hint="eastAsia" w:ascii="黑体" w:hAnsi="宋体" w:eastAsia="黑体"/>
          <w:color w:val="000000"/>
          <w:kern w:val="0"/>
          <w:sz w:val="44"/>
          <w:szCs w:val="44"/>
        </w:rPr>
      </w:pPr>
      <w:r>
        <w:rPr>
          <w:rFonts w:hint="eastAsia" w:ascii="黑体" w:hAnsi="宋体" w:eastAsia="黑体"/>
          <w:color w:val="000000"/>
          <w:kern w:val="0"/>
          <w:sz w:val="44"/>
          <w:szCs w:val="44"/>
        </w:rPr>
        <w:t>收入支出决算总表</w:t>
      </w:r>
    </w:p>
    <w:tbl>
      <w:tblPr>
        <w:tblStyle w:val="5"/>
        <w:tblW w:w="5000" w:type="pct"/>
        <w:tblInd w:w="0" w:type="dxa"/>
        <w:tblLayout w:type="autofit"/>
        <w:tblCellMar>
          <w:top w:w="0" w:type="dxa"/>
          <w:left w:w="108" w:type="dxa"/>
          <w:bottom w:w="0" w:type="dxa"/>
          <w:right w:w="108" w:type="dxa"/>
        </w:tblCellMar>
      </w:tblPr>
      <w:tblGrid>
        <w:gridCol w:w="4179"/>
        <w:gridCol w:w="1096"/>
        <w:gridCol w:w="3076"/>
        <w:gridCol w:w="1617"/>
      </w:tblGrid>
      <w:tr>
        <w:tblPrEx>
          <w:tblCellMar>
            <w:top w:w="0" w:type="dxa"/>
            <w:left w:w="108" w:type="dxa"/>
            <w:bottom w:w="0" w:type="dxa"/>
            <w:right w:w="108" w:type="dxa"/>
          </w:tblCellMar>
        </w:tblPrEx>
        <w:trPr>
          <w:trHeight w:val="255" w:hRule="atLeast"/>
        </w:trPr>
        <w:tc>
          <w:tcPr>
            <w:tcW w:w="2299"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556"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1435"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710" w:type="pct"/>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公开01表</w:t>
            </w:r>
          </w:p>
        </w:tc>
      </w:tr>
      <w:tr>
        <w:tblPrEx>
          <w:tblCellMar>
            <w:top w:w="0" w:type="dxa"/>
            <w:left w:w="108" w:type="dxa"/>
            <w:bottom w:w="0" w:type="dxa"/>
            <w:right w:w="108" w:type="dxa"/>
          </w:tblCellMar>
        </w:tblPrEx>
        <w:trPr>
          <w:trHeight w:val="255" w:hRule="atLeast"/>
        </w:trPr>
        <w:tc>
          <w:tcPr>
            <w:tcW w:w="2299" w:type="pct"/>
            <w:tcBorders>
              <w:top w:val="nil"/>
              <w:left w:val="nil"/>
              <w:bottom w:val="nil"/>
              <w:right w:val="nil"/>
            </w:tcBorders>
            <w:shd w:val="clear" w:color="auto" w:fill="auto"/>
            <w:noWrap/>
            <w:vAlign w:val="bottom"/>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编制部门：西安市蓝田县住房和城乡建设局</w:t>
            </w:r>
          </w:p>
        </w:tc>
        <w:tc>
          <w:tcPr>
            <w:tcW w:w="556" w:type="pct"/>
            <w:tcBorders>
              <w:top w:val="nil"/>
              <w:left w:val="nil"/>
              <w:bottom w:val="nil"/>
              <w:right w:val="nil"/>
            </w:tcBorders>
            <w:shd w:val="clear" w:color="auto" w:fill="auto"/>
            <w:noWrap/>
            <w:vAlign w:val="bottom"/>
          </w:tcPr>
          <w:p>
            <w:pPr>
              <w:widowControl/>
              <w:rPr>
                <w:rFonts w:ascii="宋体" w:hAnsi="宋体" w:eastAsia="宋体" w:cs="Arial"/>
                <w:color w:val="000000"/>
                <w:kern w:val="0"/>
                <w:sz w:val="20"/>
              </w:rPr>
            </w:pPr>
            <w:r>
              <w:rPr>
                <w:rFonts w:hint="eastAsia" w:ascii="宋体" w:hAnsi="宋体" w:eastAsia="宋体" w:cs="Arial"/>
                <w:color w:val="000000"/>
                <w:kern w:val="0"/>
                <w:sz w:val="20"/>
              </w:rPr>
              <w:t>2019年</w:t>
            </w:r>
          </w:p>
        </w:tc>
        <w:tc>
          <w:tcPr>
            <w:tcW w:w="1435"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710" w:type="pct"/>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金额单位：万元</w:t>
            </w:r>
          </w:p>
        </w:tc>
      </w:tr>
      <w:tr>
        <w:tblPrEx>
          <w:tblCellMar>
            <w:top w:w="0" w:type="dxa"/>
            <w:left w:w="108" w:type="dxa"/>
            <w:bottom w:w="0" w:type="dxa"/>
            <w:right w:w="108" w:type="dxa"/>
          </w:tblCellMar>
        </w:tblPrEx>
        <w:trPr>
          <w:trHeight w:val="480" w:hRule="atLeast"/>
        </w:trPr>
        <w:tc>
          <w:tcPr>
            <w:tcW w:w="2855" w:type="pct"/>
            <w:gridSpan w:val="2"/>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收入</w:t>
            </w:r>
          </w:p>
        </w:tc>
        <w:tc>
          <w:tcPr>
            <w:tcW w:w="2145" w:type="pct"/>
            <w:gridSpan w:val="2"/>
            <w:tcBorders>
              <w:top w:val="single" w:color="000000" w:sz="4" w:space="0"/>
              <w:left w:val="nil"/>
              <w:bottom w:val="single" w:color="000000" w:sz="4" w:space="0"/>
              <w:right w:val="single" w:color="000000" w:sz="8" w:space="0"/>
            </w:tcBorders>
            <w:shd w:val="clear" w:color="FFFFFF" w:fill="C0C0C0"/>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支出</w:t>
            </w:r>
          </w:p>
        </w:tc>
      </w:tr>
      <w:tr>
        <w:tblPrEx>
          <w:tblCellMar>
            <w:top w:w="0" w:type="dxa"/>
            <w:left w:w="108" w:type="dxa"/>
            <w:bottom w:w="0" w:type="dxa"/>
            <w:right w:w="108" w:type="dxa"/>
          </w:tblCellMar>
        </w:tblPrEx>
        <w:trPr>
          <w:trHeight w:val="480" w:hRule="atLeast"/>
        </w:trPr>
        <w:tc>
          <w:tcPr>
            <w:tcW w:w="2299"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项目</w:t>
            </w:r>
          </w:p>
        </w:tc>
        <w:tc>
          <w:tcPr>
            <w:tcW w:w="556"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决算数</w:t>
            </w:r>
          </w:p>
        </w:tc>
        <w:tc>
          <w:tcPr>
            <w:tcW w:w="1435"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项目</w:t>
            </w:r>
          </w:p>
        </w:tc>
        <w:tc>
          <w:tcPr>
            <w:tcW w:w="710" w:type="pct"/>
            <w:tcBorders>
              <w:top w:val="nil"/>
              <w:left w:val="nil"/>
              <w:bottom w:val="single" w:color="000000" w:sz="4" w:space="0"/>
              <w:right w:val="single" w:color="000000" w:sz="8" w:space="0"/>
            </w:tcBorders>
            <w:shd w:val="clear" w:color="FFFFFF" w:fill="C0C0C0"/>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决算数</w:t>
            </w:r>
          </w:p>
        </w:tc>
      </w:tr>
      <w:tr>
        <w:tblPrEx>
          <w:tblCellMar>
            <w:top w:w="0" w:type="dxa"/>
            <w:left w:w="108" w:type="dxa"/>
            <w:bottom w:w="0" w:type="dxa"/>
            <w:right w:w="108" w:type="dxa"/>
          </w:tblCellMar>
        </w:tblPrEx>
        <w:trPr>
          <w:trHeight w:val="480" w:hRule="atLeast"/>
        </w:trPr>
        <w:tc>
          <w:tcPr>
            <w:tcW w:w="2299"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1、一般公共预算财政拨款</w:t>
            </w:r>
          </w:p>
        </w:tc>
        <w:tc>
          <w:tcPr>
            <w:tcW w:w="55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5,302.48</w:t>
            </w:r>
          </w:p>
        </w:tc>
        <w:tc>
          <w:tcPr>
            <w:tcW w:w="143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1、一般公共服务支出</w:t>
            </w:r>
          </w:p>
        </w:tc>
        <w:tc>
          <w:tcPr>
            <w:tcW w:w="710"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155.40</w:t>
            </w:r>
          </w:p>
        </w:tc>
      </w:tr>
      <w:tr>
        <w:tblPrEx>
          <w:tblCellMar>
            <w:top w:w="0" w:type="dxa"/>
            <w:left w:w="108" w:type="dxa"/>
            <w:bottom w:w="0" w:type="dxa"/>
            <w:right w:w="108" w:type="dxa"/>
          </w:tblCellMar>
        </w:tblPrEx>
        <w:trPr>
          <w:trHeight w:val="480" w:hRule="atLeast"/>
        </w:trPr>
        <w:tc>
          <w:tcPr>
            <w:tcW w:w="2299"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2、政府性基金预算财政拨款</w:t>
            </w:r>
          </w:p>
        </w:tc>
        <w:tc>
          <w:tcPr>
            <w:tcW w:w="55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843.16</w:t>
            </w:r>
          </w:p>
        </w:tc>
        <w:tc>
          <w:tcPr>
            <w:tcW w:w="143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2、外交支出</w:t>
            </w:r>
          </w:p>
        </w:tc>
        <w:tc>
          <w:tcPr>
            <w:tcW w:w="710"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480" w:hRule="atLeast"/>
        </w:trPr>
        <w:tc>
          <w:tcPr>
            <w:tcW w:w="2299"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3、国有资本经营预算财政拨款 </w:t>
            </w:r>
          </w:p>
        </w:tc>
        <w:tc>
          <w:tcPr>
            <w:tcW w:w="55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43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3、国防支出</w:t>
            </w:r>
          </w:p>
        </w:tc>
        <w:tc>
          <w:tcPr>
            <w:tcW w:w="710"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480" w:hRule="atLeast"/>
        </w:trPr>
        <w:tc>
          <w:tcPr>
            <w:tcW w:w="2299"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4、上级补助收入</w:t>
            </w:r>
          </w:p>
        </w:tc>
        <w:tc>
          <w:tcPr>
            <w:tcW w:w="55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43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4、公共安全支出</w:t>
            </w:r>
          </w:p>
        </w:tc>
        <w:tc>
          <w:tcPr>
            <w:tcW w:w="710"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480" w:hRule="atLeast"/>
        </w:trPr>
        <w:tc>
          <w:tcPr>
            <w:tcW w:w="2299"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5、事业收入</w:t>
            </w:r>
          </w:p>
        </w:tc>
        <w:tc>
          <w:tcPr>
            <w:tcW w:w="55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43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5、教育支出</w:t>
            </w:r>
          </w:p>
        </w:tc>
        <w:tc>
          <w:tcPr>
            <w:tcW w:w="710"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480" w:hRule="atLeast"/>
        </w:trPr>
        <w:tc>
          <w:tcPr>
            <w:tcW w:w="2299"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6、经营收入</w:t>
            </w:r>
          </w:p>
        </w:tc>
        <w:tc>
          <w:tcPr>
            <w:tcW w:w="55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43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6、科学技术支出</w:t>
            </w:r>
          </w:p>
        </w:tc>
        <w:tc>
          <w:tcPr>
            <w:tcW w:w="710"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480" w:hRule="atLeast"/>
        </w:trPr>
        <w:tc>
          <w:tcPr>
            <w:tcW w:w="2299"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7、附属单位上缴收入</w:t>
            </w:r>
          </w:p>
        </w:tc>
        <w:tc>
          <w:tcPr>
            <w:tcW w:w="55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43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7、文化旅游体育与传媒支出</w:t>
            </w:r>
          </w:p>
        </w:tc>
        <w:tc>
          <w:tcPr>
            <w:tcW w:w="710"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480" w:hRule="atLeast"/>
        </w:trPr>
        <w:tc>
          <w:tcPr>
            <w:tcW w:w="2299"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8、其他收入</w:t>
            </w:r>
          </w:p>
        </w:tc>
        <w:tc>
          <w:tcPr>
            <w:tcW w:w="55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43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8、社会保障和就业支出</w:t>
            </w:r>
          </w:p>
        </w:tc>
        <w:tc>
          <w:tcPr>
            <w:tcW w:w="710"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72.89</w:t>
            </w:r>
          </w:p>
        </w:tc>
      </w:tr>
      <w:tr>
        <w:tblPrEx>
          <w:tblCellMar>
            <w:top w:w="0" w:type="dxa"/>
            <w:left w:w="108" w:type="dxa"/>
            <w:bottom w:w="0" w:type="dxa"/>
            <w:right w:w="108" w:type="dxa"/>
          </w:tblCellMar>
        </w:tblPrEx>
        <w:trPr>
          <w:trHeight w:val="480" w:hRule="atLeast"/>
        </w:trPr>
        <w:tc>
          <w:tcPr>
            <w:tcW w:w="2299"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5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43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9、卫生健康支出</w:t>
            </w:r>
          </w:p>
        </w:tc>
        <w:tc>
          <w:tcPr>
            <w:tcW w:w="710"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18.08</w:t>
            </w:r>
          </w:p>
        </w:tc>
      </w:tr>
      <w:tr>
        <w:tblPrEx>
          <w:tblCellMar>
            <w:top w:w="0" w:type="dxa"/>
            <w:left w:w="108" w:type="dxa"/>
            <w:bottom w:w="0" w:type="dxa"/>
            <w:right w:w="108" w:type="dxa"/>
          </w:tblCellMar>
        </w:tblPrEx>
        <w:trPr>
          <w:trHeight w:val="480" w:hRule="atLeast"/>
        </w:trPr>
        <w:tc>
          <w:tcPr>
            <w:tcW w:w="2299"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5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43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10、节能环保支出</w:t>
            </w:r>
          </w:p>
        </w:tc>
        <w:tc>
          <w:tcPr>
            <w:tcW w:w="710"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480" w:hRule="atLeast"/>
        </w:trPr>
        <w:tc>
          <w:tcPr>
            <w:tcW w:w="2299"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5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43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11、城乡社区支出</w:t>
            </w:r>
          </w:p>
        </w:tc>
        <w:tc>
          <w:tcPr>
            <w:tcW w:w="710"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4,972.35</w:t>
            </w:r>
          </w:p>
        </w:tc>
      </w:tr>
      <w:tr>
        <w:tblPrEx>
          <w:tblCellMar>
            <w:top w:w="0" w:type="dxa"/>
            <w:left w:w="108" w:type="dxa"/>
            <w:bottom w:w="0" w:type="dxa"/>
            <w:right w:w="108" w:type="dxa"/>
          </w:tblCellMar>
        </w:tblPrEx>
        <w:trPr>
          <w:trHeight w:val="480" w:hRule="atLeast"/>
        </w:trPr>
        <w:tc>
          <w:tcPr>
            <w:tcW w:w="2299"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5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43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12、农林水支出</w:t>
            </w:r>
          </w:p>
        </w:tc>
        <w:tc>
          <w:tcPr>
            <w:tcW w:w="710"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508.00</w:t>
            </w:r>
          </w:p>
        </w:tc>
      </w:tr>
      <w:tr>
        <w:tblPrEx>
          <w:tblCellMar>
            <w:top w:w="0" w:type="dxa"/>
            <w:left w:w="108" w:type="dxa"/>
            <w:bottom w:w="0" w:type="dxa"/>
            <w:right w:w="108" w:type="dxa"/>
          </w:tblCellMar>
        </w:tblPrEx>
        <w:trPr>
          <w:trHeight w:val="480" w:hRule="atLeast"/>
        </w:trPr>
        <w:tc>
          <w:tcPr>
            <w:tcW w:w="2299"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5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43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13、交通运输支出</w:t>
            </w:r>
          </w:p>
        </w:tc>
        <w:tc>
          <w:tcPr>
            <w:tcW w:w="710"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480" w:hRule="atLeast"/>
        </w:trPr>
        <w:tc>
          <w:tcPr>
            <w:tcW w:w="2299"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5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43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14、资源勘探信息等支出</w:t>
            </w:r>
          </w:p>
        </w:tc>
        <w:tc>
          <w:tcPr>
            <w:tcW w:w="710"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480" w:hRule="atLeast"/>
        </w:trPr>
        <w:tc>
          <w:tcPr>
            <w:tcW w:w="2299"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5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43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15、商业服务业等支出</w:t>
            </w:r>
          </w:p>
        </w:tc>
        <w:tc>
          <w:tcPr>
            <w:tcW w:w="710"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480" w:hRule="atLeast"/>
        </w:trPr>
        <w:tc>
          <w:tcPr>
            <w:tcW w:w="2299"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5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43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16、金融支出</w:t>
            </w:r>
          </w:p>
        </w:tc>
        <w:tc>
          <w:tcPr>
            <w:tcW w:w="710"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480" w:hRule="atLeast"/>
        </w:trPr>
        <w:tc>
          <w:tcPr>
            <w:tcW w:w="2299"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5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43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17、援助其他地区支出</w:t>
            </w:r>
          </w:p>
        </w:tc>
        <w:tc>
          <w:tcPr>
            <w:tcW w:w="710"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480" w:hRule="atLeast"/>
        </w:trPr>
        <w:tc>
          <w:tcPr>
            <w:tcW w:w="2299"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5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43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18、自然资源海洋气象等支出</w:t>
            </w:r>
          </w:p>
        </w:tc>
        <w:tc>
          <w:tcPr>
            <w:tcW w:w="710"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480" w:hRule="atLeast"/>
        </w:trPr>
        <w:tc>
          <w:tcPr>
            <w:tcW w:w="2299"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5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43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19、住房保障支出</w:t>
            </w:r>
          </w:p>
        </w:tc>
        <w:tc>
          <w:tcPr>
            <w:tcW w:w="710"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418.92</w:t>
            </w:r>
          </w:p>
        </w:tc>
      </w:tr>
      <w:tr>
        <w:tblPrEx>
          <w:tblCellMar>
            <w:top w:w="0" w:type="dxa"/>
            <w:left w:w="108" w:type="dxa"/>
            <w:bottom w:w="0" w:type="dxa"/>
            <w:right w:w="108" w:type="dxa"/>
          </w:tblCellMar>
        </w:tblPrEx>
        <w:trPr>
          <w:trHeight w:val="480" w:hRule="atLeast"/>
        </w:trPr>
        <w:tc>
          <w:tcPr>
            <w:tcW w:w="2299"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5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43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20、粮油物资储备支出</w:t>
            </w:r>
          </w:p>
        </w:tc>
        <w:tc>
          <w:tcPr>
            <w:tcW w:w="710"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480" w:hRule="atLeast"/>
        </w:trPr>
        <w:tc>
          <w:tcPr>
            <w:tcW w:w="2299"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5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43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21、灾害防治及应急管理支出</w:t>
            </w:r>
          </w:p>
        </w:tc>
        <w:tc>
          <w:tcPr>
            <w:tcW w:w="710"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480" w:hRule="atLeast"/>
        </w:trPr>
        <w:tc>
          <w:tcPr>
            <w:tcW w:w="2299"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　</w:t>
            </w:r>
          </w:p>
        </w:tc>
        <w:tc>
          <w:tcPr>
            <w:tcW w:w="55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1435"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22、其他支出</w:t>
            </w:r>
          </w:p>
        </w:tc>
        <w:tc>
          <w:tcPr>
            <w:tcW w:w="710"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trHeight w:val="480" w:hRule="atLeast"/>
        </w:trPr>
        <w:tc>
          <w:tcPr>
            <w:tcW w:w="2299"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Arial"/>
                <w:b/>
                <w:bCs/>
                <w:color w:val="000000"/>
                <w:kern w:val="0"/>
                <w:sz w:val="22"/>
                <w:szCs w:val="22"/>
              </w:rPr>
            </w:pPr>
            <w:r>
              <w:rPr>
                <w:rFonts w:hint="eastAsia" w:ascii="宋体" w:hAnsi="宋体" w:eastAsia="宋体" w:cs="Arial"/>
                <w:b/>
                <w:bCs/>
                <w:color w:val="000000"/>
                <w:kern w:val="0"/>
                <w:sz w:val="22"/>
                <w:szCs w:val="22"/>
              </w:rPr>
              <w:t>本年收入合计</w:t>
            </w:r>
          </w:p>
        </w:tc>
        <w:tc>
          <w:tcPr>
            <w:tcW w:w="55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6,145.64</w:t>
            </w:r>
          </w:p>
        </w:tc>
        <w:tc>
          <w:tcPr>
            <w:tcW w:w="1435"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b/>
                <w:bCs/>
                <w:color w:val="000000"/>
                <w:kern w:val="0"/>
                <w:sz w:val="22"/>
                <w:szCs w:val="22"/>
              </w:rPr>
            </w:pPr>
            <w:r>
              <w:rPr>
                <w:rFonts w:hint="eastAsia" w:ascii="宋体" w:hAnsi="宋体" w:eastAsia="宋体" w:cs="Arial"/>
                <w:b/>
                <w:bCs/>
                <w:color w:val="000000"/>
                <w:kern w:val="0"/>
                <w:sz w:val="22"/>
                <w:szCs w:val="22"/>
              </w:rPr>
              <w:t>本年支出合计</w:t>
            </w:r>
          </w:p>
        </w:tc>
        <w:tc>
          <w:tcPr>
            <w:tcW w:w="710"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6,145.64</w:t>
            </w:r>
          </w:p>
        </w:tc>
      </w:tr>
      <w:tr>
        <w:tblPrEx>
          <w:tblCellMar>
            <w:top w:w="0" w:type="dxa"/>
            <w:left w:w="108" w:type="dxa"/>
            <w:bottom w:w="0" w:type="dxa"/>
            <w:right w:w="108" w:type="dxa"/>
          </w:tblCellMar>
        </w:tblPrEx>
        <w:trPr>
          <w:trHeight w:val="480" w:hRule="atLeast"/>
        </w:trPr>
        <w:tc>
          <w:tcPr>
            <w:tcW w:w="2299"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用事业基金弥补收支差额</w:t>
            </w:r>
          </w:p>
        </w:tc>
        <w:tc>
          <w:tcPr>
            <w:tcW w:w="55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435"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结余分配 </w:t>
            </w:r>
          </w:p>
        </w:tc>
        <w:tc>
          <w:tcPr>
            <w:tcW w:w="710"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480" w:hRule="atLeast"/>
        </w:trPr>
        <w:tc>
          <w:tcPr>
            <w:tcW w:w="2299"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年初结转和结余</w:t>
            </w:r>
          </w:p>
        </w:tc>
        <w:tc>
          <w:tcPr>
            <w:tcW w:w="556"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435"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年末结转和结余</w:t>
            </w:r>
          </w:p>
        </w:tc>
        <w:tc>
          <w:tcPr>
            <w:tcW w:w="710"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480" w:hRule="atLeast"/>
        </w:trPr>
        <w:tc>
          <w:tcPr>
            <w:tcW w:w="2299" w:type="pct"/>
            <w:tcBorders>
              <w:top w:val="nil"/>
              <w:left w:val="single" w:color="000000" w:sz="4" w:space="0"/>
              <w:bottom w:val="single" w:color="000000" w:sz="8" w:space="0"/>
              <w:right w:val="single" w:color="000000" w:sz="4" w:space="0"/>
            </w:tcBorders>
            <w:shd w:val="clear" w:color="FFFFFF" w:fill="C0C0C0"/>
            <w:noWrap/>
            <w:vAlign w:val="center"/>
          </w:tcPr>
          <w:p>
            <w:pPr>
              <w:widowControl/>
              <w:jc w:val="center"/>
              <w:rPr>
                <w:rFonts w:ascii="宋体" w:hAnsi="宋体" w:eastAsia="宋体" w:cs="Arial"/>
                <w:b/>
                <w:bCs/>
                <w:color w:val="000000"/>
                <w:kern w:val="0"/>
                <w:sz w:val="22"/>
                <w:szCs w:val="22"/>
              </w:rPr>
            </w:pPr>
            <w:r>
              <w:rPr>
                <w:rFonts w:hint="eastAsia" w:ascii="宋体" w:hAnsi="宋体" w:eastAsia="宋体" w:cs="Arial"/>
                <w:b/>
                <w:bCs/>
                <w:color w:val="000000"/>
                <w:kern w:val="0"/>
                <w:sz w:val="22"/>
                <w:szCs w:val="22"/>
              </w:rPr>
              <w:t>收入总计</w:t>
            </w:r>
          </w:p>
        </w:tc>
        <w:tc>
          <w:tcPr>
            <w:tcW w:w="556" w:type="pct"/>
            <w:tcBorders>
              <w:top w:val="nil"/>
              <w:left w:val="nil"/>
              <w:bottom w:val="single" w:color="000000" w:sz="8"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6,145.64</w:t>
            </w:r>
          </w:p>
        </w:tc>
        <w:tc>
          <w:tcPr>
            <w:tcW w:w="1435" w:type="pct"/>
            <w:tcBorders>
              <w:top w:val="nil"/>
              <w:left w:val="nil"/>
              <w:bottom w:val="single" w:color="000000" w:sz="8" w:space="0"/>
              <w:right w:val="single" w:color="000000" w:sz="4" w:space="0"/>
            </w:tcBorders>
            <w:shd w:val="clear" w:color="FFFFFF" w:fill="C0C0C0"/>
            <w:noWrap/>
            <w:vAlign w:val="center"/>
          </w:tcPr>
          <w:p>
            <w:pPr>
              <w:widowControl/>
              <w:jc w:val="center"/>
              <w:rPr>
                <w:rFonts w:ascii="宋体" w:hAnsi="宋体" w:eastAsia="宋体" w:cs="Arial"/>
                <w:b/>
                <w:bCs/>
                <w:color w:val="000000"/>
                <w:kern w:val="0"/>
                <w:sz w:val="22"/>
                <w:szCs w:val="22"/>
              </w:rPr>
            </w:pPr>
            <w:r>
              <w:rPr>
                <w:rFonts w:hint="eastAsia" w:ascii="宋体" w:hAnsi="宋体" w:eastAsia="宋体" w:cs="Arial"/>
                <w:b/>
                <w:bCs/>
                <w:color w:val="000000"/>
                <w:kern w:val="0"/>
                <w:sz w:val="22"/>
                <w:szCs w:val="22"/>
              </w:rPr>
              <w:t>支出总计</w:t>
            </w:r>
          </w:p>
        </w:tc>
        <w:tc>
          <w:tcPr>
            <w:tcW w:w="710" w:type="pct"/>
            <w:tcBorders>
              <w:top w:val="nil"/>
              <w:left w:val="nil"/>
              <w:bottom w:val="single" w:color="000000" w:sz="8"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6,145.64</w:t>
            </w:r>
          </w:p>
        </w:tc>
      </w:tr>
      <w:tr>
        <w:tblPrEx>
          <w:tblCellMar>
            <w:top w:w="0" w:type="dxa"/>
            <w:left w:w="108" w:type="dxa"/>
            <w:bottom w:w="0" w:type="dxa"/>
            <w:right w:w="108" w:type="dxa"/>
          </w:tblCellMar>
        </w:tblPrEx>
        <w:trPr>
          <w:trHeight w:val="308" w:hRule="atLeast"/>
        </w:trPr>
        <w:tc>
          <w:tcPr>
            <w:tcW w:w="5000" w:type="pct"/>
            <w:gridSpan w:val="4"/>
            <w:tcBorders>
              <w:top w:val="single" w:color="000000" w:sz="8" w:space="0"/>
              <w:left w:val="nil"/>
              <w:bottom w:val="nil"/>
              <w:right w:val="nil"/>
            </w:tcBorders>
            <w:shd w:val="clear" w:color="auto" w:fill="auto"/>
            <w:noWrap/>
            <w:vAlign w:val="center"/>
          </w:tcPr>
          <w:p>
            <w:pPr>
              <w:widowControl/>
              <w:jc w:val="left"/>
              <w:rPr>
                <w:rFonts w:ascii="宋体" w:hAnsi="宋体" w:eastAsia="宋体" w:cs="Arial"/>
                <w:color w:val="000000"/>
                <w:kern w:val="0"/>
                <w:sz w:val="18"/>
                <w:szCs w:val="18"/>
              </w:rPr>
            </w:pPr>
            <w:r>
              <w:rPr>
                <w:rFonts w:hint="eastAsia" w:ascii="宋体" w:hAnsi="宋体" w:eastAsia="宋体" w:cs="Arial"/>
                <w:color w:val="000000"/>
                <w:kern w:val="0"/>
                <w:sz w:val="18"/>
                <w:szCs w:val="18"/>
              </w:rPr>
              <w:t>注：本表反映部门本年度的总收支和年末结转结余情况。本表金额转换为万元时，因四舍五入可能存在尾差。</w:t>
            </w:r>
          </w:p>
        </w:tc>
      </w:tr>
    </w:tbl>
    <w:p>
      <w:pPr>
        <w:widowControl/>
        <w:rPr>
          <w:rFonts w:hint="eastAsia" w:ascii="黑体" w:hAnsi="宋体" w:eastAsia="黑体"/>
          <w:color w:val="000000"/>
          <w:kern w:val="0"/>
          <w:sz w:val="44"/>
          <w:szCs w:val="44"/>
        </w:rPr>
      </w:pPr>
    </w:p>
    <w:p>
      <w:pPr>
        <w:widowControl/>
        <w:jc w:val="center"/>
        <w:rPr>
          <w:rFonts w:hint="eastAsia" w:ascii="黑体" w:hAnsi="宋体" w:eastAsia="黑体"/>
          <w:color w:val="000000"/>
          <w:kern w:val="0"/>
          <w:sz w:val="44"/>
          <w:szCs w:val="44"/>
        </w:rPr>
      </w:pPr>
    </w:p>
    <w:p>
      <w:pPr>
        <w:widowControl/>
        <w:jc w:val="center"/>
        <w:rPr>
          <w:rFonts w:hint="eastAsia" w:ascii="黑体" w:hAnsi="宋体" w:eastAsia="黑体"/>
          <w:color w:val="000000"/>
          <w:kern w:val="0"/>
          <w:sz w:val="44"/>
          <w:szCs w:val="44"/>
        </w:rPr>
      </w:pPr>
    </w:p>
    <w:p>
      <w:pPr>
        <w:widowControl/>
        <w:jc w:val="center"/>
        <w:rPr>
          <w:rFonts w:hint="eastAsia" w:ascii="黑体" w:hAnsi="宋体" w:eastAsia="黑体"/>
          <w:color w:val="000000"/>
          <w:kern w:val="0"/>
          <w:sz w:val="44"/>
          <w:szCs w:val="44"/>
        </w:rPr>
      </w:pPr>
    </w:p>
    <w:p>
      <w:pPr>
        <w:widowControl/>
        <w:rPr>
          <w:rFonts w:hint="eastAsia" w:ascii="黑体" w:hAnsi="宋体" w:eastAsia="黑体"/>
          <w:color w:val="000000"/>
          <w:kern w:val="0"/>
          <w:sz w:val="44"/>
          <w:szCs w:val="44"/>
        </w:rPr>
      </w:pPr>
    </w:p>
    <w:p>
      <w:pPr>
        <w:widowControl/>
        <w:jc w:val="center"/>
        <w:rPr>
          <w:rFonts w:hint="eastAsia" w:ascii="黑体" w:hAnsi="宋体" w:eastAsia="黑体"/>
          <w:color w:val="000000"/>
          <w:kern w:val="0"/>
          <w:sz w:val="44"/>
          <w:szCs w:val="44"/>
        </w:rPr>
      </w:pPr>
      <w:r>
        <w:rPr>
          <w:rFonts w:hint="eastAsia" w:ascii="黑体" w:hAnsi="宋体" w:eastAsia="黑体"/>
          <w:color w:val="000000"/>
          <w:kern w:val="0"/>
          <w:sz w:val="44"/>
          <w:szCs w:val="44"/>
        </w:rPr>
        <w:t>收入决算表</w:t>
      </w:r>
    </w:p>
    <w:tbl>
      <w:tblPr>
        <w:tblStyle w:val="5"/>
        <w:tblW w:w="5000" w:type="pct"/>
        <w:tblInd w:w="0" w:type="dxa"/>
        <w:tblLayout w:type="autofit"/>
        <w:tblCellMar>
          <w:top w:w="0" w:type="dxa"/>
          <w:left w:w="108" w:type="dxa"/>
          <w:bottom w:w="0" w:type="dxa"/>
          <w:right w:w="108" w:type="dxa"/>
        </w:tblCellMar>
      </w:tblPr>
      <w:tblGrid>
        <w:gridCol w:w="4516"/>
        <w:gridCol w:w="1041"/>
        <w:gridCol w:w="2794"/>
        <w:gridCol w:w="1617"/>
      </w:tblGrid>
      <w:tr>
        <w:tblPrEx>
          <w:tblCellMar>
            <w:top w:w="0" w:type="dxa"/>
            <w:left w:w="108" w:type="dxa"/>
            <w:bottom w:w="0" w:type="dxa"/>
            <w:right w:w="108" w:type="dxa"/>
          </w:tblCellMar>
        </w:tblPrEx>
        <w:trPr>
          <w:trHeight w:val="255" w:hRule="atLeast"/>
        </w:trPr>
        <w:tc>
          <w:tcPr>
            <w:tcW w:w="2299"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556"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1435"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710" w:type="pct"/>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公开02表</w:t>
            </w:r>
          </w:p>
        </w:tc>
      </w:tr>
      <w:tr>
        <w:tblPrEx>
          <w:tblCellMar>
            <w:top w:w="0" w:type="dxa"/>
            <w:left w:w="108" w:type="dxa"/>
            <w:bottom w:w="0" w:type="dxa"/>
            <w:right w:w="108" w:type="dxa"/>
          </w:tblCellMar>
        </w:tblPrEx>
        <w:trPr>
          <w:trHeight w:val="255" w:hRule="atLeast"/>
        </w:trPr>
        <w:tc>
          <w:tcPr>
            <w:tcW w:w="2299" w:type="pct"/>
            <w:tcBorders>
              <w:top w:val="nil"/>
              <w:left w:val="nil"/>
              <w:bottom w:val="nil"/>
              <w:right w:val="nil"/>
            </w:tcBorders>
            <w:shd w:val="clear" w:color="auto" w:fill="auto"/>
            <w:noWrap/>
            <w:vAlign w:val="bottom"/>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编制部门：西安市蓝田县住房和城乡建设局</w:t>
            </w:r>
          </w:p>
        </w:tc>
        <w:tc>
          <w:tcPr>
            <w:tcW w:w="556" w:type="pct"/>
            <w:tcBorders>
              <w:top w:val="nil"/>
              <w:left w:val="nil"/>
              <w:bottom w:val="nil"/>
              <w:right w:val="nil"/>
            </w:tcBorders>
            <w:shd w:val="clear" w:color="auto" w:fill="auto"/>
            <w:noWrap/>
            <w:vAlign w:val="bottom"/>
          </w:tcPr>
          <w:p>
            <w:pPr>
              <w:widowControl/>
              <w:rPr>
                <w:rFonts w:ascii="宋体" w:hAnsi="宋体" w:eastAsia="宋体" w:cs="Arial"/>
                <w:color w:val="000000"/>
                <w:kern w:val="0"/>
                <w:sz w:val="20"/>
              </w:rPr>
            </w:pPr>
            <w:r>
              <w:rPr>
                <w:rFonts w:hint="eastAsia" w:ascii="宋体" w:hAnsi="宋体" w:eastAsia="宋体" w:cs="Arial"/>
                <w:color w:val="000000"/>
                <w:kern w:val="0"/>
                <w:sz w:val="20"/>
              </w:rPr>
              <w:t>2019年</w:t>
            </w:r>
          </w:p>
        </w:tc>
        <w:tc>
          <w:tcPr>
            <w:tcW w:w="1435"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710" w:type="pct"/>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金额单位：万元</w:t>
            </w:r>
          </w:p>
        </w:tc>
      </w:tr>
    </w:tbl>
    <w:p>
      <w:pPr>
        <w:widowControl/>
        <w:rPr>
          <w:rFonts w:hint="eastAsia" w:ascii="黑体" w:hAnsi="宋体" w:eastAsia="黑体"/>
          <w:color w:val="000000"/>
          <w:kern w:val="0"/>
          <w:sz w:val="44"/>
          <w:szCs w:val="44"/>
        </w:rPr>
      </w:pPr>
    </w:p>
    <w:tbl>
      <w:tblPr>
        <w:tblStyle w:val="5"/>
        <w:tblW w:w="5000" w:type="pct"/>
        <w:tblInd w:w="0" w:type="dxa"/>
        <w:tblLayout w:type="autofit"/>
        <w:tblCellMar>
          <w:top w:w="0" w:type="dxa"/>
          <w:left w:w="108" w:type="dxa"/>
          <w:bottom w:w="0" w:type="dxa"/>
          <w:right w:w="108" w:type="dxa"/>
        </w:tblCellMar>
      </w:tblPr>
      <w:tblGrid>
        <w:gridCol w:w="916"/>
        <w:gridCol w:w="3620"/>
        <w:gridCol w:w="1017"/>
        <w:gridCol w:w="1017"/>
        <w:gridCol w:w="423"/>
        <w:gridCol w:w="417"/>
        <w:gridCol w:w="616"/>
        <w:gridCol w:w="417"/>
        <w:gridCol w:w="417"/>
        <w:gridCol w:w="1108"/>
      </w:tblGrid>
      <w:tr>
        <w:tblPrEx>
          <w:tblCellMar>
            <w:top w:w="0" w:type="dxa"/>
            <w:left w:w="108" w:type="dxa"/>
            <w:bottom w:w="0" w:type="dxa"/>
            <w:right w:w="108" w:type="dxa"/>
          </w:tblCellMar>
        </w:tblPrEx>
        <w:trPr>
          <w:trHeight w:val="240" w:hRule="atLeast"/>
        </w:trPr>
        <w:tc>
          <w:tcPr>
            <w:tcW w:w="2276" w:type="pct"/>
            <w:gridSpan w:val="2"/>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0"/>
              </w:rPr>
            </w:pPr>
            <w:r>
              <w:rPr>
                <w:rFonts w:hint="eastAsia" w:ascii="宋体" w:hAnsi="宋体" w:eastAsia="宋体" w:cs="Arial"/>
                <w:color w:val="000000"/>
                <w:kern w:val="0"/>
                <w:sz w:val="20"/>
              </w:rPr>
              <w:t>项目</w:t>
            </w:r>
          </w:p>
        </w:tc>
        <w:tc>
          <w:tcPr>
            <w:tcW w:w="510" w:type="pct"/>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0"/>
              </w:rPr>
            </w:pPr>
            <w:r>
              <w:rPr>
                <w:rFonts w:hint="eastAsia" w:ascii="宋体" w:hAnsi="宋体" w:eastAsia="宋体" w:cs="Arial"/>
                <w:color w:val="000000"/>
                <w:kern w:val="0"/>
                <w:sz w:val="20"/>
              </w:rPr>
              <w:t>本年收入合计</w:t>
            </w:r>
          </w:p>
        </w:tc>
        <w:tc>
          <w:tcPr>
            <w:tcW w:w="510" w:type="pct"/>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0"/>
              </w:rPr>
            </w:pPr>
            <w:r>
              <w:rPr>
                <w:rFonts w:hint="eastAsia" w:ascii="宋体" w:hAnsi="宋体" w:eastAsia="宋体" w:cs="Arial"/>
                <w:color w:val="000000"/>
                <w:kern w:val="0"/>
                <w:sz w:val="20"/>
              </w:rPr>
              <w:t>财政拨款收入</w:t>
            </w:r>
          </w:p>
        </w:tc>
        <w:tc>
          <w:tcPr>
            <w:tcW w:w="212" w:type="pct"/>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0"/>
              </w:rPr>
            </w:pPr>
            <w:r>
              <w:rPr>
                <w:rFonts w:hint="eastAsia" w:ascii="宋体" w:hAnsi="宋体" w:eastAsia="宋体" w:cs="Arial"/>
                <w:color w:val="000000"/>
                <w:kern w:val="0"/>
                <w:sz w:val="20"/>
              </w:rPr>
              <w:t>上级补助收入</w:t>
            </w:r>
          </w:p>
        </w:tc>
        <w:tc>
          <w:tcPr>
            <w:tcW w:w="518" w:type="pct"/>
            <w:gridSpan w:val="2"/>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0"/>
              </w:rPr>
            </w:pPr>
            <w:r>
              <w:rPr>
                <w:rFonts w:hint="eastAsia" w:ascii="宋体" w:hAnsi="宋体" w:eastAsia="宋体" w:cs="Arial"/>
                <w:color w:val="000000"/>
                <w:kern w:val="0"/>
                <w:sz w:val="20"/>
              </w:rPr>
              <w:t>事业收入</w:t>
            </w:r>
          </w:p>
        </w:tc>
        <w:tc>
          <w:tcPr>
            <w:tcW w:w="209" w:type="pct"/>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0"/>
              </w:rPr>
            </w:pPr>
            <w:r>
              <w:rPr>
                <w:rFonts w:hint="eastAsia" w:ascii="宋体" w:hAnsi="宋体" w:eastAsia="宋体" w:cs="Arial"/>
                <w:color w:val="000000"/>
                <w:kern w:val="0"/>
                <w:sz w:val="20"/>
              </w:rPr>
              <w:t>经营收入</w:t>
            </w:r>
          </w:p>
        </w:tc>
        <w:tc>
          <w:tcPr>
            <w:tcW w:w="209" w:type="pct"/>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0"/>
              </w:rPr>
            </w:pPr>
            <w:r>
              <w:rPr>
                <w:rFonts w:hint="eastAsia" w:ascii="宋体" w:hAnsi="宋体" w:eastAsia="宋体" w:cs="Arial"/>
                <w:color w:val="000000"/>
                <w:kern w:val="0"/>
                <w:sz w:val="20"/>
              </w:rPr>
              <w:t>附属单位上缴收入</w:t>
            </w:r>
          </w:p>
        </w:tc>
        <w:tc>
          <w:tcPr>
            <w:tcW w:w="558" w:type="pct"/>
            <w:vMerge w:val="restart"/>
            <w:tcBorders>
              <w:top w:val="single" w:color="000000" w:sz="4" w:space="0"/>
              <w:left w:val="nil"/>
              <w:bottom w:val="single" w:color="000000" w:sz="4" w:space="0"/>
              <w:right w:val="single" w:color="000000" w:sz="8" w:space="0"/>
            </w:tcBorders>
            <w:shd w:val="clear" w:color="FFFFFF" w:fill="C0C0C0"/>
            <w:vAlign w:val="center"/>
          </w:tcPr>
          <w:p>
            <w:pPr>
              <w:widowControl/>
              <w:jc w:val="center"/>
              <w:rPr>
                <w:rFonts w:ascii="宋体" w:hAnsi="宋体" w:eastAsia="宋体" w:cs="Arial"/>
                <w:color w:val="000000"/>
                <w:kern w:val="0"/>
                <w:sz w:val="20"/>
              </w:rPr>
            </w:pPr>
            <w:r>
              <w:rPr>
                <w:rFonts w:hint="eastAsia" w:ascii="宋体" w:hAnsi="宋体" w:eastAsia="宋体" w:cs="Arial"/>
                <w:color w:val="000000"/>
                <w:kern w:val="0"/>
                <w:sz w:val="20"/>
              </w:rPr>
              <w:t>其他收入</w:t>
            </w:r>
          </w:p>
        </w:tc>
      </w:tr>
      <w:tr>
        <w:tblPrEx>
          <w:tblCellMar>
            <w:top w:w="0" w:type="dxa"/>
            <w:left w:w="108" w:type="dxa"/>
            <w:bottom w:w="0" w:type="dxa"/>
            <w:right w:w="108" w:type="dxa"/>
          </w:tblCellMar>
        </w:tblPrEx>
        <w:trPr>
          <w:trHeight w:val="435" w:hRule="atLeast"/>
        </w:trPr>
        <w:tc>
          <w:tcPr>
            <w:tcW w:w="460" w:type="pct"/>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0"/>
              </w:rPr>
            </w:pPr>
            <w:r>
              <w:rPr>
                <w:rFonts w:hint="eastAsia" w:ascii="宋体" w:hAnsi="宋体" w:eastAsia="宋体" w:cs="Arial"/>
                <w:color w:val="000000"/>
                <w:kern w:val="0"/>
                <w:sz w:val="20"/>
              </w:rPr>
              <w:t>功能分类科目编码</w:t>
            </w:r>
          </w:p>
        </w:tc>
        <w:tc>
          <w:tcPr>
            <w:tcW w:w="1816" w:type="pct"/>
            <w:vMerge w:val="restar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0"/>
              </w:rPr>
            </w:pPr>
            <w:r>
              <w:rPr>
                <w:rFonts w:hint="eastAsia" w:ascii="宋体" w:hAnsi="宋体" w:eastAsia="宋体" w:cs="Arial"/>
                <w:color w:val="000000"/>
                <w:kern w:val="0"/>
                <w:sz w:val="20"/>
              </w:rPr>
              <w:t>科目名称</w:t>
            </w:r>
          </w:p>
        </w:tc>
        <w:tc>
          <w:tcPr>
            <w:tcW w:w="510"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0"/>
              </w:rPr>
            </w:pPr>
          </w:p>
        </w:tc>
        <w:tc>
          <w:tcPr>
            <w:tcW w:w="510"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0"/>
              </w:rPr>
            </w:pPr>
          </w:p>
        </w:tc>
        <w:tc>
          <w:tcPr>
            <w:tcW w:w="212"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0"/>
              </w:rPr>
            </w:pPr>
          </w:p>
        </w:tc>
        <w:tc>
          <w:tcPr>
            <w:tcW w:w="518" w:type="pct"/>
            <w:gridSpan w:val="2"/>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0"/>
              </w:rPr>
            </w:pPr>
          </w:p>
        </w:tc>
        <w:tc>
          <w:tcPr>
            <w:tcW w:w="209"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0"/>
              </w:rPr>
            </w:pPr>
          </w:p>
        </w:tc>
        <w:tc>
          <w:tcPr>
            <w:tcW w:w="209"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0"/>
              </w:rPr>
            </w:pPr>
          </w:p>
        </w:tc>
        <w:tc>
          <w:tcPr>
            <w:tcW w:w="558" w:type="pct"/>
            <w:vMerge w:val="continue"/>
            <w:tcBorders>
              <w:top w:val="single" w:color="000000" w:sz="4" w:space="0"/>
              <w:left w:val="nil"/>
              <w:bottom w:val="single" w:color="000000" w:sz="4" w:space="0"/>
              <w:right w:val="single" w:color="000000" w:sz="8" w:space="0"/>
            </w:tcBorders>
            <w:vAlign w:val="center"/>
          </w:tcPr>
          <w:p>
            <w:pPr>
              <w:widowControl/>
              <w:jc w:val="left"/>
              <w:rPr>
                <w:rFonts w:ascii="宋体" w:hAnsi="宋体" w:eastAsia="宋体" w:cs="Arial"/>
                <w:color w:val="000000"/>
                <w:kern w:val="0"/>
                <w:sz w:val="20"/>
              </w:rPr>
            </w:pPr>
          </w:p>
        </w:tc>
      </w:tr>
      <w:tr>
        <w:tblPrEx>
          <w:tblCellMar>
            <w:top w:w="0" w:type="dxa"/>
            <w:left w:w="108" w:type="dxa"/>
            <w:bottom w:w="0" w:type="dxa"/>
            <w:right w:w="108" w:type="dxa"/>
          </w:tblCellMar>
        </w:tblPrEx>
        <w:trPr>
          <w:trHeight w:val="435" w:hRule="atLeast"/>
        </w:trPr>
        <w:tc>
          <w:tcPr>
            <w:tcW w:w="460"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20"/>
              </w:rPr>
            </w:pPr>
          </w:p>
        </w:tc>
        <w:tc>
          <w:tcPr>
            <w:tcW w:w="1816" w:type="pct"/>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0"/>
              </w:rPr>
            </w:pPr>
          </w:p>
        </w:tc>
        <w:tc>
          <w:tcPr>
            <w:tcW w:w="510"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0"/>
              </w:rPr>
            </w:pPr>
          </w:p>
        </w:tc>
        <w:tc>
          <w:tcPr>
            <w:tcW w:w="510"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0"/>
              </w:rPr>
            </w:pPr>
          </w:p>
        </w:tc>
        <w:tc>
          <w:tcPr>
            <w:tcW w:w="212"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0"/>
              </w:rPr>
            </w:pPr>
          </w:p>
        </w:tc>
        <w:tc>
          <w:tcPr>
            <w:tcW w:w="209"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0"/>
              </w:rPr>
            </w:pPr>
            <w:r>
              <w:rPr>
                <w:rFonts w:hint="eastAsia" w:ascii="宋体" w:hAnsi="宋体" w:eastAsia="宋体" w:cs="Arial"/>
                <w:color w:val="000000"/>
                <w:kern w:val="0"/>
                <w:sz w:val="20"/>
              </w:rPr>
              <w:t>小计</w:t>
            </w:r>
          </w:p>
        </w:tc>
        <w:tc>
          <w:tcPr>
            <w:tcW w:w="309"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0"/>
              </w:rPr>
            </w:pPr>
            <w:r>
              <w:rPr>
                <w:rFonts w:hint="eastAsia" w:ascii="宋体" w:hAnsi="宋体" w:eastAsia="宋体" w:cs="Arial"/>
                <w:color w:val="000000"/>
                <w:kern w:val="0"/>
                <w:sz w:val="20"/>
              </w:rPr>
              <w:t>其中：教育收费</w:t>
            </w:r>
          </w:p>
        </w:tc>
        <w:tc>
          <w:tcPr>
            <w:tcW w:w="209"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0"/>
              </w:rPr>
            </w:pPr>
          </w:p>
        </w:tc>
        <w:tc>
          <w:tcPr>
            <w:tcW w:w="209"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0"/>
              </w:rPr>
            </w:pPr>
          </w:p>
        </w:tc>
        <w:tc>
          <w:tcPr>
            <w:tcW w:w="558" w:type="pct"/>
            <w:vMerge w:val="continue"/>
            <w:tcBorders>
              <w:top w:val="single" w:color="000000" w:sz="4" w:space="0"/>
              <w:left w:val="nil"/>
              <w:bottom w:val="single" w:color="000000" w:sz="4" w:space="0"/>
              <w:right w:val="single" w:color="000000" w:sz="8" w:space="0"/>
            </w:tcBorders>
            <w:vAlign w:val="center"/>
          </w:tcPr>
          <w:p>
            <w:pPr>
              <w:widowControl/>
              <w:jc w:val="left"/>
              <w:rPr>
                <w:rFonts w:ascii="宋体" w:hAnsi="宋体" w:eastAsia="宋体" w:cs="Arial"/>
                <w:color w:val="000000"/>
                <w:kern w:val="0"/>
                <w:sz w:val="20"/>
              </w:rPr>
            </w:pPr>
          </w:p>
        </w:tc>
      </w:tr>
      <w:tr>
        <w:tblPrEx>
          <w:tblCellMar>
            <w:top w:w="0" w:type="dxa"/>
            <w:left w:w="108" w:type="dxa"/>
            <w:bottom w:w="0" w:type="dxa"/>
            <w:right w:w="108" w:type="dxa"/>
          </w:tblCellMar>
        </w:tblPrEx>
        <w:trPr>
          <w:trHeight w:val="435" w:hRule="atLeast"/>
        </w:trPr>
        <w:tc>
          <w:tcPr>
            <w:tcW w:w="460"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20"/>
              </w:rPr>
            </w:pPr>
          </w:p>
        </w:tc>
        <w:tc>
          <w:tcPr>
            <w:tcW w:w="1816" w:type="pct"/>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0"/>
              </w:rPr>
            </w:pPr>
          </w:p>
        </w:tc>
        <w:tc>
          <w:tcPr>
            <w:tcW w:w="510"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0"/>
              </w:rPr>
            </w:pPr>
          </w:p>
        </w:tc>
        <w:tc>
          <w:tcPr>
            <w:tcW w:w="510"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0"/>
              </w:rPr>
            </w:pPr>
          </w:p>
        </w:tc>
        <w:tc>
          <w:tcPr>
            <w:tcW w:w="212"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0"/>
              </w:rPr>
            </w:pPr>
          </w:p>
        </w:tc>
        <w:tc>
          <w:tcPr>
            <w:tcW w:w="209" w:type="pct"/>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0"/>
              </w:rPr>
            </w:pPr>
          </w:p>
        </w:tc>
        <w:tc>
          <w:tcPr>
            <w:tcW w:w="309" w:type="pct"/>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0"/>
              </w:rPr>
            </w:pPr>
          </w:p>
        </w:tc>
        <w:tc>
          <w:tcPr>
            <w:tcW w:w="209"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0"/>
              </w:rPr>
            </w:pPr>
          </w:p>
        </w:tc>
        <w:tc>
          <w:tcPr>
            <w:tcW w:w="209"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0"/>
              </w:rPr>
            </w:pPr>
          </w:p>
        </w:tc>
        <w:tc>
          <w:tcPr>
            <w:tcW w:w="558" w:type="pct"/>
            <w:vMerge w:val="continue"/>
            <w:tcBorders>
              <w:top w:val="single" w:color="000000" w:sz="4" w:space="0"/>
              <w:left w:val="nil"/>
              <w:bottom w:val="single" w:color="000000" w:sz="4" w:space="0"/>
              <w:right w:val="single" w:color="000000" w:sz="8" w:space="0"/>
            </w:tcBorders>
            <w:vAlign w:val="center"/>
          </w:tcPr>
          <w:p>
            <w:pPr>
              <w:widowControl/>
              <w:jc w:val="left"/>
              <w:rPr>
                <w:rFonts w:ascii="宋体" w:hAnsi="宋体" w:eastAsia="宋体" w:cs="Arial"/>
                <w:color w:val="000000"/>
                <w:kern w:val="0"/>
                <w:sz w:val="20"/>
              </w:rPr>
            </w:pPr>
          </w:p>
        </w:tc>
      </w:tr>
      <w:tr>
        <w:tblPrEx>
          <w:tblCellMar>
            <w:top w:w="0" w:type="dxa"/>
            <w:left w:w="108" w:type="dxa"/>
            <w:bottom w:w="0" w:type="dxa"/>
            <w:right w:w="108" w:type="dxa"/>
          </w:tblCellMar>
        </w:tblPrEx>
        <w:trPr>
          <w:trHeight w:val="300" w:hRule="atLeast"/>
        </w:trPr>
        <w:tc>
          <w:tcPr>
            <w:tcW w:w="2276" w:type="pct"/>
            <w:gridSpan w:val="2"/>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0"/>
              </w:rPr>
            </w:pPr>
            <w:r>
              <w:rPr>
                <w:rFonts w:hint="eastAsia" w:ascii="宋体" w:hAnsi="宋体" w:eastAsia="宋体" w:cs="Arial"/>
                <w:color w:val="000000"/>
                <w:kern w:val="0"/>
                <w:sz w:val="20"/>
              </w:rPr>
              <w:t>合计</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6,145.64</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6,145.64</w:t>
            </w:r>
          </w:p>
        </w:tc>
        <w:tc>
          <w:tcPr>
            <w:tcW w:w="21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58"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trHeight w:val="300" w:hRule="atLeast"/>
        </w:trPr>
        <w:tc>
          <w:tcPr>
            <w:tcW w:w="460"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201</w:t>
            </w:r>
          </w:p>
        </w:tc>
        <w:tc>
          <w:tcPr>
            <w:tcW w:w="1816"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一般公共服务支出</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155.41</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155.41</w:t>
            </w:r>
          </w:p>
        </w:tc>
        <w:tc>
          <w:tcPr>
            <w:tcW w:w="21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58"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trHeight w:val="300" w:hRule="atLeast"/>
        </w:trPr>
        <w:tc>
          <w:tcPr>
            <w:tcW w:w="460"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20103</w:t>
            </w:r>
          </w:p>
        </w:tc>
        <w:tc>
          <w:tcPr>
            <w:tcW w:w="1816"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政府办公厅（室）及相关机构事务</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15.54</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15.54</w:t>
            </w:r>
          </w:p>
        </w:tc>
        <w:tc>
          <w:tcPr>
            <w:tcW w:w="21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58"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trHeight w:val="300" w:hRule="atLeast"/>
        </w:trPr>
        <w:tc>
          <w:tcPr>
            <w:tcW w:w="460"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2010308</w:t>
            </w:r>
          </w:p>
        </w:tc>
        <w:tc>
          <w:tcPr>
            <w:tcW w:w="1816"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 xml:space="preserve">  信访事务</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15.54</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15.54</w:t>
            </w:r>
          </w:p>
        </w:tc>
        <w:tc>
          <w:tcPr>
            <w:tcW w:w="21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58"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trHeight w:val="300" w:hRule="atLeast"/>
        </w:trPr>
        <w:tc>
          <w:tcPr>
            <w:tcW w:w="460"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20113</w:t>
            </w:r>
          </w:p>
        </w:tc>
        <w:tc>
          <w:tcPr>
            <w:tcW w:w="1816"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商贸事务</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139.87</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139.87</w:t>
            </w:r>
          </w:p>
        </w:tc>
        <w:tc>
          <w:tcPr>
            <w:tcW w:w="21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58"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trHeight w:val="300" w:hRule="atLeast"/>
        </w:trPr>
        <w:tc>
          <w:tcPr>
            <w:tcW w:w="460"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2011399</w:t>
            </w:r>
          </w:p>
        </w:tc>
        <w:tc>
          <w:tcPr>
            <w:tcW w:w="1816"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 xml:space="preserve">  其他商贸事务支出</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139.87</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139.87</w:t>
            </w:r>
          </w:p>
        </w:tc>
        <w:tc>
          <w:tcPr>
            <w:tcW w:w="21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58"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trHeight w:val="300" w:hRule="atLeast"/>
        </w:trPr>
        <w:tc>
          <w:tcPr>
            <w:tcW w:w="460"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208</w:t>
            </w:r>
          </w:p>
        </w:tc>
        <w:tc>
          <w:tcPr>
            <w:tcW w:w="1816"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社会保障和就业支出</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72.89</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72.89</w:t>
            </w:r>
          </w:p>
        </w:tc>
        <w:tc>
          <w:tcPr>
            <w:tcW w:w="21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58"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trHeight w:val="300" w:hRule="atLeast"/>
        </w:trPr>
        <w:tc>
          <w:tcPr>
            <w:tcW w:w="460"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20805</w:t>
            </w:r>
          </w:p>
        </w:tc>
        <w:tc>
          <w:tcPr>
            <w:tcW w:w="1816"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行政事业单位离退休</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72.89</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72.89</w:t>
            </w:r>
          </w:p>
        </w:tc>
        <w:tc>
          <w:tcPr>
            <w:tcW w:w="21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58"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trHeight w:val="300" w:hRule="atLeast"/>
        </w:trPr>
        <w:tc>
          <w:tcPr>
            <w:tcW w:w="460"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2080505</w:t>
            </w:r>
          </w:p>
        </w:tc>
        <w:tc>
          <w:tcPr>
            <w:tcW w:w="1816"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 xml:space="preserve">  机关事业单位基本养老保险缴费支出</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72.89</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72.89</w:t>
            </w:r>
          </w:p>
        </w:tc>
        <w:tc>
          <w:tcPr>
            <w:tcW w:w="21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58"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trHeight w:val="300" w:hRule="atLeast"/>
        </w:trPr>
        <w:tc>
          <w:tcPr>
            <w:tcW w:w="460"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210</w:t>
            </w:r>
          </w:p>
        </w:tc>
        <w:tc>
          <w:tcPr>
            <w:tcW w:w="1816"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卫生健康支出</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18.09</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18.09</w:t>
            </w:r>
          </w:p>
        </w:tc>
        <w:tc>
          <w:tcPr>
            <w:tcW w:w="21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58"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trHeight w:val="300" w:hRule="atLeast"/>
        </w:trPr>
        <w:tc>
          <w:tcPr>
            <w:tcW w:w="460"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21011</w:t>
            </w:r>
          </w:p>
        </w:tc>
        <w:tc>
          <w:tcPr>
            <w:tcW w:w="1816"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行政事业单位医疗</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16.67</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16.67</w:t>
            </w:r>
          </w:p>
        </w:tc>
        <w:tc>
          <w:tcPr>
            <w:tcW w:w="21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58"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trHeight w:val="300" w:hRule="atLeast"/>
        </w:trPr>
        <w:tc>
          <w:tcPr>
            <w:tcW w:w="460"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2101101</w:t>
            </w:r>
          </w:p>
        </w:tc>
        <w:tc>
          <w:tcPr>
            <w:tcW w:w="1816"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 xml:space="preserve">  行政单位医疗</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6.30</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6.30</w:t>
            </w:r>
          </w:p>
        </w:tc>
        <w:tc>
          <w:tcPr>
            <w:tcW w:w="21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58"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trHeight w:val="300" w:hRule="atLeast"/>
        </w:trPr>
        <w:tc>
          <w:tcPr>
            <w:tcW w:w="460"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2101102</w:t>
            </w:r>
          </w:p>
        </w:tc>
        <w:tc>
          <w:tcPr>
            <w:tcW w:w="1816"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 xml:space="preserve">  事业单位医疗</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9.70</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9.70</w:t>
            </w:r>
          </w:p>
        </w:tc>
        <w:tc>
          <w:tcPr>
            <w:tcW w:w="21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58"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trHeight w:val="300" w:hRule="atLeast"/>
        </w:trPr>
        <w:tc>
          <w:tcPr>
            <w:tcW w:w="460"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2101103</w:t>
            </w:r>
          </w:p>
        </w:tc>
        <w:tc>
          <w:tcPr>
            <w:tcW w:w="1816"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 xml:space="preserve">  公务员医疗补助</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0.67</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0.67</w:t>
            </w:r>
          </w:p>
        </w:tc>
        <w:tc>
          <w:tcPr>
            <w:tcW w:w="21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58"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trHeight w:val="300" w:hRule="atLeast"/>
        </w:trPr>
        <w:tc>
          <w:tcPr>
            <w:tcW w:w="460"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21099</w:t>
            </w:r>
          </w:p>
        </w:tc>
        <w:tc>
          <w:tcPr>
            <w:tcW w:w="1816"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其他卫生健康支出</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1.42</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1.42</w:t>
            </w:r>
          </w:p>
        </w:tc>
        <w:tc>
          <w:tcPr>
            <w:tcW w:w="21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58"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trHeight w:val="300" w:hRule="atLeast"/>
        </w:trPr>
        <w:tc>
          <w:tcPr>
            <w:tcW w:w="460"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2109901</w:t>
            </w:r>
          </w:p>
        </w:tc>
        <w:tc>
          <w:tcPr>
            <w:tcW w:w="1816"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 xml:space="preserve">  其他卫生健康支出</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1.42</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1.42</w:t>
            </w:r>
          </w:p>
        </w:tc>
        <w:tc>
          <w:tcPr>
            <w:tcW w:w="21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58"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trHeight w:val="300" w:hRule="atLeast"/>
        </w:trPr>
        <w:tc>
          <w:tcPr>
            <w:tcW w:w="460"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212</w:t>
            </w:r>
          </w:p>
        </w:tc>
        <w:tc>
          <w:tcPr>
            <w:tcW w:w="1816"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城乡社区支出</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4,972.34</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4,972.34</w:t>
            </w:r>
          </w:p>
        </w:tc>
        <w:tc>
          <w:tcPr>
            <w:tcW w:w="21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58"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trHeight w:val="300" w:hRule="atLeast"/>
        </w:trPr>
        <w:tc>
          <w:tcPr>
            <w:tcW w:w="460"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21201</w:t>
            </w:r>
          </w:p>
        </w:tc>
        <w:tc>
          <w:tcPr>
            <w:tcW w:w="1816"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城乡社区管理事务</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608.65</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608.65</w:t>
            </w:r>
          </w:p>
        </w:tc>
        <w:tc>
          <w:tcPr>
            <w:tcW w:w="21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58"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trHeight w:val="300" w:hRule="atLeast"/>
        </w:trPr>
        <w:tc>
          <w:tcPr>
            <w:tcW w:w="460"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2120101</w:t>
            </w:r>
          </w:p>
        </w:tc>
        <w:tc>
          <w:tcPr>
            <w:tcW w:w="1816"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 xml:space="preserve">  行政运行</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228.59</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228.59</w:t>
            </w:r>
          </w:p>
        </w:tc>
        <w:tc>
          <w:tcPr>
            <w:tcW w:w="21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58"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trHeight w:val="300" w:hRule="atLeast"/>
        </w:trPr>
        <w:tc>
          <w:tcPr>
            <w:tcW w:w="460"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2120107</w:t>
            </w:r>
          </w:p>
        </w:tc>
        <w:tc>
          <w:tcPr>
            <w:tcW w:w="1816"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 xml:space="preserve">  市政公用行业市场监管</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8.10</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8.10</w:t>
            </w:r>
          </w:p>
        </w:tc>
        <w:tc>
          <w:tcPr>
            <w:tcW w:w="21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58"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trHeight w:val="300" w:hRule="atLeast"/>
        </w:trPr>
        <w:tc>
          <w:tcPr>
            <w:tcW w:w="460"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2120109</w:t>
            </w:r>
          </w:p>
        </w:tc>
        <w:tc>
          <w:tcPr>
            <w:tcW w:w="1816"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 xml:space="preserve">  住宅建设与房地产市场监管</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163.76</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163.76</w:t>
            </w:r>
          </w:p>
        </w:tc>
        <w:tc>
          <w:tcPr>
            <w:tcW w:w="21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58"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trHeight w:val="300" w:hRule="atLeast"/>
        </w:trPr>
        <w:tc>
          <w:tcPr>
            <w:tcW w:w="460"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2120199</w:t>
            </w:r>
          </w:p>
        </w:tc>
        <w:tc>
          <w:tcPr>
            <w:tcW w:w="1816"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 xml:space="preserve">  其他城乡社区管理事务支出</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208.20</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208.20</w:t>
            </w:r>
          </w:p>
        </w:tc>
        <w:tc>
          <w:tcPr>
            <w:tcW w:w="21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58"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trHeight w:val="300" w:hRule="atLeast"/>
        </w:trPr>
        <w:tc>
          <w:tcPr>
            <w:tcW w:w="460"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21202</w:t>
            </w:r>
          </w:p>
        </w:tc>
        <w:tc>
          <w:tcPr>
            <w:tcW w:w="1816"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城乡社区规划与管理</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715.23</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715.23</w:t>
            </w:r>
          </w:p>
        </w:tc>
        <w:tc>
          <w:tcPr>
            <w:tcW w:w="21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58"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trHeight w:val="300" w:hRule="atLeast"/>
        </w:trPr>
        <w:tc>
          <w:tcPr>
            <w:tcW w:w="460"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2120201</w:t>
            </w:r>
          </w:p>
        </w:tc>
        <w:tc>
          <w:tcPr>
            <w:tcW w:w="1816"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 xml:space="preserve">  城乡社区规划与管理</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715.23</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715.23</w:t>
            </w:r>
          </w:p>
        </w:tc>
        <w:tc>
          <w:tcPr>
            <w:tcW w:w="21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58"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trHeight w:val="300" w:hRule="atLeast"/>
        </w:trPr>
        <w:tc>
          <w:tcPr>
            <w:tcW w:w="460"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21203</w:t>
            </w:r>
          </w:p>
        </w:tc>
        <w:tc>
          <w:tcPr>
            <w:tcW w:w="1816"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城乡社区公共设施</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2,095.18</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2,095.18</w:t>
            </w:r>
          </w:p>
        </w:tc>
        <w:tc>
          <w:tcPr>
            <w:tcW w:w="21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58"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trHeight w:val="300" w:hRule="atLeast"/>
        </w:trPr>
        <w:tc>
          <w:tcPr>
            <w:tcW w:w="460"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2120303</w:t>
            </w:r>
          </w:p>
        </w:tc>
        <w:tc>
          <w:tcPr>
            <w:tcW w:w="1816"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 xml:space="preserve">  小城镇基础设施建设</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600.00</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600.00</w:t>
            </w:r>
          </w:p>
        </w:tc>
        <w:tc>
          <w:tcPr>
            <w:tcW w:w="21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58"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trHeight w:val="300" w:hRule="atLeast"/>
        </w:trPr>
        <w:tc>
          <w:tcPr>
            <w:tcW w:w="460"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2120399</w:t>
            </w:r>
          </w:p>
        </w:tc>
        <w:tc>
          <w:tcPr>
            <w:tcW w:w="1816"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 xml:space="preserve">  其他城乡社区公共设施支出</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1,495.18</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1,495.18</w:t>
            </w:r>
          </w:p>
        </w:tc>
        <w:tc>
          <w:tcPr>
            <w:tcW w:w="21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58"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trHeight w:val="300" w:hRule="atLeast"/>
        </w:trPr>
        <w:tc>
          <w:tcPr>
            <w:tcW w:w="460"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21206</w:t>
            </w:r>
          </w:p>
        </w:tc>
        <w:tc>
          <w:tcPr>
            <w:tcW w:w="1816"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建设市场管理与监督</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205.93</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205.93</w:t>
            </w:r>
          </w:p>
        </w:tc>
        <w:tc>
          <w:tcPr>
            <w:tcW w:w="21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58"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trHeight w:val="300" w:hRule="atLeast"/>
        </w:trPr>
        <w:tc>
          <w:tcPr>
            <w:tcW w:w="460"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2120601</w:t>
            </w:r>
          </w:p>
        </w:tc>
        <w:tc>
          <w:tcPr>
            <w:tcW w:w="1816"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 xml:space="preserve">  建设市场管理与监督</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205.93</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205.93</w:t>
            </w:r>
          </w:p>
        </w:tc>
        <w:tc>
          <w:tcPr>
            <w:tcW w:w="21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58"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trHeight w:val="300" w:hRule="atLeast"/>
        </w:trPr>
        <w:tc>
          <w:tcPr>
            <w:tcW w:w="460"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21213</w:t>
            </w:r>
          </w:p>
        </w:tc>
        <w:tc>
          <w:tcPr>
            <w:tcW w:w="1816"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城市基础设施配套费安排的支出</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843.16</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843.16</w:t>
            </w:r>
          </w:p>
        </w:tc>
        <w:tc>
          <w:tcPr>
            <w:tcW w:w="21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58"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trHeight w:val="300" w:hRule="atLeast"/>
        </w:trPr>
        <w:tc>
          <w:tcPr>
            <w:tcW w:w="460"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2121301</w:t>
            </w:r>
          </w:p>
        </w:tc>
        <w:tc>
          <w:tcPr>
            <w:tcW w:w="1816"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 xml:space="preserve">  城市公共设施</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45.00</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45.00</w:t>
            </w:r>
          </w:p>
        </w:tc>
        <w:tc>
          <w:tcPr>
            <w:tcW w:w="21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58"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trHeight w:val="300" w:hRule="atLeast"/>
        </w:trPr>
        <w:tc>
          <w:tcPr>
            <w:tcW w:w="460"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2121399</w:t>
            </w:r>
          </w:p>
        </w:tc>
        <w:tc>
          <w:tcPr>
            <w:tcW w:w="1816"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 xml:space="preserve">  其他城市基础设施配套费安排的支出</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798.16</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798.16</w:t>
            </w:r>
          </w:p>
        </w:tc>
        <w:tc>
          <w:tcPr>
            <w:tcW w:w="21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58"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trHeight w:val="300" w:hRule="atLeast"/>
        </w:trPr>
        <w:tc>
          <w:tcPr>
            <w:tcW w:w="460"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21299</w:t>
            </w:r>
          </w:p>
        </w:tc>
        <w:tc>
          <w:tcPr>
            <w:tcW w:w="1816"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其他城乡社区支出</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504.19</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504.19</w:t>
            </w:r>
          </w:p>
        </w:tc>
        <w:tc>
          <w:tcPr>
            <w:tcW w:w="21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58"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trHeight w:val="300" w:hRule="atLeast"/>
        </w:trPr>
        <w:tc>
          <w:tcPr>
            <w:tcW w:w="460"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2129901</w:t>
            </w:r>
          </w:p>
        </w:tc>
        <w:tc>
          <w:tcPr>
            <w:tcW w:w="1816"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 xml:space="preserve">  其他城乡社区支出</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504.19</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504.19</w:t>
            </w:r>
          </w:p>
        </w:tc>
        <w:tc>
          <w:tcPr>
            <w:tcW w:w="21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58"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trHeight w:val="300" w:hRule="atLeast"/>
        </w:trPr>
        <w:tc>
          <w:tcPr>
            <w:tcW w:w="460"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213</w:t>
            </w:r>
          </w:p>
        </w:tc>
        <w:tc>
          <w:tcPr>
            <w:tcW w:w="1816"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农林水支出</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508.00</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508.00</w:t>
            </w:r>
          </w:p>
        </w:tc>
        <w:tc>
          <w:tcPr>
            <w:tcW w:w="21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58"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trHeight w:val="300" w:hRule="atLeast"/>
        </w:trPr>
        <w:tc>
          <w:tcPr>
            <w:tcW w:w="460"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21305</w:t>
            </w:r>
          </w:p>
        </w:tc>
        <w:tc>
          <w:tcPr>
            <w:tcW w:w="1816"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扶贫</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508.00</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508.00</w:t>
            </w:r>
          </w:p>
        </w:tc>
        <w:tc>
          <w:tcPr>
            <w:tcW w:w="21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58"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trHeight w:val="300" w:hRule="atLeast"/>
        </w:trPr>
        <w:tc>
          <w:tcPr>
            <w:tcW w:w="460"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2130506</w:t>
            </w:r>
          </w:p>
        </w:tc>
        <w:tc>
          <w:tcPr>
            <w:tcW w:w="1816"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 xml:space="preserve">  社会发展</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508.00</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508.00</w:t>
            </w:r>
          </w:p>
        </w:tc>
        <w:tc>
          <w:tcPr>
            <w:tcW w:w="21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58"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trHeight w:val="300" w:hRule="atLeast"/>
        </w:trPr>
        <w:tc>
          <w:tcPr>
            <w:tcW w:w="460"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221</w:t>
            </w:r>
          </w:p>
        </w:tc>
        <w:tc>
          <w:tcPr>
            <w:tcW w:w="1816"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住房保障支出</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418.92</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418.92</w:t>
            </w:r>
          </w:p>
        </w:tc>
        <w:tc>
          <w:tcPr>
            <w:tcW w:w="21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58"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trHeight w:val="300" w:hRule="atLeast"/>
        </w:trPr>
        <w:tc>
          <w:tcPr>
            <w:tcW w:w="460"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22101</w:t>
            </w:r>
          </w:p>
        </w:tc>
        <w:tc>
          <w:tcPr>
            <w:tcW w:w="1816"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保障性安居工程支出</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418.92</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418.92</w:t>
            </w:r>
          </w:p>
        </w:tc>
        <w:tc>
          <w:tcPr>
            <w:tcW w:w="21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58"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trHeight w:val="300" w:hRule="atLeast"/>
        </w:trPr>
        <w:tc>
          <w:tcPr>
            <w:tcW w:w="460"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2210105</w:t>
            </w:r>
          </w:p>
        </w:tc>
        <w:tc>
          <w:tcPr>
            <w:tcW w:w="1816"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 xml:space="preserve">  农村危房改造</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82.68</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82.68</w:t>
            </w:r>
          </w:p>
        </w:tc>
        <w:tc>
          <w:tcPr>
            <w:tcW w:w="21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58"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trHeight w:val="300" w:hRule="atLeast"/>
        </w:trPr>
        <w:tc>
          <w:tcPr>
            <w:tcW w:w="460"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2210107</w:t>
            </w:r>
          </w:p>
        </w:tc>
        <w:tc>
          <w:tcPr>
            <w:tcW w:w="1816"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 xml:space="preserve">  保障性住房租金补贴</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36.74</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36.74</w:t>
            </w:r>
          </w:p>
        </w:tc>
        <w:tc>
          <w:tcPr>
            <w:tcW w:w="212"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58"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trHeight w:val="300" w:hRule="atLeast"/>
        </w:trPr>
        <w:tc>
          <w:tcPr>
            <w:tcW w:w="460" w:type="pct"/>
            <w:tcBorders>
              <w:top w:val="nil"/>
              <w:left w:val="single" w:color="000000" w:sz="4" w:space="0"/>
              <w:bottom w:val="single" w:color="000000" w:sz="8"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2210199</w:t>
            </w:r>
          </w:p>
        </w:tc>
        <w:tc>
          <w:tcPr>
            <w:tcW w:w="1816" w:type="pct"/>
            <w:tcBorders>
              <w:top w:val="nil"/>
              <w:left w:val="nil"/>
              <w:bottom w:val="single" w:color="000000" w:sz="8"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 xml:space="preserve">  其他保障性安居工程支出</w:t>
            </w:r>
          </w:p>
        </w:tc>
        <w:tc>
          <w:tcPr>
            <w:tcW w:w="510" w:type="pct"/>
            <w:tcBorders>
              <w:top w:val="nil"/>
              <w:left w:val="nil"/>
              <w:bottom w:val="single" w:color="000000" w:sz="8"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299.50</w:t>
            </w:r>
          </w:p>
        </w:tc>
        <w:tc>
          <w:tcPr>
            <w:tcW w:w="510" w:type="pct"/>
            <w:tcBorders>
              <w:top w:val="nil"/>
              <w:left w:val="nil"/>
              <w:bottom w:val="single" w:color="000000" w:sz="8"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299.50</w:t>
            </w:r>
          </w:p>
        </w:tc>
        <w:tc>
          <w:tcPr>
            <w:tcW w:w="212" w:type="pct"/>
            <w:tcBorders>
              <w:top w:val="nil"/>
              <w:left w:val="nil"/>
              <w:bottom w:val="single" w:color="000000" w:sz="8"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8"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09" w:type="pct"/>
            <w:tcBorders>
              <w:top w:val="nil"/>
              <w:left w:val="nil"/>
              <w:bottom w:val="single" w:color="000000" w:sz="8"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8"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209" w:type="pct"/>
            <w:tcBorders>
              <w:top w:val="nil"/>
              <w:left w:val="nil"/>
              <w:bottom w:val="single" w:color="000000" w:sz="8"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58" w:type="pct"/>
            <w:tcBorders>
              <w:top w:val="nil"/>
              <w:left w:val="nil"/>
              <w:bottom w:val="single" w:color="000000" w:sz="8"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trHeight w:val="300" w:hRule="atLeast"/>
        </w:trPr>
        <w:tc>
          <w:tcPr>
            <w:tcW w:w="5000" w:type="pct"/>
            <w:gridSpan w:val="10"/>
            <w:tcBorders>
              <w:top w:val="nil"/>
              <w:left w:val="nil"/>
              <w:bottom w:val="nil"/>
              <w:right w:val="nil"/>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注：本表反映部门本年度取得的各项收入情况。本表金额转换为万元时，因四舍五入可能存在尾差。</w:t>
            </w:r>
          </w:p>
        </w:tc>
      </w:tr>
    </w:tbl>
    <w:p>
      <w:pPr>
        <w:widowControl/>
        <w:jc w:val="left"/>
        <w:rPr>
          <w:rFonts w:hint="eastAsia" w:ascii="黑体" w:hAnsi="宋体" w:eastAsia="黑体"/>
          <w:color w:val="000000"/>
          <w:kern w:val="0"/>
          <w:sz w:val="44"/>
          <w:szCs w:val="44"/>
        </w:rPr>
      </w:pPr>
    </w:p>
    <w:p>
      <w:pPr>
        <w:widowControl/>
        <w:jc w:val="center"/>
        <w:rPr>
          <w:rFonts w:hint="eastAsia" w:ascii="黑体" w:hAnsi="宋体" w:eastAsia="黑体"/>
          <w:color w:val="000000"/>
          <w:kern w:val="0"/>
          <w:sz w:val="44"/>
          <w:szCs w:val="44"/>
        </w:rPr>
      </w:pPr>
    </w:p>
    <w:p>
      <w:pPr>
        <w:widowControl/>
        <w:jc w:val="center"/>
        <w:rPr>
          <w:rFonts w:hint="eastAsia" w:ascii="黑体" w:hAnsi="宋体" w:eastAsia="黑体"/>
          <w:color w:val="000000"/>
          <w:kern w:val="0"/>
          <w:sz w:val="44"/>
          <w:szCs w:val="44"/>
        </w:rPr>
      </w:pPr>
    </w:p>
    <w:p>
      <w:pPr>
        <w:widowControl/>
        <w:jc w:val="center"/>
        <w:rPr>
          <w:rFonts w:hint="eastAsia" w:ascii="黑体" w:hAnsi="宋体" w:eastAsia="黑体"/>
          <w:color w:val="000000"/>
          <w:kern w:val="0"/>
          <w:sz w:val="44"/>
          <w:szCs w:val="44"/>
        </w:rPr>
      </w:pPr>
    </w:p>
    <w:p>
      <w:pPr>
        <w:widowControl/>
        <w:jc w:val="center"/>
        <w:rPr>
          <w:rFonts w:hint="eastAsia" w:ascii="黑体" w:hAnsi="宋体" w:eastAsia="黑体"/>
          <w:color w:val="000000"/>
          <w:kern w:val="0"/>
          <w:sz w:val="44"/>
          <w:szCs w:val="44"/>
        </w:rPr>
      </w:pPr>
      <w:r>
        <w:rPr>
          <w:rFonts w:hint="eastAsia" w:ascii="黑体" w:hAnsi="宋体" w:eastAsia="黑体"/>
          <w:color w:val="000000"/>
          <w:kern w:val="0"/>
          <w:sz w:val="44"/>
          <w:szCs w:val="44"/>
        </w:rPr>
        <w:t>支出决算表</w:t>
      </w:r>
    </w:p>
    <w:tbl>
      <w:tblPr>
        <w:tblStyle w:val="5"/>
        <w:tblW w:w="5000" w:type="pct"/>
        <w:tblInd w:w="0" w:type="dxa"/>
        <w:tblLayout w:type="autofit"/>
        <w:tblCellMar>
          <w:top w:w="0" w:type="dxa"/>
          <w:left w:w="108" w:type="dxa"/>
          <w:bottom w:w="0" w:type="dxa"/>
          <w:right w:w="108" w:type="dxa"/>
        </w:tblCellMar>
      </w:tblPr>
      <w:tblGrid>
        <w:gridCol w:w="4516"/>
        <w:gridCol w:w="1041"/>
        <w:gridCol w:w="2794"/>
        <w:gridCol w:w="1617"/>
      </w:tblGrid>
      <w:tr>
        <w:tblPrEx>
          <w:tblCellMar>
            <w:top w:w="0" w:type="dxa"/>
            <w:left w:w="108" w:type="dxa"/>
            <w:bottom w:w="0" w:type="dxa"/>
            <w:right w:w="108" w:type="dxa"/>
          </w:tblCellMar>
        </w:tblPrEx>
        <w:trPr>
          <w:trHeight w:val="255" w:hRule="atLeast"/>
        </w:trPr>
        <w:tc>
          <w:tcPr>
            <w:tcW w:w="2299"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556"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1435"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710" w:type="pct"/>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公开03表</w:t>
            </w:r>
          </w:p>
        </w:tc>
      </w:tr>
      <w:tr>
        <w:tblPrEx>
          <w:tblCellMar>
            <w:top w:w="0" w:type="dxa"/>
            <w:left w:w="108" w:type="dxa"/>
            <w:bottom w:w="0" w:type="dxa"/>
            <w:right w:w="108" w:type="dxa"/>
          </w:tblCellMar>
        </w:tblPrEx>
        <w:trPr>
          <w:trHeight w:val="255" w:hRule="atLeast"/>
        </w:trPr>
        <w:tc>
          <w:tcPr>
            <w:tcW w:w="2299" w:type="pct"/>
            <w:tcBorders>
              <w:top w:val="nil"/>
              <w:left w:val="nil"/>
              <w:bottom w:val="nil"/>
              <w:right w:val="nil"/>
            </w:tcBorders>
            <w:shd w:val="clear" w:color="auto" w:fill="auto"/>
            <w:noWrap/>
            <w:vAlign w:val="bottom"/>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编制部门：西安市蓝田县住房和城乡建设局</w:t>
            </w:r>
          </w:p>
        </w:tc>
        <w:tc>
          <w:tcPr>
            <w:tcW w:w="556" w:type="pct"/>
            <w:tcBorders>
              <w:top w:val="nil"/>
              <w:left w:val="nil"/>
              <w:bottom w:val="nil"/>
              <w:right w:val="nil"/>
            </w:tcBorders>
            <w:shd w:val="clear" w:color="auto" w:fill="auto"/>
            <w:noWrap/>
            <w:vAlign w:val="bottom"/>
          </w:tcPr>
          <w:p>
            <w:pPr>
              <w:widowControl/>
              <w:rPr>
                <w:rFonts w:ascii="宋体" w:hAnsi="宋体" w:eastAsia="宋体" w:cs="Arial"/>
                <w:color w:val="000000"/>
                <w:kern w:val="0"/>
                <w:sz w:val="20"/>
              </w:rPr>
            </w:pPr>
            <w:r>
              <w:rPr>
                <w:rFonts w:hint="eastAsia" w:ascii="宋体" w:hAnsi="宋体" w:eastAsia="宋体" w:cs="Arial"/>
                <w:color w:val="000000"/>
                <w:kern w:val="0"/>
                <w:sz w:val="20"/>
              </w:rPr>
              <w:t>2019年</w:t>
            </w:r>
          </w:p>
        </w:tc>
        <w:tc>
          <w:tcPr>
            <w:tcW w:w="1435"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710" w:type="pct"/>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金额单位：万元</w:t>
            </w:r>
          </w:p>
        </w:tc>
      </w:tr>
    </w:tbl>
    <w:p>
      <w:pPr>
        <w:widowControl/>
        <w:rPr>
          <w:rFonts w:hint="eastAsia" w:ascii="黑体" w:hAnsi="宋体" w:eastAsia="黑体"/>
          <w:color w:val="000000"/>
          <w:kern w:val="0"/>
          <w:sz w:val="44"/>
          <w:szCs w:val="44"/>
        </w:rPr>
      </w:pPr>
    </w:p>
    <w:tbl>
      <w:tblPr>
        <w:tblStyle w:val="5"/>
        <w:tblW w:w="5000" w:type="pct"/>
        <w:tblInd w:w="0" w:type="dxa"/>
        <w:tblLayout w:type="autofit"/>
        <w:tblCellMar>
          <w:top w:w="0" w:type="dxa"/>
          <w:left w:w="108" w:type="dxa"/>
          <w:bottom w:w="0" w:type="dxa"/>
          <w:right w:w="108" w:type="dxa"/>
        </w:tblCellMar>
      </w:tblPr>
      <w:tblGrid>
        <w:gridCol w:w="986"/>
        <w:gridCol w:w="3956"/>
        <w:gridCol w:w="1096"/>
        <w:gridCol w:w="1096"/>
        <w:gridCol w:w="1096"/>
        <w:gridCol w:w="436"/>
        <w:gridCol w:w="436"/>
        <w:gridCol w:w="867"/>
      </w:tblGrid>
      <w:tr>
        <w:tblPrEx>
          <w:tblCellMar>
            <w:top w:w="0" w:type="dxa"/>
            <w:left w:w="108" w:type="dxa"/>
            <w:bottom w:w="0" w:type="dxa"/>
            <w:right w:w="108" w:type="dxa"/>
          </w:tblCellMar>
        </w:tblPrEx>
        <w:trPr>
          <w:trHeight w:val="300" w:hRule="atLeast"/>
        </w:trPr>
        <w:tc>
          <w:tcPr>
            <w:tcW w:w="2347" w:type="pct"/>
            <w:gridSpan w:val="2"/>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项目</w:t>
            </w:r>
          </w:p>
        </w:tc>
        <w:tc>
          <w:tcPr>
            <w:tcW w:w="520" w:type="pct"/>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本年支出合计</w:t>
            </w:r>
          </w:p>
        </w:tc>
        <w:tc>
          <w:tcPr>
            <w:tcW w:w="520" w:type="pct"/>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基本支出</w:t>
            </w:r>
          </w:p>
        </w:tc>
        <w:tc>
          <w:tcPr>
            <w:tcW w:w="520" w:type="pct"/>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项目支出</w:t>
            </w:r>
          </w:p>
        </w:tc>
        <w:tc>
          <w:tcPr>
            <w:tcW w:w="211" w:type="pct"/>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上缴上级支出</w:t>
            </w:r>
          </w:p>
        </w:tc>
        <w:tc>
          <w:tcPr>
            <w:tcW w:w="211" w:type="pct"/>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经营支出</w:t>
            </w:r>
          </w:p>
        </w:tc>
        <w:tc>
          <w:tcPr>
            <w:tcW w:w="670" w:type="pct"/>
            <w:vMerge w:val="restart"/>
            <w:tcBorders>
              <w:top w:val="single" w:color="000000" w:sz="4" w:space="0"/>
              <w:left w:val="nil"/>
              <w:bottom w:val="single" w:color="000000" w:sz="4" w:space="0"/>
              <w:right w:val="single" w:color="000000" w:sz="8" w:space="0"/>
            </w:tcBorders>
            <w:shd w:val="clear" w:color="FFFFFF" w:fill="C0C0C0"/>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对附属单位补助支出</w:t>
            </w:r>
          </w:p>
        </w:tc>
      </w:tr>
      <w:tr>
        <w:tblPrEx>
          <w:tblCellMar>
            <w:top w:w="0" w:type="dxa"/>
            <w:left w:w="108" w:type="dxa"/>
            <w:bottom w:w="0" w:type="dxa"/>
            <w:right w:w="108" w:type="dxa"/>
          </w:tblCellMar>
        </w:tblPrEx>
        <w:trPr>
          <w:trHeight w:val="435" w:hRule="atLeast"/>
        </w:trPr>
        <w:tc>
          <w:tcPr>
            <w:tcW w:w="488" w:type="pct"/>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功能分类科目编码</w:t>
            </w:r>
          </w:p>
        </w:tc>
        <w:tc>
          <w:tcPr>
            <w:tcW w:w="1859" w:type="pct"/>
            <w:vMerge w:val="restar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科目名称</w:t>
            </w:r>
          </w:p>
        </w:tc>
        <w:tc>
          <w:tcPr>
            <w:tcW w:w="520"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520"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520"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211"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211"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670" w:type="pct"/>
            <w:vMerge w:val="continue"/>
            <w:tcBorders>
              <w:top w:val="single" w:color="000000" w:sz="4" w:space="0"/>
              <w:left w:val="nil"/>
              <w:bottom w:val="single" w:color="000000" w:sz="4" w:space="0"/>
              <w:right w:val="single" w:color="000000" w:sz="8" w:space="0"/>
            </w:tcBorders>
            <w:vAlign w:val="center"/>
          </w:tcPr>
          <w:p>
            <w:pPr>
              <w:widowControl/>
              <w:jc w:val="left"/>
              <w:rPr>
                <w:rFonts w:ascii="宋体" w:hAnsi="宋体" w:eastAsia="宋体" w:cs="Arial"/>
                <w:color w:val="000000"/>
                <w:kern w:val="0"/>
                <w:sz w:val="22"/>
                <w:szCs w:val="22"/>
              </w:rPr>
            </w:pPr>
          </w:p>
        </w:tc>
      </w:tr>
      <w:tr>
        <w:tblPrEx>
          <w:tblCellMar>
            <w:top w:w="0" w:type="dxa"/>
            <w:left w:w="108" w:type="dxa"/>
            <w:bottom w:w="0" w:type="dxa"/>
            <w:right w:w="108" w:type="dxa"/>
          </w:tblCellMar>
        </w:tblPrEx>
        <w:trPr>
          <w:trHeight w:val="435" w:hRule="atLeast"/>
        </w:trPr>
        <w:tc>
          <w:tcPr>
            <w:tcW w:w="488"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1859" w:type="pct"/>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520"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520"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520"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211"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211"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670" w:type="pct"/>
            <w:vMerge w:val="continue"/>
            <w:tcBorders>
              <w:top w:val="single" w:color="000000" w:sz="4" w:space="0"/>
              <w:left w:val="nil"/>
              <w:bottom w:val="single" w:color="000000" w:sz="4" w:space="0"/>
              <w:right w:val="single" w:color="000000" w:sz="8" w:space="0"/>
            </w:tcBorders>
            <w:vAlign w:val="center"/>
          </w:tcPr>
          <w:p>
            <w:pPr>
              <w:widowControl/>
              <w:jc w:val="left"/>
              <w:rPr>
                <w:rFonts w:ascii="宋体" w:hAnsi="宋体" w:eastAsia="宋体" w:cs="Arial"/>
                <w:color w:val="000000"/>
                <w:kern w:val="0"/>
                <w:sz w:val="22"/>
                <w:szCs w:val="22"/>
              </w:rPr>
            </w:pPr>
          </w:p>
        </w:tc>
      </w:tr>
      <w:tr>
        <w:tblPrEx>
          <w:tblCellMar>
            <w:top w:w="0" w:type="dxa"/>
            <w:left w:w="108" w:type="dxa"/>
            <w:bottom w:w="0" w:type="dxa"/>
            <w:right w:w="108" w:type="dxa"/>
          </w:tblCellMar>
        </w:tblPrEx>
        <w:trPr>
          <w:trHeight w:val="435" w:hRule="atLeast"/>
        </w:trPr>
        <w:tc>
          <w:tcPr>
            <w:tcW w:w="488"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1859" w:type="pct"/>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520"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520"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520"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211"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211"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670" w:type="pct"/>
            <w:vMerge w:val="continue"/>
            <w:tcBorders>
              <w:top w:val="single" w:color="000000" w:sz="4" w:space="0"/>
              <w:left w:val="nil"/>
              <w:bottom w:val="single" w:color="000000" w:sz="4" w:space="0"/>
              <w:right w:val="single" w:color="000000" w:sz="8" w:space="0"/>
            </w:tcBorders>
            <w:vAlign w:val="center"/>
          </w:tcPr>
          <w:p>
            <w:pPr>
              <w:widowControl/>
              <w:jc w:val="left"/>
              <w:rPr>
                <w:rFonts w:ascii="宋体" w:hAnsi="宋体" w:eastAsia="宋体" w:cs="Arial"/>
                <w:color w:val="000000"/>
                <w:kern w:val="0"/>
                <w:sz w:val="22"/>
                <w:szCs w:val="22"/>
              </w:rPr>
            </w:pPr>
          </w:p>
        </w:tc>
      </w:tr>
      <w:tr>
        <w:tblPrEx>
          <w:tblCellMar>
            <w:top w:w="0" w:type="dxa"/>
            <w:left w:w="108" w:type="dxa"/>
            <w:bottom w:w="0" w:type="dxa"/>
            <w:right w:w="108" w:type="dxa"/>
          </w:tblCellMar>
        </w:tblPrEx>
        <w:trPr>
          <w:trHeight w:val="300" w:hRule="atLeast"/>
        </w:trPr>
        <w:tc>
          <w:tcPr>
            <w:tcW w:w="2347" w:type="pct"/>
            <w:gridSpan w:val="2"/>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合计</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6,145.64</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1,465.81</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4,679.83</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670"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0" w:hRule="atLeast"/>
        </w:trPr>
        <w:tc>
          <w:tcPr>
            <w:tcW w:w="488"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201</w:t>
            </w:r>
          </w:p>
        </w:tc>
        <w:tc>
          <w:tcPr>
            <w:tcW w:w="1859"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一般公共服务支出</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155.41</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15.54</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139.87</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670"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0" w:hRule="atLeast"/>
        </w:trPr>
        <w:tc>
          <w:tcPr>
            <w:tcW w:w="488"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20103</w:t>
            </w:r>
          </w:p>
        </w:tc>
        <w:tc>
          <w:tcPr>
            <w:tcW w:w="1859"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政府办公厅（室）及相关机构事务</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15.54</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15.54</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670"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0" w:hRule="atLeast"/>
        </w:trPr>
        <w:tc>
          <w:tcPr>
            <w:tcW w:w="488"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2010308</w:t>
            </w:r>
          </w:p>
        </w:tc>
        <w:tc>
          <w:tcPr>
            <w:tcW w:w="1859"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信访事务</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15.54</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15.54</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670"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0" w:hRule="atLeast"/>
        </w:trPr>
        <w:tc>
          <w:tcPr>
            <w:tcW w:w="488"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20113</w:t>
            </w:r>
          </w:p>
        </w:tc>
        <w:tc>
          <w:tcPr>
            <w:tcW w:w="1859"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商贸事务</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139.87</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139.87</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670"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0" w:hRule="atLeast"/>
        </w:trPr>
        <w:tc>
          <w:tcPr>
            <w:tcW w:w="488"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2011399</w:t>
            </w:r>
          </w:p>
        </w:tc>
        <w:tc>
          <w:tcPr>
            <w:tcW w:w="1859"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其他商贸事务支出</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139.87</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139.87</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670"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0" w:hRule="atLeast"/>
        </w:trPr>
        <w:tc>
          <w:tcPr>
            <w:tcW w:w="488"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208</w:t>
            </w:r>
          </w:p>
        </w:tc>
        <w:tc>
          <w:tcPr>
            <w:tcW w:w="1859"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社会保障和就业支出</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72.89</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72.89</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670"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0" w:hRule="atLeast"/>
        </w:trPr>
        <w:tc>
          <w:tcPr>
            <w:tcW w:w="488"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20805</w:t>
            </w:r>
          </w:p>
        </w:tc>
        <w:tc>
          <w:tcPr>
            <w:tcW w:w="1859"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行政事业单位离退休</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72.89</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72.89</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670"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0" w:hRule="atLeast"/>
        </w:trPr>
        <w:tc>
          <w:tcPr>
            <w:tcW w:w="488"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2080505</w:t>
            </w:r>
          </w:p>
        </w:tc>
        <w:tc>
          <w:tcPr>
            <w:tcW w:w="1859"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机关事业单位基本养老保险缴费支出</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72.89</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72.89</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670"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0" w:hRule="atLeast"/>
        </w:trPr>
        <w:tc>
          <w:tcPr>
            <w:tcW w:w="488"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210</w:t>
            </w:r>
          </w:p>
        </w:tc>
        <w:tc>
          <w:tcPr>
            <w:tcW w:w="1859"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卫生健康支出</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18.09</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18.09</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670"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0" w:hRule="atLeast"/>
        </w:trPr>
        <w:tc>
          <w:tcPr>
            <w:tcW w:w="488"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21011</w:t>
            </w:r>
          </w:p>
        </w:tc>
        <w:tc>
          <w:tcPr>
            <w:tcW w:w="1859"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行政事业单位医疗</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16.67</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16.67</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670"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0" w:hRule="atLeast"/>
        </w:trPr>
        <w:tc>
          <w:tcPr>
            <w:tcW w:w="488"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2101101</w:t>
            </w:r>
          </w:p>
        </w:tc>
        <w:tc>
          <w:tcPr>
            <w:tcW w:w="1859"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行政单位医疗</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6.30</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6.30</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670"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0" w:hRule="atLeast"/>
        </w:trPr>
        <w:tc>
          <w:tcPr>
            <w:tcW w:w="488"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2101102</w:t>
            </w:r>
          </w:p>
        </w:tc>
        <w:tc>
          <w:tcPr>
            <w:tcW w:w="1859"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事业单位医疗</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9.70</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9.70</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670"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0" w:hRule="atLeast"/>
        </w:trPr>
        <w:tc>
          <w:tcPr>
            <w:tcW w:w="488"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2101103</w:t>
            </w:r>
          </w:p>
        </w:tc>
        <w:tc>
          <w:tcPr>
            <w:tcW w:w="1859"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公务员医疗补助</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0.67</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0.67</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670"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0" w:hRule="atLeast"/>
        </w:trPr>
        <w:tc>
          <w:tcPr>
            <w:tcW w:w="488"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21099</w:t>
            </w:r>
          </w:p>
        </w:tc>
        <w:tc>
          <w:tcPr>
            <w:tcW w:w="1859"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其他卫生健康支出</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1.42</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1.42</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670"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0" w:hRule="atLeast"/>
        </w:trPr>
        <w:tc>
          <w:tcPr>
            <w:tcW w:w="488"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2109901</w:t>
            </w:r>
          </w:p>
        </w:tc>
        <w:tc>
          <w:tcPr>
            <w:tcW w:w="1859"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其他卫生健康支出</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1.42</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1.42</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670"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0" w:hRule="atLeast"/>
        </w:trPr>
        <w:tc>
          <w:tcPr>
            <w:tcW w:w="488"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212</w:t>
            </w:r>
          </w:p>
        </w:tc>
        <w:tc>
          <w:tcPr>
            <w:tcW w:w="1859"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城乡社区支出</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4,972.34</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1,359.30</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3,613.03</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670"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0" w:hRule="atLeast"/>
        </w:trPr>
        <w:tc>
          <w:tcPr>
            <w:tcW w:w="488"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21201</w:t>
            </w:r>
          </w:p>
        </w:tc>
        <w:tc>
          <w:tcPr>
            <w:tcW w:w="1859"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城乡社区管理事务</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608.65</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409.96</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198.69</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670"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0" w:hRule="atLeast"/>
        </w:trPr>
        <w:tc>
          <w:tcPr>
            <w:tcW w:w="488"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2120101</w:t>
            </w:r>
          </w:p>
        </w:tc>
        <w:tc>
          <w:tcPr>
            <w:tcW w:w="1859"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行政运行</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228.59</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228.59</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670"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0" w:hRule="atLeast"/>
        </w:trPr>
        <w:tc>
          <w:tcPr>
            <w:tcW w:w="488"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2120107</w:t>
            </w:r>
          </w:p>
        </w:tc>
        <w:tc>
          <w:tcPr>
            <w:tcW w:w="1859"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市政公用行业市场监管</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8.10</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8.10</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670"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0" w:hRule="atLeast"/>
        </w:trPr>
        <w:tc>
          <w:tcPr>
            <w:tcW w:w="488"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2120109</w:t>
            </w:r>
          </w:p>
        </w:tc>
        <w:tc>
          <w:tcPr>
            <w:tcW w:w="1859"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住宅建设与房地产市场监管</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163.76</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163.76</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670"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0" w:hRule="atLeast"/>
        </w:trPr>
        <w:tc>
          <w:tcPr>
            <w:tcW w:w="488"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2120199</w:t>
            </w:r>
          </w:p>
        </w:tc>
        <w:tc>
          <w:tcPr>
            <w:tcW w:w="1859"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其他城乡社区管理事务支出</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208.20</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9.51</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198.69</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670"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0" w:hRule="atLeast"/>
        </w:trPr>
        <w:tc>
          <w:tcPr>
            <w:tcW w:w="488"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21202</w:t>
            </w:r>
          </w:p>
        </w:tc>
        <w:tc>
          <w:tcPr>
            <w:tcW w:w="1859"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城乡社区规划与管理</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715.23</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715.23</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670"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0" w:hRule="atLeast"/>
        </w:trPr>
        <w:tc>
          <w:tcPr>
            <w:tcW w:w="488"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2120201</w:t>
            </w:r>
          </w:p>
        </w:tc>
        <w:tc>
          <w:tcPr>
            <w:tcW w:w="1859"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城乡社区规划与管理</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715.23</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715.23</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670"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0" w:hRule="atLeast"/>
        </w:trPr>
        <w:tc>
          <w:tcPr>
            <w:tcW w:w="488"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21203</w:t>
            </w:r>
          </w:p>
        </w:tc>
        <w:tc>
          <w:tcPr>
            <w:tcW w:w="1859"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城乡社区公共设施</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2,095.18</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2,095.18</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670"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0" w:hRule="atLeast"/>
        </w:trPr>
        <w:tc>
          <w:tcPr>
            <w:tcW w:w="488"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2120303</w:t>
            </w:r>
          </w:p>
        </w:tc>
        <w:tc>
          <w:tcPr>
            <w:tcW w:w="1859"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小城镇基础设施建设</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600.00</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600.00</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670"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0" w:hRule="atLeast"/>
        </w:trPr>
        <w:tc>
          <w:tcPr>
            <w:tcW w:w="488"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2120399</w:t>
            </w:r>
          </w:p>
        </w:tc>
        <w:tc>
          <w:tcPr>
            <w:tcW w:w="1859"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其他城乡社区公共设施支出</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1,495.18</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1,495.18</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670"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0" w:hRule="atLeast"/>
        </w:trPr>
        <w:tc>
          <w:tcPr>
            <w:tcW w:w="488"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21206</w:t>
            </w:r>
          </w:p>
        </w:tc>
        <w:tc>
          <w:tcPr>
            <w:tcW w:w="1859"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建设市场管理与监督</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205.93</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201.34</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4.58</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670"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0" w:hRule="atLeast"/>
        </w:trPr>
        <w:tc>
          <w:tcPr>
            <w:tcW w:w="488"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2120601</w:t>
            </w:r>
          </w:p>
        </w:tc>
        <w:tc>
          <w:tcPr>
            <w:tcW w:w="1859"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建设市场管理与监督</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205.93</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201.34</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4.58</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670"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0" w:hRule="atLeast"/>
        </w:trPr>
        <w:tc>
          <w:tcPr>
            <w:tcW w:w="488"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21213</w:t>
            </w:r>
          </w:p>
        </w:tc>
        <w:tc>
          <w:tcPr>
            <w:tcW w:w="1859"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城市基础设施配套费安排的支出</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843.16</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748.00</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95.16</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670"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0" w:hRule="atLeast"/>
        </w:trPr>
        <w:tc>
          <w:tcPr>
            <w:tcW w:w="488"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2121301</w:t>
            </w:r>
          </w:p>
        </w:tc>
        <w:tc>
          <w:tcPr>
            <w:tcW w:w="1859"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城市公共设施</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45.00</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45.00</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670"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0" w:hRule="atLeast"/>
        </w:trPr>
        <w:tc>
          <w:tcPr>
            <w:tcW w:w="488"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2121399</w:t>
            </w:r>
          </w:p>
        </w:tc>
        <w:tc>
          <w:tcPr>
            <w:tcW w:w="1859"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其他城市基础设施配套费安排的支出</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798.16</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748.00</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50.16</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670"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0" w:hRule="atLeast"/>
        </w:trPr>
        <w:tc>
          <w:tcPr>
            <w:tcW w:w="488"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21299</w:t>
            </w:r>
          </w:p>
        </w:tc>
        <w:tc>
          <w:tcPr>
            <w:tcW w:w="1859"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其他城乡社区支出</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504.19</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504.19</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670"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0" w:hRule="atLeast"/>
        </w:trPr>
        <w:tc>
          <w:tcPr>
            <w:tcW w:w="488"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2129901</w:t>
            </w:r>
          </w:p>
        </w:tc>
        <w:tc>
          <w:tcPr>
            <w:tcW w:w="1859"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其他城乡社区支出</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504.19</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504.19</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670"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0" w:hRule="atLeast"/>
        </w:trPr>
        <w:tc>
          <w:tcPr>
            <w:tcW w:w="488"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213</w:t>
            </w:r>
          </w:p>
        </w:tc>
        <w:tc>
          <w:tcPr>
            <w:tcW w:w="1859"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农林水支出</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508.00</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508.00</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670"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0" w:hRule="atLeast"/>
        </w:trPr>
        <w:tc>
          <w:tcPr>
            <w:tcW w:w="488"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21305</w:t>
            </w:r>
          </w:p>
        </w:tc>
        <w:tc>
          <w:tcPr>
            <w:tcW w:w="1859"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扶贫</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508.00</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508.00</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670"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0" w:hRule="atLeast"/>
        </w:trPr>
        <w:tc>
          <w:tcPr>
            <w:tcW w:w="488"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2130506</w:t>
            </w:r>
          </w:p>
        </w:tc>
        <w:tc>
          <w:tcPr>
            <w:tcW w:w="1859"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社会发展</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508.00</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508.00</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670"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0" w:hRule="atLeast"/>
        </w:trPr>
        <w:tc>
          <w:tcPr>
            <w:tcW w:w="488"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221</w:t>
            </w:r>
          </w:p>
        </w:tc>
        <w:tc>
          <w:tcPr>
            <w:tcW w:w="1859"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住房保障支出</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418.92</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418.92</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670"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0" w:hRule="atLeast"/>
        </w:trPr>
        <w:tc>
          <w:tcPr>
            <w:tcW w:w="488"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22101</w:t>
            </w:r>
          </w:p>
        </w:tc>
        <w:tc>
          <w:tcPr>
            <w:tcW w:w="1859"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保障性安居工程支出</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418.92</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418.92</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670"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0" w:hRule="atLeast"/>
        </w:trPr>
        <w:tc>
          <w:tcPr>
            <w:tcW w:w="488"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2210105</w:t>
            </w:r>
          </w:p>
        </w:tc>
        <w:tc>
          <w:tcPr>
            <w:tcW w:w="1859"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农村危房改造</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82.68</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82.68</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670"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0" w:hRule="atLeast"/>
        </w:trPr>
        <w:tc>
          <w:tcPr>
            <w:tcW w:w="488"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2210107</w:t>
            </w:r>
          </w:p>
        </w:tc>
        <w:tc>
          <w:tcPr>
            <w:tcW w:w="1859"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保障性住房租金补贴</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36.74</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36.74</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1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670"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0" w:hRule="atLeast"/>
        </w:trPr>
        <w:tc>
          <w:tcPr>
            <w:tcW w:w="488" w:type="pct"/>
            <w:tcBorders>
              <w:top w:val="nil"/>
              <w:left w:val="single" w:color="000000" w:sz="4" w:space="0"/>
              <w:bottom w:val="single" w:color="000000" w:sz="8"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2210199</w:t>
            </w:r>
          </w:p>
        </w:tc>
        <w:tc>
          <w:tcPr>
            <w:tcW w:w="1859" w:type="pct"/>
            <w:tcBorders>
              <w:top w:val="nil"/>
              <w:left w:val="nil"/>
              <w:bottom w:val="single" w:color="000000" w:sz="8"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其他保障性安居工程支出</w:t>
            </w:r>
          </w:p>
        </w:tc>
        <w:tc>
          <w:tcPr>
            <w:tcW w:w="520" w:type="pct"/>
            <w:tcBorders>
              <w:top w:val="nil"/>
              <w:left w:val="nil"/>
              <w:bottom w:val="single" w:color="000000" w:sz="8"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299.50</w:t>
            </w:r>
          </w:p>
        </w:tc>
        <w:tc>
          <w:tcPr>
            <w:tcW w:w="520" w:type="pct"/>
            <w:tcBorders>
              <w:top w:val="nil"/>
              <w:left w:val="nil"/>
              <w:bottom w:val="single" w:color="000000" w:sz="8"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20" w:type="pct"/>
            <w:tcBorders>
              <w:top w:val="nil"/>
              <w:left w:val="nil"/>
              <w:bottom w:val="single" w:color="000000" w:sz="8"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299.50</w:t>
            </w:r>
          </w:p>
        </w:tc>
        <w:tc>
          <w:tcPr>
            <w:tcW w:w="211" w:type="pct"/>
            <w:tcBorders>
              <w:top w:val="nil"/>
              <w:left w:val="nil"/>
              <w:bottom w:val="single" w:color="000000" w:sz="8"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11" w:type="pct"/>
            <w:tcBorders>
              <w:top w:val="nil"/>
              <w:left w:val="nil"/>
              <w:bottom w:val="single" w:color="000000" w:sz="8"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670" w:type="pct"/>
            <w:tcBorders>
              <w:top w:val="nil"/>
              <w:left w:val="nil"/>
              <w:bottom w:val="single" w:color="000000" w:sz="8"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0" w:hRule="atLeast"/>
        </w:trPr>
        <w:tc>
          <w:tcPr>
            <w:tcW w:w="5000" w:type="pct"/>
            <w:gridSpan w:val="8"/>
            <w:tcBorders>
              <w:top w:val="nil"/>
              <w:left w:val="nil"/>
              <w:bottom w:val="nil"/>
              <w:right w:val="nil"/>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注：本表反映部门本年度各项支出情况。本表金额转换为万元时，因四舍五入可能存在尾差。</w:t>
            </w:r>
          </w:p>
        </w:tc>
      </w:tr>
    </w:tbl>
    <w:p>
      <w:pPr>
        <w:widowControl/>
        <w:jc w:val="left"/>
        <w:rPr>
          <w:rFonts w:hint="eastAsia" w:ascii="黑体" w:hAnsi="宋体" w:eastAsia="黑体"/>
          <w:color w:val="000000"/>
          <w:kern w:val="0"/>
          <w:sz w:val="44"/>
          <w:szCs w:val="44"/>
        </w:rPr>
      </w:pPr>
    </w:p>
    <w:p>
      <w:pPr>
        <w:widowControl/>
        <w:jc w:val="center"/>
        <w:rPr>
          <w:rFonts w:hint="eastAsia" w:ascii="黑体" w:hAnsi="宋体" w:eastAsia="黑体"/>
          <w:color w:val="000000"/>
          <w:kern w:val="0"/>
          <w:sz w:val="44"/>
          <w:szCs w:val="44"/>
        </w:rPr>
      </w:pPr>
    </w:p>
    <w:p>
      <w:pPr>
        <w:widowControl/>
        <w:jc w:val="center"/>
        <w:rPr>
          <w:rFonts w:hint="eastAsia" w:ascii="黑体" w:hAnsi="宋体" w:eastAsia="黑体"/>
          <w:color w:val="000000"/>
          <w:kern w:val="0"/>
          <w:sz w:val="44"/>
          <w:szCs w:val="44"/>
        </w:rPr>
      </w:pPr>
    </w:p>
    <w:p>
      <w:pPr>
        <w:widowControl/>
        <w:jc w:val="center"/>
        <w:rPr>
          <w:rFonts w:hint="eastAsia" w:ascii="黑体" w:hAnsi="宋体" w:eastAsia="黑体"/>
          <w:color w:val="000000"/>
          <w:kern w:val="0"/>
          <w:sz w:val="44"/>
          <w:szCs w:val="44"/>
        </w:rPr>
      </w:pPr>
    </w:p>
    <w:p>
      <w:pPr>
        <w:widowControl/>
        <w:jc w:val="center"/>
        <w:rPr>
          <w:rFonts w:hint="eastAsia" w:ascii="黑体" w:hAnsi="宋体" w:eastAsia="黑体"/>
          <w:color w:val="000000"/>
          <w:kern w:val="0"/>
          <w:sz w:val="44"/>
          <w:szCs w:val="44"/>
        </w:rPr>
      </w:pPr>
    </w:p>
    <w:p>
      <w:pPr>
        <w:widowControl/>
        <w:jc w:val="center"/>
        <w:rPr>
          <w:rFonts w:hint="eastAsia" w:ascii="黑体" w:hAnsi="宋体" w:eastAsia="黑体"/>
          <w:color w:val="000000"/>
          <w:kern w:val="0"/>
          <w:sz w:val="44"/>
          <w:szCs w:val="44"/>
        </w:rPr>
      </w:pPr>
      <w:r>
        <w:rPr>
          <w:rFonts w:hint="eastAsia" w:ascii="黑体" w:hAnsi="宋体" w:eastAsia="黑体"/>
          <w:color w:val="000000"/>
          <w:kern w:val="0"/>
          <w:sz w:val="44"/>
          <w:szCs w:val="44"/>
        </w:rPr>
        <w:t>财政拨款收入支出决算总表</w:t>
      </w:r>
    </w:p>
    <w:tbl>
      <w:tblPr>
        <w:tblStyle w:val="5"/>
        <w:tblW w:w="5000" w:type="pct"/>
        <w:tblInd w:w="0" w:type="dxa"/>
        <w:tblLayout w:type="autofit"/>
        <w:tblCellMar>
          <w:top w:w="0" w:type="dxa"/>
          <w:left w:w="108" w:type="dxa"/>
          <w:bottom w:w="0" w:type="dxa"/>
          <w:right w:w="108" w:type="dxa"/>
        </w:tblCellMar>
      </w:tblPr>
      <w:tblGrid>
        <w:gridCol w:w="4516"/>
        <w:gridCol w:w="1041"/>
        <w:gridCol w:w="2794"/>
        <w:gridCol w:w="1617"/>
      </w:tblGrid>
      <w:tr>
        <w:tblPrEx>
          <w:tblCellMar>
            <w:top w:w="0" w:type="dxa"/>
            <w:left w:w="108" w:type="dxa"/>
            <w:bottom w:w="0" w:type="dxa"/>
            <w:right w:w="108" w:type="dxa"/>
          </w:tblCellMar>
        </w:tblPrEx>
        <w:trPr>
          <w:trHeight w:val="255" w:hRule="atLeast"/>
        </w:trPr>
        <w:tc>
          <w:tcPr>
            <w:tcW w:w="2299"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556"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1435"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710" w:type="pct"/>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公开04表</w:t>
            </w:r>
          </w:p>
        </w:tc>
      </w:tr>
      <w:tr>
        <w:tblPrEx>
          <w:tblCellMar>
            <w:top w:w="0" w:type="dxa"/>
            <w:left w:w="108" w:type="dxa"/>
            <w:bottom w:w="0" w:type="dxa"/>
            <w:right w:w="108" w:type="dxa"/>
          </w:tblCellMar>
        </w:tblPrEx>
        <w:trPr>
          <w:trHeight w:val="255" w:hRule="atLeast"/>
        </w:trPr>
        <w:tc>
          <w:tcPr>
            <w:tcW w:w="2299" w:type="pct"/>
            <w:tcBorders>
              <w:top w:val="nil"/>
              <w:left w:val="nil"/>
              <w:bottom w:val="nil"/>
              <w:right w:val="nil"/>
            </w:tcBorders>
            <w:shd w:val="clear" w:color="auto" w:fill="auto"/>
            <w:noWrap/>
            <w:vAlign w:val="bottom"/>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编制部门：西安市蓝田县住房和城乡建设局</w:t>
            </w:r>
          </w:p>
        </w:tc>
        <w:tc>
          <w:tcPr>
            <w:tcW w:w="556" w:type="pct"/>
            <w:tcBorders>
              <w:top w:val="nil"/>
              <w:left w:val="nil"/>
              <w:bottom w:val="nil"/>
              <w:right w:val="nil"/>
            </w:tcBorders>
            <w:shd w:val="clear" w:color="auto" w:fill="auto"/>
            <w:noWrap/>
            <w:vAlign w:val="bottom"/>
          </w:tcPr>
          <w:p>
            <w:pPr>
              <w:widowControl/>
              <w:rPr>
                <w:rFonts w:ascii="宋体" w:hAnsi="宋体" w:eastAsia="宋体" w:cs="Arial"/>
                <w:color w:val="000000"/>
                <w:kern w:val="0"/>
                <w:sz w:val="20"/>
              </w:rPr>
            </w:pPr>
            <w:r>
              <w:rPr>
                <w:rFonts w:hint="eastAsia" w:ascii="宋体" w:hAnsi="宋体" w:eastAsia="宋体" w:cs="Arial"/>
                <w:color w:val="000000"/>
                <w:kern w:val="0"/>
                <w:sz w:val="20"/>
              </w:rPr>
              <w:t>2019年</w:t>
            </w:r>
          </w:p>
        </w:tc>
        <w:tc>
          <w:tcPr>
            <w:tcW w:w="1435"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710" w:type="pct"/>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金额单位：万元</w:t>
            </w:r>
          </w:p>
        </w:tc>
      </w:tr>
    </w:tbl>
    <w:p>
      <w:pPr>
        <w:widowControl/>
        <w:jc w:val="left"/>
        <w:rPr>
          <w:rFonts w:ascii="黑体" w:hAnsi="宋体" w:eastAsia="黑体"/>
          <w:color w:val="000000"/>
          <w:kern w:val="0"/>
          <w:sz w:val="44"/>
          <w:szCs w:val="44"/>
        </w:rPr>
      </w:pPr>
    </w:p>
    <w:tbl>
      <w:tblPr>
        <w:tblStyle w:val="5"/>
        <w:tblW w:w="5000" w:type="pct"/>
        <w:tblInd w:w="0" w:type="dxa"/>
        <w:tblLayout w:type="fixed"/>
        <w:tblCellMar>
          <w:top w:w="0" w:type="dxa"/>
          <w:left w:w="108" w:type="dxa"/>
          <w:bottom w:w="0" w:type="dxa"/>
          <w:right w:w="108" w:type="dxa"/>
        </w:tblCellMar>
      </w:tblPr>
      <w:tblGrid>
        <w:gridCol w:w="2862"/>
        <w:gridCol w:w="1163"/>
        <w:gridCol w:w="2647"/>
        <w:gridCol w:w="1215"/>
        <w:gridCol w:w="1155"/>
        <w:gridCol w:w="926"/>
      </w:tblGrid>
      <w:tr>
        <w:tblPrEx>
          <w:tblCellMar>
            <w:top w:w="0" w:type="dxa"/>
            <w:left w:w="108" w:type="dxa"/>
            <w:bottom w:w="0" w:type="dxa"/>
            <w:right w:w="108" w:type="dxa"/>
          </w:tblCellMar>
        </w:tblPrEx>
        <w:trPr>
          <w:trHeight w:val="308" w:hRule="atLeast"/>
        </w:trPr>
        <w:tc>
          <w:tcPr>
            <w:tcW w:w="2018" w:type="pct"/>
            <w:gridSpan w:val="2"/>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收     入</w:t>
            </w:r>
          </w:p>
        </w:tc>
        <w:tc>
          <w:tcPr>
            <w:tcW w:w="2981" w:type="pct"/>
            <w:gridSpan w:val="4"/>
            <w:tcBorders>
              <w:top w:val="single" w:color="000000" w:sz="4" w:space="0"/>
              <w:left w:val="nil"/>
              <w:bottom w:val="single" w:color="000000" w:sz="4" w:space="0"/>
              <w:right w:val="single" w:color="000000" w:sz="8" w:space="0"/>
            </w:tcBorders>
            <w:shd w:val="clear" w:color="FFFFFF" w:fill="C0C0C0"/>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支     出</w:t>
            </w:r>
          </w:p>
        </w:tc>
      </w:tr>
      <w:tr>
        <w:tblPrEx>
          <w:tblCellMar>
            <w:top w:w="0" w:type="dxa"/>
            <w:left w:w="108" w:type="dxa"/>
            <w:bottom w:w="0" w:type="dxa"/>
            <w:right w:w="108" w:type="dxa"/>
          </w:tblCellMar>
        </w:tblPrEx>
        <w:trPr>
          <w:trHeight w:val="293" w:hRule="atLeast"/>
        </w:trPr>
        <w:tc>
          <w:tcPr>
            <w:tcW w:w="1435" w:type="pct"/>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项    目</w:t>
            </w:r>
          </w:p>
        </w:tc>
        <w:tc>
          <w:tcPr>
            <w:tcW w:w="583"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决算数</w:t>
            </w:r>
          </w:p>
        </w:tc>
        <w:tc>
          <w:tcPr>
            <w:tcW w:w="1327"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项目</w:t>
            </w:r>
          </w:p>
        </w:tc>
        <w:tc>
          <w:tcPr>
            <w:tcW w:w="1653" w:type="pct"/>
            <w:gridSpan w:val="3"/>
            <w:tcBorders>
              <w:top w:val="nil"/>
              <w:left w:val="nil"/>
              <w:bottom w:val="single" w:color="000000" w:sz="4" w:space="0"/>
              <w:right w:val="single" w:color="000000" w:sz="8" w:space="0"/>
            </w:tcBorders>
            <w:shd w:val="clear" w:color="FFFFFF" w:fill="C0C0C0"/>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决算数</w:t>
            </w:r>
          </w:p>
        </w:tc>
      </w:tr>
      <w:tr>
        <w:tblPrEx>
          <w:tblCellMar>
            <w:top w:w="0" w:type="dxa"/>
            <w:left w:w="108" w:type="dxa"/>
            <w:bottom w:w="0" w:type="dxa"/>
            <w:right w:w="108" w:type="dxa"/>
          </w:tblCellMar>
        </w:tblPrEx>
        <w:trPr>
          <w:trHeight w:val="1170" w:hRule="atLeast"/>
        </w:trPr>
        <w:tc>
          <w:tcPr>
            <w:tcW w:w="1435"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583" w:type="pct"/>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1327" w:type="pct"/>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609"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合计</w:t>
            </w:r>
          </w:p>
        </w:tc>
        <w:tc>
          <w:tcPr>
            <w:tcW w:w="579" w:type="pc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一般公共预算财政拨款</w:t>
            </w:r>
          </w:p>
        </w:tc>
        <w:tc>
          <w:tcPr>
            <w:tcW w:w="464" w:type="pct"/>
            <w:tcBorders>
              <w:top w:val="nil"/>
              <w:left w:val="nil"/>
              <w:bottom w:val="single" w:color="000000" w:sz="4" w:space="0"/>
              <w:right w:val="single" w:color="000000" w:sz="8" w:space="0"/>
            </w:tcBorders>
            <w:shd w:val="clear" w:color="FFFFFF" w:fill="C0C0C0"/>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政府性基金预算财政拨款</w:t>
            </w:r>
          </w:p>
        </w:tc>
      </w:tr>
      <w:tr>
        <w:tblPrEx>
          <w:tblCellMar>
            <w:top w:w="0" w:type="dxa"/>
            <w:left w:w="108" w:type="dxa"/>
            <w:bottom w:w="0" w:type="dxa"/>
            <w:right w:w="108" w:type="dxa"/>
          </w:tblCellMar>
        </w:tblPrEx>
        <w:trPr>
          <w:trHeight w:val="300" w:hRule="atLeast"/>
        </w:trPr>
        <w:tc>
          <w:tcPr>
            <w:tcW w:w="1435"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1、一般公共预算财政拨款</w:t>
            </w:r>
          </w:p>
        </w:tc>
        <w:tc>
          <w:tcPr>
            <w:tcW w:w="58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5,302.48</w:t>
            </w:r>
          </w:p>
        </w:tc>
        <w:tc>
          <w:tcPr>
            <w:tcW w:w="1327"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1、一般公共服务支出</w:t>
            </w:r>
          </w:p>
        </w:tc>
        <w:tc>
          <w:tcPr>
            <w:tcW w:w="6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155.40</w:t>
            </w:r>
          </w:p>
        </w:tc>
        <w:tc>
          <w:tcPr>
            <w:tcW w:w="57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155.40</w:t>
            </w:r>
          </w:p>
        </w:tc>
        <w:tc>
          <w:tcPr>
            <w:tcW w:w="464"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0" w:hRule="atLeast"/>
        </w:trPr>
        <w:tc>
          <w:tcPr>
            <w:tcW w:w="1435"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2、政府性基金预算财政拨款</w:t>
            </w:r>
          </w:p>
        </w:tc>
        <w:tc>
          <w:tcPr>
            <w:tcW w:w="58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843.16</w:t>
            </w:r>
          </w:p>
        </w:tc>
        <w:tc>
          <w:tcPr>
            <w:tcW w:w="1327"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2、外交支出</w:t>
            </w:r>
          </w:p>
        </w:tc>
        <w:tc>
          <w:tcPr>
            <w:tcW w:w="6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7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64"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0" w:hRule="atLeast"/>
        </w:trPr>
        <w:tc>
          <w:tcPr>
            <w:tcW w:w="1435"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3、国有资本经营预算收入</w:t>
            </w:r>
          </w:p>
        </w:tc>
        <w:tc>
          <w:tcPr>
            <w:tcW w:w="58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327"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3、国防支出</w:t>
            </w:r>
          </w:p>
        </w:tc>
        <w:tc>
          <w:tcPr>
            <w:tcW w:w="6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7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64"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0" w:hRule="atLeast"/>
        </w:trPr>
        <w:tc>
          <w:tcPr>
            <w:tcW w:w="1435"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8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327"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4、公共安全支出</w:t>
            </w:r>
          </w:p>
        </w:tc>
        <w:tc>
          <w:tcPr>
            <w:tcW w:w="6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7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64"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0" w:hRule="atLeast"/>
        </w:trPr>
        <w:tc>
          <w:tcPr>
            <w:tcW w:w="1435"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8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327"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5、教育支出</w:t>
            </w:r>
          </w:p>
        </w:tc>
        <w:tc>
          <w:tcPr>
            <w:tcW w:w="6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7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64"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0" w:hRule="atLeast"/>
        </w:trPr>
        <w:tc>
          <w:tcPr>
            <w:tcW w:w="1435"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8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327"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6、科学技术支出</w:t>
            </w:r>
          </w:p>
        </w:tc>
        <w:tc>
          <w:tcPr>
            <w:tcW w:w="6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7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64"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0" w:hRule="atLeast"/>
        </w:trPr>
        <w:tc>
          <w:tcPr>
            <w:tcW w:w="1435"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8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327"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7、文化旅游体育与传媒支出</w:t>
            </w:r>
          </w:p>
        </w:tc>
        <w:tc>
          <w:tcPr>
            <w:tcW w:w="6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7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64"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0" w:hRule="atLeast"/>
        </w:trPr>
        <w:tc>
          <w:tcPr>
            <w:tcW w:w="1435"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8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327"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8、社会保障和就业支出</w:t>
            </w:r>
          </w:p>
        </w:tc>
        <w:tc>
          <w:tcPr>
            <w:tcW w:w="6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72.89</w:t>
            </w:r>
          </w:p>
        </w:tc>
        <w:tc>
          <w:tcPr>
            <w:tcW w:w="57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72.89</w:t>
            </w:r>
          </w:p>
        </w:tc>
        <w:tc>
          <w:tcPr>
            <w:tcW w:w="464"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0" w:hRule="atLeast"/>
        </w:trPr>
        <w:tc>
          <w:tcPr>
            <w:tcW w:w="1435"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8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327"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9、卫生健康支出</w:t>
            </w:r>
          </w:p>
        </w:tc>
        <w:tc>
          <w:tcPr>
            <w:tcW w:w="6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18.08</w:t>
            </w:r>
          </w:p>
        </w:tc>
        <w:tc>
          <w:tcPr>
            <w:tcW w:w="57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18.08</w:t>
            </w:r>
          </w:p>
        </w:tc>
        <w:tc>
          <w:tcPr>
            <w:tcW w:w="464"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0" w:hRule="atLeast"/>
        </w:trPr>
        <w:tc>
          <w:tcPr>
            <w:tcW w:w="1435"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8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327"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10、节能环保支出</w:t>
            </w:r>
          </w:p>
        </w:tc>
        <w:tc>
          <w:tcPr>
            <w:tcW w:w="6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7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64"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0" w:hRule="atLeast"/>
        </w:trPr>
        <w:tc>
          <w:tcPr>
            <w:tcW w:w="1435"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8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327"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11、城乡社区支出</w:t>
            </w:r>
          </w:p>
        </w:tc>
        <w:tc>
          <w:tcPr>
            <w:tcW w:w="6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4,972.35</w:t>
            </w:r>
          </w:p>
        </w:tc>
        <w:tc>
          <w:tcPr>
            <w:tcW w:w="57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4,129.18</w:t>
            </w:r>
          </w:p>
        </w:tc>
        <w:tc>
          <w:tcPr>
            <w:tcW w:w="464"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843.16</w:t>
            </w:r>
          </w:p>
        </w:tc>
      </w:tr>
      <w:tr>
        <w:tblPrEx>
          <w:tblCellMar>
            <w:top w:w="0" w:type="dxa"/>
            <w:left w:w="108" w:type="dxa"/>
            <w:bottom w:w="0" w:type="dxa"/>
            <w:right w:w="108" w:type="dxa"/>
          </w:tblCellMar>
        </w:tblPrEx>
        <w:trPr>
          <w:trHeight w:val="300" w:hRule="atLeast"/>
        </w:trPr>
        <w:tc>
          <w:tcPr>
            <w:tcW w:w="1435"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8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327"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12、农林水支出</w:t>
            </w:r>
          </w:p>
        </w:tc>
        <w:tc>
          <w:tcPr>
            <w:tcW w:w="6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508.00</w:t>
            </w:r>
          </w:p>
        </w:tc>
        <w:tc>
          <w:tcPr>
            <w:tcW w:w="57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508.00</w:t>
            </w:r>
          </w:p>
        </w:tc>
        <w:tc>
          <w:tcPr>
            <w:tcW w:w="464"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0" w:hRule="atLeast"/>
        </w:trPr>
        <w:tc>
          <w:tcPr>
            <w:tcW w:w="1435"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8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327"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13、交通运输支出</w:t>
            </w:r>
          </w:p>
        </w:tc>
        <w:tc>
          <w:tcPr>
            <w:tcW w:w="6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7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64"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0" w:hRule="atLeast"/>
        </w:trPr>
        <w:tc>
          <w:tcPr>
            <w:tcW w:w="1435"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8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327"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14、资源勘探信息等支出</w:t>
            </w:r>
          </w:p>
        </w:tc>
        <w:tc>
          <w:tcPr>
            <w:tcW w:w="6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7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64"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0" w:hRule="atLeast"/>
        </w:trPr>
        <w:tc>
          <w:tcPr>
            <w:tcW w:w="1435"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8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327"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15、商业服务业等支出</w:t>
            </w:r>
          </w:p>
        </w:tc>
        <w:tc>
          <w:tcPr>
            <w:tcW w:w="6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7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64"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0" w:hRule="atLeast"/>
        </w:trPr>
        <w:tc>
          <w:tcPr>
            <w:tcW w:w="1435"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8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327"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16、金融支出</w:t>
            </w:r>
          </w:p>
        </w:tc>
        <w:tc>
          <w:tcPr>
            <w:tcW w:w="6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7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64"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0" w:hRule="atLeast"/>
        </w:trPr>
        <w:tc>
          <w:tcPr>
            <w:tcW w:w="1435"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8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327"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17、援助其他地区支出</w:t>
            </w:r>
          </w:p>
        </w:tc>
        <w:tc>
          <w:tcPr>
            <w:tcW w:w="6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7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64"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0" w:hRule="atLeast"/>
        </w:trPr>
        <w:tc>
          <w:tcPr>
            <w:tcW w:w="1435"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8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327"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18、自然资源海洋气象等支出</w:t>
            </w:r>
          </w:p>
        </w:tc>
        <w:tc>
          <w:tcPr>
            <w:tcW w:w="6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7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64"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0" w:hRule="atLeast"/>
        </w:trPr>
        <w:tc>
          <w:tcPr>
            <w:tcW w:w="1435"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8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327"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19、住房保障支出</w:t>
            </w:r>
          </w:p>
        </w:tc>
        <w:tc>
          <w:tcPr>
            <w:tcW w:w="6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418.92</w:t>
            </w:r>
          </w:p>
        </w:tc>
        <w:tc>
          <w:tcPr>
            <w:tcW w:w="57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418.92</w:t>
            </w:r>
          </w:p>
        </w:tc>
        <w:tc>
          <w:tcPr>
            <w:tcW w:w="464"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0" w:hRule="atLeast"/>
        </w:trPr>
        <w:tc>
          <w:tcPr>
            <w:tcW w:w="1435"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8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327"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20、粮油物资储备支出</w:t>
            </w:r>
          </w:p>
        </w:tc>
        <w:tc>
          <w:tcPr>
            <w:tcW w:w="6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7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64"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0" w:hRule="atLeast"/>
        </w:trPr>
        <w:tc>
          <w:tcPr>
            <w:tcW w:w="1435"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8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327"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21、灾害防治及应急管理支出</w:t>
            </w:r>
          </w:p>
        </w:tc>
        <w:tc>
          <w:tcPr>
            <w:tcW w:w="6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7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64"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0" w:hRule="atLeast"/>
        </w:trPr>
        <w:tc>
          <w:tcPr>
            <w:tcW w:w="1435"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8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327"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22、其他支出</w:t>
            </w:r>
          </w:p>
        </w:tc>
        <w:tc>
          <w:tcPr>
            <w:tcW w:w="6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7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64"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0" w:hRule="atLeast"/>
        </w:trPr>
        <w:tc>
          <w:tcPr>
            <w:tcW w:w="1435"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ascii="宋体" w:hAnsi="宋体" w:eastAsia="宋体" w:cs="Arial"/>
                <w:b/>
                <w:bCs/>
                <w:color w:val="000000"/>
                <w:kern w:val="0"/>
                <w:sz w:val="22"/>
                <w:szCs w:val="22"/>
              </w:rPr>
            </w:pPr>
            <w:r>
              <w:rPr>
                <w:rFonts w:hint="eastAsia" w:ascii="宋体" w:hAnsi="宋体" w:eastAsia="宋体" w:cs="Arial"/>
                <w:b/>
                <w:bCs/>
                <w:color w:val="000000"/>
                <w:kern w:val="0"/>
                <w:sz w:val="22"/>
                <w:szCs w:val="22"/>
              </w:rPr>
              <w:t>本年收入合计</w:t>
            </w:r>
          </w:p>
        </w:tc>
        <w:tc>
          <w:tcPr>
            <w:tcW w:w="58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6,145.64</w:t>
            </w:r>
          </w:p>
        </w:tc>
        <w:tc>
          <w:tcPr>
            <w:tcW w:w="132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b/>
                <w:bCs/>
                <w:color w:val="000000"/>
                <w:kern w:val="0"/>
                <w:sz w:val="22"/>
                <w:szCs w:val="22"/>
              </w:rPr>
            </w:pPr>
            <w:r>
              <w:rPr>
                <w:rFonts w:hint="eastAsia" w:ascii="宋体" w:hAnsi="宋体" w:eastAsia="宋体" w:cs="Arial"/>
                <w:b/>
                <w:bCs/>
                <w:color w:val="000000"/>
                <w:kern w:val="0"/>
                <w:sz w:val="22"/>
                <w:szCs w:val="22"/>
              </w:rPr>
              <w:t>本年支出合计</w:t>
            </w:r>
          </w:p>
        </w:tc>
        <w:tc>
          <w:tcPr>
            <w:tcW w:w="6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6,145.64</w:t>
            </w:r>
          </w:p>
        </w:tc>
        <w:tc>
          <w:tcPr>
            <w:tcW w:w="57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5,302.48</w:t>
            </w:r>
          </w:p>
        </w:tc>
        <w:tc>
          <w:tcPr>
            <w:tcW w:w="464"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843.16</w:t>
            </w:r>
          </w:p>
        </w:tc>
      </w:tr>
      <w:tr>
        <w:tblPrEx>
          <w:tblCellMar>
            <w:top w:w="0" w:type="dxa"/>
            <w:left w:w="108" w:type="dxa"/>
            <w:bottom w:w="0" w:type="dxa"/>
            <w:right w:w="108" w:type="dxa"/>
          </w:tblCellMar>
        </w:tblPrEx>
        <w:trPr>
          <w:trHeight w:val="300" w:hRule="atLeast"/>
        </w:trPr>
        <w:tc>
          <w:tcPr>
            <w:tcW w:w="1435"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年初财政拨款结转和结余</w:t>
            </w:r>
          </w:p>
        </w:tc>
        <w:tc>
          <w:tcPr>
            <w:tcW w:w="58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327"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年末财政拨款结转和结余</w:t>
            </w:r>
          </w:p>
        </w:tc>
        <w:tc>
          <w:tcPr>
            <w:tcW w:w="6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7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64"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0" w:hRule="atLeast"/>
        </w:trPr>
        <w:tc>
          <w:tcPr>
            <w:tcW w:w="1435"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一、一般公共预算财政拨款</w:t>
            </w:r>
          </w:p>
        </w:tc>
        <w:tc>
          <w:tcPr>
            <w:tcW w:w="58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327" w:type="pct"/>
            <w:tcBorders>
              <w:top w:val="nil"/>
              <w:left w:val="nil"/>
              <w:bottom w:val="single" w:color="000000" w:sz="4" w:space="0"/>
              <w:right w:val="single" w:color="000000" w:sz="4" w:space="0"/>
            </w:tcBorders>
            <w:shd w:val="clear" w:color="FFFFFF" w:fill="C0C0C0"/>
            <w:noWrap/>
            <w:vAlign w:val="center"/>
          </w:tcPr>
          <w:p>
            <w:pPr>
              <w:widowControl/>
              <w:jc w:val="center"/>
              <w:rPr>
                <w:rFonts w:ascii="宋体" w:hAnsi="宋体" w:eastAsia="宋体" w:cs="Arial"/>
                <w:b/>
                <w:bCs/>
                <w:color w:val="000000"/>
                <w:kern w:val="0"/>
                <w:sz w:val="22"/>
                <w:szCs w:val="22"/>
              </w:rPr>
            </w:pPr>
            <w:r>
              <w:rPr>
                <w:rFonts w:hint="eastAsia" w:ascii="宋体" w:hAnsi="宋体" w:eastAsia="宋体" w:cs="Arial"/>
                <w:b/>
                <w:bCs/>
                <w:color w:val="000000"/>
                <w:kern w:val="0"/>
                <w:sz w:val="22"/>
                <w:szCs w:val="22"/>
              </w:rPr>
              <w:t>　</w:t>
            </w:r>
          </w:p>
        </w:tc>
        <w:tc>
          <w:tcPr>
            <w:tcW w:w="6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7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64"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0" w:hRule="atLeast"/>
        </w:trPr>
        <w:tc>
          <w:tcPr>
            <w:tcW w:w="1435"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二、政府性基金预算财政拨款</w:t>
            </w:r>
          </w:p>
        </w:tc>
        <w:tc>
          <w:tcPr>
            <w:tcW w:w="58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327" w:type="pct"/>
            <w:tcBorders>
              <w:top w:val="nil"/>
              <w:left w:val="nil"/>
              <w:bottom w:val="single" w:color="000000" w:sz="4" w:space="0"/>
              <w:right w:val="single" w:color="000000" w:sz="4" w:space="0"/>
            </w:tcBorders>
            <w:shd w:val="clear" w:color="FFFFFF" w:fill="C0C0C0"/>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6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7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64"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0" w:hRule="atLeast"/>
        </w:trPr>
        <w:tc>
          <w:tcPr>
            <w:tcW w:w="1435" w:type="pct"/>
            <w:tcBorders>
              <w:top w:val="nil"/>
              <w:left w:val="single" w:color="000000" w:sz="4" w:space="0"/>
              <w:bottom w:val="single" w:color="000000" w:sz="8" w:space="0"/>
              <w:right w:val="single" w:color="000000" w:sz="4" w:space="0"/>
            </w:tcBorders>
            <w:shd w:val="clear" w:color="FFFFFF" w:fill="C0C0C0"/>
            <w:noWrap/>
            <w:vAlign w:val="center"/>
          </w:tcPr>
          <w:p>
            <w:pPr>
              <w:widowControl/>
              <w:jc w:val="center"/>
              <w:rPr>
                <w:rFonts w:ascii="宋体" w:hAnsi="宋体" w:eastAsia="宋体" w:cs="Arial"/>
                <w:b/>
                <w:bCs/>
                <w:color w:val="000000"/>
                <w:kern w:val="0"/>
                <w:sz w:val="22"/>
                <w:szCs w:val="22"/>
              </w:rPr>
            </w:pPr>
            <w:r>
              <w:rPr>
                <w:rFonts w:hint="eastAsia" w:ascii="宋体" w:hAnsi="宋体" w:eastAsia="宋体" w:cs="Arial"/>
                <w:b/>
                <w:bCs/>
                <w:color w:val="000000"/>
                <w:kern w:val="0"/>
                <w:sz w:val="22"/>
                <w:szCs w:val="22"/>
              </w:rPr>
              <w:t>总计</w:t>
            </w:r>
          </w:p>
        </w:tc>
        <w:tc>
          <w:tcPr>
            <w:tcW w:w="583" w:type="pct"/>
            <w:tcBorders>
              <w:top w:val="nil"/>
              <w:left w:val="nil"/>
              <w:bottom w:val="single" w:color="000000" w:sz="8"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6,145.64</w:t>
            </w:r>
          </w:p>
        </w:tc>
        <w:tc>
          <w:tcPr>
            <w:tcW w:w="1327" w:type="pct"/>
            <w:tcBorders>
              <w:top w:val="nil"/>
              <w:left w:val="nil"/>
              <w:bottom w:val="single" w:color="000000" w:sz="8" w:space="0"/>
              <w:right w:val="single" w:color="000000" w:sz="4" w:space="0"/>
            </w:tcBorders>
            <w:shd w:val="clear" w:color="FFFFFF" w:fill="C0C0C0"/>
            <w:noWrap/>
            <w:vAlign w:val="center"/>
          </w:tcPr>
          <w:p>
            <w:pPr>
              <w:widowControl/>
              <w:jc w:val="center"/>
              <w:rPr>
                <w:rFonts w:ascii="宋体" w:hAnsi="宋体" w:eastAsia="宋体" w:cs="Arial"/>
                <w:b/>
                <w:bCs/>
                <w:color w:val="000000"/>
                <w:kern w:val="0"/>
                <w:sz w:val="22"/>
                <w:szCs w:val="22"/>
              </w:rPr>
            </w:pPr>
            <w:r>
              <w:rPr>
                <w:rFonts w:hint="eastAsia" w:ascii="宋体" w:hAnsi="宋体" w:eastAsia="宋体" w:cs="Arial"/>
                <w:b/>
                <w:bCs/>
                <w:color w:val="000000"/>
                <w:kern w:val="0"/>
                <w:sz w:val="22"/>
                <w:szCs w:val="22"/>
              </w:rPr>
              <w:t>总计</w:t>
            </w:r>
          </w:p>
        </w:tc>
        <w:tc>
          <w:tcPr>
            <w:tcW w:w="609" w:type="pct"/>
            <w:tcBorders>
              <w:top w:val="nil"/>
              <w:left w:val="nil"/>
              <w:bottom w:val="single" w:color="000000" w:sz="8"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6,145.64</w:t>
            </w:r>
          </w:p>
        </w:tc>
        <w:tc>
          <w:tcPr>
            <w:tcW w:w="579" w:type="pct"/>
            <w:tcBorders>
              <w:top w:val="nil"/>
              <w:left w:val="nil"/>
              <w:bottom w:val="single" w:color="000000" w:sz="8"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5,302.48</w:t>
            </w:r>
          </w:p>
        </w:tc>
        <w:tc>
          <w:tcPr>
            <w:tcW w:w="464" w:type="pct"/>
            <w:tcBorders>
              <w:top w:val="nil"/>
              <w:left w:val="nil"/>
              <w:bottom w:val="single" w:color="000000" w:sz="8"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843.16</w:t>
            </w:r>
          </w:p>
        </w:tc>
      </w:tr>
      <w:tr>
        <w:tblPrEx>
          <w:tblCellMar>
            <w:top w:w="0" w:type="dxa"/>
            <w:left w:w="108" w:type="dxa"/>
            <w:bottom w:w="0" w:type="dxa"/>
            <w:right w:w="108" w:type="dxa"/>
          </w:tblCellMar>
        </w:tblPrEx>
        <w:trPr>
          <w:trHeight w:val="570" w:hRule="atLeast"/>
        </w:trPr>
        <w:tc>
          <w:tcPr>
            <w:tcW w:w="5000" w:type="pct"/>
            <w:gridSpan w:val="6"/>
            <w:tcBorders>
              <w:top w:val="nil"/>
              <w:left w:val="nil"/>
              <w:bottom w:val="nil"/>
              <w:right w:val="nil"/>
            </w:tcBorders>
            <w:shd w:val="clear" w:color="auto" w:fill="auto"/>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注：本表反映部门本年度一般公共预算财政拨款和政府性基金预算财政拨款的总收支和年末结转结余情况。本表金额转换为万元时，因四舍五入可能存在尾差。</w:t>
            </w:r>
          </w:p>
        </w:tc>
      </w:tr>
    </w:tbl>
    <w:p>
      <w:pPr>
        <w:widowControl/>
        <w:tabs>
          <w:tab w:val="left" w:pos="1590"/>
        </w:tabs>
        <w:jc w:val="left"/>
        <w:rPr>
          <w:rFonts w:hint="eastAsia" w:ascii="黑体" w:hAnsi="宋体" w:eastAsia="黑体"/>
          <w:color w:val="000000"/>
          <w:kern w:val="0"/>
          <w:sz w:val="44"/>
          <w:szCs w:val="44"/>
        </w:rPr>
      </w:pPr>
    </w:p>
    <w:p>
      <w:pPr>
        <w:widowControl/>
        <w:jc w:val="center"/>
        <w:rPr>
          <w:rFonts w:hint="eastAsia" w:ascii="黑体" w:hAnsi="宋体" w:eastAsia="黑体"/>
          <w:color w:val="000000"/>
          <w:kern w:val="0"/>
          <w:sz w:val="40"/>
          <w:szCs w:val="44"/>
        </w:rPr>
      </w:pPr>
    </w:p>
    <w:p>
      <w:pPr>
        <w:widowControl/>
        <w:jc w:val="center"/>
        <w:rPr>
          <w:rFonts w:hint="eastAsia" w:ascii="黑体" w:hAnsi="宋体" w:eastAsia="黑体"/>
          <w:color w:val="000000"/>
          <w:kern w:val="0"/>
          <w:sz w:val="40"/>
          <w:szCs w:val="44"/>
        </w:rPr>
      </w:pPr>
    </w:p>
    <w:p>
      <w:pPr>
        <w:widowControl/>
        <w:jc w:val="center"/>
        <w:rPr>
          <w:rFonts w:hint="eastAsia" w:ascii="黑体" w:hAnsi="宋体" w:eastAsia="黑体"/>
          <w:color w:val="000000"/>
          <w:kern w:val="0"/>
          <w:sz w:val="40"/>
          <w:szCs w:val="44"/>
        </w:rPr>
      </w:pPr>
    </w:p>
    <w:p>
      <w:pPr>
        <w:widowControl/>
        <w:jc w:val="center"/>
        <w:rPr>
          <w:rFonts w:hint="eastAsia" w:ascii="黑体" w:hAnsi="宋体" w:eastAsia="黑体"/>
          <w:color w:val="000000"/>
          <w:kern w:val="0"/>
          <w:sz w:val="40"/>
          <w:szCs w:val="44"/>
        </w:rPr>
      </w:pPr>
    </w:p>
    <w:p>
      <w:pPr>
        <w:widowControl/>
        <w:jc w:val="center"/>
        <w:rPr>
          <w:rFonts w:hint="eastAsia" w:ascii="黑体" w:hAnsi="宋体" w:eastAsia="黑体"/>
          <w:color w:val="000000"/>
          <w:kern w:val="0"/>
          <w:sz w:val="40"/>
          <w:szCs w:val="44"/>
        </w:rPr>
      </w:pPr>
    </w:p>
    <w:p>
      <w:pPr>
        <w:widowControl/>
        <w:jc w:val="center"/>
        <w:rPr>
          <w:rFonts w:hint="eastAsia" w:ascii="黑体" w:hAnsi="宋体" w:eastAsia="黑体"/>
          <w:color w:val="000000"/>
          <w:kern w:val="0"/>
          <w:sz w:val="40"/>
          <w:szCs w:val="44"/>
        </w:rPr>
      </w:pPr>
    </w:p>
    <w:p>
      <w:pPr>
        <w:widowControl/>
        <w:jc w:val="center"/>
        <w:rPr>
          <w:rFonts w:hint="eastAsia" w:ascii="黑体" w:hAnsi="宋体" w:eastAsia="黑体"/>
          <w:color w:val="000000"/>
          <w:kern w:val="0"/>
          <w:sz w:val="40"/>
          <w:szCs w:val="44"/>
        </w:rPr>
      </w:pPr>
    </w:p>
    <w:p>
      <w:pPr>
        <w:widowControl/>
        <w:jc w:val="center"/>
        <w:rPr>
          <w:rFonts w:hint="eastAsia" w:ascii="黑体" w:hAnsi="宋体" w:eastAsia="黑体"/>
          <w:color w:val="000000"/>
          <w:kern w:val="0"/>
          <w:sz w:val="40"/>
          <w:szCs w:val="44"/>
        </w:rPr>
      </w:pPr>
    </w:p>
    <w:p>
      <w:pPr>
        <w:widowControl/>
        <w:jc w:val="center"/>
        <w:rPr>
          <w:rFonts w:hint="eastAsia" w:ascii="黑体" w:hAnsi="宋体" w:eastAsia="黑体"/>
          <w:color w:val="000000"/>
          <w:kern w:val="0"/>
          <w:sz w:val="40"/>
          <w:szCs w:val="44"/>
        </w:rPr>
      </w:pPr>
    </w:p>
    <w:p>
      <w:pPr>
        <w:widowControl/>
        <w:jc w:val="center"/>
        <w:rPr>
          <w:rFonts w:hint="eastAsia" w:ascii="黑体" w:hAnsi="宋体" w:eastAsia="黑体"/>
          <w:color w:val="000000"/>
          <w:kern w:val="0"/>
          <w:sz w:val="40"/>
          <w:szCs w:val="44"/>
        </w:rPr>
      </w:pPr>
      <w:r>
        <w:rPr>
          <w:rFonts w:hint="eastAsia" w:ascii="黑体" w:hAnsi="宋体" w:eastAsia="黑体"/>
          <w:color w:val="000000"/>
          <w:kern w:val="0"/>
          <w:sz w:val="40"/>
          <w:szCs w:val="44"/>
        </w:rPr>
        <w:t>一般公共预算财政拨款支出决算表（按功能分类科目）</w:t>
      </w:r>
    </w:p>
    <w:tbl>
      <w:tblPr>
        <w:tblStyle w:val="5"/>
        <w:tblW w:w="5000" w:type="pct"/>
        <w:tblInd w:w="0" w:type="dxa"/>
        <w:tblLayout w:type="autofit"/>
        <w:tblCellMar>
          <w:top w:w="0" w:type="dxa"/>
          <w:left w:w="108" w:type="dxa"/>
          <w:bottom w:w="0" w:type="dxa"/>
          <w:right w:w="108" w:type="dxa"/>
        </w:tblCellMar>
      </w:tblPr>
      <w:tblGrid>
        <w:gridCol w:w="66"/>
        <w:gridCol w:w="917"/>
        <w:gridCol w:w="3332"/>
        <w:gridCol w:w="28"/>
        <w:gridCol w:w="907"/>
        <w:gridCol w:w="238"/>
        <w:gridCol w:w="996"/>
        <w:gridCol w:w="896"/>
        <w:gridCol w:w="383"/>
        <w:gridCol w:w="345"/>
        <w:gridCol w:w="1172"/>
        <w:gridCol w:w="81"/>
        <w:gridCol w:w="607"/>
      </w:tblGrid>
      <w:tr>
        <w:tblPrEx>
          <w:tblCellMar>
            <w:top w:w="0" w:type="dxa"/>
            <w:left w:w="108" w:type="dxa"/>
            <w:bottom w:w="0" w:type="dxa"/>
            <w:right w:w="108" w:type="dxa"/>
          </w:tblCellMar>
        </w:tblPrEx>
        <w:trPr>
          <w:gridAfter w:val="2"/>
          <w:wAfter w:w="346" w:type="pct"/>
          <w:trHeight w:val="255" w:hRule="atLeast"/>
        </w:trPr>
        <w:tc>
          <w:tcPr>
            <w:tcW w:w="2163" w:type="pct"/>
            <w:gridSpan w:val="3"/>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473" w:type="pct"/>
            <w:gridSpan w:val="2"/>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1269" w:type="pct"/>
            <w:gridSpan w:val="4"/>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749" w:type="pct"/>
            <w:gridSpan w:val="2"/>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公开05表</w:t>
            </w:r>
          </w:p>
        </w:tc>
      </w:tr>
      <w:tr>
        <w:tblPrEx>
          <w:tblCellMar>
            <w:top w:w="0" w:type="dxa"/>
            <w:left w:w="108" w:type="dxa"/>
            <w:bottom w:w="0" w:type="dxa"/>
            <w:right w:w="108" w:type="dxa"/>
          </w:tblCellMar>
        </w:tblPrEx>
        <w:trPr>
          <w:gridAfter w:val="2"/>
          <w:wAfter w:w="346" w:type="pct"/>
          <w:trHeight w:val="255" w:hRule="atLeast"/>
        </w:trPr>
        <w:tc>
          <w:tcPr>
            <w:tcW w:w="2163" w:type="pct"/>
            <w:gridSpan w:val="3"/>
            <w:tcBorders>
              <w:top w:val="nil"/>
              <w:left w:val="nil"/>
              <w:bottom w:val="nil"/>
              <w:right w:val="nil"/>
            </w:tcBorders>
            <w:shd w:val="clear" w:color="auto" w:fill="auto"/>
            <w:noWrap/>
            <w:vAlign w:val="bottom"/>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编制部门：西安市蓝田县住房和城乡建设局</w:t>
            </w:r>
          </w:p>
        </w:tc>
        <w:tc>
          <w:tcPr>
            <w:tcW w:w="473" w:type="pct"/>
            <w:gridSpan w:val="2"/>
            <w:tcBorders>
              <w:top w:val="nil"/>
              <w:left w:val="nil"/>
              <w:bottom w:val="nil"/>
              <w:right w:val="nil"/>
            </w:tcBorders>
            <w:shd w:val="clear" w:color="auto" w:fill="auto"/>
            <w:noWrap/>
            <w:vAlign w:val="bottom"/>
          </w:tcPr>
          <w:p>
            <w:pPr>
              <w:widowControl/>
              <w:rPr>
                <w:rFonts w:ascii="宋体" w:hAnsi="宋体" w:eastAsia="宋体" w:cs="Arial"/>
                <w:color w:val="000000"/>
                <w:kern w:val="0"/>
                <w:sz w:val="20"/>
              </w:rPr>
            </w:pPr>
            <w:r>
              <w:rPr>
                <w:rFonts w:hint="eastAsia" w:ascii="宋体" w:hAnsi="宋体" w:eastAsia="宋体" w:cs="Arial"/>
                <w:color w:val="000000"/>
                <w:kern w:val="0"/>
                <w:sz w:val="20"/>
              </w:rPr>
              <w:t>2019年</w:t>
            </w:r>
          </w:p>
        </w:tc>
        <w:tc>
          <w:tcPr>
            <w:tcW w:w="1269" w:type="pct"/>
            <w:gridSpan w:val="4"/>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749" w:type="pct"/>
            <w:gridSpan w:val="2"/>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金额单位：万元</w:t>
            </w:r>
          </w:p>
        </w:tc>
      </w:tr>
      <w:tr>
        <w:tblPrEx>
          <w:tblCellMar>
            <w:top w:w="0" w:type="dxa"/>
            <w:left w:w="108" w:type="dxa"/>
            <w:bottom w:w="0" w:type="dxa"/>
            <w:right w:w="108" w:type="dxa"/>
          </w:tblCellMar>
        </w:tblPrEx>
        <w:trPr>
          <w:gridBefore w:val="1"/>
          <w:wBefore w:w="38" w:type="pct"/>
          <w:trHeight w:val="308" w:hRule="atLeast"/>
        </w:trPr>
        <w:tc>
          <w:tcPr>
            <w:tcW w:w="2138" w:type="pct"/>
            <w:gridSpan w:val="3"/>
            <w:tcBorders>
              <w:top w:val="single" w:color="000000" w:sz="4" w:space="0"/>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项目</w:t>
            </w:r>
          </w:p>
        </w:tc>
        <w:tc>
          <w:tcPr>
            <w:tcW w:w="580" w:type="pct"/>
            <w:gridSpan w:val="2"/>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本年支出合计</w:t>
            </w:r>
          </w:p>
        </w:tc>
        <w:tc>
          <w:tcPr>
            <w:tcW w:w="1317" w:type="pct"/>
            <w:gridSpan w:val="4"/>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基本支出</w:t>
            </w:r>
          </w:p>
        </w:tc>
        <w:tc>
          <w:tcPr>
            <w:tcW w:w="621" w:type="pct"/>
            <w:gridSpan w:val="2"/>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项目支出</w:t>
            </w:r>
          </w:p>
        </w:tc>
        <w:tc>
          <w:tcPr>
            <w:tcW w:w="305" w:type="pct"/>
            <w:vMerge w:val="restart"/>
            <w:tcBorders>
              <w:top w:val="single" w:color="000000" w:sz="4" w:space="0"/>
              <w:left w:val="nil"/>
              <w:bottom w:val="single" w:color="000000" w:sz="4" w:space="0"/>
              <w:right w:val="single" w:color="000000" w:sz="8" w:space="0"/>
            </w:tcBorders>
            <w:shd w:val="clear" w:color="FFFFFF" w:fill="C0C0C0"/>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备注</w:t>
            </w:r>
          </w:p>
        </w:tc>
      </w:tr>
      <w:tr>
        <w:tblPrEx>
          <w:tblCellMar>
            <w:top w:w="0" w:type="dxa"/>
            <w:left w:w="108" w:type="dxa"/>
            <w:bottom w:w="0" w:type="dxa"/>
            <w:right w:w="108" w:type="dxa"/>
          </w:tblCellMar>
        </w:tblPrEx>
        <w:trPr>
          <w:gridBefore w:val="1"/>
          <w:wBefore w:w="38" w:type="pct"/>
          <w:trHeight w:val="435" w:hRule="atLeast"/>
        </w:trPr>
        <w:tc>
          <w:tcPr>
            <w:tcW w:w="464" w:type="pct"/>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功能分类科目编码</w:t>
            </w:r>
          </w:p>
        </w:tc>
        <w:tc>
          <w:tcPr>
            <w:tcW w:w="1675" w:type="pct"/>
            <w:gridSpan w:val="2"/>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科目名称</w:t>
            </w:r>
          </w:p>
        </w:tc>
        <w:tc>
          <w:tcPr>
            <w:tcW w:w="580" w:type="pct"/>
            <w:gridSpan w:val="2"/>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505"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小计</w:t>
            </w:r>
          </w:p>
        </w:tc>
        <w:tc>
          <w:tcPr>
            <w:tcW w:w="453"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人员经费</w:t>
            </w:r>
          </w:p>
        </w:tc>
        <w:tc>
          <w:tcPr>
            <w:tcW w:w="359" w:type="pct"/>
            <w:gridSpan w:val="2"/>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公用经费</w:t>
            </w:r>
          </w:p>
        </w:tc>
        <w:tc>
          <w:tcPr>
            <w:tcW w:w="621" w:type="pct"/>
            <w:gridSpan w:val="2"/>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305" w:type="pct"/>
            <w:vMerge w:val="continue"/>
            <w:tcBorders>
              <w:top w:val="single" w:color="000000" w:sz="4" w:space="0"/>
              <w:left w:val="nil"/>
              <w:bottom w:val="single" w:color="000000" w:sz="4" w:space="0"/>
              <w:right w:val="single" w:color="000000" w:sz="8" w:space="0"/>
            </w:tcBorders>
            <w:vAlign w:val="center"/>
          </w:tcPr>
          <w:p>
            <w:pPr>
              <w:widowControl/>
              <w:jc w:val="left"/>
              <w:rPr>
                <w:rFonts w:ascii="宋体" w:hAnsi="宋体" w:eastAsia="宋体" w:cs="Arial"/>
                <w:color w:val="000000"/>
                <w:kern w:val="0"/>
                <w:sz w:val="22"/>
                <w:szCs w:val="22"/>
              </w:rPr>
            </w:pPr>
          </w:p>
        </w:tc>
      </w:tr>
      <w:tr>
        <w:tblPrEx>
          <w:tblCellMar>
            <w:top w:w="0" w:type="dxa"/>
            <w:left w:w="108" w:type="dxa"/>
            <w:bottom w:w="0" w:type="dxa"/>
            <w:right w:w="108" w:type="dxa"/>
          </w:tblCellMar>
        </w:tblPrEx>
        <w:trPr>
          <w:gridBefore w:val="1"/>
          <w:wBefore w:w="38" w:type="pct"/>
          <w:trHeight w:val="435" w:hRule="atLeast"/>
        </w:trPr>
        <w:tc>
          <w:tcPr>
            <w:tcW w:w="464"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1675" w:type="pct"/>
            <w:gridSpan w:val="2"/>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580" w:type="pct"/>
            <w:gridSpan w:val="2"/>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505" w:type="pct"/>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453" w:type="pct"/>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359" w:type="pct"/>
            <w:gridSpan w:val="2"/>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621" w:type="pct"/>
            <w:gridSpan w:val="2"/>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305" w:type="pct"/>
            <w:vMerge w:val="continue"/>
            <w:tcBorders>
              <w:top w:val="single" w:color="000000" w:sz="4" w:space="0"/>
              <w:left w:val="nil"/>
              <w:bottom w:val="single" w:color="000000" w:sz="4" w:space="0"/>
              <w:right w:val="single" w:color="000000" w:sz="8" w:space="0"/>
            </w:tcBorders>
            <w:vAlign w:val="center"/>
          </w:tcPr>
          <w:p>
            <w:pPr>
              <w:widowControl/>
              <w:jc w:val="left"/>
              <w:rPr>
                <w:rFonts w:ascii="宋体" w:hAnsi="宋体" w:eastAsia="宋体" w:cs="Arial"/>
                <w:color w:val="000000"/>
                <w:kern w:val="0"/>
                <w:sz w:val="22"/>
                <w:szCs w:val="22"/>
              </w:rPr>
            </w:pPr>
          </w:p>
        </w:tc>
      </w:tr>
      <w:tr>
        <w:tblPrEx>
          <w:tblCellMar>
            <w:top w:w="0" w:type="dxa"/>
            <w:left w:w="108" w:type="dxa"/>
            <w:bottom w:w="0" w:type="dxa"/>
            <w:right w:w="108" w:type="dxa"/>
          </w:tblCellMar>
        </w:tblPrEx>
        <w:trPr>
          <w:gridBefore w:val="1"/>
          <w:wBefore w:w="38" w:type="pct"/>
          <w:trHeight w:val="615" w:hRule="atLeast"/>
        </w:trPr>
        <w:tc>
          <w:tcPr>
            <w:tcW w:w="464"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1675" w:type="pct"/>
            <w:gridSpan w:val="2"/>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580" w:type="pct"/>
            <w:gridSpan w:val="2"/>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505" w:type="pct"/>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453" w:type="pct"/>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359" w:type="pct"/>
            <w:gridSpan w:val="2"/>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621" w:type="pct"/>
            <w:gridSpan w:val="2"/>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305" w:type="pct"/>
            <w:vMerge w:val="continue"/>
            <w:tcBorders>
              <w:top w:val="single" w:color="000000" w:sz="4" w:space="0"/>
              <w:left w:val="nil"/>
              <w:bottom w:val="single" w:color="000000" w:sz="4" w:space="0"/>
              <w:right w:val="single" w:color="000000" w:sz="8" w:space="0"/>
            </w:tcBorders>
            <w:vAlign w:val="center"/>
          </w:tcPr>
          <w:p>
            <w:pPr>
              <w:widowControl/>
              <w:jc w:val="left"/>
              <w:rPr>
                <w:rFonts w:ascii="宋体" w:hAnsi="宋体" w:eastAsia="宋体" w:cs="Arial"/>
                <w:color w:val="000000"/>
                <w:kern w:val="0"/>
                <w:sz w:val="22"/>
                <w:szCs w:val="22"/>
              </w:rPr>
            </w:pPr>
          </w:p>
        </w:tc>
      </w:tr>
      <w:tr>
        <w:tblPrEx>
          <w:tblCellMar>
            <w:top w:w="0" w:type="dxa"/>
            <w:left w:w="108" w:type="dxa"/>
            <w:bottom w:w="0" w:type="dxa"/>
            <w:right w:w="108" w:type="dxa"/>
          </w:tblCellMar>
        </w:tblPrEx>
        <w:trPr>
          <w:gridBefore w:val="1"/>
          <w:wBefore w:w="38" w:type="pct"/>
          <w:trHeight w:val="308" w:hRule="atLeast"/>
        </w:trPr>
        <w:tc>
          <w:tcPr>
            <w:tcW w:w="2138" w:type="pct"/>
            <w:gridSpan w:val="3"/>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合计</w:t>
            </w:r>
          </w:p>
        </w:tc>
        <w:tc>
          <w:tcPr>
            <w:tcW w:w="580"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5,302.48</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717.81</w:t>
            </w:r>
          </w:p>
        </w:tc>
        <w:tc>
          <w:tcPr>
            <w:tcW w:w="45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704.75</w:t>
            </w:r>
          </w:p>
        </w:tc>
        <w:tc>
          <w:tcPr>
            <w:tcW w:w="359"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13.06</w:t>
            </w:r>
          </w:p>
        </w:tc>
        <w:tc>
          <w:tcPr>
            <w:tcW w:w="621"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4,584.67</w:t>
            </w:r>
          </w:p>
        </w:tc>
        <w:tc>
          <w:tcPr>
            <w:tcW w:w="305"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gridBefore w:val="1"/>
          <w:wBefore w:w="38" w:type="pct"/>
          <w:trHeight w:val="308" w:hRule="atLeast"/>
        </w:trPr>
        <w:tc>
          <w:tcPr>
            <w:tcW w:w="464"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201</w:t>
            </w:r>
          </w:p>
        </w:tc>
        <w:tc>
          <w:tcPr>
            <w:tcW w:w="1675" w:type="pct"/>
            <w:gridSpan w:val="2"/>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一般公共服务支出</w:t>
            </w:r>
          </w:p>
        </w:tc>
        <w:tc>
          <w:tcPr>
            <w:tcW w:w="580"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155.41</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15.54</w:t>
            </w:r>
          </w:p>
        </w:tc>
        <w:tc>
          <w:tcPr>
            <w:tcW w:w="45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15.54</w:t>
            </w:r>
          </w:p>
        </w:tc>
        <w:tc>
          <w:tcPr>
            <w:tcW w:w="359"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621"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139.87</w:t>
            </w:r>
          </w:p>
        </w:tc>
        <w:tc>
          <w:tcPr>
            <w:tcW w:w="305"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gridBefore w:val="1"/>
          <w:wBefore w:w="38" w:type="pct"/>
          <w:trHeight w:val="308" w:hRule="atLeast"/>
        </w:trPr>
        <w:tc>
          <w:tcPr>
            <w:tcW w:w="464"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20103</w:t>
            </w:r>
          </w:p>
        </w:tc>
        <w:tc>
          <w:tcPr>
            <w:tcW w:w="1675" w:type="pct"/>
            <w:gridSpan w:val="2"/>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政府办公厅（室）及相关机构事务</w:t>
            </w:r>
          </w:p>
        </w:tc>
        <w:tc>
          <w:tcPr>
            <w:tcW w:w="580"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15.54</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15.54</w:t>
            </w:r>
          </w:p>
        </w:tc>
        <w:tc>
          <w:tcPr>
            <w:tcW w:w="45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15.54</w:t>
            </w:r>
          </w:p>
        </w:tc>
        <w:tc>
          <w:tcPr>
            <w:tcW w:w="359"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621"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05"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gridBefore w:val="1"/>
          <w:wBefore w:w="38" w:type="pct"/>
          <w:trHeight w:val="308" w:hRule="atLeast"/>
        </w:trPr>
        <w:tc>
          <w:tcPr>
            <w:tcW w:w="464"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2010308</w:t>
            </w:r>
          </w:p>
        </w:tc>
        <w:tc>
          <w:tcPr>
            <w:tcW w:w="1675" w:type="pct"/>
            <w:gridSpan w:val="2"/>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 xml:space="preserve">  信访事务</w:t>
            </w:r>
          </w:p>
        </w:tc>
        <w:tc>
          <w:tcPr>
            <w:tcW w:w="580"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15.54</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15.54</w:t>
            </w:r>
          </w:p>
        </w:tc>
        <w:tc>
          <w:tcPr>
            <w:tcW w:w="45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15.54</w:t>
            </w:r>
          </w:p>
        </w:tc>
        <w:tc>
          <w:tcPr>
            <w:tcW w:w="359"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621"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05"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gridBefore w:val="1"/>
          <w:wBefore w:w="38" w:type="pct"/>
          <w:trHeight w:val="308" w:hRule="atLeast"/>
        </w:trPr>
        <w:tc>
          <w:tcPr>
            <w:tcW w:w="464"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20113</w:t>
            </w:r>
          </w:p>
        </w:tc>
        <w:tc>
          <w:tcPr>
            <w:tcW w:w="1675" w:type="pct"/>
            <w:gridSpan w:val="2"/>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商贸事务</w:t>
            </w:r>
          </w:p>
        </w:tc>
        <w:tc>
          <w:tcPr>
            <w:tcW w:w="580"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139.87</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45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59"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621"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139.87</w:t>
            </w:r>
          </w:p>
        </w:tc>
        <w:tc>
          <w:tcPr>
            <w:tcW w:w="305"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gridBefore w:val="1"/>
          <w:wBefore w:w="38" w:type="pct"/>
          <w:trHeight w:val="308" w:hRule="atLeast"/>
        </w:trPr>
        <w:tc>
          <w:tcPr>
            <w:tcW w:w="464"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2011399</w:t>
            </w:r>
          </w:p>
        </w:tc>
        <w:tc>
          <w:tcPr>
            <w:tcW w:w="1675" w:type="pct"/>
            <w:gridSpan w:val="2"/>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 xml:space="preserve">  其他商贸事务支出</w:t>
            </w:r>
          </w:p>
        </w:tc>
        <w:tc>
          <w:tcPr>
            <w:tcW w:w="580"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139.87</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45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59"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621"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139.87</w:t>
            </w:r>
          </w:p>
        </w:tc>
        <w:tc>
          <w:tcPr>
            <w:tcW w:w="305"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gridBefore w:val="1"/>
          <w:wBefore w:w="38" w:type="pct"/>
          <w:trHeight w:val="308" w:hRule="atLeast"/>
        </w:trPr>
        <w:tc>
          <w:tcPr>
            <w:tcW w:w="464"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208</w:t>
            </w:r>
          </w:p>
        </w:tc>
        <w:tc>
          <w:tcPr>
            <w:tcW w:w="1675" w:type="pct"/>
            <w:gridSpan w:val="2"/>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社会保障和就业支出</w:t>
            </w:r>
          </w:p>
        </w:tc>
        <w:tc>
          <w:tcPr>
            <w:tcW w:w="580"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72.89</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72.89</w:t>
            </w:r>
          </w:p>
        </w:tc>
        <w:tc>
          <w:tcPr>
            <w:tcW w:w="45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72.89</w:t>
            </w:r>
          </w:p>
        </w:tc>
        <w:tc>
          <w:tcPr>
            <w:tcW w:w="359"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621"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05"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gridBefore w:val="1"/>
          <w:wBefore w:w="38" w:type="pct"/>
          <w:trHeight w:val="308" w:hRule="atLeast"/>
        </w:trPr>
        <w:tc>
          <w:tcPr>
            <w:tcW w:w="464"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20805</w:t>
            </w:r>
          </w:p>
        </w:tc>
        <w:tc>
          <w:tcPr>
            <w:tcW w:w="1675" w:type="pct"/>
            <w:gridSpan w:val="2"/>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行政事业单位离退休</w:t>
            </w:r>
          </w:p>
        </w:tc>
        <w:tc>
          <w:tcPr>
            <w:tcW w:w="580"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72.89</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72.89</w:t>
            </w:r>
          </w:p>
        </w:tc>
        <w:tc>
          <w:tcPr>
            <w:tcW w:w="45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72.89</w:t>
            </w:r>
          </w:p>
        </w:tc>
        <w:tc>
          <w:tcPr>
            <w:tcW w:w="359"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621"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05"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gridBefore w:val="1"/>
          <w:wBefore w:w="38" w:type="pct"/>
          <w:trHeight w:val="308" w:hRule="atLeast"/>
        </w:trPr>
        <w:tc>
          <w:tcPr>
            <w:tcW w:w="464"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2080505</w:t>
            </w:r>
          </w:p>
        </w:tc>
        <w:tc>
          <w:tcPr>
            <w:tcW w:w="1675" w:type="pct"/>
            <w:gridSpan w:val="2"/>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 xml:space="preserve">  机关事业单位基本养老保险缴费支出</w:t>
            </w:r>
          </w:p>
        </w:tc>
        <w:tc>
          <w:tcPr>
            <w:tcW w:w="580"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72.89</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72.89</w:t>
            </w:r>
          </w:p>
        </w:tc>
        <w:tc>
          <w:tcPr>
            <w:tcW w:w="45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72.89</w:t>
            </w:r>
          </w:p>
        </w:tc>
        <w:tc>
          <w:tcPr>
            <w:tcW w:w="359"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621"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05"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gridBefore w:val="1"/>
          <w:wBefore w:w="38" w:type="pct"/>
          <w:trHeight w:val="308" w:hRule="atLeast"/>
        </w:trPr>
        <w:tc>
          <w:tcPr>
            <w:tcW w:w="464"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210</w:t>
            </w:r>
          </w:p>
        </w:tc>
        <w:tc>
          <w:tcPr>
            <w:tcW w:w="1675" w:type="pct"/>
            <w:gridSpan w:val="2"/>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卫生健康支出</w:t>
            </w:r>
          </w:p>
        </w:tc>
        <w:tc>
          <w:tcPr>
            <w:tcW w:w="580"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18.09</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18.09</w:t>
            </w:r>
          </w:p>
        </w:tc>
        <w:tc>
          <w:tcPr>
            <w:tcW w:w="45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18.02</w:t>
            </w:r>
          </w:p>
        </w:tc>
        <w:tc>
          <w:tcPr>
            <w:tcW w:w="359"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0.07</w:t>
            </w:r>
          </w:p>
        </w:tc>
        <w:tc>
          <w:tcPr>
            <w:tcW w:w="621"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05"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gridBefore w:val="1"/>
          <w:wBefore w:w="38" w:type="pct"/>
          <w:trHeight w:val="308" w:hRule="atLeast"/>
        </w:trPr>
        <w:tc>
          <w:tcPr>
            <w:tcW w:w="464"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21011</w:t>
            </w:r>
          </w:p>
        </w:tc>
        <w:tc>
          <w:tcPr>
            <w:tcW w:w="1675" w:type="pct"/>
            <w:gridSpan w:val="2"/>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行政事业单位医疗</w:t>
            </w:r>
          </w:p>
        </w:tc>
        <w:tc>
          <w:tcPr>
            <w:tcW w:w="580"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16.67</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16.67</w:t>
            </w:r>
          </w:p>
        </w:tc>
        <w:tc>
          <w:tcPr>
            <w:tcW w:w="45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16.60</w:t>
            </w:r>
          </w:p>
        </w:tc>
        <w:tc>
          <w:tcPr>
            <w:tcW w:w="359"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0.07</w:t>
            </w:r>
          </w:p>
        </w:tc>
        <w:tc>
          <w:tcPr>
            <w:tcW w:w="621"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05"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gridBefore w:val="1"/>
          <w:wBefore w:w="38" w:type="pct"/>
          <w:trHeight w:val="308" w:hRule="atLeast"/>
        </w:trPr>
        <w:tc>
          <w:tcPr>
            <w:tcW w:w="464"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2101101</w:t>
            </w:r>
          </w:p>
        </w:tc>
        <w:tc>
          <w:tcPr>
            <w:tcW w:w="1675" w:type="pct"/>
            <w:gridSpan w:val="2"/>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 xml:space="preserve">  行政单位医疗</w:t>
            </w:r>
          </w:p>
        </w:tc>
        <w:tc>
          <w:tcPr>
            <w:tcW w:w="580"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6.30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6.30</w:t>
            </w:r>
          </w:p>
        </w:tc>
        <w:tc>
          <w:tcPr>
            <w:tcW w:w="45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6.30</w:t>
            </w:r>
          </w:p>
        </w:tc>
        <w:tc>
          <w:tcPr>
            <w:tcW w:w="359"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621"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05"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gridBefore w:val="1"/>
          <w:wBefore w:w="38" w:type="pct"/>
          <w:trHeight w:val="308" w:hRule="atLeast"/>
        </w:trPr>
        <w:tc>
          <w:tcPr>
            <w:tcW w:w="464"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2101102</w:t>
            </w:r>
          </w:p>
        </w:tc>
        <w:tc>
          <w:tcPr>
            <w:tcW w:w="1675" w:type="pct"/>
            <w:gridSpan w:val="2"/>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 xml:space="preserve">  事业单位医疗</w:t>
            </w:r>
          </w:p>
        </w:tc>
        <w:tc>
          <w:tcPr>
            <w:tcW w:w="580"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9.70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9.70</w:t>
            </w:r>
          </w:p>
        </w:tc>
        <w:tc>
          <w:tcPr>
            <w:tcW w:w="45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9.63</w:t>
            </w:r>
          </w:p>
        </w:tc>
        <w:tc>
          <w:tcPr>
            <w:tcW w:w="359"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0.07</w:t>
            </w:r>
          </w:p>
        </w:tc>
        <w:tc>
          <w:tcPr>
            <w:tcW w:w="621"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05"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gridBefore w:val="1"/>
          <w:wBefore w:w="38" w:type="pct"/>
          <w:trHeight w:val="308" w:hRule="atLeast"/>
        </w:trPr>
        <w:tc>
          <w:tcPr>
            <w:tcW w:w="464"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2101103</w:t>
            </w:r>
          </w:p>
        </w:tc>
        <w:tc>
          <w:tcPr>
            <w:tcW w:w="1675" w:type="pct"/>
            <w:gridSpan w:val="2"/>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 xml:space="preserve">  公务员医疗补助</w:t>
            </w:r>
          </w:p>
        </w:tc>
        <w:tc>
          <w:tcPr>
            <w:tcW w:w="580"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0.67</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0.67</w:t>
            </w:r>
          </w:p>
        </w:tc>
        <w:tc>
          <w:tcPr>
            <w:tcW w:w="45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0.67</w:t>
            </w:r>
          </w:p>
        </w:tc>
        <w:tc>
          <w:tcPr>
            <w:tcW w:w="359"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621"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05"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gridBefore w:val="1"/>
          <w:wBefore w:w="38" w:type="pct"/>
          <w:trHeight w:val="308" w:hRule="atLeast"/>
        </w:trPr>
        <w:tc>
          <w:tcPr>
            <w:tcW w:w="464"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21099</w:t>
            </w:r>
          </w:p>
        </w:tc>
        <w:tc>
          <w:tcPr>
            <w:tcW w:w="1675" w:type="pct"/>
            <w:gridSpan w:val="2"/>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其他卫生健康支出</w:t>
            </w:r>
          </w:p>
        </w:tc>
        <w:tc>
          <w:tcPr>
            <w:tcW w:w="580"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1.42</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1.42</w:t>
            </w:r>
          </w:p>
        </w:tc>
        <w:tc>
          <w:tcPr>
            <w:tcW w:w="45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1.42</w:t>
            </w:r>
          </w:p>
        </w:tc>
        <w:tc>
          <w:tcPr>
            <w:tcW w:w="359"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621"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05"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gridBefore w:val="1"/>
          <w:wBefore w:w="38" w:type="pct"/>
          <w:trHeight w:val="308" w:hRule="atLeast"/>
        </w:trPr>
        <w:tc>
          <w:tcPr>
            <w:tcW w:w="464"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2109901</w:t>
            </w:r>
          </w:p>
        </w:tc>
        <w:tc>
          <w:tcPr>
            <w:tcW w:w="1675" w:type="pct"/>
            <w:gridSpan w:val="2"/>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 xml:space="preserve">  其他卫生健康支出</w:t>
            </w:r>
          </w:p>
        </w:tc>
        <w:tc>
          <w:tcPr>
            <w:tcW w:w="580"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1.42</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1.42</w:t>
            </w:r>
          </w:p>
        </w:tc>
        <w:tc>
          <w:tcPr>
            <w:tcW w:w="45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1.42</w:t>
            </w:r>
          </w:p>
        </w:tc>
        <w:tc>
          <w:tcPr>
            <w:tcW w:w="359"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621"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05"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gridBefore w:val="1"/>
          <w:wBefore w:w="38" w:type="pct"/>
          <w:trHeight w:val="308" w:hRule="atLeast"/>
        </w:trPr>
        <w:tc>
          <w:tcPr>
            <w:tcW w:w="464"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212</w:t>
            </w:r>
          </w:p>
        </w:tc>
        <w:tc>
          <w:tcPr>
            <w:tcW w:w="1675" w:type="pct"/>
            <w:gridSpan w:val="2"/>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城乡社区支出</w:t>
            </w:r>
          </w:p>
        </w:tc>
        <w:tc>
          <w:tcPr>
            <w:tcW w:w="580"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4,129.18</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611.30</w:t>
            </w:r>
          </w:p>
        </w:tc>
        <w:tc>
          <w:tcPr>
            <w:tcW w:w="45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598.31</w:t>
            </w:r>
          </w:p>
        </w:tc>
        <w:tc>
          <w:tcPr>
            <w:tcW w:w="359"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12.99</w:t>
            </w:r>
          </w:p>
        </w:tc>
        <w:tc>
          <w:tcPr>
            <w:tcW w:w="621"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3,517.87</w:t>
            </w:r>
          </w:p>
        </w:tc>
        <w:tc>
          <w:tcPr>
            <w:tcW w:w="305"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gridBefore w:val="1"/>
          <w:wBefore w:w="38" w:type="pct"/>
          <w:trHeight w:val="308" w:hRule="atLeast"/>
        </w:trPr>
        <w:tc>
          <w:tcPr>
            <w:tcW w:w="464"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21201</w:t>
            </w:r>
          </w:p>
        </w:tc>
        <w:tc>
          <w:tcPr>
            <w:tcW w:w="1675" w:type="pct"/>
            <w:gridSpan w:val="2"/>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城乡社区管理事务</w:t>
            </w:r>
          </w:p>
        </w:tc>
        <w:tc>
          <w:tcPr>
            <w:tcW w:w="580"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608.65</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409.96</w:t>
            </w:r>
          </w:p>
        </w:tc>
        <w:tc>
          <w:tcPr>
            <w:tcW w:w="45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400.02</w:t>
            </w:r>
          </w:p>
        </w:tc>
        <w:tc>
          <w:tcPr>
            <w:tcW w:w="359"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9.94</w:t>
            </w:r>
          </w:p>
        </w:tc>
        <w:tc>
          <w:tcPr>
            <w:tcW w:w="621"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198.69</w:t>
            </w:r>
          </w:p>
        </w:tc>
        <w:tc>
          <w:tcPr>
            <w:tcW w:w="305"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gridBefore w:val="1"/>
          <w:wBefore w:w="38" w:type="pct"/>
          <w:trHeight w:val="308" w:hRule="atLeast"/>
        </w:trPr>
        <w:tc>
          <w:tcPr>
            <w:tcW w:w="464"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2120101</w:t>
            </w:r>
          </w:p>
        </w:tc>
        <w:tc>
          <w:tcPr>
            <w:tcW w:w="1675" w:type="pct"/>
            <w:gridSpan w:val="2"/>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 xml:space="preserve">  行政运行</w:t>
            </w:r>
          </w:p>
        </w:tc>
        <w:tc>
          <w:tcPr>
            <w:tcW w:w="580"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228.59</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228.59</w:t>
            </w:r>
          </w:p>
        </w:tc>
        <w:tc>
          <w:tcPr>
            <w:tcW w:w="45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224.65</w:t>
            </w:r>
          </w:p>
        </w:tc>
        <w:tc>
          <w:tcPr>
            <w:tcW w:w="359"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3.94</w:t>
            </w:r>
          </w:p>
        </w:tc>
        <w:tc>
          <w:tcPr>
            <w:tcW w:w="621"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05"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gridBefore w:val="1"/>
          <w:wBefore w:w="38" w:type="pct"/>
          <w:trHeight w:val="308" w:hRule="atLeast"/>
        </w:trPr>
        <w:tc>
          <w:tcPr>
            <w:tcW w:w="464"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2120107</w:t>
            </w:r>
          </w:p>
        </w:tc>
        <w:tc>
          <w:tcPr>
            <w:tcW w:w="1675" w:type="pct"/>
            <w:gridSpan w:val="2"/>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 xml:space="preserve">  市政公用行业市场监管</w:t>
            </w:r>
          </w:p>
        </w:tc>
        <w:tc>
          <w:tcPr>
            <w:tcW w:w="580"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8.10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8.10</w:t>
            </w:r>
          </w:p>
        </w:tc>
        <w:tc>
          <w:tcPr>
            <w:tcW w:w="45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7.20</w:t>
            </w:r>
          </w:p>
        </w:tc>
        <w:tc>
          <w:tcPr>
            <w:tcW w:w="359"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0.90</w:t>
            </w:r>
          </w:p>
        </w:tc>
        <w:tc>
          <w:tcPr>
            <w:tcW w:w="621"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05"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gridBefore w:val="1"/>
          <w:wBefore w:w="38" w:type="pct"/>
          <w:trHeight w:val="308" w:hRule="atLeast"/>
        </w:trPr>
        <w:tc>
          <w:tcPr>
            <w:tcW w:w="464"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2120109</w:t>
            </w:r>
          </w:p>
        </w:tc>
        <w:tc>
          <w:tcPr>
            <w:tcW w:w="1675" w:type="pct"/>
            <w:gridSpan w:val="2"/>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 xml:space="preserve">  住宅建设与房地产市场监管</w:t>
            </w:r>
          </w:p>
        </w:tc>
        <w:tc>
          <w:tcPr>
            <w:tcW w:w="580"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163.76</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163.76</w:t>
            </w:r>
          </w:p>
        </w:tc>
        <w:tc>
          <w:tcPr>
            <w:tcW w:w="45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158.66</w:t>
            </w:r>
          </w:p>
        </w:tc>
        <w:tc>
          <w:tcPr>
            <w:tcW w:w="359"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5.10</w:t>
            </w:r>
          </w:p>
        </w:tc>
        <w:tc>
          <w:tcPr>
            <w:tcW w:w="621"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05"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gridBefore w:val="1"/>
          <w:wBefore w:w="38" w:type="pct"/>
          <w:trHeight w:val="308" w:hRule="atLeast"/>
        </w:trPr>
        <w:tc>
          <w:tcPr>
            <w:tcW w:w="464"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2120199</w:t>
            </w:r>
          </w:p>
        </w:tc>
        <w:tc>
          <w:tcPr>
            <w:tcW w:w="1675" w:type="pct"/>
            <w:gridSpan w:val="2"/>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 xml:space="preserve">  其他城乡社区管理事务支出</w:t>
            </w:r>
          </w:p>
        </w:tc>
        <w:tc>
          <w:tcPr>
            <w:tcW w:w="580"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208.20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9.51</w:t>
            </w:r>
          </w:p>
        </w:tc>
        <w:tc>
          <w:tcPr>
            <w:tcW w:w="45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9.51</w:t>
            </w:r>
          </w:p>
        </w:tc>
        <w:tc>
          <w:tcPr>
            <w:tcW w:w="359"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621"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198.69</w:t>
            </w:r>
          </w:p>
        </w:tc>
        <w:tc>
          <w:tcPr>
            <w:tcW w:w="305"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gridBefore w:val="1"/>
          <w:wBefore w:w="38" w:type="pct"/>
          <w:trHeight w:val="308" w:hRule="atLeast"/>
        </w:trPr>
        <w:tc>
          <w:tcPr>
            <w:tcW w:w="464"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21202</w:t>
            </w:r>
          </w:p>
        </w:tc>
        <w:tc>
          <w:tcPr>
            <w:tcW w:w="1675" w:type="pct"/>
            <w:gridSpan w:val="2"/>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城乡社区规划与管理</w:t>
            </w:r>
          </w:p>
        </w:tc>
        <w:tc>
          <w:tcPr>
            <w:tcW w:w="580"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715.23</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45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59"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621"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715.23</w:t>
            </w:r>
          </w:p>
        </w:tc>
        <w:tc>
          <w:tcPr>
            <w:tcW w:w="305"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gridBefore w:val="1"/>
          <w:wBefore w:w="38" w:type="pct"/>
          <w:trHeight w:val="308" w:hRule="atLeast"/>
        </w:trPr>
        <w:tc>
          <w:tcPr>
            <w:tcW w:w="464"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2120201</w:t>
            </w:r>
          </w:p>
        </w:tc>
        <w:tc>
          <w:tcPr>
            <w:tcW w:w="1675" w:type="pct"/>
            <w:gridSpan w:val="2"/>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 xml:space="preserve">  城乡社区规划与管理</w:t>
            </w:r>
          </w:p>
        </w:tc>
        <w:tc>
          <w:tcPr>
            <w:tcW w:w="580"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715.23</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45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59"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621"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715.23</w:t>
            </w:r>
          </w:p>
        </w:tc>
        <w:tc>
          <w:tcPr>
            <w:tcW w:w="305"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gridBefore w:val="1"/>
          <w:wBefore w:w="38" w:type="pct"/>
          <w:trHeight w:val="308" w:hRule="atLeast"/>
        </w:trPr>
        <w:tc>
          <w:tcPr>
            <w:tcW w:w="464"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21203</w:t>
            </w:r>
          </w:p>
        </w:tc>
        <w:tc>
          <w:tcPr>
            <w:tcW w:w="1675" w:type="pct"/>
            <w:gridSpan w:val="2"/>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城乡社区公共设施</w:t>
            </w:r>
          </w:p>
        </w:tc>
        <w:tc>
          <w:tcPr>
            <w:tcW w:w="580"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2,095.18</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45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59"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621"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2,095.18</w:t>
            </w:r>
          </w:p>
        </w:tc>
        <w:tc>
          <w:tcPr>
            <w:tcW w:w="305"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gridBefore w:val="1"/>
          <w:wBefore w:w="38" w:type="pct"/>
          <w:trHeight w:val="308" w:hRule="atLeast"/>
        </w:trPr>
        <w:tc>
          <w:tcPr>
            <w:tcW w:w="464"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2120303</w:t>
            </w:r>
          </w:p>
        </w:tc>
        <w:tc>
          <w:tcPr>
            <w:tcW w:w="1675" w:type="pct"/>
            <w:gridSpan w:val="2"/>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 xml:space="preserve">  小城镇基础设施建设</w:t>
            </w:r>
          </w:p>
        </w:tc>
        <w:tc>
          <w:tcPr>
            <w:tcW w:w="580"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600.00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45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59"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621"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600.00</w:t>
            </w:r>
          </w:p>
        </w:tc>
        <w:tc>
          <w:tcPr>
            <w:tcW w:w="305"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gridBefore w:val="1"/>
          <w:wBefore w:w="38" w:type="pct"/>
          <w:trHeight w:val="308" w:hRule="atLeast"/>
        </w:trPr>
        <w:tc>
          <w:tcPr>
            <w:tcW w:w="464"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2120399</w:t>
            </w:r>
          </w:p>
        </w:tc>
        <w:tc>
          <w:tcPr>
            <w:tcW w:w="1675" w:type="pct"/>
            <w:gridSpan w:val="2"/>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 xml:space="preserve">  其他城乡社区公共设施支出</w:t>
            </w:r>
          </w:p>
        </w:tc>
        <w:tc>
          <w:tcPr>
            <w:tcW w:w="580"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1,495.18</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45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59"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621"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1,495.18</w:t>
            </w:r>
          </w:p>
        </w:tc>
        <w:tc>
          <w:tcPr>
            <w:tcW w:w="305"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gridBefore w:val="1"/>
          <w:wBefore w:w="38" w:type="pct"/>
          <w:trHeight w:val="308" w:hRule="atLeast"/>
        </w:trPr>
        <w:tc>
          <w:tcPr>
            <w:tcW w:w="464"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21206</w:t>
            </w:r>
          </w:p>
        </w:tc>
        <w:tc>
          <w:tcPr>
            <w:tcW w:w="1675" w:type="pct"/>
            <w:gridSpan w:val="2"/>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建设市场管理与监督</w:t>
            </w:r>
          </w:p>
        </w:tc>
        <w:tc>
          <w:tcPr>
            <w:tcW w:w="580"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205.93</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201.34</w:t>
            </w:r>
          </w:p>
        </w:tc>
        <w:tc>
          <w:tcPr>
            <w:tcW w:w="45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198.29</w:t>
            </w:r>
          </w:p>
        </w:tc>
        <w:tc>
          <w:tcPr>
            <w:tcW w:w="359"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3.05</w:t>
            </w:r>
          </w:p>
        </w:tc>
        <w:tc>
          <w:tcPr>
            <w:tcW w:w="621"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4.58</w:t>
            </w:r>
          </w:p>
        </w:tc>
        <w:tc>
          <w:tcPr>
            <w:tcW w:w="305"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gridBefore w:val="1"/>
          <w:wBefore w:w="38" w:type="pct"/>
          <w:trHeight w:val="308" w:hRule="atLeast"/>
        </w:trPr>
        <w:tc>
          <w:tcPr>
            <w:tcW w:w="464"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2120601</w:t>
            </w:r>
          </w:p>
        </w:tc>
        <w:tc>
          <w:tcPr>
            <w:tcW w:w="1675" w:type="pct"/>
            <w:gridSpan w:val="2"/>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 xml:space="preserve">  建设市场管理与监督</w:t>
            </w:r>
          </w:p>
        </w:tc>
        <w:tc>
          <w:tcPr>
            <w:tcW w:w="580"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205.93</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201.34</w:t>
            </w:r>
          </w:p>
        </w:tc>
        <w:tc>
          <w:tcPr>
            <w:tcW w:w="45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198.29</w:t>
            </w:r>
          </w:p>
        </w:tc>
        <w:tc>
          <w:tcPr>
            <w:tcW w:w="359"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3.05</w:t>
            </w:r>
          </w:p>
        </w:tc>
        <w:tc>
          <w:tcPr>
            <w:tcW w:w="621"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4.58</w:t>
            </w:r>
          </w:p>
        </w:tc>
        <w:tc>
          <w:tcPr>
            <w:tcW w:w="305"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gridBefore w:val="1"/>
          <w:wBefore w:w="38" w:type="pct"/>
          <w:trHeight w:val="308" w:hRule="atLeast"/>
        </w:trPr>
        <w:tc>
          <w:tcPr>
            <w:tcW w:w="464"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21299</w:t>
            </w:r>
          </w:p>
        </w:tc>
        <w:tc>
          <w:tcPr>
            <w:tcW w:w="1675" w:type="pct"/>
            <w:gridSpan w:val="2"/>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其他城乡社区支出</w:t>
            </w:r>
          </w:p>
        </w:tc>
        <w:tc>
          <w:tcPr>
            <w:tcW w:w="580"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504.19</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45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59"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621"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504.19</w:t>
            </w:r>
          </w:p>
        </w:tc>
        <w:tc>
          <w:tcPr>
            <w:tcW w:w="305"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gridBefore w:val="1"/>
          <w:wBefore w:w="38" w:type="pct"/>
          <w:trHeight w:val="308" w:hRule="atLeast"/>
        </w:trPr>
        <w:tc>
          <w:tcPr>
            <w:tcW w:w="464"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2129901</w:t>
            </w:r>
          </w:p>
        </w:tc>
        <w:tc>
          <w:tcPr>
            <w:tcW w:w="1675" w:type="pct"/>
            <w:gridSpan w:val="2"/>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 xml:space="preserve">  其他城乡社区支出</w:t>
            </w:r>
          </w:p>
        </w:tc>
        <w:tc>
          <w:tcPr>
            <w:tcW w:w="580"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504.19</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45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59"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621"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504.19</w:t>
            </w:r>
          </w:p>
        </w:tc>
        <w:tc>
          <w:tcPr>
            <w:tcW w:w="305"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gridBefore w:val="1"/>
          <w:wBefore w:w="38" w:type="pct"/>
          <w:trHeight w:val="308" w:hRule="atLeast"/>
        </w:trPr>
        <w:tc>
          <w:tcPr>
            <w:tcW w:w="464"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213</w:t>
            </w:r>
          </w:p>
        </w:tc>
        <w:tc>
          <w:tcPr>
            <w:tcW w:w="1675" w:type="pct"/>
            <w:gridSpan w:val="2"/>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农林水支出</w:t>
            </w:r>
          </w:p>
        </w:tc>
        <w:tc>
          <w:tcPr>
            <w:tcW w:w="580"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508.00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45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59"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621"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508.00</w:t>
            </w:r>
          </w:p>
        </w:tc>
        <w:tc>
          <w:tcPr>
            <w:tcW w:w="305"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gridBefore w:val="1"/>
          <w:wBefore w:w="38" w:type="pct"/>
          <w:trHeight w:val="308" w:hRule="atLeast"/>
        </w:trPr>
        <w:tc>
          <w:tcPr>
            <w:tcW w:w="464"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21305</w:t>
            </w:r>
          </w:p>
        </w:tc>
        <w:tc>
          <w:tcPr>
            <w:tcW w:w="1675" w:type="pct"/>
            <w:gridSpan w:val="2"/>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扶贫</w:t>
            </w:r>
          </w:p>
        </w:tc>
        <w:tc>
          <w:tcPr>
            <w:tcW w:w="580"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508.00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45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59"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621"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508.00</w:t>
            </w:r>
          </w:p>
        </w:tc>
        <w:tc>
          <w:tcPr>
            <w:tcW w:w="305"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gridBefore w:val="1"/>
          <w:wBefore w:w="38" w:type="pct"/>
          <w:trHeight w:val="308" w:hRule="atLeast"/>
        </w:trPr>
        <w:tc>
          <w:tcPr>
            <w:tcW w:w="464"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2130506</w:t>
            </w:r>
          </w:p>
        </w:tc>
        <w:tc>
          <w:tcPr>
            <w:tcW w:w="1675" w:type="pct"/>
            <w:gridSpan w:val="2"/>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 xml:space="preserve">  社会发展</w:t>
            </w:r>
          </w:p>
        </w:tc>
        <w:tc>
          <w:tcPr>
            <w:tcW w:w="580"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508.00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45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59"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621"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508.00</w:t>
            </w:r>
          </w:p>
        </w:tc>
        <w:tc>
          <w:tcPr>
            <w:tcW w:w="305"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gridBefore w:val="1"/>
          <w:wBefore w:w="38" w:type="pct"/>
          <w:trHeight w:val="308" w:hRule="atLeast"/>
        </w:trPr>
        <w:tc>
          <w:tcPr>
            <w:tcW w:w="464"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221</w:t>
            </w:r>
          </w:p>
        </w:tc>
        <w:tc>
          <w:tcPr>
            <w:tcW w:w="1675" w:type="pct"/>
            <w:gridSpan w:val="2"/>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住房保障支出</w:t>
            </w:r>
          </w:p>
        </w:tc>
        <w:tc>
          <w:tcPr>
            <w:tcW w:w="580"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418.92</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45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59"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621"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418.92</w:t>
            </w:r>
          </w:p>
        </w:tc>
        <w:tc>
          <w:tcPr>
            <w:tcW w:w="305"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gridBefore w:val="1"/>
          <w:wBefore w:w="38" w:type="pct"/>
          <w:trHeight w:val="308" w:hRule="atLeast"/>
        </w:trPr>
        <w:tc>
          <w:tcPr>
            <w:tcW w:w="464"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22101</w:t>
            </w:r>
          </w:p>
        </w:tc>
        <w:tc>
          <w:tcPr>
            <w:tcW w:w="1675" w:type="pct"/>
            <w:gridSpan w:val="2"/>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保障性安居工程支出</w:t>
            </w:r>
          </w:p>
        </w:tc>
        <w:tc>
          <w:tcPr>
            <w:tcW w:w="580"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418.92</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45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59"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621"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418.92</w:t>
            </w:r>
          </w:p>
        </w:tc>
        <w:tc>
          <w:tcPr>
            <w:tcW w:w="305"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gridBefore w:val="1"/>
          <w:wBefore w:w="38" w:type="pct"/>
          <w:trHeight w:val="308" w:hRule="atLeast"/>
        </w:trPr>
        <w:tc>
          <w:tcPr>
            <w:tcW w:w="464"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2210105</w:t>
            </w:r>
          </w:p>
        </w:tc>
        <w:tc>
          <w:tcPr>
            <w:tcW w:w="1675" w:type="pct"/>
            <w:gridSpan w:val="2"/>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 xml:space="preserve">  农村危房改造</w:t>
            </w:r>
          </w:p>
        </w:tc>
        <w:tc>
          <w:tcPr>
            <w:tcW w:w="580"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82.68</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45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59"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621"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82.68</w:t>
            </w:r>
          </w:p>
        </w:tc>
        <w:tc>
          <w:tcPr>
            <w:tcW w:w="305"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gridBefore w:val="1"/>
          <w:wBefore w:w="38" w:type="pct"/>
          <w:trHeight w:val="308" w:hRule="atLeast"/>
        </w:trPr>
        <w:tc>
          <w:tcPr>
            <w:tcW w:w="464"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2210107</w:t>
            </w:r>
          </w:p>
        </w:tc>
        <w:tc>
          <w:tcPr>
            <w:tcW w:w="1675" w:type="pct"/>
            <w:gridSpan w:val="2"/>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 xml:space="preserve">  保障性住房租金补贴</w:t>
            </w:r>
          </w:p>
        </w:tc>
        <w:tc>
          <w:tcPr>
            <w:tcW w:w="580"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36.74</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453"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59"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621" w:type="pct"/>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36.74</w:t>
            </w:r>
          </w:p>
        </w:tc>
        <w:tc>
          <w:tcPr>
            <w:tcW w:w="305"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gridBefore w:val="1"/>
          <w:wBefore w:w="38" w:type="pct"/>
          <w:trHeight w:val="308" w:hRule="atLeast"/>
        </w:trPr>
        <w:tc>
          <w:tcPr>
            <w:tcW w:w="464" w:type="pct"/>
            <w:tcBorders>
              <w:top w:val="nil"/>
              <w:left w:val="single" w:color="000000" w:sz="4" w:space="0"/>
              <w:bottom w:val="single" w:color="000000" w:sz="8"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2210199</w:t>
            </w:r>
          </w:p>
        </w:tc>
        <w:tc>
          <w:tcPr>
            <w:tcW w:w="1675" w:type="pct"/>
            <w:gridSpan w:val="2"/>
            <w:tcBorders>
              <w:top w:val="nil"/>
              <w:left w:val="nil"/>
              <w:bottom w:val="single" w:color="000000" w:sz="8"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 xml:space="preserve">  其他保障性安居工程支出</w:t>
            </w:r>
          </w:p>
        </w:tc>
        <w:tc>
          <w:tcPr>
            <w:tcW w:w="580" w:type="pct"/>
            <w:gridSpan w:val="2"/>
            <w:tcBorders>
              <w:top w:val="nil"/>
              <w:left w:val="nil"/>
              <w:bottom w:val="single" w:color="000000" w:sz="8"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299.50</w:t>
            </w:r>
          </w:p>
        </w:tc>
        <w:tc>
          <w:tcPr>
            <w:tcW w:w="505" w:type="pct"/>
            <w:tcBorders>
              <w:top w:val="nil"/>
              <w:left w:val="nil"/>
              <w:bottom w:val="single" w:color="000000" w:sz="8"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453" w:type="pct"/>
            <w:tcBorders>
              <w:top w:val="nil"/>
              <w:left w:val="nil"/>
              <w:bottom w:val="single" w:color="000000" w:sz="8"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359" w:type="pct"/>
            <w:gridSpan w:val="2"/>
            <w:tcBorders>
              <w:top w:val="nil"/>
              <w:left w:val="nil"/>
              <w:bottom w:val="single" w:color="000000" w:sz="8"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621" w:type="pct"/>
            <w:gridSpan w:val="2"/>
            <w:tcBorders>
              <w:top w:val="nil"/>
              <w:left w:val="nil"/>
              <w:bottom w:val="single" w:color="000000" w:sz="8"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299.50</w:t>
            </w:r>
          </w:p>
        </w:tc>
        <w:tc>
          <w:tcPr>
            <w:tcW w:w="305" w:type="pct"/>
            <w:tcBorders>
              <w:top w:val="nil"/>
              <w:left w:val="nil"/>
              <w:bottom w:val="single" w:color="000000" w:sz="8"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gridBefore w:val="1"/>
          <w:wBefore w:w="38" w:type="pct"/>
          <w:trHeight w:val="308" w:hRule="atLeast"/>
        </w:trPr>
        <w:tc>
          <w:tcPr>
            <w:tcW w:w="4962" w:type="pct"/>
            <w:gridSpan w:val="12"/>
            <w:tcBorders>
              <w:top w:val="nil"/>
              <w:left w:val="nil"/>
              <w:bottom w:val="nil"/>
              <w:right w:val="nil"/>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注：本表反映部门本年度一般公共预算财政拨款实际支出情况。本表金额转换为万元时，因四舍五入可能存在尾差。</w:t>
            </w:r>
          </w:p>
        </w:tc>
      </w:tr>
    </w:tbl>
    <w:p>
      <w:pPr>
        <w:widowControl/>
        <w:jc w:val="left"/>
        <w:rPr>
          <w:rFonts w:hint="eastAsia" w:ascii="黑体" w:hAnsi="宋体" w:eastAsia="黑体"/>
          <w:color w:val="000000"/>
          <w:kern w:val="0"/>
          <w:sz w:val="44"/>
          <w:szCs w:val="44"/>
        </w:rPr>
      </w:pPr>
    </w:p>
    <w:p>
      <w:pPr>
        <w:widowControl/>
        <w:jc w:val="left"/>
        <w:rPr>
          <w:rFonts w:hint="eastAsia" w:ascii="黑体" w:hAnsi="宋体" w:eastAsia="黑体"/>
          <w:color w:val="000000"/>
          <w:kern w:val="0"/>
          <w:sz w:val="44"/>
          <w:szCs w:val="44"/>
        </w:rPr>
      </w:pPr>
    </w:p>
    <w:p>
      <w:pPr>
        <w:widowControl/>
        <w:jc w:val="left"/>
        <w:rPr>
          <w:rFonts w:hint="eastAsia" w:ascii="黑体" w:hAnsi="宋体" w:eastAsia="黑体"/>
          <w:color w:val="000000"/>
          <w:kern w:val="0"/>
          <w:sz w:val="44"/>
          <w:szCs w:val="44"/>
        </w:rPr>
      </w:pPr>
    </w:p>
    <w:p>
      <w:pPr>
        <w:widowControl/>
        <w:jc w:val="left"/>
        <w:rPr>
          <w:rFonts w:hint="eastAsia" w:ascii="黑体" w:hAnsi="宋体" w:eastAsia="黑体"/>
          <w:color w:val="000000"/>
          <w:kern w:val="0"/>
          <w:sz w:val="36"/>
          <w:szCs w:val="44"/>
        </w:rPr>
      </w:pPr>
    </w:p>
    <w:p>
      <w:pPr>
        <w:widowControl/>
        <w:jc w:val="left"/>
        <w:rPr>
          <w:rFonts w:hint="eastAsia" w:ascii="黑体" w:hAnsi="宋体" w:eastAsia="黑体"/>
          <w:color w:val="000000"/>
          <w:kern w:val="0"/>
          <w:sz w:val="36"/>
          <w:szCs w:val="44"/>
        </w:rPr>
      </w:pPr>
    </w:p>
    <w:p>
      <w:pPr>
        <w:widowControl/>
        <w:jc w:val="left"/>
        <w:rPr>
          <w:rFonts w:hint="eastAsia" w:ascii="黑体" w:hAnsi="宋体" w:eastAsia="黑体"/>
          <w:color w:val="000000"/>
          <w:kern w:val="0"/>
          <w:sz w:val="36"/>
          <w:szCs w:val="44"/>
        </w:rPr>
      </w:pPr>
    </w:p>
    <w:p>
      <w:pPr>
        <w:widowControl/>
        <w:jc w:val="left"/>
        <w:rPr>
          <w:rFonts w:hint="eastAsia" w:ascii="黑体" w:hAnsi="宋体" w:eastAsia="黑体"/>
          <w:color w:val="000000"/>
          <w:kern w:val="0"/>
          <w:sz w:val="36"/>
          <w:szCs w:val="44"/>
        </w:rPr>
      </w:pPr>
    </w:p>
    <w:p>
      <w:pPr>
        <w:widowControl/>
        <w:jc w:val="left"/>
        <w:rPr>
          <w:rFonts w:hint="eastAsia" w:ascii="黑体" w:hAnsi="宋体" w:eastAsia="黑体"/>
          <w:color w:val="000000"/>
          <w:kern w:val="0"/>
          <w:sz w:val="36"/>
          <w:szCs w:val="44"/>
        </w:rPr>
      </w:pPr>
      <w:r>
        <w:rPr>
          <w:rFonts w:hint="eastAsia" w:ascii="黑体" w:hAnsi="宋体" w:eastAsia="黑体"/>
          <w:color w:val="000000"/>
          <w:kern w:val="0"/>
          <w:sz w:val="36"/>
          <w:szCs w:val="44"/>
        </w:rPr>
        <w:t>一般公共预算财政拨款基本支出决算表（按经济分类科目）</w:t>
      </w:r>
    </w:p>
    <w:tbl>
      <w:tblPr>
        <w:tblStyle w:val="5"/>
        <w:tblW w:w="5000" w:type="pct"/>
        <w:tblInd w:w="0" w:type="dxa"/>
        <w:tblLayout w:type="autofit"/>
        <w:tblCellMar>
          <w:top w:w="0" w:type="dxa"/>
          <w:left w:w="108" w:type="dxa"/>
          <w:bottom w:w="0" w:type="dxa"/>
          <w:right w:w="108" w:type="dxa"/>
        </w:tblCellMar>
      </w:tblPr>
      <w:tblGrid>
        <w:gridCol w:w="4516"/>
        <w:gridCol w:w="1041"/>
        <w:gridCol w:w="2794"/>
        <w:gridCol w:w="1617"/>
      </w:tblGrid>
      <w:tr>
        <w:tblPrEx>
          <w:tblCellMar>
            <w:top w:w="0" w:type="dxa"/>
            <w:left w:w="108" w:type="dxa"/>
            <w:bottom w:w="0" w:type="dxa"/>
            <w:right w:w="108" w:type="dxa"/>
          </w:tblCellMar>
        </w:tblPrEx>
        <w:trPr>
          <w:trHeight w:val="255" w:hRule="atLeast"/>
        </w:trPr>
        <w:tc>
          <w:tcPr>
            <w:tcW w:w="2299"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556"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1435"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710" w:type="pct"/>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公开06表</w:t>
            </w:r>
          </w:p>
        </w:tc>
      </w:tr>
      <w:tr>
        <w:tblPrEx>
          <w:tblCellMar>
            <w:top w:w="0" w:type="dxa"/>
            <w:left w:w="108" w:type="dxa"/>
            <w:bottom w:w="0" w:type="dxa"/>
            <w:right w:w="108" w:type="dxa"/>
          </w:tblCellMar>
        </w:tblPrEx>
        <w:trPr>
          <w:trHeight w:val="255" w:hRule="atLeast"/>
        </w:trPr>
        <w:tc>
          <w:tcPr>
            <w:tcW w:w="2299" w:type="pct"/>
            <w:tcBorders>
              <w:top w:val="nil"/>
              <w:left w:val="nil"/>
              <w:bottom w:val="nil"/>
              <w:right w:val="nil"/>
            </w:tcBorders>
            <w:shd w:val="clear" w:color="auto" w:fill="auto"/>
            <w:noWrap/>
            <w:vAlign w:val="bottom"/>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编制部门：西安市蓝田县住房和城乡建设局</w:t>
            </w:r>
          </w:p>
        </w:tc>
        <w:tc>
          <w:tcPr>
            <w:tcW w:w="556" w:type="pct"/>
            <w:tcBorders>
              <w:top w:val="nil"/>
              <w:left w:val="nil"/>
              <w:bottom w:val="nil"/>
              <w:right w:val="nil"/>
            </w:tcBorders>
            <w:shd w:val="clear" w:color="auto" w:fill="auto"/>
            <w:noWrap/>
            <w:vAlign w:val="bottom"/>
          </w:tcPr>
          <w:p>
            <w:pPr>
              <w:widowControl/>
              <w:rPr>
                <w:rFonts w:ascii="宋体" w:hAnsi="宋体" w:eastAsia="宋体" w:cs="Arial"/>
                <w:color w:val="000000"/>
                <w:kern w:val="0"/>
                <w:sz w:val="20"/>
              </w:rPr>
            </w:pPr>
            <w:r>
              <w:rPr>
                <w:rFonts w:hint="eastAsia" w:ascii="宋体" w:hAnsi="宋体" w:eastAsia="宋体" w:cs="Arial"/>
                <w:color w:val="000000"/>
                <w:kern w:val="0"/>
                <w:sz w:val="20"/>
              </w:rPr>
              <w:t>2019年</w:t>
            </w:r>
          </w:p>
        </w:tc>
        <w:tc>
          <w:tcPr>
            <w:tcW w:w="1435"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710" w:type="pct"/>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金额单位：万元</w:t>
            </w:r>
          </w:p>
        </w:tc>
      </w:tr>
    </w:tbl>
    <w:p>
      <w:pPr>
        <w:widowControl/>
        <w:jc w:val="left"/>
        <w:rPr>
          <w:rFonts w:hint="eastAsia" w:ascii="黑体" w:hAnsi="宋体" w:eastAsia="黑体"/>
          <w:color w:val="000000"/>
          <w:kern w:val="0"/>
          <w:sz w:val="44"/>
          <w:szCs w:val="44"/>
        </w:rPr>
      </w:pPr>
    </w:p>
    <w:tbl>
      <w:tblPr>
        <w:tblStyle w:val="5"/>
        <w:tblW w:w="5000" w:type="pct"/>
        <w:tblInd w:w="0" w:type="dxa"/>
        <w:tblLayout w:type="autofit"/>
        <w:tblCellMar>
          <w:top w:w="0" w:type="dxa"/>
          <w:left w:w="108" w:type="dxa"/>
          <w:bottom w:w="0" w:type="dxa"/>
          <w:right w:w="108" w:type="dxa"/>
        </w:tblCellMar>
      </w:tblPr>
      <w:tblGrid>
        <w:gridCol w:w="984"/>
        <w:gridCol w:w="3981"/>
        <w:gridCol w:w="1441"/>
        <w:gridCol w:w="1441"/>
        <w:gridCol w:w="1377"/>
        <w:gridCol w:w="744"/>
      </w:tblGrid>
      <w:tr>
        <w:tblPrEx>
          <w:tblCellMar>
            <w:top w:w="0" w:type="dxa"/>
            <w:left w:w="108" w:type="dxa"/>
            <w:bottom w:w="0" w:type="dxa"/>
            <w:right w:w="108" w:type="dxa"/>
          </w:tblCellMar>
        </w:tblPrEx>
        <w:trPr>
          <w:trHeight w:val="308" w:hRule="atLeast"/>
        </w:trPr>
        <w:tc>
          <w:tcPr>
            <w:tcW w:w="2511" w:type="pct"/>
            <w:gridSpan w:val="2"/>
            <w:tcBorders>
              <w:top w:val="single" w:color="000000" w:sz="4" w:space="0"/>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项目</w:t>
            </w:r>
          </w:p>
        </w:tc>
        <w:tc>
          <w:tcPr>
            <w:tcW w:w="720" w:type="pct"/>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本年支出合计</w:t>
            </w:r>
          </w:p>
        </w:tc>
        <w:tc>
          <w:tcPr>
            <w:tcW w:w="720" w:type="pct"/>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人员经费</w:t>
            </w:r>
          </w:p>
        </w:tc>
        <w:tc>
          <w:tcPr>
            <w:tcW w:w="687" w:type="pct"/>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公用经费</w:t>
            </w:r>
          </w:p>
        </w:tc>
        <w:tc>
          <w:tcPr>
            <w:tcW w:w="362" w:type="pct"/>
            <w:vMerge w:val="restart"/>
            <w:tcBorders>
              <w:top w:val="single" w:color="000000" w:sz="4" w:space="0"/>
              <w:left w:val="nil"/>
              <w:bottom w:val="single" w:color="000000" w:sz="4" w:space="0"/>
              <w:right w:val="single" w:color="000000" w:sz="8" w:space="0"/>
            </w:tcBorders>
            <w:shd w:val="clear" w:color="FFFFFF" w:fill="C0C0C0"/>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备注</w:t>
            </w:r>
          </w:p>
        </w:tc>
      </w:tr>
      <w:tr>
        <w:tblPrEx>
          <w:tblCellMar>
            <w:top w:w="0" w:type="dxa"/>
            <w:left w:w="108" w:type="dxa"/>
            <w:bottom w:w="0" w:type="dxa"/>
            <w:right w:w="108" w:type="dxa"/>
          </w:tblCellMar>
        </w:tblPrEx>
        <w:trPr>
          <w:trHeight w:val="435" w:hRule="atLeast"/>
        </w:trPr>
        <w:tc>
          <w:tcPr>
            <w:tcW w:w="486" w:type="pct"/>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经济分类科目编码</w:t>
            </w:r>
          </w:p>
        </w:tc>
        <w:tc>
          <w:tcPr>
            <w:tcW w:w="2024"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科目名称</w:t>
            </w:r>
          </w:p>
        </w:tc>
        <w:tc>
          <w:tcPr>
            <w:tcW w:w="720"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720"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687"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362" w:type="pct"/>
            <w:vMerge w:val="continue"/>
            <w:tcBorders>
              <w:top w:val="single" w:color="000000" w:sz="4" w:space="0"/>
              <w:left w:val="nil"/>
              <w:bottom w:val="single" w:color="000000" w:sz="4" w:space="0"/>
              <w:right w:val="single" w:color="000000" w:sz="8" w:space="0"/>
            </w:tcBorders>
            <w:vAlign w:val="center"/>
          </w:tcPr>
          <w:p>
            <w:pPr>
              <w:widowControl/>
              <w:jc w:val="left"/>
              <w:rPr>
                <w:rFonts w:ascii="宋体" w:hAnsi="宋体" w:eastAsia="宋体" w:cs="Arial"/>
                <w:color w:val="000000"/>
                <w:kern w:val="0"/>
                <w:sz w:val="22"/>
                <w:szCs w:val="22"/>
              </w:rPr>
            </w:pPr>
          </w:p>
        </w:tc>
      </w:tr>
      <w:tr>
        <w:tblPrEx>
          <w:tblCellMar>
            <w:top w:w="0" w:type="dxa"/>
            <w:left w:w="108" w:type="dxa"/>
            <w:bottom w:w="0" w:type="dxa"/>
            <w:right w:w="108" w:type="dxa"/>
          </w:tblCellMar>
        </w:tblPrEx>
        <w:trPr>
          <w:trHeight w:val="435" w:hRule="atLeast"/>
        </w:trPr>
        <w:tc>
          <w:tcPr>
            <w:tcW w:w="486"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2024" w:type="pct"/>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720"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720"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687"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362" w:type="pct"/>
            <w:vMerge w:val="continue"/>
            <w:tcBorders>
              <w:top w:val="single" w:color="000000" w:sz="4" w:space="0"/>
              <w:left w:val="nil"/>
              <w:bottom w:val="single" w:color="000000" w:sz="4" w:space="0"/>
              <w:right w:val="single" w:color="000000" w:sz="8" w:space="0"/>
            </w:tcBorders>
            <w:vAlign w:val="center"/>
          </w:tcPr>
          <w:p>
            <w:pPr>
              <w:widowControl/>
              <w:jc w:val="left"/>
              <w:rPr>
                <w:rFonts w:ascii="宋体" w:hAnsi="宋体" w:eastAsia="宋体" w:cs="Arial"/>
                <w:color w:val="000000"/>
                <w:kern w:val="0"/>
                <w:sz w:val="22"/>
                <w:szCs w:val="22"/>
              </w:rPr>
            </w:pPr>
          </w:p>
        </w:tc>
      </w:tr>
      <w:tr>
        <w:tblPrEx>
          <w:tblCellMar>
            <w:top w:w="0" w:type="dxa"/>
            <w:left w:w="108" w:type="dxa"/>
            <w:bottom w:w="0" w:type="dxa"/>
            <w:right w:w="108" w:type="dxa"/>
          </w:tblCellMar>
        </w:tblPrEx>
        <w:trPr>
          <w:trHeight w:val="435" w:hRule="atLeast"/>
        </w:trPr>
        <w:tc>
          <w:tcPr>
            <w:tcW w:w="486"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2024" w:type="pct"/>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720"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720"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687"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362" w:type="pct"/>
            <w:vMerge w:val="continue"/>
            <w:tcBorders>
              <w:top w:val="single" w:color="000000" w:sz="4" w:space="0"/>
              <w:left w:val="nil"/>
              <w:bottom w:val="single" w:color="000000" w:sz="4" w:space="0"/>
              <w:right w:val="single" w:color="000000" w:sz="8" w:space="0"/>
            </w:tcBorders>
            <w:vAlign w:val="center"/>
          </w:tcPr>
          <w:p>
            <w:pPr>
              <w:widowControl/>
              <w:jc w:val="left"/>
              <w:rPr>
                <w:rFonts w:ascii="宋体" w:hAnsi="宋体" w:eastAsia="宋体" w:cs="Arial"/>
                <w:color w:val="000000"/>
                <w:kern w:val="0"/>
                <w:sz w:val="22"/>
                <w:szCs w:val="22"/>
              </w:rPr>
            </w:pPr>
          </w:p>
        </w:tc>
      </w:tr>
      <w:tr>
        <w:tblPrEx>
          <w:tblCellMar>
            <w:top w:w="0" w:type="dxa"/>
            <w:left w:w="108" w:type="dxa"/>
            <w:bottom w:w="0" w:type="dxa"/>
            <w:right w:w="108" w:type="dxa"/>
          </w:tblCellMar>
        </w:tblPrEx>
        <w:trPr>
          <w:trHeight w:val="308" w:hRule="atLeast"/>
        </w:trPr>
        <w:tc>
          <w:tcPr>
            <w:tcW w:w="2511" w:type="pct"/>
            <w:gridSpan w:val="2"/>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合计</w:t>
            </w:r>
          </w:p>
        </w:tc>
        <w:tc>
          <w:tcPr>
            <w:tcW w:w="7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717.81</w:t>
            </w:r>
          </w:p>
        </w:tc>
        <w:tc>
          <w:tcPr>
            <w:tcW w:w="7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704.75</w:t>
            </w:r>
          </w:p>
        </w:tc>
        <w:tc>
          <w:tcPr>
            <w:tcW w:w="68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13.06</w:t>
            </w:r>
          </w:p>
        </w:tc>
        <w:tc>
          <w:tcPr>
            <w:tcW w:w="362"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486"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301</w:t>
            </w:r>
          </w:p>
        </w:tc>
        <w:tc>
          <w:tcPr>
            <w:tcW w:w="2024"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工资福利支出</w:t>
            </w:r>
          </w:p>
        </w:tc>
        <w:tc>
          <w:tcPr>
            <w:tcW w:w="7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668.12</w:t>
            </w:r>
          </w:p>
        </w:tc>
        <w:tc>
          <w:tcPr>
            <w:tcW w:w="7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668.12</w:t>
            </w:r>
          </w:p>
        </w:tc>
        <w:tc>
          <w:tcPr>
            <w:tcW w:w="68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2"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486"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30101</w:t>
            </w:r>
          </w:p>
        </w:tc>
        <w:tc>
          <w:tcPr>
            <w:tcW w:w="2024"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基本工资</w:t>
            </w:r>
          </w:p>
        </w:tc>
        <w:tc>
          <w:tcPr>
            <w:tcW w:w="7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263.75</w:t>
            </w:r>
          </w:p>
        </w:tc>
        <w:tc>
          <w:tcPr>
            <w:tcW w:w="7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263.75</w:t>
            </w:r>
          </w:p>
        </w:tc>
        <w:tc>
          <w:tcPr>
            <w:tcW w:w="68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2"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486"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30102</w:t>
            </w:r>
          </w:p>
        </w:tc>
        <w:tc>
          <w:tcPr>
            <w:tcW w:w="2024"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津贴补贴</w:t>
            </w:r>
          </w:p>
        </w:tc>
        <w:tc>
          <w:tcPr>
            <w:tcW w:w="7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125.84</w:t>
            </w:r>
          </w:p>
        </w:tc>
        <w:tc>
          <w:tcPr>
            <w:tcW w:w="7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125.84</w:t>
            </w:r>
          </w:p>
        </w:tc>
        <w:tc>
          <w:tcPr>
            <w:tcW w:w="68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2"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486"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30103</w:t>
            </w:r>
          </w:p>
        </w:tc>
        <w:tc>
          <w:tcPr>
            <w:tcW w:w="2024"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奖金</w:t>
            </w:r>
          </w:p>
        </w:tc>
        <w:tc>
          <w:tcPr>
            <w:tcW w:w="7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60.18</w:t>
            </w:r>
          </w:p>
        </w:tc>
        <w:tc>
          <w:tcPr>
            <w:tcW w:w="7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60.18</w:t>
            </w:r>
          </w:p>
        </w:tc>
        <w:tc>
          <w:tcPr>
            <w:tcW w:w="68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2"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486"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30107</w:t>
            </w:r>
          </w:p>
        </w:tc>
        <w:tc>
          <w:tcPr>
            <w:tcW w:w="2024"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绩效工资</w:t>
            </w:r>
          </w:p>
        </w:tc>
        <w:tc>
          <w:tcPr>
            <w:tcW w:w="7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124.97</w:t>
            </w:r>
          </w:p>
        </w:tc>
        <w:tc>
          <w:tcPr>
            <w:tcW w:w="7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124.97</w:t>
            </w:r>
          </w:p>
        </w:tc>
        <w:tc>
          <w:tcPr>
            <w:tcW w:w="68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2"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486"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30108</w:t>
            </w:r>
          </w:p>
        </w:tc>
        <w:tc>
          <w:tcPr>
            <w:tcW w:w="2024"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机关事业单位基本养老保险缴费</w:t>
            </w:r>
          </w:p>
        </w:tc>
        <w:tc>
          <w:tcPr>
            <w:tcW w:w="7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74.99</w:t>
            </w:r>
          </w:p>
        </w:tc>
        <w:tc>
          <w:tcPr>
            <w:tcW w:w="7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74.99</w:t>
            </w:r>
          </w:p>
        </w:tc>
        <w:tc>
          <w:tcPr>
            <w:tcW w:w="68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2"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486"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30109</w:t>
            </w:r>
          </w:p>
        </w:tc>
        <w:tc>
          <w:tcPr>
            <w:tcW w:w="2024"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职业年金缴费</w:t>
            </w:r>
          </w:p>
        </w:tc>
        <w:tc>
          <w:tcPr>
            <w:tcW w:w="7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0.37</w:t>
            </w:r>
          </w:p>
        </w:tc>
        <w:tc>
          <w:tcPr>
            <w:tcW w:w="7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0.37</w:t>
            </w:r>
          </w:p>
        </w:tc>
        <w:tc>
          <w:tcPr>
            <w:tcW w:w="68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2"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486"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30110</w:t>
            </w:r>
          </w:p>
        </w:tc>
        <w:tc>
          <w:tcPr>
            <w:tcW w:w="2024"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职工基本医疗保险缴费</w:t>
            </w:r>
          </w:p>
        </w:tc>
        <w:tc>
          <w:tcPr>
            <w:tcW w:w="7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15.93</w:t>
            </w:r>
          </w:p>
        </w:tc>
        <w:tc>
          <w:tcPr>
            <w:tcW w:w="7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15.93</w:t>
            </w:r>
          </w:p>
        </w:tc>
        <w:tc>
          <w:tcPr>
            <w:tcW w:w="68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2"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486"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30111</w:t>
            </w:r>
          </w:p>
        </w:tc>
        <w:tc>
          <w:tcPr>
            <w:tcW w:w="2024"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公务员医疗补助缴费</w:t>
            </w:r>
          </w:p>
        </w:tc>
        <w:tc>
          <w:tcPr>
            <w:tcW w:w="7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0.67</w:t>
            </w:r>
          </w:p>
        </w:tc>
        <w:tc>
          <w:tcPr>
            <w:tcW w:w="7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0.67</w:t>
            </w:r>
          </w:p>
        </w:tc>
        <w:tc>
          <w:tcPr>
            <w:tcW w:w="68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2"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486"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30112</w:t>
            </w:r>
          </w:p>
        </w:tc>
        <w:tc>
          <w:tcPr>
            <w:tcW w:w="2024"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其他社会保障缴费</w:t>
            </w:r>
          </w:p>
        </w:tc>
        <w:tc>
          <w:tcPr>
            <w:tcW w:w="7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1.42</w:t>
            </w:r>
          </w:p>
        </w:tc>
        <w:tc>
          <w:tcPr>
            <w:tcW w:w="7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1.42</w:t>
            </w:r>
          </w:p>
        </w:tc>
        <w:tc>
          <w:tcPr>
            <w:tcW w:w="68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2"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486"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302</w:t>
            </w:r>
          </w:p>
        </w:tc>
        <w:tc>
          <w:tcPr>
            <w:tcW w:w="2024"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商品和服务支出</w:t>
            </w:r>
          </w:p>
        </w:tc>
        <w:tc>
          <w:tcPr>
            <w:tcW w:w="7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13.06</w:t>
            </w:r>
          </w:p>
        </w:tc>
        <w:tc>
          <w:tcPr>
            <w:tcW w:w="7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68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13.06</w:t>
            </w:r>
          </w:p>
        </w:tc>
        <w:tc>
          <w:tcPr>
            <w:tcW w:w="362"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486"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30201</w:t>
            </w:r>
          </w:p>
        </w:tc>
        <w:tc>
          <w:tcPr>
            <w:tcW w:w="2024"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办公费</w:t>
            </w:r>
          </w:p>
        </w:tc>
        <w:tc>
          <w:tcPr>
            <w:tcW w:w="7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6.57</w:t>
            </w:r>
          </w:p>
        </w:tc>
        <w:tc>
          <w:tcPr>
            <w:tcW w:w="7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68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6.57</w:t>
            </w:r>
          </w:p>
        </w:tc>
        <w:tc>
          <w:tcPr>
            <w:tcW w:w="362"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486"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30202</w:t>
            </w:r>
          </w:p>
        </w:tc>
        <w:tc>
          <w:tcPr>
            <w:tcW w:w="2024"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印刷费</w:t>
            </w:r>
          </w:p>
        </w:tc>
        <w:tc>
          <w:tcPr>
            <w:tcW w:w="7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0.40</w:t>
            </w:r>
          </w:p>
        </w:tc>
        <w:tc>
          <w:tcPr>
            <w:tcW w:w="7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68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0.40</w:t>
            </w:r>
          </w:p>
        </w:tc>
        <w:tc>
          <w:tcPr>
            <w:tcW w:w="362"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486"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30205</w:t>
            </w:r>
          </w:p>
        </w:tc>
        <w:tc>
          <w:tcPr>
            <w:tcW w:w="2024"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水费</w:t>
            </w:r>
          </w:p>
        </w:tc>
        <w:tc>
          <w:tcPr>
            <w:tcW w:w="7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0.15</w:t>
            </w:r>
          </w:p>
        </w:tc>
        <w:tc>
          <w:tcPr>
            <w:tcW w:w="7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68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0.15</w:t>
            </w:r>
          </w:p>
        </w:tc>
        <w:tc>
          <w:tcPr>
            <w:tcW w:w="362"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486"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30206</w:t>
            </w:r>
          </w:p>
        </w:tc>
        <w:tc>
          <w:tcPr>
            <w:tcW w:w="2024"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电费</w:t>
            </w:r>
          </w:p>
        </w:tc>
        <w:tc>
          <w:tcPr>
            <w:tcW w:w="7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0.25</w:t>
            </w:r>
          </w:p>
        </w:tc>
        <w:tc>
          <w:tcPr>
            <w:tcW w:w="7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68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0.25</w:t>
            </w:r>
          </w:p>
        </w:tc>
        <w:tc>
          <w:tcPr>
            <w:tcW w:w="362"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486"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30207</w:t>
            </w:r>
          </w:p>
        </w:tc>
        <w:tc>
          <w:tcPr>
            <w:tcW w:w="2024"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邮电费</w:t>
            </w:r>
          </w:p>
        </w:tc>
        <w:tc>
          <w:tcPr>
            <w:tcW w:w="7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0.80</w:t>
            </w:r>
          </w:p>
        </w:tc>
        <w:tc>
          <w:tcPr>
            <w:tcW w:w="7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68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0.80</w:t>
            </w:r>
          </w:p>
        </w:tc>
        <w:tc>
          <w:tcPr>
            <w:tcW w:w="362"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486"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30211</w:t>
            </w:r>
          </w:p>
        </w:tc>
        <w:tc>
          <w:tcPr>
            <w:tcW w:w="2024"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差旅费</w:t>
            </w:r>
          </w:p>
        </w:tc>
        <w:tc>
          <w:tcPr>
            <w:tcW w:w="7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3.84</w:t>
            </w:r>
          </w:p>
        </w:tc>
        <w:tc>
          <w:tcPr>
            <w:tcW w:w="7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68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3.84</w:t>
            </w:r>
          </w:p>
        </w:tc>
        <w:tc>
          <w:tcPr>
            <w:tcW w:w="362"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486"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30213</w:t>
            </w:r>
          </w:p>
        </w:tc>
        <w:tc>
          <w:tcPr>
            <w:tcW w:w="2024"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维修(护)费</w:t>
            </w:r>
          </w:p>
        </w:tc>
        <w:tc>
          <w:tcPr>
            <w:tcW w:w="7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0.50</w:t>
            </w:r>
          </w:p>
        </w:tc>
        <w:tc>
          <w:tcPr>
            <w:tcW w:w="7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68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0.50</w:t>
            </w:r>
          </w:p>
        </w:tc>
        <w:tc>
          <w:tcPr>
            <w:tcW w:w="362"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486"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30217</w:t>
            </w:r>
          </w:p>
        </w:tc>
        <w:tc>
          <w:tcPr>
            <w:tcW w:w="2024"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公务接待费</w:t>
            </w:r>
          </w:p>
        </w:tc>
        <w:tc>
          <w:tcPr>
            <w:tcW w:w="7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0.16</w:t>
            </w:r>
          </w:p>
        </w:tc>
        <w:tc>
          <w:tcPr>
            <w:tcW w:w="7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68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0.16</w:t>
            </w:r>
          </w:p>
        </w:tc>
        <w:tc>
          <w:tcPr>
            <w:tcW w:w="362"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486"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30229</w:t>
            </w:r>
          </w:p>
        </w:tc>
        <w:tc>
          <w:tcPr>
            <w:tcW w:w="2024"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福利费</w:t>
            </w:r>
          </w:p>
        </w:tc>
        <w:tc>
          <w:tcPr>
            <w:tcW w:w="7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0.07</w:t>
            </w:r>
          </w:p>
        </w:tc>
        <w:tc>
          <w:tcPr>
            <w:tcW w:w="7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68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0.07</w:t>
            </w:r>
          </w:p>
        </w:tc>
        <w:tc>
          <w:tcPr>
            <w:tcW w:w="362"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486"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30231</w:t>
            </w:r>
          </w:p>
        </w:tc>
        <w:tc>
          <w:tcPr>
            <w:tcW w:w="2024"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公务用车运行维护费</w:t>
            </w:r>
          </w:p>
        </w:tc>
        <w:tc>
          <w:tcPr>
            <w:tcW w:w="7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0.32</w:t>
            </w:r>
          </w:p>
        </w:tc>
        <w:tc>
          <w:tcPr>
            <w:tcW w:w="7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68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0.32</w:t>
            </w:r>
          </w:p>
        </w:tc>
        <w:tc>
          <w:tcPr>
            <w:tcW w:w="362"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486"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303</w:t>
            </w:r>
          </w:p>
        </w:tc>
        <w:tc>
          <w:tcPr>
            <w:tcW w:w="2024"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对个人和家庭的补助</w:t>
            </w:r>
          </w:p>
        </w:tc>
        <w:tc>
          <w:tcPr>
            <w:tcW w:w="7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36.63</w:t>
            </w:r>
          </w:p>
        </w:tc>
        <w:tc>
          <w:tcPr>
            <w:tcW w:w="72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36.63</w:t>
            </w:r>
          </w:p>
        </w:tc>
        <w:tc>
          <w:tcPr>
            <w:tcW w:w="687"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2"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486" w:type="pct"/>
            <w:tcBorders>
              <w:top w:val="nil"/>
              <w:left w:val="single" w:color="000000" w:sz="4" w:space="0"/>
              <w:bottom w:val="single" w:color="000000" w:sz="8"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30305</w:t>
            </w:r>
          </w:p>
        </w:tc>
        <w:tc>
          <w:tcPr>
            <w:tcW w:w="2024" w:type="pct"/>
            <w:tcBorders>
              <w:top w:val="nil"/>
              <w:left w:val="nil"/>
              <w:bottom w:val="single" w:color="000000" w:sz="8"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xml:space="preserve">  生活补助</w:t>
            </w:r>
          </w:p>
        </w:tc>
        <w:tc>
          <w:tcPr>
            <w:tcW w:w="720" w:type="pct"/>
            <w:tcBorders>
              <w:top w:val="nil"/>
              <w:left w:val="nil"/>
              <w:bottom w:val="single" w:color="000000" w:sz="8"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36.63</w:t>
            </w:r>
          </w:p>
        </w:tc>
        <w:tc>
          <w:tcPr>
            <w:tcW w:w="720" w:type="pct"/>
            <w:tcBorders>
              <w:top w:val="nil"/>
              <w:left w:val="nil"/>
              <w:bottom w:val="single" w:color="000000" w:sz="8"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36.63</w:t>
            </w:r>
          </w:p>
        </w:tc>
        <w:tc>
          <w:tcPr>
            <w:tcW w:w="687" w:type="pct"/>
            <w:tcBorders>
              <w:top w:val="nil"/>
              <w:left w:val="nil"/>
              <w:bottom w:val="single" w:color="000000" w:sz="8"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62" w:type="pct"/>
            <w:tcBorders>
              <w:top w:val="nil"/>
              <w:left w:val="nil"/>
              <w:bottom w:val="single" w:color="000000" w:sz="8"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5000" w:type="pct"/>
            <w:gridSpan w:val="6"/>
            <w:tcBorders>
              <w:top w:val="nil"/>
              <w:left w:val="nil"/>
              <w:bottom w:val="nil"/>
              <w:right w:val="nil"/>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注：本表反映部门本年度一般公共预算财政拨款基本支出明细情况。本表金额转换为万元时，因四舍五入可能存在尾差。</w:t>
            </w:r>
          </w:p>
        </w:tc>
      </w:tr>
    </w:tbl>
    <w:p>
      <w:pPr>
        <w:widowControl/>
        <w:jc w:val="left"/>
        <w:rPr>
          <w:rFonts w:hint="eastAsia" w:ascii="黑体" w:hAnsi="宋体" w:eastAsia="黑体"/>
          <w:color w:val="000000"/>
          <w:kern w:val="0"/>
          <w:sz w:val="44"/>
          <w:szCs w:val="44"/>
        </w:rPr>
      </w:pPr>
    </w:p>
    <w:p>
      <w:pPr>
        <w:widowControl/>
        <w:jc w:val="left"/>
        <w:rPr>
          <w:rFonts w:hint="eastAsia" w:ascii="黑体" w:hAnsi="宋体" w:eastAsia="黑体"/>
          <w:color w:val="000000"/>
          <w:kern w:val="0"/>
          <w:sz w:val="44"/>
          <w:szCs w:val="44"/>
        </w:rPr>
      </w:pPr>
    </w:p>
    <w:p>
      <w:pPr>
        <w:widowControl/>
        <w:jc w:val="left"/>
        <w:rPr>
          <w:rFonts w:hint="eastAsia" w:ascii="黑体" w:hAnsi="宋体" w:eastAsia="黑体"/>
          <w:color w:val="000000"/>
          <w:kern w:val="0"/>
          <w:sz w:val="44"/>
          <w:szCs w:val="44"/>
        </w:rPr>
      </w:pPr>
    </w:p>
    <w:p>
      <w:pPr>
        <w:widowControl/>
        <w:jc w:val="left"/>
        <w:rPr>
          <w:rFonts w:hint="eastAsia" w:ascii="黑体" w:hAnsi="宋体" w:eastAsia="黑体"/>
          <w:color w:val="000000"/>
          <w:kern w:val="0"/>
          <w:sz w:val="44"/>
          <w:szCs w:val="44"/>
        </w:rPr>
      </w:pPr>
    </w:p>
    <w:p>
      <w:pPr>
        <w:widowControl/>
        <w:jc w:val="left"/>
        <w:rPr>
          <w:rFonts w:hint="eastAsia" w:ascii="黑体" w:hAnsi="宋体" w:eastAsia="黑体"/>
          <w:color w:val="000000"/>
          <w:kern w:val="0"/>
          <w:sz w:val="44"/>
          <w:szCs w:val="44"/>
        </w:rPr>
      </w:pPr>
    </w:p>
    <w:p>
      <w:pPr>
        <w:widowControl/>
        <w:jc w:val="left"/>
        <w:rPr>
          <w:rFonts w:hint="eastAsia" w:ascii="黑体" w:hAnsi="宋体" w:eastAsia="黑体"/>
          <w:color w:val="000000"/>
          <w:kern w:val="0"/>
          <w:sz w:val="44"/>
          <w:szCs w:val="44"/>
        </w:rPr>
      </w:pPr>
    </w:p>
    <w:p>
      <w:pPr>
        <w:widowControl/>
        <w:jc w:val="left"/>
        <w:rPr>
          <w:rFonts w:hint="eastAsia" w:ascii="黑体" w:hAnsi="宋体" w:eastAsia="黑体"/>
          <w:color w:val="000000"/>
          <w:kern w:val="0"/>
          <w:szCs w:val="44"/>
        </w:rPr>
      </w:pPr>
      <w:r>
        <w:rPr>
          <w:rFonts w:hint="eastAsia" w:ascii="黑体" w:hAnsi="宋体" w:eastAsia="黑体"/>
          <w:color w:val="000000"/>
          <w:kern w:val="0"/>
          <w:szCs w:val="44"/>
        </w:rPr>
        <w:t>一般公共预算财政拨款“三公”经费及会议费、培训费支出决算表</w:t>
      </w:r>
    </w:p>
    <w:tbl>
      <w:tblPr>
        <w:tblStyle w:val="5"/>
        <w:tblW w:w="5103" w:type="pct"/>
        <w:tblInd w:w="0" w:type="dxa"/>
        <w:tblLayout w:type="autofit"/>
        <w:tblCellMar>
          <w:top w:w="0" w:type="dxa"/>
          <w:left w:w="108" w:type="dxa"/>
          <w:bottom w:w="0" w:type="dxa"/>
          <w:right w:w="108" w:type="dxa"/>
        </w:tblCellMar>
      </w:tblPr>
      <w:tblGrid>
        <w:gridCol w:w="76"/>
        <w:gridCol w:w="816"/>
        <w:gridCol w:w="928"/>
        <w:gridCol w:w="1030"/>
        <w:gridCol w:w="1361"/>
        <w:gridCol w:w="360"/>
        <w:gridCol w:w="946"/>
        <w:gridCol w:w="73"/>
        <w:gridCol w:w="1207"/>
        <w:gridCol w:w="1565"/>
        <w:gridCol w:w="238"/>
        <w:gridCol w:w="865"/>
        <w:gridCol w:w="523"/>
        <w:gridCol w:w="185"/>
      </w:tblGrid>
      <w:tr>
        <w:tblPrEx>
          <w:tblCellMar>
            <w:top w:w="0" w:type="dxa"/>
            <w:left w:w="108" w:type="dxa"/>
            <w:bottom w:w="0" w:type="dxa"/>
            <w:right w:w="108" w:type="dxa"/>
          </w:tblCellMar>
        </w:tblPrEx>
        <w:trPr>
          <w:gridAfter w:val="1"/>
          <w:wAfter w:w="91" w:type="pct"/>
          <w:trHeight w:val="255" w:hRule="atLeast"/>
        </w:trPr>
        <w:tc>
          <w:tcPr>
            <w:tcW w:w="2247" w:type="pct"/>
            <w:gridSpan w:val="6"/>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501" w:type="pct"/>
            <w:gridSpan w:val="2"/>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1362" w:type="pct"/>
            <w:gridSpan w:val="2"/>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799" w:type="pct"/>
            <w:gridSpan w:val="3"/>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公开07表</w:t>
            </w:r>
          </w:p>
        </w:tc>
      </w:tr>
      <w:tr>
        <w:tblPrEx>
          <w:tblCellMar>
            <w:top w:w="0" w:type="dxa"/>
            <w:left w:w="108" w:type="dxa"/>
            <w:bottom w:w="0" w:type="dxa"/>
            <w:right w:w="108" w:type="dxa"/>
          </w:tblCellMar>
        </w:tblPrEx>
        <w:trPr>
          <w:gridAfter w:val="1"/>
          <w:wAfter w:w="91" w:type="pct"/>
          <w:trHeight w:val="255" w:hRule="atLeast"/>
        </w:trPr>
        <w:tc>
          <w:tcPr>
            <w:tcW w:w="2247" w:type="pct"/>
            <w:gridSpan w:val="6"/>
            <w:tcBorders>
              <w:top w:val="nil"/>
              <w:left w:val="nil"/>
              <w:bottom w:val="nil"/>
              <w:right w:val="nil"/>
            </w:tcBorders>
            <w:shd w:val="clear" w:color="auto" w:fill="auto"/>
            <w:noWrap/>
            <w:vAlign w:val="bottom"/>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编制部门：西安市蓝田县住房和城乡建设局</w:t>
            </w:r>
          </w:p>
        </w:tc>
        <w:tc>
          <w:tcPr>
            <w:tcW w:w="501" w:type="pct"/>
            <w:gridSpan w:val="2"/>
            <w:tcBorders>
              <w:top w:val="nil"/>
              <w:left w:val="nil"/>
              <w:bottom w:val="nil"/>
              <w:right w:val="nil"/>
            </w:tcBorders>
            <w:shd w:val="clear" w:color="auto" w:fill="auto"/>
            <w:noWrap/>
            <w:vAlign w:val="bottom"/>
          </w:tcPr>
          <w:p>
            <w:pPr>
              <w:widowControl/>
              <w:rPr>
                <w:rFonts w:ascii="宋体" w:hAnsi="宋体" w:eastAsia="宋体" w:cs="Arial"/>
                <w:color w:val="000000"/>
                <w:kern w:val="0"/>
                <w:sz w:val="20"/>
              </w:rPr>
            </w:pPr>
            <w:r>
              <w:rPr>
                <w:rFonts w:hint="eastAsia" w:ascii="宋体" w:hAnsi="宋体" w:eastAsia="宋体" w:cs="Arial"/>
                <w:color w:val="000000"/>
                <w:kern w:val="0"/>
                <w:sz w:val="20"/>
              </w:rPr>
              <w:t>2019年</w:t>
            </w:r>
          </w:p>
        </w:tc>
        <w:tc>
          <w:tcPr>
            <w:tcW w:w="1362" w:type="pct"/>
            <w:gridSpan w:val="2"/>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799" w:type="pct"/>
            <w:gridSpan w:val="3"/>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金额单位：万元</w:t>
            </w:r>
          </w:p>
        </w:tc>
      </w:tr>
      <w:tr>
        <w:tblPrEx>
          <w:tblCellMar>
            <w:top w:w="0" w:type="dxa"/>
            <w:left w:w="108" w:type="dxa"/>
            <w:bottom w:w="0" w:type="dxa"/>
            <w:right w:w="108" w:type="dxa"/>
          </w:tblCellMar>
        </w:tblPrEx>
        <w:trPr>
          <w:gridBefore w:val="1"/>
          <w:wBefore w:w="38" w:type="pct"/>
          <w:trHeight w:val="555" w:hRule="atLeast"/>
        </w:trPr>
        <w:tc>
          <w:tcPr>
            <w:tcW w:w="401" w:type="pct"/>
            <w:vMerge w:val="restart"/>
            <w:tcBorders>
              <w:top w:val="single" w:color="auto" w:sz="4" w:space="0"/>
              <w:left w:val="single" w:color="auto" w:sz="4" w:space="0"/>
              <w:bottom w:val="single" w:color="000000" w:sz="4" w:space="0"/>
              <w:right w:val="single" w:color="auto" w:sz="4" w:space="0"/>
            </w:tcBorders>
            <w:shd w:val="clear" w:color="auto" w:fill="auto"/>
            <w:noWrap/>
            <w:vAlign w:val="center"/>
          </w:tcPr>
          <w:p>
            <w:pPr>
              <w:widowControl/>
              <w:jc w:val="center"/>
              <w:rPr>
                <w:rFonts w:ascii="宋体" w:hAnsi="宋体" w:eastAsia="宋体" w:cs="Arial"/>
                <w:color w:val="000000"/>
                <w:kern w:val="0"/>
                <w:sz w:val="20"/>
              </w:rPr>
            </w:pPr>
            <w:r>
              <w:rPr>
                <w:rFonts w:hint="eastAsia" w:ascii="宋体" w:hAnsi="宋体" w:eastAsia="宋体" w:cs="Arial"/>
                <w:color w:val="000000"/>
                <w:kern w:val="0"/>
                <w:sz w:val="20"/>
              </w:rPr>
              <w:t>项目</w:t>
            </w:r>
          </w:p>
        </w:tc>
        <w:tc>
          <w:tcPr>
            <w:tcW w:w="3787" w:type="pct"/>
            <w:gridSpan w:val="9"/>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一般公共预算财政拨款安排的“三公”经费</w:t>
            </w:r>
          </w:p>
        </w:tc>
        <w:tc>
          <w:tcPr>
            <w:tcW w:w="425" w:type="pct"/>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会议费</w:t>
            </w:r>
          </w:p>
        </w:tc>
        <w:tc>
          <w:tcPr>
            <w:tcW w:w="348" w:type="pct"/>
            <w:gridSpan w:val="2"/>
            <w:vMerge w:val="restart"/>
            <w:tcBorders>
              <w:top w:val="single" w:color="000000" w:sz="4" w:space="0"/>
              <w:left w:val="nil"/>
              <w:bottom w:val="single" w:color="000000" w:sz="4" w:space="0"/>
              <w:right w:val="single" w:color="000000" w:sz="8" w:space="0"/>
            </w:tcBorders>
            <w:shd w:val="clear" w:color="FFFFFF" w:fill="C0C0C0"/>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培训费</w:t>
            </w:r>
          </w:p>
        </w:tc>
      </w:tr>
      <w:tr>
        <w:tblPrEx>
          <w:tblCellMar>
            <w:top w:w="0" w:type="dxa"/>
            <w:left w:w="108" w:type="dxa"/>
            <w:bottom w:w="0" w:type="dxa"/>
            <w:right w:w="108" w:type="dxa"/>
          </w:tblCellMar>
        </w:tblPrEx>
        <w:trPr>
          <w:gridBefore w:val="1"/>
          <w:wBefore w:w="38" w:type="pct"/>
          <w:trHeight w:val="477" w:hRule="atLeast"/>
        </w:trPr>
        <w:tc>
          <w:tcPr>
            <w:tcW w:w="401" w:type="pct"/>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eastAsia="宋体" w:cs="Arial"/>
                <w:color w:val="000000"/>
                <w:kern w:val="0"/>
                <w:sz w:val="20"/>
              </w:rPr>
            </w:pPr>
          </w:p>
        </w:tc>
        <w:tc>
          <w:tcPr>
            <w:tcW w:w="456"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小计</w:t>
            </w:r>
          </w:p>
        </w:tc>
        <w:tc>
          <w:tcPr>
            <w:tcW w:w="506"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因公出国（境）费用</w:t>
            </w:r>
          </w:p>
        </w:tc>
        <w:tc>
          <w:tcPr>
            <w:tcW w:w="669"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公务接待费</w:t>
            </w:r>
          </w:p>
        </w:tc>
        <w:tc>
          <w:tcPr>
            <w:tcW w:w="2157" w:type="pct"/>
            <w:gridSpan w:val="6"/>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公务用车购置及运行维护费</w:t>
            </w:r>
          </w:p>
        </w:tc>
        <w:tc>
          <w:tcPr>
            <w:tcW w:w="425"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348" w:type="pct"/>
            <w:gridSpan w:val="2"/>
            <w:vMerge w:val="continue"/>
            <w:tcBorders>
              <w:top w:val="single" w:color="000000" w:sz="4" w:space="0"/>
              <w:left w:val="nil"/>
              <w:bottom w:val="single" w:color="000000" w:sz="4" w:space="0"/>
              <w:right w:val="single" w:color="000000" w:sz="8" w:space="0"/>
            </w:tcBorders>
            <w:vAlign w:val="center"/>
          </w:tcPr>
          <w:p>
            <w:pPr>
              <w:widowControl/>
              <w:jc w:val="left"/>
              <w:rPr>
                <w:rFonts w:ascii="宋体" w:hAnsi="宋体" w:eastAsia="宋体" w:cs="Arial"/>
                <w:color w:val="000000"/>
                <w:kern w:val="0"/>
                <w:sz w:val="22"/>
                <w:szCs w:val="22"/>
              </w:rPr>
            </w:pPr>
          </w:p>
        </w:tc>
      </w:tr>
      <w:tr>
        <w:tblPrEx>
          <w:tblCellMar>
            <w:top w:w="0" w:type="dxa"/>
            <w:left w:w="108" w:type="dxa"/>
            <w:bottom w:w="0" w:type="dxa"/>
            <w:right w:w="108" w:type="dxa"/>
          </w:tblCellMar>
        </w:tblPrEx>
        <w:trPr>
          <w:gridBefore w:val="1"/>
          <w:wBefore w:w="38" w:type="pct"/>
          <w:trHeight w:val="724" w:hRule="atLeast"/>
        </w:trPr>
        <w:tc>
          <w:tcPr>
            <w:tcW w:w="401" w:type="pct"/>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eastAsia="宋体" w:cs="Arial"/>
                <w:color w:val="000000"/>
                <w:kern w:val="0"/>
                <w:sz w:val="20"/>
              </w:rPr>
            </w:pPr>
          </w:p>
        </w:tc>
        <w:tc>
          <w:tcPr>
            <w:tcW w:w="456" w:type="pct"/>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506" w:type="pct"/>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669" w:type="pct"/>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642" w:type="pct"/>
            <w:gridSpan w:val="2"/>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小计</w:t>
            </w:r>
          </w:p>
        </w:tc>
        <w:tc>
          <w:tcPr>
            <w:tcW w:w="629" w:type="pct"/>
            <w:gridSpan w:val="2"/>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公务用车购置费</w:t>
            </w:r>
          </w:p>
        </w:tc>
        <w:tc>
          <w:tcPr>
            <w:tcW w:w="886" w:type="pct"/>
            <w:gridSpan w:val="2"/>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公务用车运行维护费</w:t>
            </w:r>
          </w:p>
        </w:tc>
        <w:tc>
          <w:tcPr>
            <w:tcW w:w="425"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2"/>
                <w:szCs w:val="22"/>
              </w:rPr>
            </w:pPr>
          </w:p>
        </w:tc>
        <w:tc>
          <w:tcPr>
            <w:tcW w:w="348" w:type="pct"/>
            <w:gridSpan w:val="2"/>
            <w:vMerge w:val="continue"/>
            <w:tcBorders>
              <w:top w:val="single" w:color="000000" w:sz="4" w:space="0"/>
              <w:left w:val="nil"/>
              <w:bottom w:val="single" w:color="000000" w:sz="4" w:space="0"/>
              <w:right w:val="single" w:color="000000" w:sz="8" w:space="0"/>
            </w:tcBorders>
            <w:vAlign w:val="center"/>
          </w:tcPr>
          <w:p>
            <w:pPr>
              <w:widowControl/>
              <w:jc w:val="left"/>
              <w:rPr>
                <w:rFonts w:ascii="宋体" w:hAnsi="宋体" w:eastAsia="宋体" w:cs="Arial"/>
                <w:color w:val="000000"/>
                <w:kern w:val="0"/>
                <w:sz w:val="22"/>
                <w:szCs w:val="22"/>
              </w:rPr>
            </w:pPr>
          </w:p>
        </w:tc>
      </w:tr>
      <w:tr>
        <w:tblPrEx>
          <w:tblCellMar>
            <w:top w:w="0" w:type="dxa"/>
            <w:left w:w="108" w:type="dxa"/>
            <w:bottom w:w="0" w:type="dxa"/>
            <w:right w:w="108" w:type="dxa"/>
          </w:tblCellMar>
        </w:tblPrEx>
        <w:trPr>
          <w:gridBefore w:val="1"/>
          <w:wBefore w:w="38" w:type="pct"/>
          <w:trHeight w:val="323" w:hRule="atLeast"/>
        </w:trPr>
        <w:tc>
          <w:tcPr>
            <w:tcW w:w="401" w:type="pct"/>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eastAsia="宋体" w:cs="Arial"/>
                <w:color w:val="000000"/>
                <w:kern w:val="0"/>
                <w:sz w:val="20"/>
              </w:rPr>
            </w:pPr>
          </w:p>
        </w:tc>
        <w:tc>
          <w:tcPr>
            <w:tcW w:w="456" w:type="pct"/>
            <w:tcBorders>
              <w:top w:val="nil"/>
              <w:left w:val="nil"/>
              <w:bottom w:val="nil"/>
              <w:right w:val="single" w:color="000000" w:sz="4" w:space="0"/>
            </w:tcBorders>
            <w:shd w:val="clear" w:color="FFFFFF" w:fill="C0C0C0"/>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1</w:t>
            </w:r>
          </w:p>
        </w:tc>
        <w:tc>
          <w:tcPr>
            <w:tcW w:w="506" w:type="pct"/>
            <w:tcBorders>
              <w:top w:val="nil"/>
              <w:left w:val="nil"/>
              <w:bottom w:val="nil"/>
              <w:right w:val="single" w:color="000000" w:sz="4" w:space="0"/>
            </w:tcBorders>
            <w:shd w:val="clear" w:color="FFFFFF" w:fill="C0C0C0"/>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2</w:t>
            </w:r>
          </w:p>
        </w:tc>
        <w:tc>
          <w:tcPr>
            <w:tcW w:w="669" w:type="pct"/>
            <w:tcBorders>
              <w:top w:val="nil"/>
              <w:left w:val="nil"/>
              <w:bottom w:val="nil"/>
              <w:right w:val="single" w:color="000000" w:sz="4" w:space="0"/>
            </w:tcBorders>
            <w:shd w:val="clear" w:color="FFFFFF" w:fill="C0C0C0"/>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3</w:t>
            </w:r>
          </w:p>
        </w:tc>
        <w:tc>
          <w:tcPr>
            <w:tcW w:w="642" w:type="pct"/>
            <w:gridSpan w:val="2"/>
            <w:tcBorders>
              <w:top w:val="nil"/>
              <w:left w:val="nil"/>
              <w:bottom w:val="nil"/>
              <w:right w:val="single" w:color="000000" w:sz="4" w:space="0"/>
            </w:tcBorders>
            <w:shd w:val="clear" w:color="FFFFFF" w:fill="C0C0C0"/>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4</w:t>
            </w:r>
          </w:p>
        </w:tc>
        <w:tc>
          <w:tcPr>
            <w:tcW w:w="629" w:type="pct"/>
            <w:gridSpan w:val="2"/>
            <w:tcBorders>
              <w:top w:val="nil"/>
              <w:left w:val="nil"/>
              <w:bottom w:val="nil"/>
              <w:right w:val="single" w:color="000000" w:sz="4" w:space="0"/>
            </w:tcBorders>
            <w:shd w:val="clear" w:color="FFFFFF" w:fill="C0C0C0"/>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5</w:t>
            </w:r>
          </w:p>
        </w:tc>
        <w:tc>
          <w:tcPr>
            <w:tcW w:w="886" w:type="pct"/>
            <w:gridSpan w:val="2"/>
            <w:tcBorders>
              <w:top w:val="nil"/>
              <w:left w:val="nil"/>
              <w:bottom w:val="nil"/>
              <w:right w:val="single" w:color="000000" w:sz="4" w:space="0"/>
            </w:tcBorders>
            <w:shd w:val="clear" w:color="FFFFFF" w:fill="C0C0C0"/>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6</w:t>
            </w:r>
          </w:p>
        </w:tc>
        <w:tc>
          <w:tcPr>
            <w:tcW w:w="425" w:type="pct"/>
            <w:tcBorders>
              <w:top w:val="nil"/>
              <w:left w:val="nil"/>
              <w:bottom w:val="nil"/>
              <w:right w:val="single" w:color="000000" w:sz="4" w:space="0"/>
            </w:tcBorders>
            <w:shd w:val="clear" w:color="FFFFFF" w:fill="C0C0C0"/>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7</w:t>
            </w:r>
          </w:p>
        </w:tc>
        <w:tc>
          <w:tcPr>
            <w:tcW w:w="348" w:type="pct"/>
            <w:gridSpan w:val="2"/>
            <w:tcBorders>
              <w:top w:val="nil"/>
              <w:left w:val="nil"/>
              <w:bottom w:val="nil"/>
              <w:right w:val="single" w:color="000000" w:sz="8" w:space="0"/>
            </w:tcBorders>
            <w:shd w:val="clear" w:color="FFFFFF" w:fill="C0C0C0"/>
            <w:vAlign w:val="center"/>
          </w:tcPr>
          <w:p>
            <w:pPr>
              <w:widowControl/>
              <w:jc w:val="center"/>
              <w:rPr>
                <w:rFonts w:ascii="宋体" w:hAnsi="宋体" w:eastAsia="宋体" w:cs="Arial"/>
                <w:color w:val="000000"/>
                <w:kern w:val="0"/>
                <w:sz w:val="22"/>
                <w:szCs w:val="22"/>
              </w:rPr>
            </w:pPr>
            <w:r>
              <w:rPr>
                <w:rFonts w:hint="eastAsia" w:ascii="宋体" w:hAnsi="宋体" w:eastAsia="宋体" w:cs="Arial"/>
                <w:color w:val="000000"/>
                <w:kern w:val="0"/>
                <w:sz w:val="22"/>
                <w:szCs w:val="22"/>
              </w:rPr>
              <w:t>8</w:t>
            </w:r>
          </w:p>
        </w:tc>
      </w:tr>
      <w:tr>
        <w:tblPrEx>
          <w:tblCellMar>
            <w:top w:w="0" w:type="dxa"/>
            <w:left w:w="108" w:type="dxa"/>
            <w:bottom w:w="0" w:type="dxa"/>
            <w:right w:w="108" w:type="dxa"/>
          </w:tblCellMar>
        </w:tblPrEx>
        <w:trPr>
          <w:gridBefore w:val="1"/>
          <w:wBefore w:w="38" w:type="pct"/>
          <w:trHeight w:val="368" w:hRule="atLeast"/>
        </w:trPr>
        <w:tc>
          <w:tcPr>
            <w:tcW w:w="401" w:type="pct"/>
            <w:tcBorders>
              <w:top w:val="nil"/>
              <w:left w:val="single" w:color="auto" w:sz="4" w:space="0"/>
              <w:bottom w:val="nil"/>
              <w:right w:val="single" w:color="auto" w:sz="4" w:space="0"/>
            </w:tcBorders>
            <w:shd w:val="clear" w:color="auto" w:fill="auto"/>
            <w:noWrap/>
            <w:vAlign w:val="bottom"/>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预算数</w:t>
            </w:r>
          </w:p>
        </w:tc>
        <w:tc>
          <w:tcPr>
            <w:tcW w:w="456" w:type="pct"/>
            <w:tcBorders>
              <w:top w:val="single" w:color="auto" w:sz="4" w:space="0"/>
              <w:left w:val="nil"/>
              <w:bottom w:val="single" w:color="auto" w:sz="4" w:space="0"/>
              <w:right w:val="single" w:color="auto"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1.31</w:t>
            </w:r>
          </w:p>
        </w:tc>
        <w:tc>
          <w:tcPr>
            <w:tcW w:w="506" w:type="pct"/>
            <w:tcBorders>
              <w:top w:val="single" w:color="auto" w:sz="4" w:space="0"/>
              <w:left w:val="nil"/>
              <w:bottom w:val="single" w:color="auto" w:sz="4" w:space="0"/>
              <w:right w:val="single" w:color="auto"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669" w:type="pct"/>
            <w:tcBorders>
              <w:top w:val="single" w:color="auto" w:sz="4" w:space="0"/>
              <w:left w:val="nil"/>
              <w:bottom w:val="single" w:color="auto" w:sz="4" w:space="0"/>
              <w:right w:val="single" w:color="auto"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0.43</w:t>
            </w:r>
          </w:p>
        </w:tc>
        <w:tc>
          <w:tcPr>
            <w:tcW w:w="642" w:type="pct"/>
            <w:gridSpan w:val="2"/>
            <w:tcBorders>
              <w:top w:val="single" w:color="auto" w:sz="4" w:space="0"/>
              <w:left w:val="nil"/>
              <w:bottom w:val="single" w:color="auto" w:sz="4" w:space="0"/>
              <w:right w:val="single" w:color="auto"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0.88</w:t>
            </w:r>
          </w:p>
        </w:tc>
        <w:tc>
          <w:tcPr>
            <w:tcW w:w="629" w:type="pct"/>
            <w:gridSpan w:val="2"/>
            <w:tcBorders>
              <w:top w:val="single" w:color="auto" w:sz="4" w:space="0"/>
              <w:left w:val="nil"/>
              <w:bottom w:val="single" w:color="auto" w:sz="4" w:space="0"/>
              <w:right w:val="single" w:color="auto"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886" w:type="pct"/>
            <w:gridSpan w:val="2"/>
            <w:tcBorders>
              <w:top w:val="single" w:color="auto" w:sz="4" w:space="0"/>
              <w:left w:val="nil"/>
              <w:bottom w:val="single" w:color="auto" w:sz="4" w:space="0"/>
              <w:right w:val="single" w:color="auto"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0.88</w:t>
            </w:r>
          </w:p>
        </w:tc>
        <w:tc>
          <w:tcPr>
            <w:tcW w:w="425" w:type="pct"/>
            <w:tcBorders>
              <w:top w:val="single" w:color="auto" w:sz="4" w:space="0"/>
              <w:left w:val="nil"/>
              <w:bottom w:val="single" w:color="auto" w:sz="4" w:space="0"/>
              <w:right w:val="single" w:color="auto"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0.00</w:t>
            </w:r>
          </w:p>
        </w:tc>
        <w:tc>
          <w:tcPr>
            <w:tcW w:w="348" w:type="pct"/>
            <w:gridSpan w:val="2"/>
            <w:tcBorders>
              <w:top w:val="single" w:color="auto" w:sz="4" w:space="0"/>
              <w:left w:val="nil"/>
              <w:bottom w:val="single" w:color="auto" w:sz="4" w:space="0"/>
              <w:right w:val="single" w:color="auto"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gridBefore w:val="1"/>
          <w:wBefore w:w="38" w:type="pct"/>
          <w:trHeight w:val="368" w:hRule="atLeast"/>
        </w:trPr>
        <w:tc>
          <w:tcPr>
            <w:tcW w:w="401" w:type="pct"/>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决算数</w:t>
            </w:r>
          </w:p>
        </w:tc>
        <w:tc>
          <w:tcPr>
            <w:tcW w:w="456" w:type="pct"/>
            <w:tcBorders>
              <w:top w:val="nil"/>
              <w:left w:val="nil"/>
              <w:bottom w:val="nil"/>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0.47</w:t>
            </w:r>
          </w:p>
        </w:tc>
        <w:tc>
          <w:tcPr>
            <w:tcW w:w="506" w:type="pct"/>
            <w:tcBorders>
              <w:top w:val="nil"/>
              <w:left w:val="nil"/>
              <w:bottom w:val="nil"/>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669" w:type="pct"/>
            <w:tcBorders>
              <w:top w:val="nil"/>
              <w:left w:val="nil"/>
              <w:bottom w:val="nil"/>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0.16</w:t>
            </w:r>
          </w:p>
        </w:tc>
        <w:tc>
          <w:tcPr>
            <w:tcW w:w="642" w:type="pct"/>
            <w:gridSpan w:val="2"/>
            <w:tcBorders>
              <w:top w:val="nil"/>
              <w:left w:val="nil"/>
              <w:bottom w:val="nil"/>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0.32</w:t>
            </w:r>
          </w:p>
        </w:tc>
        <w:tc>
          <w:tcPr>
            <w:tcW w:w="629" w:type="pct"/>
            <w:gridSpan w:val="2"/>
            <w:tcBorders>
              <w:top w:val="nil"/>
              <w:left w:val="nil"/>
              <w:bottom w:val="nil"/>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886" w:type="pct"/>
            <w:gridSpan w:val="2"/>
            <w:tcBorders>
              <w:top w:val="nil"/>
              <w:left w:val="nil"/>
              <w:bottom w:val="nil"/>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0.32</w:t>
            </w:r>
          </w:p>
        </w:tc>
        <w:tc>
          <w:tcPr>
            <w:tcW w:w="425" w:type="pct"/>
            <w:tcBorders>
              <w:top w:val="nil"/>
              <w:left w:val="nil"/>
              <w:bottom w:val="nil"/>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0.51</w:t>
            </w:r>
          </w:p>
        </w:tc>
        <w:tc>
          <w:tcPr>
            <w:tcW w:w="348" w:type="pct"/>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gridBefore w:val="1"/>
          <w:wBefore w:w="38" w:type="pct"/>
          <w:trHeight w:val="368" w:hRule="atLeast"/>
        </w:trPr>
        <w:tc>
          <w:tcPr>
            <w:tcW w:w="401" w:type="pct"/>
            <w:tcBorders>
              <w:top w:val="nil"/>
              <w:left w:val="single" w:color="auto" w:sz="4" w:space="0"/>
              <w:bottom w:val="single" w:color="auto" w:sz="4" w:space="0"/>
              <w:right w:val="single" w:color="auto" w:sz="4" w:space="0"/>
            </w:tcBorders>
            <w:shd w:val="clear" w:color="auto" w:fill="auto"/>
            <w:noWrap/>
            <w:vAlign w:val="bottom"/>
          </w:tcPr>
          <w:p>
            <w:pPr>
              <w:widowControl/>
              <w:jc w:val="left"/>
              <w:rPr>
                <w:rFonts w:ascii="Arial" w:hAnsi="Arial" w:eastAsia="宋体" w:cs="Arial"/>
                <w:color w:val="000000"/>
                <w:kern w:val="0"/>
                <w:sz w:val="20"/>
              </w:rPr>
            </w:pPr>
            <w:r>
              <w:rPr>
                <w:rFonts w:ascii="Arial" w:hAnsi="Arial" w:eastAsia="宋体" w:cs="Arial"/>
                <w:color w:val="000000"/>
                <w:kern w:val="0"/>
                <w:sz w:val="20"/>
              </w:rPr>
              <w:t>　</w:t>
            </w:r>
          </w:p>
        </w:tc>
        <w:tc>
          <w:tcPr>
            <w:tcW w:w="456" w:type="pct"/>
            <w:tcBorders>
              <w:top w:val="single" w:color="auto" w:sz="4" w:space="0"/>
              <w:left w:val="nil"/>
              <w:bottom w:val="single" w:color="auto" w:sz="4" w:space="0"/>
              <w:right w:val="single" w:color="auto"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06" w:type="pct"/>
            <w:tcBorders>
              <w:top w:val="single" w:color="auto" w:sz="4" w:space="0"/>
              <w:left w:val="nil"/>
              <w:bottom w:val="single" w:color="auto" w:sz="4" w:space="0"/>
              <w:right w:val="single" w:color="auto"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669" w:type="pct"/>
            <w:tcBorders>
              <w:top w:val="single" w:color="auto" w:sz="4" w:space="0"/>
              <w:left w:val="nil"/>
              <w:bottom w:val="single" w:color="auto" w:sz="4" w:space="0"/>
              <w:right w:val="single" w:color="auto"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642" w:type="pct"/>
            <w:gridSpan w:val="2"/>
            <w:tcBorders>
              <w:top w:val="single" w:color="auto" w:sz="4" w:space="0"/>
              <w:left w:val="nil"/>
              <w:bottom w:val="single" w:color="auto" w:sz="4" w:space="0"/>
              <w:right w:val="single" w:color="auto"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629" w:type="pct"/>
            <w:gridSpan w:val="2"/>
            <w:tcBorders>
              <w:top w:val="single" w:color="auto" w:sz="4" w:space="0"/>
              <w:left w:val="nil"/>
              <w:bottom w:val="single" w:color="auto" w:sz="4" w:space="0"/>
              <w:right w:val="single" w:color="auto"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886" w:type="pct"/>
            <w:gridSpan w:val="2"/>
            <w:tcBorders>
              <w:top w:val="single" w:color="auto" w:sz="4" w:space="0"/>
              <w:left w:val="nil"/>
              <w:bottom w:val="single" w:color="auto" w:sz="4" w:space="0"/>
              <w:right w:val="single" w:color="auto"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25" w:type="pct"/>
            <w:tcBorders>
              <w:top w:val="single" w:color="auto" w:sz="4" w:space="0"/>
              <w:left w:val="nil"/>
              <w:bottom w:val="single" w:color="auto" w:sz="4" w:space="0"/>
              <w:right w:val="single" w:color="auto"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348" w:type="pct"/>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bl>
    <w:p>
      <w:pPr>
        <w:widowControl/>
        <w:jc w:val="left"/>
        <w:rPr>
          <w:rFonts w:hint="eastAsia" w:ascii="黑体" w:hAnsi="宋体" w:eastAsia="黑体"/>
          <w:color w:val="000000"/>
          <w:kern w:val="0"/>
          <w:sz w:val="18"/>
          <w:szCs w:val="44"/>
        </w:rPr>
      </w:pPr>
      <w:r>
        <w:rPr>
          <w:rFonts w:hint="eastAsia" w:ascii="黑体" w:hAnsi="宋体" w:eastAsia="黑体"/>
          <w:color w:val="000000"/>
          <w:kern w:val="0"/>
          <w:sz w:val="18"/>
          <w:szCs w:val="44"/>
        </w:rPr>
        <w:t>注：本表反映部门本年度一般公共预算财政拨款“三公”经费、会议费、培训费的实际支出情况。本表金额转换为万元时，因四舍五入可能存在尾差。</w:t>
      </w:r>
    </w:p>
    <w:p>
      <w:pPr>
        <w:widowControl/>
        <w:jc w:val="left"/>
        <w:rPr>
          <w:rFonts w:hint="eastAsia" w:ascii="黑体" w:hAnsi="宋体" w:eastAsia="黑体"/>
          <w:color w:val="000000"/>
          <w:kern w:val="0"/>
          <w:sz w:val="44"/>
          <w:szCs w:val="44"/>
        </w:rPr>
      </w:pPr>
    </w:p>
    <w:p>
      <w:pPr>
        <w:widowControl/>
        <w:jc w:val="center"/>
        <w:rPr>
          <w:rFonts w:hint="eastAsia" w:ascii="黑体" w:hAnsi="宋体" w:eastAsia="黑体"/>
          <w:color w:val="000000"/>
          <w:kern w:val="0"/>
          <w:sz w:val="44"/>
          <w:szCs w:val="44"/>
        </w:rPr>
      </w:pPr>
    </w:p>
    <w:p>
      <w:pPr>
        <w:widowControl/>
        <w:jc w:val="center"/>
        <w:rPr>
          <w:rFonts w:hint="eastAsia" w:ascii="黑体" w:hAnsi="宋体" w:eastAsia="黑体"/>
          <w:color w:val="000000"/>
          <w:kern w:val="0"/>
          <w:sz w:val="44"/>
          <w:szCs w:val="44"/>
        </w:rPr>
      </w:pPr>
      <w:r>
        <w:rPr>
          <w:rFonts w:hint="eastAsia" w:ascii="黑体" w:hAnsi="宋体" w:eastAsia="黑体"/>
          <w:color w:val="000000"/>
          <w:kern w:val="0"/>
          <w:sz w:val="44"/>
          <w:szCs w:val="44"/>
        </w:rPr>
        <w:t>政府性基金预算财政拨款收入支出决算表</w:t>
      </w:r>
    </w:p>
    <w:tbl>
      <w:tblPr>
        <w:tblStyle w:val="5"/>
        <w:tblW w:w="5000" w:type="pct"/>
        <w:tblInd w:w="0" w:type="dxa"/>
        <w:tblLayout w:type="autofit"/>
        <w:tblCellMar>
          <w:top w:w="0" w:type="dxa"/>
          <w:left w:w="108" w:type="dxa"/>
          <w:bottom w:w="0" w:type="dxa"/>
          <w:right w:w="108" w:type="dxa"/>
        </w:tblCellMar>
      </w:tblPr>
      <w:tblGrid>
        <w:gridCol w:w="4516"/>
        <w:gridCol w:w="1041"/>
        <w:gridCol w:w="2794"/>
        <w:gridCol w:w="1617"/>
      </w:tblGrid>
      <w:tr>
        <w:tblPrEx>
          <w:tblCellMar>
            <w:top w:w="0" w:type="dxa"/>
            <w:left w:w="108" w:type="dxa"/>
            <w:bottom w:w="0" w:type="dxa"/>
            <w:right w:w="108" w:type="dxa"/>
          </w:tblCellMar>
        </w:tblPrEx>
        <w:trPr>
          <w:trHeight w:val="255" w:hRule="atLeast"/>
        </w:trPr>
        <w:tc>
          <w:tcPr>
            <w:tcW w:w="2299"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556"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1435"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710" w:type="pct"/>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公开08表</w:t>
            </w:r>
          </w:p>
        </w:tc>
      </w:tr>
      <w:tr>
        <w:tblPrEx>
          <w:tblCellMar>
            <w:top w:w="0" w:type="dxa"/>
            <w:left w:w="108" w:type="dxa"/>
            <w:bottom w:w="0" w:type="dxa"/>
            <w:right w:w="108" w:type="dxa"/>
          </w:tblCellMar>
        </w:tblPrEx>
        <w:trPr>
          <w:trHeight w:val="255" w:hRule="atLeast"/>
        </w:trPr>
        <w:tc>
          <w:tcPr>
            <w:tcW w:w="2299" w:type="pct"/>
            <w:tcBorders>
              <w:top w:val="nil"/>
              <w:left w:val="nil"/>
              <w:bottom w:val="nil"/>
              <w:right w:val="nil"/>
            </w:tcBorders>
            <w:shd w:val="clear" w:color="auto" w:fill="auto"/>
            <w:noWrap/>
            <w:vAlign w:val="bottom"/>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编制部门：西安市蓝田县住房和城乡建设局</w:t>
            </w:r>
          </w:p>
        </w:tc>
        <w:tc>
          <w:tcPr>
            <w:tcW w:w="556" w:type="pct"/>
            <w:tcBorders>
              <w:top w:val="nil"/>
              <w:left w:val="nil"/>
              <w:bottom w:val="nil"/>
              <w:right w:val="nil"/>
            </w:tcBorders>
            <w:shd w:val="clear" w:color="auto" w:fill="auto"/>
            <w:noWrap/>
            <w:vAlign w:val="bottom"/>
          </w:tcPr>
          <w:p>
            <w:pPr>
              <w:widowControl/>
              <w:rPr>
                <w:rFonts w:ascii="宋体" w:hAnsi="宋体" w:eastAsia="宋体" w:cs="Arial"/>
                <w:color w:val="000000"/>
                <w:kern w:val="0"/>
                <w:sz w:val="20"/>
              </w:rPr>
            </w:pPr>
            <w:r>
              <w:rPr>
                <w:rFonts w:hint="eastAsia" w:ascii="宋体" w:hAnsi="宋体" w:eastAsia="宋体" w:cs="Arial"/>
                <w:color w:val="000000"/>
                <w:kern w:val="0"/>
                <w:sz w:val="20"/>
              </w:rPr>
              <w:t>2019年</w:t>
            </w:r>
          </w:p>
        </w:tc>
        <w:tc>
          <w:tcPr>
            <w:tcW w:w="1435" w:type="pct"/>
            <w:tcBorders>
              <w:top w:val="nil"/>
              <w:left w:val="nil"/>
              <w:bottom w:val="nil"/>
              <w:right w:val="nil"/>
            </w:tcBorders>
            <w:shd w:val="clear" w:color="auto" w:fill="auto"/>
            <w:noWrap/>
            <w:vAlign w:val="bottom"/>
          </w:tcPr>
          <w:p>
            <w:pPr>
              <w:widowControl/>
              <w:jc w:val="left"/>
              <w:rPr>
                <w:rFonts w:ascii="Arial" w:hAnsi="Arial" w:eastAsia="宋体" w:cs="Arial"/>
                <w:color w:val="000000"/>
                <w:kern w:val="0"/>
                <w:sz w:val="20"/>
              </w:rPr>
            </w:pPr>
          </w:p>
        </w:tc>
        <w:tc>
          <w:tcPr>
            <w:tcW w:w="710" w:type="pct"/>
            <w:tcBorders>
              <w:top w:val="nil"/>
              <w:left w:val="nil"/>
              <w:bottom w:val="nil"/>
              <w:right w:val="nil"/>
            </w:tcBorders>
            <w:shd w:val="clear" w:color="auto" w:fill="auto"/>
            <w:noWrap/>
            <w:vAlign w:val="bottom"/>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金额单位：万元</w:t>
            </w:r>
          </w:p>
        </w:tc>
      </w:tr>
    </w:tbl>
    <w:p>
      <w:pPr>
        <w:widowControl/>
        <w:jc w:val="left"/>
        <w:rPr>
          <w:rFonts w:hint="eastAsia" w:ascii="黑体" w:hAnsi="宋体" w:eastAsia="黑体"/>
          <w:color w:val="000000"/>
          <w:kern w:val="0"/>
          <w:sz w:val="44"/>
          <w:szCs w:val="44"/>
        </w:rPr>
      </w:pPr>
    </w:p>
    <w:tbl>
      <w:tblPr>
        <w:tblStyle w:val="5"/>
        <w:tblW w:w="5000" w:type="pct"/>
        <w:tblInd w:w="0" w:type="dxa"/>
        <w:tblLayout w:type="autofit"/>
        <w:tblCellMar>
          <w:top w:w="0" w:type="dxa"/>
          <w:left w:w="108" w:type="dxa"/>
          <w:bottom w:w="0" w:type="dxa"/>
          <w:right w:w="108" w:type="dxa"/>
        </w:tblCellMar>
      </w:tblPr>
      <w:tblGrid>
        <w:gridCol w:w="1014"/>
        <w:gridCol w:w="3806"/>
        <w:gridCol w:w="533"/>
        <w:gridCol w:w="883"/>
        <w:gridCol w:w="915"/>
        <w:gridCol w:w="915"/>
        <w:gridCol w:w="1027"/>
        <w:gridCol w:w="875"/>
      </w:tblGrid>
      <w:tr>
        <w:tblPrEx>
          <w:tblCellMar>
            <w:top w:w="0" w:type="dxa"/>
            <w:left w:w="108" w:type="dxa"/>
            <w:bottom w:w="0" w:type="dxa"/>
            <w:right w:w="108" w:type="dxa"/>
          </w:tblCellMar>
        </w:tblPrEx>
        <w:trPr>
          <w:trHeight w:val="308" w:hRule="atLeast"/>
        </w:trPr>
        <w:tc>
          <w:tcPr>
            <w:tcW w:w="2475" w:type="pct"/>
            <w:gridSpan w:val="2"/>
            <w:tcBorders>
              <w:top w:val="single" w:color="000000" w:sz="4" w:space="0"/>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0"/>
              </w:rPr>
            </w:pPr>
            <w:r>
              <w:rPr>
                <w:rFonts w:hint="eastAsia" w:ascii="宋体" w:hAnsi="宋体" w:eastAsia="宋体" w:cs="Arial"/>
                <w:color w:val="000000"/>
                <w:kern w:val="0"/>
                <w:sz w:val="20"/>
              </w:rPr>
              <w:t>项目</w:t>
            </w:r>
          </w:p>
        </w:tc>
        <w:tc>
          <w:tcPr>
            <w:tcW w:w="250" w:type="pct"/>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0"/>
              </w:rPr>
            </w:pPr>
            <w:r>
              <w:rPr>
                <w:rFonts w:hint="eastAsia" w:ascii="宋体" w:hAnsi="宋体" w:eastAsia="宋体" w:cs="Arial"/>
                <w:color w:val="000000"/>
                <w:kern w:val="0"/>
                <w:sz w:val="20"/>
              </w:rPr>
              <w:t>年初结转和结余</w:t>
            </w:r>
          </w:p>
        </w:tc>
        <w:tc>
          <w:tcPr>
            <w:tcW w:w="434" w:type="pct"/>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0"/>
              </w:rPr>
            </w:pPr>
            <w:r>
              <w:rPr>
                <w:rFonts w:hint="eastAsia" w:ascii="宋体" w:hAnsi="宋体" w:eastAsia="宋体" w:cs="Arial"/>
                <w:color w:val="000000"/>
                <w:kern w:val="0"/>
                <w:sz w:val="20"/>
              </w:rPr>
              <w:t>本年收入</w:t>
            </w:r>
          </w:p>
        </w:tc>
        <w:tc>
          <w:tcPr>
            <w:tcW w:w="1412" w:type="pct"/>
            <w:gridSpan w:val="3"/>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0"/>
              </w:rPr>
            </w:pPr>
            <w:r>
              <w:rPr>
                <w:rFonts w:hint="eastAsia" w:ascii="宋体" w:hAnsi="宋体" w:eastAsia="宋体" w:cs="Arial"/>
                <w:color w:val="000000"/>
                <w:kern w:val="0"/>
                <w:sz w:val="20"/>
              </w:rPr>
              <w:t>本年支出</w:t>
            </w:r>
          </w:p>
        </w:tc>
        <w:tc>
          <w:tcPr>
            <w:tcW w:w="428" w:type="pct"/>
            <w:vMerge w:val="restart"/>
            <w:tcBorders>
              <w:top w:val="single" w:color="000000" w:sz="4" w:space="0"/>
              <w:left w:val="nil"/>
              <w:bottom w:val="single" w:color="000000" w:sz="4" w:space="0"/>
              <w:right w:val="single" w:color="000000" w:sz="8" w:space="0"/>
            </w:tcBorders>
            <w:shd w:val="clear" w:color="FFFFFF" w:fill="C0C0C0"/>
            <w:vAlign w:val="center"/>
          </w:tcPr>
          <w:p>
            <w:pPr>
              <w:widowControl/>
              <w:jc w:val="center"/>
              <w:rPr>
                <w:rFonts w:ascii="宋体" w:hAnsi="宋体" w:eastAsia="宋体" w:cs="Arial"/>
                <w:color w:val="000000"/>
                <w:kern w:val="0"/>
                <w:sz w:val="20"/>
              </w:rPr>
            </w:pPr>
            <w:r>
              <w:rPr>
                <w:rFonts w:hint="eastAsia" w:ascii="宋体" w:hAnsi="宋体" w:eastAsia="宋体" w:cs="Arial"/>
                <w:color w:val="000000"/>
                <w:kern w:val="0"/>
                <w:sz w:val="20"/>
              </w:rPr>
              <w:t>年末结转和结余</w:t>
            </w:r>
          </w:p>
        </w:tc>
      </w:tr>
      <w:tr>
        <w:tblPrEx>
          <w:tblCellMar>
            <w:top w:w="0" w:type="dxa"/>
            <w:left w:w="108" w:type="dxa"/>
            <w:bottom w:w="0" w:type="dxa"/>
            <w:right w:w="108" w:type="dxa"/>
          </w:tblCellMar>
        </w:tblPrEx>
        <w:trPr>
          <w:trHeight w:val="435" w:hRule="atLeast"/>
        </w:trPr>
        <w:tc>
          <w:tcPr>
            <w:tcW w:w="503" w:type="pct"/>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0"/>
              </w:rPr>
            </w:pPr>
            <w:r>
              <w:rPr>
                <w:rFonts w:hint="eastAsia" w:ascii="宋体" w:hAnsi="宋体" w:eastAsia="宋体" w:cs="Arial"/>
                <w:color w:val="000000"/>
                <w:kern w:val="0"/>
                <w:sz w:val="20"/>
              </w:rPr>
              <w:t>功能分类科目编码</w:t>
            </w:r>
          </w:p>
        </w:tc>
        <w:tc>
          <w:tcPr>
            <w:tcW w:w="1972"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0"/>
              </w:rPr>
            </w:pPr>
            <w:r>
              <w:rPr>
                <w:rFonts w:hint="eastAsia" w:ascii="宋体" w:hAnsi="宋体" w:eastAsia="宋体" w:cs="Arial"/>
                <w:color w:val="000000"/>
                <w:kern w:val="0"/>
                <w:sz w:val="20"/>
              </w:rPr>
              <w:t>科目名称</w:t>
            </w:r>
          </w:p>
        </w:tc>
        <w:tc>
          <w:tcPr>
            <w:tcW w:w="250"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0"/>
              </w:rPr>
            </w:pPr>
          </w:p>
        </w:tc>
        <w:tc>
          <w:tcPr>
            <w:tcW w:w="434"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0"/>
              </w:rPr>
            </w:pPr>
          </w:p>
        </w:tc>
        <w:tc>
          <w:tcPr>
            <w:tcW w:w="451"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0"/>
              </w:rPr>
            </w:pPr>
            <w:r>
              <w:rPr>
                <w:rFonts w:hint="eastAsia" w:ascii="宋体" w:hAnsi="宋体" w:eastAsia="宋体" w:cs="Arial"/>
                <w:color w:val="000000"/>
                <w:kern w:val="0"/>
                <w:sz w:val="20"/>
              </w:rPr>
              <w:t>小计</w:t>
            </w:r>
          </w:p>
        </w:tc>
        <w:tc>
          <w:tcPr>
            <w:tcW w:w="451"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0"/>
              </w:rPr>
            </w:pPr>
            <w:r>
              <w:rPr>
                <w:rFonts w:hint="eastAsia" w:ascii="宋体" w:hAnsi="宋体" w:eastAsia="宋体" w:cs="Arial"/>
                <w:color w:val="000000"/>
                <w:kern w:val="0"/>
                <w:sz w:val="20"/>
              </w:rPr>
              <w:t>基本支出</w:t>
            </w:r>
          </w:p>
        </w:tc>
        <w:tc>
          <w:tcPr>
            <w:tcW w:w="509"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0"/>
              </w:rPr>
            </w:pPr>
            <w:r>
              <w:rPr>
                <w:rFonts w:hint="eastAsia" w:ascii="宋体" w:hAnsi="宋体" w:eastAsia="宋体" w:cs="Arial"/>
                <w:color w:val="000000"/>
                <w:kern w:val="0"/>
                <w:sz w:val="20"/>
              </w:rPr>
              <w:t>项目支出</w:t>
            </w:r>
          </w:p>
        </w:tc>
        <w:tc>
          <w:tcPr>
            <w:tcW w:w="428" w:type="pct"/>
            <w:vMerge w:val="continue"/>
            <w:tcBorders>
              <w:top w:val="single" w:color="000000" w:sz="4" w:space="0"/>
              <w:left w:val="nil"/>
              <w:bottom w:val="single" w:color="000000" w:sz="4" w:space="0"/>
              <w:right w:val="single" w:color="000000" w:sz="8" w:space="0"/>
            </w:tcBorders>
            <w:vAlign w:val="center"/>
          </w:tcPr>
          <w:p>
            <w:pPr>
              <w:widowControl/>
              <w:jc w:val="left"/>
              <w:rPr>
                <w:rFonts w:ascii="宋体" w:hAnsi="宋体" w:eastAsia="宋体" w:cs="Arial"/>
                <w:color w:val="000000"/>
                <w:kern w:val="0"/>
                <w:sz w:val="20"/>
              </w:rPr>
            </w:pPr>
          </w:p>
        </w:tc>
      </w:tr>
      <w:tr>
        <w:tblPrEx>
          <w:tblCellMar>
            <w:top w:w="0" w:type="dxa"/>
            <w:left w:w="108" w:type="dxa"/>
            <w:bottom w:w="0" w:type="dxa"/>
            <w:right w:w="108" w:type="dxa"/>
          </w:tblCellMar>
        </w:tblPrEx>
        <w:trPr>
          <w:trHeight w:val="435" w:hRule="atLeast"/>
        </w:trPr>
        <w:tc>
          <w:tcPr>
            <w:tcW w:w="503"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20"/>
              </w:rPr>
            </w:pPr>
          </w:p>
        </w:tc>
        <w:tc>
          <w:tcPr>
            <w:tcW w:w="1972" w:type="pct"/>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0"/>
              </w:rPr>
            </w:pPr>
          </w:p>
        </w:tc>
        <w:tc>
          <w:tcPr>
            <w:tcW w:w="250"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0"/>
              </w:rPr>
            </w:pPr>
          </w:p>
        </w:tc>
        <w:tc>
          <w:tcPr>
            <w:tcW w:w="434"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0"/>
              </w:rPr>
            </w:pPr>
          </w:p>
        </w:tc>
        <w:tc>
          <w:tcPr>
            <w:tcW w:w="451" w:type="pct"/>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0"/>
              </w:rPr>
            </w:pPr>
          </w:p>
        </w:tc>
        <w:tc>
          <w:tcPr>
            <w:tcW w:w="451" w:type="pct"/>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0"/>
              </w:rPr>
            </w:pPr>
          </w:p>
        </w:tc>
        <w:tc>
          <w:tcPr>
            <w:tcW w:w="509" w:type="pct"/>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0"/>
              </w:rPr>
            </w:pPr>
          </w:p>
        </w:tc>
        <w:tc>
          <w:tcPr>
            <w:tcW w:w="428" w:type="pct"/>
            <w:vMerge w:val="continue"/>
            <w:tcBorders>
              <w:top w:val="single" w:color="000000" w:sz="4" w:space="0"/>
              <w:left w:val="nil"/>
              <w:bottom w:val="single" w:color="000000" w:sz="4" w:space="0"/>
              <w:right w:val="single" w:color="000000" w:sz="8" w:space="0"/>
            </w:tcBorders>
            <w:vAlign w:val="center"/>
          </w:tcPr>
          <w:p>
            <w:pPr>
              <w:widowControl/>
              <w:jc w:val="left"/>
              <w:rPr>
                <w:rFonts w:ascii="宋体" w:hAnsi="宋体" w:eastAsia="宋体" w:cs="Arial"/>
                <w:color w:val="000000"/>
                <w:kern w:val="0"/>
                <w:sz w:val="20"/>
              </w:rPr>
            </w:pPr>
          </w:p>
        </w:tc>
      </w:tr>
      <w:tr>
        <w:tblPrEx>
          <w:tblCellMar>
            <w:top w:w="0" w:type="dxa"/>
            <w:left w:w="108" w:type="dxa"/>
            <w:bottom w:w="0" w:type="dxa"/>
            <w:right w:w="108" w:type="dxa"/>
          </w:tblCellMar>
        </w:tblPrEx>
        <w:trPr>
          <w:trHeight w:val="615" w:hRule="atLeast"/>
        </w:trPr>
        <w:tc>
          <w:tcPr>
            <w:tcW w:w="503" w:type="pct"/>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eastAsia="宋体" w:cs="Arial"/>
                <w:color w:val="000000"/>
                <w:kern w:val="0"/>
                <w:sz w:val="20"/>
              </w:rPr>
            </w:pPr>
          </w:p>
        </w:tc>
        <w:tc>
          <w:tcPr>
            <w:tcW w:w="1972" w:type="pct"/>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0"/>
              </w:rPr>
            </w:pPr>
          </w:p>
        </w:tc>
        <w:tc>
          <w:tcPr>
            <w:tcW w:w="250"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0"/>
              </w:rPr>
            </w:pPr>
          </w:p>
        </w:tc>
        <w:tc>
          <w:tcPr>
            <w:tcW w:w="434" w:type="pct"/>
            <w:vMerge w:val="continue"/>
            <w:tcBorders>
              <w:top w:val="single" w:color="000000" w:sz="4" w:space="0"/>
              <w:left w:val="nil"/>
              <w:bottom w:val="single" w:color="000000" w:sz="4" w:space="0"/>
              <w:right w:val="single" w:color="000000" w:sz="4" w:space="0"/>
            </w:tcBorders>
            <w:vAlign w:val="center"/>
          </w:tcPr>
          <w:p>
            <w:pPr>
              <w:widowControl/>
              <w:jc w:val="left"/>
              <w:rPr>
                <w:rFonts w:ascii="宋体" w:hAnsi="宋体" w:eastAsia="宋体" w:cs="Arial"/>
                <w:color w:val="000000"/>
                <w:kern w:val="0"/>
                <w:sz w:val="20"/>
              </w:rPr>
            </w:pPr>
          </w:p>
        </w:tc>
        <w:tc>
          <w:tcPr>
            <w:tcW w:w="451" w:type="pct"/>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0"/>
              </w:rPr>
            </w:pPr>
          </w:p>
        </w:tc>
        <w:tc>
          <w:tcPr>
            <w:tcW w:w="451" w:type="pct"/>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0"/>
              </w:rPr>
            </w:pPr>
          </w:p>
        </w:tc>
        <w:tc>
          <w:tcPr>
            <w:tcW w:w="509" w:type="pct"/>
            <w:vMerge w:val="continue"/>
            <w:tcBorders>
              <w:top w:val="nil"/>
              <w:left w:val="nil"/>
              <w:bottom w:val="single" w:color="000000" w:sz="4" w:space="0"/>
              <w:right w:val="single" w:color="000000" w:sz="4" w:space="0"/>
            </w:tcBorders>
            <w:vAlign w:val="center"/>
          </w:tcPr>
          <w:p>
            <w:pPr>
              <w:widowControl/>
              <w:jc w:val="left"/>
              <w:rPr>
                <w:rFonts w:ascii="宋体" w:hAnsi="宋体" w:eastAsia="宋体" w:cs="Arial"/>
                <w:color w:val="000000"/>
                <w:kern w:val="0"/>
                <w:sz w:val="20"/>
              </w:rPr>
            </w:pPr>
          </w:p>
        </w:tc>
        <w:tc>
          <w:tcPr>
            <w:tcW w:w="428" w:type="pct"/>
            <w:vMerge w:val="continue"/>
            <w:tcBorders>
              <w:top w:val="single" w:color="000000" w:sz="4" w:space="0"/>
              <w:left w:val="nil"/>
              <w:bottom w:val="single" w:color="000000" w:sz="4" w:space="0"/>
              <w:right w:val="single" w:color="000000" w:sz="8" w:space="0"/>
            </w:tcBorders>
            <w:vAlign w:val="center"/>
          </w:tcPr>
          <w:p>
            <w:pPr>
              <w:widowControl/>
              <w:jc w:val="left"/>
              <w:rPr>
                <w:rFonts w:ascii="宋体" w:hAnsi="宋体" w:eastAsia="宋体" w:cs="Arial"/>
                <w:color w:val="000000"/>
                <w:kern w:val="0"/>
                <w:sz w:val="20"/>
              </w:rPr>
            </w:pPr>
          </w:p>
        </w:tc>
      </w:tr>
      <w:tr>
        <w:tblPrEx>
          <w:tblCellMar>
            <w:top w:w="0" w:type="dxa"/>
            <w:left w:w="108" w:type="dxa"/>
            <w:bottom w:w="0" w:type="dxa"/>
            <w:right w:w="108" w:type="dxa"/>
          </w:tblCellMar>
        </w:tblPrEx>
        <w:trPr>
          <w:trHeight w:val="308" w:hRule="atLeast"/>
        </w:trPr>
        <w:tc>
          <w:tcPr>
            <w:tcW w:w="2475" w:type="pct"/>
            <w:gridSpan w:val="2"/>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ascii="宋体" w:hAnsi="宋体" w:eastAsia="宋体" w:cs="Arial"/>
                <w:color w:val="000000"/>
                <w:kern w:val="0"/>
                <w:sz w:val="20"/>
              </w:rPr>
            </w:pPr>
            <w:r>
              <w:rPr>
                <w:rFonts w:hint="eastAsia" w:ascii="宋体" w:hAnsi="宋体" w:eastAsia="宋体" w:cs="Arial"/>
                <w:color w:val="000000"/>
                <w:kern w:val="0"/>
                <w:sz w:val="20"/>
              </w:rPr>
              <w:t>合计</w:t>
            </w:r>
          </w:p>
        </w:tc>
        <w:tc>
          <w:tcPr>
            <w:tcW w:w="25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434"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843.16</w:t>
            </w:r>
          </w:p>
        </w:tc>
        <w:tc>
          <w:tcPr>
            <w:tcW w:w="45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843.16</w:t>
            </w:r>
          </w:p>
        </w:tc>
        <w:tc>
          <w:tcPr>
            <w:tcW w:w="45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748.00</w:t>
            </w:r>
          </w:p>
        </w:tc>
        <w:tc>
          <w:tcPr>
            <w:tcW w:w="5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95.16</w:t>
            </w:r>
          </w:p>
        </w:tc>
        <w:tc>
          <w:tcPr>
            <w:tcW w:w="428"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trHeight w:val="308" w:hRule="atLeast"/>
        </w:trPr>
        <w:tc>
          <w:tcPr>
            <w:tcW w:w="503"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212</w:t>
            </w:r>
          </w:p>
        </w:tc>
        <w:tc>
          <w:tcPr>
            <w:tcW w:w="1972"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城乡社区支出</w:t>
            </w:r>
          </w:p>
        </w:tc>
        <w:tc>
          <w:tcPr>
            <w:tcW w:w="25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434"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843.16</w:t>
            </w:r>
          </w:p>
        </w:tc>
        <w:tc>
          <w:tcPr>
            <w:tcW w:w="45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843.16</w:t>
            </w:r>
          </w:p>
        </w:tc>
        <w:tc>
          <w:tcPr>
            <w:tcW w:w="45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748.00</w:t>
            </w:r>
          </w:p>
        </w:tc>
        <w:tc>
          <w:tcPr>
            <w:tcW w:w="5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95.16</w:t>
            </w:r>
          </w:p>
        </w:tc>
        <w:tc>
          <w:tcPr>
            <w:tcW w:w="428"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trHeight w:val="308" w:hRule="atLeast"/>
        </w:trPr>
        <w:tc>
          <w:tcPr>
            <w:tcW w:w="503"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21213</w:t>
            </w:r>
          </w:p>
        </w:tc>
        <w:tc>
          <w:tcPr>
            <w:tcW w:w="1972"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城市基础设施配套费安排的支出</w:t>
            </w:r>
          </w:p>
        </w:tc>
        <w:tc>
          <w:tcPr>
            <w:tcW w:w="25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434"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843.16</w:t>
            </w:r>
          </w:p>
        </w:tc>
        <w:tc>
          <w:tcPr>
            <w:tcW w:w="45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843.16</w:t>
            </w:r>
          </w:p>
        </w:tc>
        <w:tc>
          <w:tcPr>
            <w:tcW w:w="45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748.00</w:t>
            </w:r>
          </w:p>
        </w:tc>
        <w:tc>
          <w:tcPr>
            <w:tcW w:w="5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95.16</w:t>
            </w:r>
          </w:p>
        </w:tc>
        <w:tc>
          <w:tcPr>
            <w:tcW w:w="428"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trHeight w:val="308" w:hRule="atLeast"/>
        </w:trPr>
        <w:tc>
          <w:tcPr>
            <w:tcW w:w="503"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2121301</w:t>
            </w:r>
          </w:p>
        </w:tc>
        <w:tc>
          <w:tcPr>
            <w:tcW w:w="1972"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 xml:space="preserve">  城市公共设施</w:t>
            </w:r>
          </w:p>
        </w:tc>
        <w:tc>
          <w:tcPr>
            <w:tcW w:w="25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434"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45.00</w:t>
            </w:r>
          </w:p>
        </w:tc>
        <w:tc>
          <w:tcPr>
            <w:tcW w:w="45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45.00</w:t>
            </w:r>
          </w:p>
        </w:tc>
        <w:tc>
          <w:tcPr>
            <w:tcW w:w="45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45.00</w:t>
            </w:r>
          </w:p>
        </w:tc>
        <w:tc>
          <w:tcPr>
            <w:tcW w:w="428"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trHeight w:val="308" w:hRule="atLeast"/>
        </w:trPr>
        <w:tc>
          <w:tcPr>
            <w:tcW w:w="503"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2121399</w:t>
            </w:r>
          </w:p>
        </w:tc>
        <w:tc>
          <w:tcPr>
            <w:tcW w:w="1972"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 xml:space="preserve">  其他城市基础设施配套费安排的支出</w:t>
            </w:r>
          </w:p>
        </w:tc>
        <w:tc>
          <w:tcPr>
            <w:tcW w:w="25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434"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798.16</w:t>
            </w:r>
          </w:p>
        </w:tc>
        <w:tc>
          <w:tcPr>
            <w:tcW w:w="45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798.16</w:t>
            </w:r>
          </w:p>
        </w:tc>
        <w:tc>
          <w:tcPr>
            <w:tcW w:w="45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748.00</w:t>
            </w:r>
          </w:p>
        </w:tc>
        <w:tc>
          <w:tcPr>
            <w:tcW w:w="5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50.16</w:t>
            </w:r>
          </w:p>
        </w:tc>
        <w:tc>
          <w:tcPr>
            <w:tcW w:w="428"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trHeight w:val="308" w:hRule="atLeast"/>
        </w:trPr>
        <w:tc>
          <w:tcPr>
            <w:tcW w:w="503"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　</w:t>
            </w:r>
          </w:p>
        </w:tc>
        <w:tc>
          <w:tcPr>
            <w:tcW w:w="1972"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0"/>
              </w:rPr>
            </w:pPr>
            <w:r>
              <w:rPr>
                <w:rFonts w:hint="eastAsia" w:ascii="宋体" w:hAnsi="宋体" w:eastAsia="宋体" w:cs="Arial"/>
                <w:color w:val="000000"/>
                <w:kern w:val="0"/>
                <w:sz w:val="20"/>
              </w:rPr>
              <w:t>　</w:t>
            </w:r>
          </w:p>
        </w:tc>
        <w:tc>
          <w:tcPr>
            <w:tcW w:w="25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434"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45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45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5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c>
          <w:tcPr>
            <w:tcW w:w="428"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0"/>
              </w:rPr>
            </w:pPr>
            <w:r>
              <w:rPr>
                <w:rFonts w:hint="eastAsia" w:ascii="宋体" w:hAnsi="宋体" w:eastAsia="宋体" w:cs="Arial"/>
                <w:color w:val="000000"/>
                <w:kern w:val="0"/>
                <w:sz w:val="20"/>
              </w:rPr>
              <w:t>　</w:t>
            </w:r>
          </w:p>
        </w:tc>
      </w:tr>
      <w:tr>
        <w:tblPrEx>
          <w:tblCellMar>
            <w:top w:w="0" w:type="dxa"/>
            <w:left w:w="108" w:type="dxa"/>
            <w:bottom w:w="0" w:type="dxa"/>
            <w:right w:w="108" w:type="dxa"/>
          </w:tblCellMar>
        </w:tblPrEx>
        <w:trPr>
          <w:trHeight w:val="308" w:hRule="atLeast"/>
        </w:trPr>
        <w:tc>
          <w:tcPr>
            <w:tcW w:w="503"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972"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5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34"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5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5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28"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503" w:type="pct"/>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972" w:type="pct"/>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50"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34"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5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51"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09" w:type="pct"/>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28" w:type="pct"/>
            <w:tcBorders>
              <w:top w:val="nil"/>
              <w:left w:val="nil"/>
              <w:bottom w:val="single" w:color="000000" w:sz="4"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503" w:type="pct"/>
            <w:tcBorders>
              <w:top w:val="nil"/>
              <w:left w:val="single" w:color="000000" w:sz="4" w:space="0"/>
              <w:bottom w:val="single" w:color="000000" w:sz="8"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1972" w:type="pct"/>
            <w:tcBorders>
              <w:top w:val="nil"/>
              <w:left w:val="nil"/>
              <w:bottom w:val="single" w:color="000000" w:sz="8" w:space="0"/>
              <w:right w:val="single" w:color="000000" w:sz="4" w:space="0"/>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250" w:type="pct"/>
            <w:tcBorders>
              <w:top w:val="nil"/>
              <w:left w:val="nil"/>
              <w:bottom w:val="single" w:color="000000" w:sz="8"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34" w:type="pct"/>
            <w:tcBorders>
              <w:top w:val="nil"/>
              <w:left w:val="nil"/>
              <w:bottom w:val="single" w:color="000000" w:sz="8"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51" w:type="pct"/>
            <w:tcBorders>
              <w:top w:val="nil"/>
              <w:left w:val="nil"/>
              <w:bottom w:val="single" w:color="000000" w:sz="8"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51" w:type="pct"/>
            <w:tcBorders>
              <w:top w:val="nil"/>
              <w:left w:val="nil"/>
              <w:bottom w:val="single" w:color="000000" w:sz="8"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509" w:type="pct"/>
            <w:tcBorders>
              <w:top w:val="nil"/>
              <w:left w:val="nil"/>
              <w:bottom w:val="single" w:color="000000" w:sz="8" w:space="0"/>
              <w:right w:val="single" w:color="000000" w:sz="4"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c>
          <w:tcPr>
            <w:tcW w:w="428" w:type="pct"/>
            <w:tcBorders>
              <w:top w:val="nil"/>
              <w:left w:val="nil"/>
              <w:bottom w:val="single" w:color="000000" w:sz="8" w:space="0"/>
              <w:right w:val="single" w:color="000000" w:sz="8" w:space="0"/>
            </w:tcBorders>
            <w:shd w:val="clear" w:color="auto" w:fill="auto"/>
            <w:noWrap/>
            <w:vAlign w:val="center"/>
          </w:tcPr>
          <w:p>
            <w:pPr>
              <w:widowControl/>
              <w:jc w:val="right"/>
              <w:rPr>
                <w:rFonts w:ascii="宋体" w:hAnsi="宋体" w:eastAsia="宋体" w:cs="Arial"/>
                <w:color w:val="000000"/>
                <w:kern w:val="0"/>
                <w:sz w:val="22"/>
                <w:szCs w:val="22"/>
              </w:rPr>
            </w:pPr>
            <w:r>
              <w:rPr>
                <w:rFonts w:hint="eastAsia" w:ascii="宋体" w:hAnsi="宋体" w:eastAsia="宋体" w:cs="Arial"/>
                <w:color w:val="000000"/>
                <w:kern w:val="0"/>
                <w:sz w:val="22"/>
                <w:szCs w:val="22"/>
              </w:rPr>
              <w:t>　</w:t>
            </w:r>
          </w:p>
        </w:tc>
      </w:tr>
      <w:tr>
        <w:tblPrEx>
          <w:tblCellMar>
            <w:top w:w="0" w:type="dxa"/>
            <w:left w:w="108" w:type="dxa"/>
            <w:bottom w:w="0" w:type="dxa"/>
            <w:right w:w="108" w:type="dxa"/>
          </w:tblCellMar>
        </w:tblPrEx>
        <w:trPr>
          <w:trHeight w:val="308" w:hRule="atLeast"/>
        </w:trPr>
        <w:tc>
          <w:tcPr>
            <w:tcW w:w="5000" w:type="pct"/>
            <w:gridSpan w:val="8"/>
            <w:tcBorders>
              <w:top w:val="nil"/>
              <w:left w:val="nil"/>
              <w:bottom w:val="nil"/>
              <w:right w:val="nil"/>
            </w:tcBorders>
            <w:shd w:val="clear" w:color="auto" w:fill="auto"/>
            <w:noWrap/>
            <w:vAlign w:val="center"/>
          </w:tcPr>
          <w:p>
            <w:pPr>
              <w:widowControl/>
              <w:jc w:val="left"/>
              <w:rPr>
                <w:rFonts w:ascii="宋体" w:hAnsi="宋体" w:eastAsia="宋体" w:cs="Arial"/>
                <w:color w:val="000000"/>
                <w:kern w:val="0"/>
                <w:sz w:val="22"/>
                <w:szCs w:val="22"/>
              </w:rPr>
            </w:pPr>
            <w:r>
              <w:rPr>
                <w:rFonts w:hint="eastAsia" w:ascii="宋体" w:hAnsi="宋体" w:eastAsia="宋体" w:cs="Arial"/>
                <w:color w:val="000000"/>
                <w:kern w:val="0"/>
                <w:sz w:val="22"/>
                <w:szCs w:val="22"/>
              </w:rPr>
              <w:t>注：本表反映部门本年度政府性基金预算财政拨款收入支出及结转和结余情况。本表金额转换为万元时，因四舍五入可能存在尾差。</w:t>
            </w:r>
          </w:p>
        </w:tc>
      </w:tr>
    </w:tbl>
    <w:p>
      <w:pPr>
        <w:widowControl/>
        <w:jc w:val="left"/>
        <w:rPr>
          <w:rFonts w:hint="eastAsia" w:ascii="黑体" w:hAnsi="宋体" w:eastAsia="黑体"/>
          <w:color w:val="000000"/>
          <w:kern w:val="0"/>
          <w:sz w:val="44"/>
          <w:szCs w:val="44"/>
        </w:rPr>
      </w:pPr>
    </w:p>
    <w:p>
      <w:pPr>
        <w:widowControl/>
        <w:jc w:val="left"/>
        <w:rPr>
          <w:rFonts w:hint="eastAsia" w:ascii="黑体" w:hAnsi="宋体" w:eastAsia="黑体"/>
          <w:color w:val="000000"/>
          <w:kern w:val="0"/>
          <w:sz w:val="44"/>
          <w:szCs w:val="44"/>
        </w:rPr>
      </w:pPr>
    </w:p>
    <w:p>
      <w:pPr>
        <w:widowControl/>
        <w:jc w:val="left"/>
        <w:rPr>
          <w:rFonts w:hint="eastAsia" w:ascii="黑体" w:hAnsi="宋体" w:eastAsia="黑体"/>
          <w:color w:val="000000"/>
          <w:kern w:val="0"/>
          <w:sz w:val="44"/>
          <w:szCs w:val="44"/>
        </w:rPr>
      </w:pPr>
    </w:p>
    <w:p>
      <w:pPr>
        <w:widowControl/>
        <w:jc w:val="left"/>
        <w:rPr>
          <w:rFonts w:hint="eastAsia" w:ascii="黑体" w:hAnsi="宋体" w:eastAsia="黑体"/>
          <w:color w:val="000000"/>
          <w:kern w:val="0"/>
          <w:sz w:val="44"/>
          <w:szCs w:val="44"/>
        </w:rPr>
      </w:pPr>
    </w:p>
    <w:p>
      <w:pPr>
        <w:jc w:val="center"/>
        <w:rPr>
          <w:rFonts w:ascii="黑体" w:hAnsi="宋体" w:eastAsia="黑体"/>
          <w:color w:val="000000"/>
          <w:kern w:val="0"/>
          <w:sz w:val="44"/>
          <w:szCs w:val="44"/>
        </w:rPr>
      </w:pPr>
      <w:r>
        <w:rPr>
          <w:rFonts w:hint="eastAsia" w:ascii="黑体" w:hAnsi="宋体" w:eastAsia="黑体"/>
          <w:color w:val="000000"/>
          <w:kern w:val="0"/>
          <w:sz w:val="44"/>
          <w:szCs w:val="44"/>
        </w:rPr>
        <w:t>第三部分 2019年度部门决算情况说明</w:t>
      </w:r>
    </w:p>
    <w:p>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一、收入支出决算总体情况说明</w:t>
      </w:r>
    </w:p>
    <w:p>
      <w:pPr>
        <w:widowControl/>
        <w:ind w:firstLine="640" w:firstLineChars="200"/>
        <w:jc w:val="left"/>
        <w:rPr>
          <w:rFonts w:ascii="仿宋_GB2312" w:hAnsi="仿宋" w:eastAsia="仿宋_GB2312"/>
          <w:szCs w:val="32"/>
        </w:rPr>
      </w:pPr>
      <w:r>
        <w:rPr>
          <w:rFonts w:hint="eastAsia" w:ascii="仿宋_GB2312" w:hAnsi="仿宋" w:eastAsia="仿宋_GB2312"/>
          <w:szCs w:val="32"/>
        </w:rPr>
        <w:t>2019年度收入6145.64万元，比上年增长455.75万元，主要是2019年项目增多，财政拨款增加。</w:t>
      </w:r>
    </w:p>
    <w:p>
      <w:pPr>
        <w:widowControl/>
        <w:ind w:firstLine="640" w:firstLineChars="200"/>
        <w:jc w:val="left"/>
        <w:rPr>
          <w:rFonts w:ascii="仿宋_GB2312" w:hAnsi="仿宋" w:eastAsia="仿宋_GB2312"/>
          <w:szCs w:val="32"/>
        </w:rPr>
      </w:pPr>
      <w:r>
        <w:rPr>
          <w:rFonts w:hint="eastAsia" w:ascii="仿宋_GB2312" w:hAnsi="仿宋" w:eastAsia="仿宋_GB2312"/>
          <w:szCs w:val="32"/>
        </w:rPr>
        <w:t>2019度年支出6145.64万元，比上年增长455.75万元，主要是2019年项目增多，支出增加。</w:t>
      </w:r>
    </w:p>
    <w:p>
      <w:pPr>
        <w:widowControl/>
        <w:ind w:firstLine="640" w:firstLineChars="200"/>
        <w:jc w:val="center"/>
        <w:rPr>
          <w:rFonts w:ascii="仿宋_GB2312" w:hAnsi="仿宋" w:eastAsia="仿宋_GB2312"/>
          <w:szCs w:val="32"/>
        </w:rPr>
      </w:pPr>
      <w:r>
        <w:rPr>
          <w:rFonts w:ascii="仿宋_GB2312" w:hAnsi="仿宋" w:eastAsia="仿宋_GB2312"/>
          <w:szCs w:val="32"/>
        </w:rPr>
        <w:drawing>
          <wp:inline distT="0" distB="0" distL="0" distR="0">
            <wp:extent cx="5274310" cy="3076575"/>
            <wp:effectExtent l="0" t="0" r="21590" b="9525"/>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二、收入决算情况说明</w:t>
      </w:r>
    </w:p>
    <w:p>
      <w:pPr>
        <w:widowControl/>
        <w:ind w:firstLine="640" w:firstLineChars="200"/>
        <w:jc w:val="left"/>
        <w:rPr>
          <w:rFonts w:ascii="仿宋_GB2312" w:hAnsi="宋体" w:eastAsia="仿宋_GB2312" w:cs="仿宋_GB2312"/>
          <w:color w:val="000000"/>
          <w:kern w:val="0"/>
          <w:szCs w:val="32"/>
        </w:rPr>
      </w:pPr>
      <w:r>
        <w:rPr>
          <w:rFonts w:hint="eastAsia" w:ascii="仿宋_GB2312" w:hAnsi="宋体" w:eastAsia="仿宋_GB2312" w:cs="仿宋_GB2312"/>
          <w:color w:val="000000"/>
          <w:kern w:val="0"/>
          <w:szCs w:val="32"/>
        </w:rPr>
        <w:t>2019</w:t>
      </w:r>
      <w:r>
        <w:rPr>
          <w:rFonts w:ascii="仿宋_GB2312" w:hAnsi="宋体" w:eastAsia="仿宋_GB2312" w:cs="仿宋_GB2312"/>
          <w:color w:val="000000"/>
          <w:kern w:val="0"/>
          <w:szCs w:val="32"/>
        </w:rPr>
        <w:t>年</w:t>
      </w:r>
      <w:r>
        <w:rPr>
          <w:rFonts w:hint="eastAsia" w:ascii="仿宋_GB2312" w:hAnsi="仿宋" w:eastAsia="仿宋_GB2312"/>
          <w:szCs w:val="32"/>
        </w:rPr>
        <w:t>度</w:t>
      </w:r>
      <w:r>
        <w:rPr>
          <w:rFonts w:ascii="仿宋_GB2312" w:hAnsi="宋体" w:eastAsia="仿宋_GB2312" w:cs="仿宋_GB2312"/>
          <w:color w:val="000000"/>
          <w:kern w:val="0"/>
          <w:szCs w:val="32"/>
        </w:rPr>
        <w:t>收入合计</w:t>
      </w:r>
      <w:r>
        <w:rPr>
          <w:rFonts w:hint="eastAsia" w:ascii="仿宋_GB2312" w:hAnsi="宋体" w:eastAsia="仿宋_GB2312" w:cs="仿宋_GB2312"/>
          <w:color w:val="000000"/>
          <w:kern w:val="0"/>
          <w:szCs w:val="32"/>
        </w:rPr>
        <w:t>6145.64</w:t>
      </w:r>
      <w:r>
        <w:rPr>
          <w:rFonts w:ascii="仿宋_GB2312" w:hAnsi="宋体" w:eastAsia="仿宋_GB2312" w:cs="仿宋_GB2312"/>
          <w:color w:val="000000"/>
          <w:kern w:val="0"/>
          <w:szCs w:val="32"/>
        </w:rPr>
        <w:t>万元，其中：财政拨款收入</w:t>
      </w:r>
      <w:r>
        <w:rPr>
          <w:rFonts w:hint="eastAsia" w:ascii="仿宋_GB2312" w:hAnsi="宋体" w:eastAsia="仿宋_GB2312" w:cs="仿宋_GB2312"/>
          <w:color w:val="000000"/>
          <w:kern w:val="0"/>
          <w:szCs w:val="32"/>
        </w:rPr>
        <w:t>6145.64</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rPr>
        <w:t>100</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rPr>
        <w:t>。</w:t>
      </w:r>
    </w:p>
    <w:p>
      <w:pPr>
        <w:widowControl/>
        <w:ind w:firstLine="640" w:firstLineChars="200"/>
        <w:jc w:val="center"/>
      </w:pPr>
      <w:r>
        <w:drawing>
          <wp:inline distT="0" distB="0" distL="0" distR="0">
            <wp:extent cx="4600575" cy="3019425"/>
            <wp:effectExtent l="0" t="0" r="9525" b="9525"/>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pPr>
        <w:widowControl/>
        <w:ind w:firstLine="640" w:firstLineChars="200"/>
        <w:jc w:val="left"/>
        <w:rPr>
          <w:rFonts w:ascii="黑体" w:hAnsi="黑体" w:eastAsia="黑体"/>
        </w:rPr>
      </w:pPr>
      <w:r>
        <w:rPr>
          <w:rFonts w:hint="eastAsia" w:ascii="黑体" w:hAnsi="黑体" w:eastAsia="黑体"/>
          <w:color w:val="000000"/>
          <w:kern w:val="0"/>
          <w:szCs w:val="32"/>
        </w:rPr>
        <w:t>三、支出决算情况说明</w:t>
      </w:r>
    </w:p>
    <w:p>
      <w:pPr>
        <w:widowControl/>
        <w:ind w:firstLine="640" w:firstLineChars="200"/>
        <w:jc w:val="left"/>
        <w:rPr>
          <w:rFonts w:ascii="仿宋_GB2312" w:hAnsi="宋体" w:eastAsia="仿宋_GB2312" w:cs="仿宋_GB2312"/>
          <w:color w:val="000000"/>
          <w:kern w:val="0"/>
          <w:szCs w:val="32"/>
        </w:rPr>
      </w:pPr>
      <w:r>
        <w:rPr>
          <w:rFonts w:hint="eastAsia" w:ascii="仿宋_GB2312" w:hAnsi="宋体" w:eastAsia="仿宋_GB2312" w:cs="仿宋_GB2312"/>
          <w:color w:val="000000"/>
          <w:kern w:val="0"/>
          <w:szCs w:val="32"/>
        </w:rPr>
        <w:t>2019</w:t>
      </w:r>
      <w:r>
        <w:rPr>
          <w:rFonts w:ascii="仿宋_GB2312" w:hAnsi="宋体" w:eastAsia="仿宋_GB2312" w:cs="仿宋_GB2312"/>
          <w:color w:val="000000"/>
          <w:kern w:val="0"/>
          <w:szCs w:val="32"/>
        </w:rPr>
        <w:t>年</w:t>
      </w:r>
      <w:r>
        <w:rPr>
          <w:rFonts w:hint="eastAsia" w:ascii="仿宋_GB2312" w:hAnsi="仿宋" w:eastAsia="仿宋_GB2312"/>
          <w:szCs w:val="32"/>
        </w:rPr>
        <w:t>度</w:t>
      </w:r>
      <w:r>
        <w:rPr>
          <w:rFonts w:ascii="仿宋_GB2312" w:hAnsi="宋体" w:eastAsia="仿宋_GB2312" w:cs="仿宋_GB2312"/>
          <w:color w:val="000000"/>
          <w:kern w:val="0"/>
          <w:szCs w:val="32"/>
        </w:rPr>
        <w:t>支出合计</w:t>
      </w:r>
      <w:r>
        <w:rPr>
          <w:rFonts w:hint="eastAsia" w:ascii="仿宋_GB2312" w:hAnsi="宋体" w:eastAsia="仿宋_GB2312" w:cs="仿宋_GB2312"/>
          <w:color w:val="000000"/>
          <w:kern w:val="0"/>
          <w:szCs w:val="32"/>
        </w:rPr>
        <w:t>6145.64</w:t>
      </w:r>
      <w:r>
        <w:rPr>
          <w:rFonts w:ascii="仿宋_GB2312" w:hAnsi="宋体" w:eastAsia="仿宋_GB2312" w:cs="仿宋_GB2312"/>
          <w:color w:val="000000"/>
          <w:kern w:val="0"/>
          <w:szCs w:val="32"/>
        </w:rPr>
        <w:t>万元，其中：基本支出</w:t>
      </w:r>
      <w:r>
        <w:rPr>
          <w:rFonts w:hint="eastAsia" w:ascii="仿宋_GB2312" w:hAnsi="宋体" w:eastAsia="仿宋_GB2312" w:cs="仿宋_GB2312"/>
          <w:color w:val="000000"/>
          <w:kern w:val="0"/>
          <w:szCs w:val="32"/>
        </w:rPr>
        <w:t>1465.81</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rPr>
        <w:t>23.85</w:t>
      </w:r>
      <w:r>
        <w:rPr>
          <w:rFonts w:ascii="仿宋_GB2312" w:hAnsi="宋体" w:eastAsia="仿宋_GB2312" w:cs="仿宋_GB2312"/>
          <w:color w:val="000000"/>
          <w:kern w:val="0"/>
          <w:szCs w:val="32"/>
        </w:rPr>
        <w:t>%；项目支出</w:t>
      </w:r>
      <w:r>
        <w:rPr>
          <w:rFonts w:hint="eastAsia" w:ascii="仿宋_GB2312" w:hAnsi="宋体" w:eastAsia="仿宋_GB2312" w:cs="仿宋_GB2312"/>
          <w:color w:val="000000"/>
          <w:kern w:val="0"/>
          <w:szCs w:val="32"/>
        </w:rPr>
        <w:t>4679.83</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rPr>
        <w:t>76.15</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rPr>
        <w:t>。</w:t>
      </w:r>
    </w:p>
    <w:p>
      <w:pPr>
        <w:widowControl/>
        <w:ind w:firstLine="640" w:firstLineChars="200"/>
        <w:jc w:val="center"/>
        <w:rPr>
          <w:rFonts w:ascii="仿宋_GB2312" w:hAnsi="宋体" w:eastAsia="仿宋_GB2312" w:cs="仿宋_GB2312"/>
          <w:color w:val="000000"/>
          <w:kern w:val="0"/>
          <w:szCs w:val="32"/>
        </w:rPr>
      </w:pPr>
      <w:r>
        <w:rPr>
          <w:rFonts w:ascii="仿宋_GB2312" w:hAnsi="宋体" w:eastAsia="仿宋_GB2312" w:cs="仿宋_GB2312"/>
          <w:color w:val="000000"/>
          <w:kern w:val="0"/>
          <w:szCs w:val="32"/>
        </w:rPr>
        <w:drawing>
          <wp:inline distT="0" distB="0" distL="0" distR="0">
            <wp:extent cx="5274310" cy="3076575"/>
            <wp:effectExtent l="38100" t="0" r="21590" b="9525"/>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四、财政拨款收入支出决算总体情况说明</w:t>
      </w:r>
    </w:p>
    <w:p>
      <w:pPr>
        <w:widowControl/>
        <w:ind w:firstLine="640" w:firstLineChars="200"/>
        <w:jc w:val="left"/>
        <w:rPr>
          <w:rFonts w:ascii="仿宋_GB2312" w:hAnsi="仿宋" w:eastAsia="仿宋_GB2312"/>
          <w:szCs w:val="32"/>
        </w:rPr>
      </w:pPr>
      <w:r>
        <w:rPr>
          <w:rFonts w:hint="eastAsia" w:ascii="仿宋_GB2312" w:hAnsi="仿宋" w:eastAsia="仿宋_GB2312"/>
          <w:szCs w:val="32"/>
        </w:rPr>
        <w:t>2019年度</w:t>
      </w:r>
      <w:r>
        <w:rPr>
          <w:rFonts w:ascii="仿宋_GB2312" w:hAnsi="宋体" w:eastAsia="仿宋_GB2312" w:cs="仿宋_GB2312"/>
          <w:color w:val="000000"/>
          <w:kern w:val="0"/>
          <w:szCs w:val="32"/>
        </w:rPr>
        <w:t>财政拨款</w:t>
      </w:r>
      <w:r>
        <w:rPr>
          <w:rFonts w:hint="eastAsia" w:ascii="仿宋_GB2312" w:hAnsi="仿宋" w:eastAsia="仿宋_GB2312"/>
          <w:szCs w:val="32"/>
        </w:rPr>
        <w:t>收入6145.64万元，比上年增长455.75万元，主要是2019年项目增多，财政拨款增加。</w:t>
      </w:r>
    </w:p>
    <w:p>
      <w:pPr>
        <w:widowControl/>
        <w:ind w:firstLine="640" w:firstLineChars="200"/>
        <w:jc w:val="left"/>
        <w:rPr>
          <w:rFonts w:ascii="仿宋_GB2312" w:hAnsi="仿宋" w:eastAsia="仿宋_GB2312"/>
          <w:szCs w:val="32"/>
        </w:rPr>
      </w:pPr>
      <w:r>
        <w:rPr>
          <w:rFonts w:hint="eastAsia" w:ascii="仿宋_GB2312" w:hAnsi="仿宋" w:eastAsia="仿宋_GB2312"/>
          <w:szCs w:val="32"/>
        </w:rPr>
        <w:t>2019年度</w:t>
      </w:r>
      <w:r>
        <w:rPr>
          <w:rFonts w:ascii="仿宋_GB2312" w:hAnsi="宋体" w:eastAsia="仿宋_GB2312" w:cs="仿宋_GB2312"/>
          <w:color w:val="000000"/>
          <w:kern w:val="0"/>
          <w:szCs w:val="32"/>
        </w:rPr>
        <w:t>财政拨款</w:t>
      </w:r>
      <w:r>
        <w:rPr>
          <w:rFonts w:hint="eastAsia" w:ascii="仿宋_GB2312" w:hAnsi="仿宋" w:eastAsia="仿宋_GB2312"/>
          <w:szCs w:val="32"/>
        </w:rPr>
        <w:t>支出6145.64万元，比上年增长455.75万元，主要是2019年项目增多，支出增加。</w:t>
      </w:r>
    </w:p>
    <w:p>
      <w:pPr>
        <w:widowControl/>
        <w:ind w:firstLine="640" w:firstLineChars="200"/>
        <w:jc w:val="center"/>
        <w:rPr>
          <w:rFonts w:ascii="仿宋_GB2312" w:hAnsi="仿宋" w:eastAsia="仿宋_GB2312"/>
          <w:szCs w:val="32"/>
        </w:rPr>
      </w:pPr>
      <w:r>
        <w:rPr>
          <w:rFonts w:ascii="仿宋_GB2312" w:hAnsi="仿宋" w:eastAsia="仿宋_GB2312"/>
          <w:szCs w:val="32"/>
        </w:rPr>
        <w:drawing>
          <wp:inline distT="0" distB="0" distL="0" distR="0">
            <wp:extent cx="4762500" cy="2990850"/>
            <wp:effectExtent l="0" t="0" r="19050" b="19050"/>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五、一般公共预算财政拨款支出决算情况说明</w:t>
      </w:r>
    </w:p>
    <w:p>
      <w:pPr>
        <w:widowControl/>
        <w:ind w:firstLine="643" w:firstLineChars="200"/>
        <w:jc w:val="left"/>
        <w:rPr>
          <w:rFonts w:ascii="楷体_GB2312" w:hAnsi="宋体" w:eastAsia="楷体_GB2312" w:cs="楷体_GB2312"/>
          <w:b/>
          <w:color w:val="000000"/>
          <w:kern w:val="0"/>
          <w:szCs w:val="32"/>
        </w:rPr>
      </w:pPr>
      <w:r>
        <w:rPr>
          <w:rFonts w:ascii="楷体_GB2312" w:hAnsi="宋体" w:eastAsia="楷体_GB2312" w:cs="楷体_GB2312"/>
          <w:b/>
          <w:color w:val="000000"/>
          <w:kern w:val="0"/>
          <w:szCs w:val="32"/>
        </w:rPr>
        <w:t>（一）财政拨款支出决算总体情况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w:t>
      </w:r>
    </w:p>
    <w:p>
      <w:pPr>
        <w:widowControl/>
        <w:ind w:firstLine="640" w:firstLineChars="200"/>
        <w:jc w:val="left"/>
        <w:rPr>
          <w:rFonts w:ascii="仿宋_GB2312" w:hAnsi="宋体" w:eastAsia="仿宋_GB2312" w:cs="仿宋_GB2312"/>
          <w:color w:val="000000"/>
          <w:kern w:val="0"/>
          <w:szCs w:val="32"/>
        </w:rPr>
      </w:pPr>
      <w:r>
        <w:rPr>
          <w:rFonts w:ascii="仿宋_GB2312" w:hAnsi="宋体" w:eastAsia="仿宋_GB2312" w:cs="仿宋_GB2312"/>
          <w:color w:val="000000"/>
          <w:kern w:val="0"/>
          <w:szCs w:val="32"/>
        </w:rPr>
        <w:t>2019年</w:t>
      </w:r>
      <w:r>
        <w:rPr>
          <w:rFonts w:hint="eastAsia" w:ascii="仿宋_GB2312" w:hAnsi="仿宋" w:eastAsia="仿宋_GB2312"/>
          <w:szCs w:val="32"/>
        </w:rPr>
        <w:t>度一般公共预算</w:t>
      </w:r>
      <w:r>
        <w:rPr>
          <w:rFonts w:ascii="仿宋_GB2312" w:hAnsi="宋体" w:eastAsia="仿宋_GB2312" w:cs="仿宋_GB2312"/>
          <w:color w:val="000000"/>
          <w:kern w:val="0"/>
          <w:szCs w:val="32"/>
        </w:rPr>
        <w:t>财政拨款支出</w:t>
      </w:r>
      <w:r>
        <w:rPr>
          <w:rFonts w:hint="eastAsia" w:ascii="仿宋_GB2312" w:hAnsi="宋体" w:eastAsia="仿宋_GB2312" w:cs="仿宋_GB2312"/>
          <w:color w:val="000000"/>
          <w:kern w:val="0"/>
          <w:szCs w:val="32"/>
        </w:rPr>
        <w:t>5302.48</w:t>
      </w:r>
      <w:r>
        <w:rPr>
          <w:rFonts w:ascii="仿宋_GB2312" w:hAnsi="宋体" w:eastAsia="仿宋_GB2312" w:cs="仿宋_GB2312"/>
          <w:color w:val="000000"/>
          <w:kern w:val="0"/>
          <w:szCs w:val="32"/>
        </w:rPr>
        <w:t>万元，占本年支出合计的</w:t>
      </w:r>
      <w:r>
        <w:rPr>
          <w:rFonts w:hint="eastAsia" w:ascii="仿宋_GB2312" w:hAnsi="宋体" w:eastAsia="仿宋_GB2312" w:cs="仿宋_GB2312"/>
          <w:color w:val="000000"/>
          <w:kern w:val="0"/>
          <w:szCs w:val="32"/>
        </w:rPr>
        <w:t>86.28</w:t>
      </w:r>
      <w:r>
        <w:rPr>
          <w:rFonts w:ascii="仿宋_GB2312" w:hAnsi="宋体" w:eastAsia="仿宋_GB2312" w:cs="仿宋_GB2312"/>
          <w:color w:val="000000"/>
          <w:kern w:val="0"/>
          <w:szCs w:val="32"/>
        </w:rPr>
        <w:t>%。与</w:t>
      </w:r>
      <w:r>
        <w:rPr>
          <w:rFonts w:hint="eastAsia" w:ascii="仿宋_GB2312" w:hAnsi="宋体" w:eastAsia="仿宋_GB2312" w:cs="仿宋_GB2312"/>
          <w:color w:val="000000"/>
          <w:kern w:val="0"/>
          <w:szCs w:val="32"/>
        </w:rPr>
        <w:t>上年</w:t>
      </w:r>
      <w:r>
        <w:rPr>
          <w:rFonts w:ascii="仿宋_GB2312" w:hAnsi="宋体" w:eastAsia="仿宋_GB2312" w:cs="仿宋_GB2312"/>
          <w:color w:val="000000"/>
          <w:kern w:val="0"/>
          <w:szCs w:val="32"/>
        </w:rPr>
        <w:t>相比，财政拨款支出增加</w:t>
      </w:r>
      <w:r>
        <w:rPr>
          <w:rFonts w:hint="eastAsia" w:ascii="仿宋_GB2312" w:hAnsi="宋体" w:eastAsia="仿宋_GB2312" w:cs="仿宋_GB2312"/>
          <w:color w:val="000000"/>
          <w:kern w:val="0"/>
          <w:szCs w:val="32"/>
        </w:rPr>
        <w:t>1126.88</w:t>
      </w:r>
      <w:r>
        <w:rPr>
          <w:rFonts w:ascii="仿宋_GB2312" w:hAnsi="宋体" w:eastAsia="仿宋_GB2312" w:cs="仿宋_GB2312"/>
          <w:color w:val="000000"/>
          <w:kern w:val="0"/>
          <w:szCs w:val="32"/>
        </w:rPr>
        <w:t>万元，增长</w:t>
      </w:r>
      <w:r>
        <w:rPr>
          <w:rFonts w:hint="eastAsia" w:ascii="仿宋_GB2312" w:hAnsi="宋体" w:eastAsia="仿宋_GB2312" w:cs="仿宋_GB2312"/>
          <w:color w:val="000000"/>
          <w:kern w:val="0"/>
          <w:szCs w:val="32"/>
        </w:rPr>
        <w:t>26.99</w:t>
      </w:r>
      <w:r>
        <w:rPr>
          <w:rFonts w:ascii="仿宋_GB2312" w:hAnsi="宋体" w:eastAsia="仿宋_GB2312" w:cs="仿宋_GB2312"/>
          <w:color w:val="000000"/>
          <w:kern w:val="0"/>
          <w:szCs w:val="32"/>
        </w:rPr>
        <w:t>%，主要</w:t>
      </w:r>
      <w:r>
        <w:rPr>
          <w:rFonts w:hint="eastAsia" w:ascii="仿宋_GB2312" w:hAnsi="宋体" w:eastAsia="仿宋_GB2312" w:cs="仿宋_GB2312"/>
          <w:color w:val="000000"/>
          <w:kern w:val="0"/>
          <w:szCs w:val="32"/>
        </w:rPr>
        <w:t>原因是项目支出增加。</w:t>
      </w:r>
    </w:p>
    <w:p>
      <w:pPr>
        <w:widowControl/>
        <w:ind w:firstLine="640" w:firstLineChars="200"/>
        <w:jc w:val="center"/>
      </w:pPr>
      <w:r>
        <w:drawing>
          <wp:inline distT="0" distB="0" distL="0" distR="0">
            <wp:extent cx="4657725" cy="2867025"/>
            <wp:effectExtent l="0" t="0" r="9525" b="9525"/>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spacing w:line="360" w:lineRule="auto"/>
        <w:ind w:firstLine="643" w:firstLineChars="200"/>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（二）</w:t>
      </w:r>
      <w:r>
        <w:rPr>
          <w:rFonts w:ascii="楷体_GB2312" w:hAnsi="宋体" w:eastAsia="楷体_GB2312" w:cs="楷体_GB2312"/>
          <w:b/>
          <w:color w:val="000000"/>
          <w:kern w:val="0"/>
          <w:szCs w:val="32"/>
        </w:rPr>
        <w:t>财政拨款支出决算具体情况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w:t>
      </w:r>
    </w:p>
    <w:p>
      <w:pPr>
        <w:widowControl/>
        <w:ind w:firstLine="640" w:firstLineChars="200"/>
        <w:jc w:val="left"/>
      </w:pPr>
      <w:r>
        <w:rPr>
          <w:rFonts w:ascii="仿宋_GB2312" w:hAnsi="宋体" w:eastAsia="仿宋_GB2312" w:cs="仿宋_GB2312"/>
          <w:color w:val="000000"/>
          <w:kern w:val="0"/>
          <w:szCs w:val="32"/>
        </w:rPr>
        <w:t>2019年</w:t>
      </w:r>
      <w:r>
        <w:rPr>
          <w:rFonts w:hint="eastAsia" w:ascii="仿宋_GB2312" w:hAnsi="仿宋" w:eastAsia="仿宋_GB2312"/>
          <w:szCs w:val="32"/>
        </w:rPr>
        <w:t>度</w:t>
      </w:r>
      <w:r>
        <w:rPr>
          <w:rFonts w:ascii="仿宋_GB2312" w:hAnsi="宋体" w:eastAsia="仿宋_GB2312" w:cs="仿宋_GB2312"/>
          <w:color w:val="000000"/>
          <w:kern w:val="0"/>
          <w:szCs w:val="32"/>
        </w:rPr>
        <w:t>财政拨款支出年初预算为</w:t>
      </w:r>
      <w:r>
        <w:rPr>
          <w:rFonts w:hint="eastAsia" w:ascii="仿宋_GB2312" w:hAnsi="宋体" w:eastAsia="仿宋_GB2312" w:cs="仿宋_GB2312"/>
          <w:color w:val="000000"/>
          <w:kern w:val="0"/>
          <w:szCs w:val="32"/>
        </w:rPr>
        <w:t>577.36</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5302.48</w:t>
      </w:r>
      <w:r>
        <w:rPr>
          <w:rFonts w:ascii="仿宋_GB2312" w:hAnsi="宋体" w:eastAsia="仿宋_GB2312" w:cs="仿宋_GB2312"/>
          <w:color w:val="000000"/>
          <w:kern w:val="0"/>
          <w:szCs w:val="32"/>
        </w:rPr>
        <w:t>万元，完成年初预算的</w:t>
      </w:r>
      <w:r>
        <w:rPr>
          <w:rFonts w:hint="eastAsia" w:ascii="仿宋_GB2312" w:hAnsi="宋体" w:eastAsia="仿宋_GB2312" w:cs="仿宋_GB2312"/>
          <w:color w:val="000000"/>
          <w:kern w:val="0"/>
          <w:szCs w:val="32"/>
        </w:rPr>
        <w:t>918</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rPr>
        <w:t>按照政府功能分类科目，</w:t>
      </w:r>
      <w:r>
        <w:rPr>
          <w:rFonts w:ascii="仿宋_GB2312" w:hAnsi="宋体" w:eastAsia="仿宋_GB2312" w:cs="仿宋_GB2312"/>
          <w:color w:val="000000"/>
          <w:kern w:val="0"/>
          <w:szCs w:val="32"/>
        </w:rPr>
        <w:t xml:space="preserve">其中： </w:t>
      </w:r>
    </w:p>
    <w:p>
      <w:pPr>
        <w:widowControl/>
        <w:ind w:firstLine="643" w:firstLineChars="200"/>
        <w:jc w:val="left"/>
      </w:pPr>
      <w:r>
        <w:rPr>
          <w:rFonts w:ascii="仿宋_GB2312" w:hAnsi="宋体" w:eastAsia="仿宋_GB2312" w:cs="仿宋_GB2312"/>
          <w:b/>
          <w:color w:val="000000"/>
          <w:kern w:val="0"/>
          <w:szCs w:val="32"/>
        </w:rPr>
        <w:t>1.一般公共服务支出（类）</w:t>
      </w:r>
      <w:r>
        <w:rPr>
          <w:rFonts w:hint="eastAsia" w:ascii="仿宋_GB2312" w:hAnsi="宋体" w:eastAsia="仿宋_GB2312" w:cs="仿宋_GB2312"/>
          <w:b/>
          <w:color w:val="000000"/>
          <w:kern w:val="0"/>
          <w:szCs w:val="32"/>
        </w:rPr>
        <w:t>政府办公厅及相关机构事务</w:t>
      </w:r>
      <w:r>
        <w:rPr>
          <w:rFonts w:ascii="仿宋_GB2312" w:hAnsi="宋体" w:eastAsia="仿宋_GB2312" w:cs="仿宋_GB2312"/>
          <w:b/>
          <w:color w:val="000000"/>
          <w:kern w:val="0"/>
          <w:szCs w:val="32"/>
        </w:rPr>
        <w:t>（款）</w:t>
      </w:r>
      <w:r>
        <w:rPr>
          <w:rFonts w:hint="eastAsia" w:ascii="仿宋_GB2312" w:hAnsi="宋体" w:eastAsia="仿宋_GB2312" w:cs="仿宋_GB2312"/>
          <w:b/>
          <w:color w:val="000000"/>
          <w:kern w:val="0"/>
          <w:szCs w:val="32"/>
        </w:rPr>
        <w:t>信访事务</w:t>
      </w:r>
      <w:r>
        <w:rPr>
          <w:rFonts w:ascii="仿宋_GB2312" w:hAnsi="宋体" w:eastAsia="仿宋_GB2312" w:cs="仿宋_GB2312"/>
          <w:b/>
          <w:color w:val="000000"/>
          <w:kern w:val="0"/>
          <w:szCs w:val="32"/>
        </w:rPr>
        <w:t xml:space="preserve">（项）。 </w:t>
      </w:r>
    </w:p>
    <w:p>
      <w:pPr>
        <w:widowControl/>
        <w:ind w:firstLine="480" w:firstLineChars="150"/>
        <w:jc w:val="left"/>
        <w:rPr>
          <w:rFonts w:ascii="仿宋_GB2312" w:hAnsi="宋体" w:eastAsia="仿宋_GB2312" w:cs="仿宋_GB2312"/>
          <w:color w:val="000000"/>
          <w:kern w:val="0"/>
          <w:szCs w:val="32"/>
        </w:rPr>
      </w:pPr>
      <w:r>
        <w:rPr>
          <w:rFonts w:ascii="仿宋_GB2312" w:hAnsi="宋体" w:eastAsia="仿宋_GB2312" w:cs="仿宋_GB2312"/>
          <w:color w:val="000000"/>
          <w:kern w:val="0"/>
          <w:szCs w:val="32"/>
        </w:rPr>
        <w:t>年初预算为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15.54</w:t>
      </w:r>
      <w:r>
        <w:rPr>
          <w:rFonts w:ascii="仿宋_GB2312" w:hAnsi="宋体" w:eastAsia="仿宋_GB2312" w:cs="仿宋_GB2312"/>
          <w:color w:val="000000"/>
          <w:kern w:val="0"/>
          <w:szCs w:val="32"/>
        </w:rPr>
        <w:t>万元，决算数大于预算数的主要原因是</w:t>
      </w:r>
      <w:r>
        <w:rPr>
          <w:rFonts w:hint="eastAsia" w:ascii="仿宋_GB2312" w:hAnsi="宋体" w:eastAsia="仿宋_GB2312" w:cs="仿宋_GB2312"/>
          <w:color w:val="000000"/>
          <w:kern w:val="0"/>
          <w:szCs w:val="32"/>
        </w:rPr>
        <w:t>信访事务为突发事件，支出不可预测，年初未纳入预算。</w:t>
      </w:r>
    </w:p>
    <w:p>
      <w:pPr>
        <w:widowControl/>
        <w:ind w:firstLine="640" w:firstLineChars="200"/>
        <w:jc w:val="left"/>
        <w:rPr>
          <w:rFonts w:ascii="仿宋_GB2312" w:hAnsi="宋体" w:eastAsia="仿宋_GB2312" w:cs="仿宋_GB2312"/>
          <w:color w:val="000000"/>
          <w:kern w:val="0"/>
          <w:szCs w:val="32"/>
        </w:rPr>
      </w:pPr>
      <w:r>
        <w:rPr>
          <w:rFonts w:ascii="仿宋_GB2312" w:hAnsi="宋体" w:eastAsia="仿宋_GB2312" w:cs="仿宋_GB2312"/>
          <w:color w:val="000000"/>
          <w:kern w:val="0"/>
          <w:szCs w:val="32"/>
        </w:rPr>
        <w:t>2.</w:t>
      </w:r>
      <w:r>
        <w:rPr>
          <w:rFonts w:ascii="仿宋_GB2312" w:hAnsi="宋体" w:eastAsia="仿宋_GB2312" w:cs="仿宋_GB2312"/>
          <w:b/>
          <w:color w:val="000000"/>
          <w:kern w:val="0"/>
          <w:szCs w:val="32"/>
        </w:rPr>
        <w:t xml:space="preserve"> 一般公共服务支出（类）</w:t>
      </w:r>
      <w:r>
        <w:rPr>
          <w:rFonts w:hint="eastAsia" w:ascii="仿宋_GB2312" w:hAnsi="宋体" w:eastAsia="仿宋_GB2312" w:cs="仿宋_GB2312"/>
          <w:b/>
          <w:color w:val="000000"/>
          <w:kern w:val="0"/>
          <w:szCs w:val="32"/>
        </w:rPr>
        <w:t>商贸事务</w:t>
      </w:r>
      <w:r>
        <w:rPr>
          <w:rFonts w:ascii="仿宋_GB2312" w:hAnsi="宋体" w:eastAsia="仿宋_GB2312" w:cs="仿宋_GB2312"/>
          <w:b/>
          <w:color w:val="000000"/>
          <w:kern w:val="0"/>
          <w:szCs w:val="32"/>
        </w:rPr>
        <w:t>（款）</w:t>
      </w:r>
      <w:r>
        <w:rPr>
          <w:rFonts w:hint="eastAsia" w:ascii="仿宋_GB2312" w:hAnsi="宋体" w:eastAsia="仿宋_GB2312" w:cs="仿宋_GB2312"/>
          <w:b/>
          <w:color w:val="000000"/>
          <w:kern w:val="0"/>
          <w:szCs w:val="32"/>
        </w:rPr>
        <w:t>其他商贸事务支出</w:t>
      </w:r>
      <w:r>
        <w:rPr>
          <w:rFonts w:ascii="仿宋_GB2312" w:hAnsi="宋体" w:eastAsia="仿宋_GB2312" w:cs="仿宋_GB2312"/>
          <w:b/>
          <w:color w:val="000000"/>
          <w:kern w:val="0"/>
          <w:szCs w:val="32"/>
        </w:rPr>
        <w:t>（项）</w:t>
      </w:r>
      <w:r>
        <w:rPr>
          <w:rFonts w:hint="eastAsia" w:ascii="仿宋_GB2312" w:hAnsi="宋体" w:eastAsia="仿宋_GB2312" w:cs="仿宋_GB2312"/>
          <w:color w:val="000000"/>
          <w:kern w:val="0"/>
          <w:szCs w:val="32"/>
        </w:rPr>
        <w:t>。</w:t>
      </w:r>
    </w:p>
    <w:p>
      <w:pPr>
        <w:widowControl/>
        <w:ind w:firstLine="480" w:firstLineChars="150"/>
        <w:jc w:val="left"/>
        <w:rPr>
          <w:rFonts w:ascii="仿宋_GB2312" w:hAnsi="宋体" w:eastAsia="仿宋_GB2312" w:cs="仿宋_GB2312"/>
          <w:color w:val="000000"/>
          <w:kern w:val="0"/>
          <w:szCs w:val="32"/>
        </w:rPr>
      </w:pPr>
      <w:r>
        <w:rPr>
          <w:rFonts w:ascii="仿宋_GB2312" w:hAnsi="宋体" w:eastAsia="仿宋_GB2312" w:cs="仿宋_GB2312"/>
          <w:color w:val="000000"/>
          <w:kern w:val="0"/>
          <w:szCs w:val="32"/>
        </w:rPr>
        <w:t>年初预算为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139.87</w:t>
      </w:r>
      <w:r>
        <w:rPr>
          <w:rFonts w:ascii="仿宋_GB2312" w:hAnsi="宋体" w:eastAsia="仿宋_GB2312" w:cs="仿宋_GB2312"/>
          <w:color w:val="000000"/>
          <w:kern w:val="0"/>
          <w:szCs w:val="32"/>
        </w:rPr>
        <w:t>万元，决算数大于预算数的主要原因是</w:t>
      </w:r>
      <w:r>
        <w:rPr>
          <w:rFonts w:hint="eastAsia" w:ascii="仿宋_GB2312" w:hAnsi="宋体" w:eastAsia="仿宋_GB2312" w:cs="仿宋_GB2312"/>
          <w:color w:val="000000"/>
          <w:kern w:val="0"/>
          <w:szCs w:val="32"/>
        </w:rPr>
        <w:t>县城路灯电费支出因指标科目有误导致在本科目反映。</w:t>
      </w:r>
    </w:p>
    <w:p>
      <w:pPr>
        <w:widowControl/>
        <w:ind w:firstLine="640" w:firstLineChars="200"/>
        <w:jc w:val="left"/>
        <w:rPr>
          <w:rFonts w:ascii="仿宋_GB2312" w:hAnsi="宋体" w:eastAsia="仿宋_GB2312" w:cs="仿宋_GB2312"/>
          <w:color w:val="000000"/>
          <w:kern w:val="0"/>
          <w:szCs w:val="32"/>
        </w:rPr>
      </w:pPr>
      <w:r>
        <w:rPr>
          <w:rFonts w:hint="eastAsia" w:ascii="仿宋_GB2312" w:hAnsi="宋体" w:eastAsia="仿宋_GB2312" w:cs="仿宋_GB2312"/>
          <w:color w:val="000000"/>
          <w:kern w:val="0"/>
          <w:szCs w:val="32"/>
        </w:rPr>
        <w:t>3</w:t>
      </w:r>
      <w:r>
        <w:rPr>
          <w:rFonts w:ascii="仿宋_GB2312" w:hAnsi="宋体" w:eastAsia="仿宋_GB2312" w:cs="仿宋_GB2312"/>
          <w:b/>
          <w:color w:val="000000"/>
          <w:kern w:val="0"/>
          <w:szCs w:val="32"/>
        </w:rPr>
        <w:t>.</w:t>
      </w:r>
      <w:r>
        <w:rPr>
          <w:rFonts w:hint="eastAsia" w:ascii="仿宋_GB2312" w:hAnsi="宋体" w:eastAsia="仿宋_GB2312" w:cs="仿宋_GB2312"/>
          <w:b/>
          <w:color w:val="000000"/>
          <w:kern w:val="0"/>
          <w:szCs w:val="32"/>
        </w:rPr>
        <w:t>社会保障和就业支出</w:t>
      </w:r>
      <w:r>
        <w:rPr>
          <w:rFonts w:ascii="仿宋_GB2312" w:hAnsi="宋体" w:eastAsia="仿宋_GB2312" w:cs="仿宋_GB2312"/>
          <w:b/>
          <w:color w:val="000000"/>
          <w:kern w:val="0"/>
          <w:szCs w:val="32"/>
        </w:rPr>
        <w:t>（类）</w:t>
      </w:r>
      <w:r>
        <w:rPr>
          <w:rFonts w:hint="eastAsia" w:ascii="仿宋_GB2312" w:hAnsi="宋体" w:eastAsia="仿宋_GB2312" w:cs="仿宋_GB2312"/>
          <w:b/>
          <w:color w:val="000000"/>
          <w:kern w:val="0"/>
          <w:szCs w:val="32"/>
        </w:rPr>
        <w:t>行政事业单位离退休</w:t>
      </w:r>
      <w:r>
        <w:rPr>
          <w:rFonts w:ascii="仿宋_GB2312" w:hAnsi="宋体" w:eastAsia="仿宋_GB2312" w:cs="仿宋_GB2312"/>
          <w:b/>
          <w:color w:val="000000"/>
          <w:kern w:val="0"/>
          <w:szCs w:val="32"/>
        </w:rPr>
        <w:t>（款）</w:t>
      </w:r>
      <w:r>
        <w:rPr>
          <w:rFonts w:hint="eastAsia" w:ascii="仿宋_GB2312" w:hAnsi="宋体" w:eastAsia="仿宋_GB2312" w:cs="仿宋_GB2312"/>
          <w:b/>
          <w:color w:val="000000"/>
          <w:kern w:val="0"/>
          <w:szCs w:val="32"/>
        </w:rPr>
        <w:t>机关事业单位基本养老基本缴费支出</w:t>
      </w:r>
      <w:r>
        <w:rPr>
          <w:rFonts w:ascii="仿宋_GB2312" w:hAnsi="宋体" w:eastAsia="仿宋_GB2312" w:cs="仿宋_GB2312"/>
          <w:b/>
          <w:color w:val="000000"/>
          <w:kern w:val="0"/>
          <w:szCs w:val="32"/>
        </w:rPr>
        <w:t>（项）</w:t>
      </w:r>
      <w:r>
        <w:rPr>
          <w:rFonts w:hint="eastAsia" w:ascii="仿宋_GB2312" w:hAnsi="宋体" w:eastAsia="仿宋_GB2312" w:cs="仿宋_GB2312"/>
          <w:color w:val="000000"/>
          <w:kern w:val="0"/>
          <w:szCs w:val="32"/>
        </w:rPr>
        <w:t>。</w:t>
      </w:r>
    </w:p>
    <w:p>
      <w:pPr>
        <w:widowControl/>
        <w:ind w:firstLine="480" w:firstLineChars="150"/>
        <w:jc w:val="left"/>
        <w:rPr>
          <w:rFonts w:ascii="仿宋_GB2312" w:hAnsi="宋体" w:eastAsia="仿宋_GB2312" w:cs="仿宋_GB2312"/>
          <w:color w:val="000000"/>
          <w:kern w:val="0"/>
          <w:szCs w:val="32"/>
        </w:rPr>
      </w:pPr>
      <w:r>
        <w:rPr>
          <w:rFonts w:ascii="仿宋_GB2312" w:hAnsi="宋体" w:eastAsia="仿宋_GB2312" w:cs="仿宋_GB2312"/>
          <w:color w:val="000000"/>
          <w:kern w:val="0"/>
          <w:szCs w:val="32"/>
        </w:rPr>
        <w:t>年初预算为</w:t>
      </w:r>
      <w:r>
        <w:rPr>
          <w:rFonts w:hint="eastAsia" w:ascii="仿宋_GB2312" w:hAnsi="宋体" w:eastAsia="仿宋_GB2312" w:cs="仿宋_GB2312"/>
          <w:color w:val="000000"/>
          <w:kern w:val="0"/>
          <w:szCs w:val="32"/>
        </w:rPr>
        <w:t>90.36</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72.89</w:t>
      </w:r>
      <w:r>
        <w:rPr>
          <w:rFonts w:ascii="仿宋_GB2312" w:hAnsi="宋体" w:eastAsia="仿宋_GB2312" w:cs="仿宋_GB2312"/>
          <w:color w:val="000000"/>
          <w:kern w:val="0"/>
          <w:szCs w:val="32"/>
        </w:rPr>
        <w:t>万元，决算数</w:t>
      </w:r>
      <w:r>
        <w:rPr>
          <w:rFonts w:hint="eastAsia" w:ascii="仿宋_GB2312" w:hAnsi="宋体" w:eastAsia="仿宋_GB2312" w:cs="仿宋_GB2312"/>
          <w:color w:val="000000"/>
          <w:kern w:val="0"/>
          <w:szCs w:val="32"/>
        </w:rPr>
        <w:t>小于</w:t>
      </w:r>
      <w:r>
        <w:rPr>
          <w:rFonts w:ascii="仿宋_GB2312" w:hAnsi="宋体" w:eastAsia="仿宋_GB2312" w:cs="仿宋_GB2312"/>
          <w:color w:val="000000"/>
          <w:kern w:val="0"/>
          <w:szCs w:val="32"/>
        </w:rPr>
        <w:t>预算数的主要原因是</w:t>
      </w:r>
      <w:r>
        <w:rPr>
          <w:rFonts w:hint="eastAsia" w:ascii="仿宋_GB2312" w:hAnsi="宋体" w:eastAsia="仿宋_GB2312" w:cs="仿宋_GB2312"/>
          <w:color w:val="000000"/>
          <w:kern w:val="0"/>
          <w:szCs w:val="32"/>
        </w:rPr>
        <w:t>2019年有退休人员，养老保险缴费支出减少。</w:t>
      </w:r>
    </w:p>
    <w:p>
      <w:pPr>
        <w:widowControl/>
        <w:ind w:firstLine="640" w:firstLineChars="200"/>
        <w:jc w:val="left"/>
        <w:rPr>
          <w:rFonts w:ascii="仿宋_GB2312" w:hAnsi="宋体" w:eastAsia="仿宋_GB2312" w:cs="仿宋_GB2312"/>
          <w:color w:val="000000"/>
          <w:kern w:val="0"/>
          <w:szCs w:val="32"/>
        </w:rPr>
      </w:pPr>
      <w:r>
        <w:rPr>
          <w:rFonts w:hint="eastAsia" w:ascii="仿宋_GB2312" w:hAnsi="宋体" w:eastAsia="仿宋_GB2312" w:cs="仿宋_GB2312"/>
          <w:color w:val="000000"/>
          <w:kern w:val="0"/>
          <w:szCs w:val="32"/>
        </w:rPr>
        <w:t>4</w:t>
      </w:r>
      <w:r>
        <w:rPr>
          <w:rFonts w:ascii="仿宋_GB2312" w:hAnsi="宋体" w:eastAsia="仿宋_GB2312" w:cs="仿宋_GB2312"/>
          <w:b/>
          <w:color w:val="000000"/>
          <w:kern w:val="0"/>
          <w:szCs w:val="32"/>
        </w:rPr>
        <w:t>.</w:t>
      </w:r>
      <w:r>
        <w:rPr>
          <w:rFonts w:hint="eastAsia" w:ascii="仿宋_GB2312" w:hAnsi="宋体" w:eastAsia="仿宋_GB2312" w:cs="仿宋_GB2312"/>
          <w:b/>
          <w:color w:val="000000"/>
          <w:kern w:val="0"/>
          <w:szCs w:val="32"/>
        </w:rPr>
        <w:t>卫生健康支出</w:t>
      </w:r>
      <w:r>
        <w:rPr>
          <w:rFonts w:ascii="仿宋_GB2312" w:hAnsi="宋体" w:eastAsia="仿宋_GB2312" w:cs="仿宋_GB2312"/>
          <w:b/>
          <w:color w:val="000000"/>
          <w:kern w:val="0"/>
          <w:szCs w:val="32"/>
        </w:rPr>
        <w:t>（类）</w:t>
      </w:r>
      <w:r>
        <w:rPr>
          <w:rFonts w:hint="eastAsia" w:ascii="仿宋_GB2312" w:hAnsi="宋体" w:eastAsia="仿宋_GB2312" w:cs="仿宋_GB2312"/>
          <w:b/>
          <w:color w:val="000000"/>
          <w:kern w:val="0"/>
          <w:szCs w:val="32"/>
        </w:rPr>
        <w:t>行政事业医疗</w:t>
      </w:r>
      <w:r>
        <w:rPr>
          <w:rFonts w:ascii="仿宋_GB2312" w:hAnsi="宋体" w:eastAsia="仿宋_GB2312" w:cs="仿宋_GB2312"/>
          <w:b/>
          <w:color w:val="000000"/>
          <w:kern w:val="0"/>
          <w:szCs w:val="32"/>
        </w:rPr>
        <w:t>（款）</w:t>
      </w:r>
      <w:r>
        <w:rPr>
          <w:rFonts w:hint="eastAsia" w:ascii="仿宋_GB2312" w:hAnsi="宋体" w:eastAsia="仿宋_GB2312" w:cs="仿宋_GB2312"/>
          <w:b/>
          <w:color w:val="000000"/>
          <w:kern w:val="0"/>
          <w:szCs w:val="32"/>
        </w:rPr>
        <w:t>行政单位医疗</w:t>
      </w:r>
      <w:r>
        <w:rPr>
          <w:rFonts w:ascii="仿宋_GB2312" w:hAnsi="宋体" w:eastAsia="仿宋_GB2312" w:cs="仿宋_GB2312"/>
          <w:b/>
          <w:color w:val="000000"/>
          <w:kern w:val="0"/>
          <w:szCs w:val="32"/>
        </w:rPr>
        <w:t>（项）</w:t>
      </w:r>
      <w:r>
        <w:rPr>
          <w:rFonts w:hint="eastAsia" w:ascii="仿宋_GB2312" w:hAnsi="宋体" w:eastAsia="仿宋_GB2312" w:cs="仿宋_GB2312"/>
          <w:b/>
          <w:color w:val="000000"/>
          <w:kern w:val="0"/>
          <w:szCs w:val="32"/>
        </w:rPr>
        <w:t>、事业单位医疗</w:t>
      </w:r>
      <w:r>
        <w:rPr>
          <w:rFonts w:ascii="仿宋_GB2312" w:hAnsi="宋体" w:eastAsia="仿宋_GB2312" w:cs="仿宋_GB2312"/>
          <w:b/>
          <w:color w:val="000000"/>
          <w:kern w:val="0"/>
          <w:szCs w:val="32"/>
        </w:rPr>
        <w:t>（项）</w:t>
      </w:r>
      <w:r>
        <w:rPr>
          <w:rFonts w:hint="eastAsia" w:ascii="仿宋_GB2312" w:hAnsi="宋体" w:eastAsia="仿宋_GB2312" w:cs="仿宋_GB2312"/>
          <w:b/>
          <w:color w:val="000000"/>
          <w:kern w:val="0"/>
          <w:szCs w:val="32"/>
        </w:rPr>
        <w:t>、公务员医疗补助</w:t>
      </w:r>
      <w:r>
        <w:rPr>
          <w:rFonts w:ascii="仿宋_GB2312" w:hAnsi="宋体" w:eastAsia="仿宋_GB2312" w:cs="仿宋_GB2312"/>
          <w:b/>
          <w:color w:val="000000"/>
          <w:kern w:val="0"/>
          <w:szCs w:val="32"/>
        </w:rPr>
        <w:t>（项）</w:t>
      </w:r>
      <w:r>
        <w:rPr>
          <w:rFonts w:hint="eastAsia" w:ascii="仿宋_GB2312" w:hAnsi="宋体" w:eastAsia="仿宋_GB2312" w:cs="仿宋_GB2312"/>
          <w:b/>
          <w:color w:val="000000"/>
          <w:kern w:val="0"/>
          <w:szCs w:val="32"/>
        </w:rPr>
        <w:t>。</w:t>
      </w:r>
    </w:p>
    <w:p>
      <w:pPr>
        <w:widowControl/>
        <w:ind w:firstLine="480" w:firstLineChars="150"/>
        <w:jc w:val="left"/>
        <w:rPr>
          <w:rFonts w:ascii="仿宋_GB2312" w:hAnsi="宋体" w:eastAsia="仿宋_GB2312" w:cs="仿宋_GB2312"/>
          <w:color w:val="000000"/>
          <w:kern w:val="0"/>
          <w:szCs w:val="32"/>
        </w:rPr>
      </w:pPr>
      <w:r>
        <w:rPr>
          <w:rFonts w:ascii="仿宋_GB2312" w:hAnsi="宋体" w:eastAsia="仿宋_GB2312" w:cs="仿宋_GB2312"/>
          <w:color w:val="000000"/>
          <w:kern w:val="0"/>
          <w:szCs w:val="32"/>
        </w:rPr>
        <w:t>年初预算为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16.67</w:t>
      </w:r>
      <w:r>
        <w:rPr>
          <w:rFonts w:ascii="仿宋_GB2312" w:hAnsi="宋体" w:eastAsia="仿宋_GB2312" w:cs="仿宋_GB2312"/>
          <w:color w:val="000000"/>
          <w:kern w:val="0"/>
          <w:szCs w:val="32"/>
        </w:rPr>
        <w:t>万元，决算数大于预算数的主要原因是</w:t>
      </w:r>
      <w:r>
        <w:rPr>
          <w:rFonts w:hint="eastAsia" w:ascii="仿宋_GB2312" w:hAnsi="宋体" w:eastAsia="仿宋_GB2312" w:cs="仿宋_GB2312"/>
          <w:color w:val="000000"/>
          <w:kern w:val="0"/>
          <w:szCs w:val="32"/>
          <w:lang w:eastAsia="zh-CN"/>
        </w:rPr>
        <w:t>卫生健康支出</w:t>
      </w:r>
      <w:r>
        <w:rPr>
          <w:rFonts w:hint="eastAsia" w:ascii="仿宋_GB2312" w:hAnsi="宋体" w:eastAsia="仿宋_GB2312" w:cs="仿宋_GB2312"/>
          <w:color w:val="000000"/>
          <w:kern w:val="0"/>
          <w:szCs w:val="32"/>
        </w:rPr>
        <w:t>年初未纳入预算。</w:t>
      </w:r>
    </w:p>
    <w:p>
      <w:pPr>
        <w:widowControl/>
        <w:ind w:firstLine="640" w:firstLineChars="200"/>
        <w:jc w:val="left"/>
        <w:rPr>
          <w:rFonts w:ascii="仿宋_GB2312" w:hAnsi="宋体" w:eastAsia="仿宋_GB2312" w:cs="仿宋_GB2312"/>
          <w:color w:val="000000"/>
          <w:kern w:val="0"/>
          <w:szCs w:val="32"/>
        </w:rPr>
      </w:pPr>
      <w:r>
        <w:rPr>
          <w:rFonts w:hint="eastAsia" w:ascii="仿宋_GB2312" w:hAnsi="宋体" w:eastAsia="仿宋_GB2312" w:cs="仿宋_GB2312"/>
          <w:color w:val="000000"/>
          <w:kern w:val="0"/>
          <w:szCs w:val="32"/>
        </w:rPr>
        <w:t>5</w:t>
      </w:r>
      <w:r>
        <w:rPr>
          <w:rFonts w:ascii="仿宋_GB2312" w:hAnsi="宋体" w:eastAsia="仿宋_GB2312" w:cs="仿宋_GB2312"/>
          <w:b/>
          <w:color w:val="000000"/>
          <w:kern w:val="0"/>
          <w:szCs w:val="32"/>
        </w:rPr>
        <w:t>.</w:t>
      </w:r>
      <w:r>
        <w:rPr>
          <w:rFonts w:hint="eastAsia" w:ascii="仿宋_GB2312" w:hAnsi="宋体" w:eastAsia="仿宋_GB2312" w:cs="仿宋_GB2312"/>
          <w:b/>
          <w:color w:val="000000"/>
          <w:kern w:val="0"/>
          <w:szCs w:val="32"/>
        </w:rPr>
        <w:t>卫生健康支出</w:t>
      </w:r>
      <w:r>
        <w:rPr>
          <w:rFonts w:ascii="仿宋_GB2312" w:hAnsi="宋体" w:eastAsia="仿宋_GB2312" w:cs="仿宋_GB2312"/>
          <w:b/>
          <w:color w:val="000000"/>
          <w:kern w:val="0"/>
          <w:szCs w:val="32"/>
        </w:rPr>
        <w:t>（类）</w:t>
      </w:r>
      <w:r>
        <w:rPr>
          <w:rFonts w:hint="eastAsia" w:ascii="仿宋_GB2312" w:hAnsi="宋体" w:eastAsia="仿宋_GB2312" w:cs="仿宋_GB2312"/>
          <w:b/>
          <w:color w:val="000000"/>
          <w:kern w:val="0"/>
          <w:szCs w:val="32"/>
        </w:rPr>
        <w:t>其他卫生健康支出</w:t>
      </w:r>
      <w:r>
        <w:rPr>
          <w:rFonts w:ascii="仿宋_GB2312" w:hAnsi="宋体" w:eastAsia="仿宋_GB2312" w:cs="仿宋_GB2312"/>
          <w:b/>
          <w:color w:val="000000"/>
          <w:kern w:val="0"/>
          <w:szCs w:val="32"/>
        </w:rPr>
        <w:t>（款）</w:t>
      </w:r>
      <w:r>
        <w:rPr>
          <w:rFonts w:hint="eastAsia" w:ascii="仿宋_GB2312" w:hAnsi="宋体" w:eastAsia="仿宋_GB2312" w:cs="仿宋_GB2312"/>
          <w:b/>
          <w:color w:val="000000"/>
          <w:kern w:val="0"/>
          <w:szCs w:val="32"/>
        </w:rPr>
        <w:t>其他卫生健康支出</w:t>
      </w:r>
      <w:r>
        <w:rPr>
          <w:rFonts w:ascii="仿宋_GB2312" w:hAnsi="宋体" w:eastAsia="仿宋_GB2312" w:cs="仿宋_GB2312"/>
          <w:b/>
          <w:color w:val="000000"/>
          <w:kern w:val="0"/>
          <w:szCs w:val="32"/>
        </w:rPr>
        <w:t>（项）</w:t>
      </w:r>
      <w:r>
        <w:rPr>
          <w:rFonts w:hint="eastAsia" w:ascii="仿宋_GB2312" w:hAnsi="宋体" w:eastAsia="仿宋_GB2312" w:cs="仿宋_GB2312"/>
          <w:b/>
          <w:color w:val="000000"/>
          <w:kern w:val="0"/>
          <w:szCs w:val="32"/>
        </w:rPr>
        <w:t>。</w:t>
      </w:r>
    </w:p>
    <w:p>
      <w:pPr>
        <w:widowControl/>
        <w:ind w:firstLine="480" w:firstLineChars="150"/>
        <w:jc w:val="left"/>
        <w:rPr>
          <w:rFonts w:ascii="仿宋_GB2312" w:hAnsi="宋体" w:eastAsia="仿宋_GB2312" w:cs="仿宋_GB2312"/>
          <w:color w:val="000000"/>
          <w:kern w:val="0"/>
          <w:szCs w:val="32"/>
        </w:rPr>
      </w:pPr>
      <w:r>
        <w:rPr>
          <w:rFonts w:ascii="仿宋_GB2312" w:hAnsi="宋体" w:eastAsia="仿宋_GB2312" w:cs="仿宋_GB2312"/>
          <w:color w:val="000000"/>
          <w:kern w:val="0"/>
          <w:szCs w:val="32"/>
        </w:rPr>
        <w:t>年初预算为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1.42</w:t>
      </w:r>
      <w:r>
        <w:rPr>
          <w:rFonts w:ascii="仿宋_GB2312" w:hAnsi="宋体" w:eastAsia="仿宋_GB2312" w:cs="仿宋_GB2312"/>
          <w:color w:val="000000"/>
          <w:kern w:val="0"/>
          <w:szCs w:val="32"/>
        </w:rPr>
        <w:t>万元，决算数大于</w:t>
      </w:r>
      <w:r>
        <w:rPr>
          <w:rFonts w:hint="eastAsia" w:ascii="仿宋_GB2312" w:hAnsi="宋体" w:eastAsia="仿宋_GB2312" w:cs="仿宋_GB2312"/>
          <w:color w:val="000000"/>
          <w:kern w:val="0"/>
          <w:szCs w:val="32"/>
        </w:rPr>
        <w:t>或小于</w:t>
      </w:r>
      <w:r>
        <w:rPr>
          <w:rFonts w:ascii="仿宋_GB2312" w:hAnsi="宋体" w:eastAsia="仿宋_GB2312" w:cs="仿宋_GB2312"/>
          <w:color w:val="000000"/>
          <w:kern w:val="0"/>
          <w:szCs w:val="32"/>
        </w:rPr>
        <w:t>预算数的主要原因是</w:t>
      </w:r>
      <w:r>
        <w:rPr>
          <w:rFonts w:hint="eastAsia" w:ascii="仿宋_GB2312" w:hAnsi="宋体" w:eastAsia="仿宋_GB2312" w:cs="仿宋_GB2312"/>
          <w:color w:val="000000"/>
          <w:kern w:val="0"/>
          <w:szCs w:val="32"/>
        </w:rPr>
        <w:t>年初未纳入预算。</w:t>
      </w:r>
    </w:p>
    <w:p>
      <w:pPr>
        <w:widowControl/>
        <w:ind w:firstLine="640" w:firstLineChars="200"/>
        <w:jc w:val="left"/>
        <w:rPr>
          <w:rFonts w:ascii="仿宋_GB2312" w:hAnsi="宋体" w:eastAsia="仿宋_GB2312" w:cs="仿宋_GB2312"/>
          <w:color w:val="000000"/>
          <w:kern w:val="0"/>
          <w:szCs w:val="32"/>
        </w:rPr>
      </w:pPr>
      <w:r>
        <w:rPr>
          <w:rFonts w:hint="eastAsia" w:ascii="仿宋_GB2312" w:hAnsi="宋体" w:eastAsia="仿宋_GB2312" w:cs="仿宋_GB2312"/>
          <w:color w:val="000000"/>
          <w:kern w:val="0"/>
          <w:szCs w:val="32"/>
        </w:rPr>
        <w:t>6</w:t>
      </w:r>
      <w:r>
        <w:rPr>
          <w:rFonts w:ascii="仿宋_GB2312" w:hAnsi="宋体" w:eastAsia="仿宋_GB2312" w:cs="仿宋_GB2312"/>
          <w:b/>
          <w:color w:val="000000"/>
          <w:kern w:val="0"/>
          <w:szCs w:val="32"/>
        </w:rPr>
        <w:t>.</w:t>
      </w:r>
      <w:r>
        <w:rPr>
          <w:rFonts w:hint="eastAsia" w:ascii="仿宋_GB2312" w:hAnsi="宋体" w:eastAsia="仿宋_GB2312" w:cs="仿宋_GB2312"/>
          <w:b/>
          <w:color w:val="000000"/>
          <w:kern w:val="0"/>
          <w:szCs w:val="32"/>
        </w:rPr>
        <w:t>城乡社区支出</w:t>
      </w:r>
      <w:r>
        <w:rPr>
          <w:rFonts w:ascii="仿宋_GB2312" w:hAnsi="宋体" w:eastAsia="仿宋_GB2312" w:cs="仿宋_GB2312"/>
          <w:b/>
          <w:color w:val="000000"/>
          <w:kern w:val="0"/>
          <w:szCs w:val="32"/>
        </w:rPr>
        <w:t>（类）</w:t>
      </w:r>
      <w:r>
        <w:rPr>
          <w:rFonts w:hint="eastAsia" w:ascii="仿宋_GB2312" w:hAnsi="宋体" w:eastAsia="仿宋_GB2312" w:cs="仿宋_GB2312"/>
          <w:b/>
          <w:color w:val="000000"/>
          <w:kern w:val="0"/>
          <w:szCs w:val="32"/>
        </w:rPr>
        <w:t>城乡管理事务</w:t>
      </w:r>
      <w:r>
        <w:rPr>
          <w:rFonts w:ascii="仿宋_GB2312" w:hAnsi="宋体" w:eastAsia="仿宋_GB2312" w:cs="仿宋_GB2312"/>
          <w:b/>
          <w:color w:val="000000"/>
          <w:kern w:val="0"/>
          <w:szCs w:val="32"/>
        </w:rPr>
        <w:t>（款）</w:t>
      </w:r>
      <w:r>
        <w:rPr>
          <w:rFonts w:hint="eastAsia" w:ascii="仿宋_GB2312" w:hAnsi="宋体" w:eastAsia="仿宋_GB2312" w:cs="仿宋_GB2312"/>
          <w:b/>
          <w:color w:val="000000"/>
          <w:kern w:val="0"/>
          <w:szCs w:val="32"/>
        </w:rPr>
        <w:t>行政运行、市政公用行业市场监管</w:t>
      </w:r>
      <w:r>
        <w:rPr>
          <w:rFonts w:ascii="仿宋_GB2312" w:hAnsi="宋体" w:eastAsia="仿宋_GB2312" w:cs="仿宋_GB2312"/>
          <w:b/>
          <w:color w:val="000000"/>
          <w:kern w:val="0"/>
          <w:szCs w:val="32"/>
        </w:rPr>
        <w:t>（项）</w:t>
      </w:r>
      <w:r>
        <w:rPr>
          <w:rFonts w:hint="eastAsia" w:ascii="仿宋_GB2312" w:hAnsi="宋体" w:eastAsia="仿宋_GB2312" w:cs="仿宋_GB2312"/>
          <w:b/>
          <w:color w:val="000000"/>
          <w:kern w:val="0"/>
          <w:szCs w:val="32"/>
        </w:rPr>
        <w:t>、住宅建设与房地产市场监管</w:t>
      </w:r>
      <w:r>
        <w:rPr>
          <w:rFonts w:ascii="仿宋_GB2312" w:hAnsi="宋体" w:eastAsia="仿宋_GB2312" w:cs="仿宋_GB2312"/>
          <w:b/>
          <w:color w:val="000000"/>
          <w:kern w:val="0"/>
          <w:szCs w:val="32"/>
        </w:rPr>
        <w:t>（项）</w:t>
      </w:r>
      <w:r>
        <w:rPr>
          <w:rFonts w:hint="eastAsia" w:ascii="仿宋_GB2312" w:hAnsi="宋体" w:eastAsia="仿宋_GB2312" w:cs="仿宋_GB2312"/>
          <w:b/>
          <w:color w:val="000000"/>
          <w:kern w:val="0"/>
          <w:szCs w:val="32"/>
        </w:rPr>
        <w:t>、其他城乡社区管理事务支出</w:t>
      </w:r>
      <w:r>
        <w:rPr>
          <w:rFonts w:ascii="仿宋_GB2312" w:hAnsi="宋体" w:eastAsia="仿宋_GB2312" w:cs="仿宋_GB2312"/>
          <w:b/>
          <w:color w:val="000000"/>
          <w:kern w:val="0"/>
          <w:szCs w:val="32"/>
        </w:rPr>
        <w:t>（项）</w:t>
      </w:r>
      <w:r>
        <w:rPr>
          <w:rFonts w:hint="eastAsia" w:ascii="仿宋_GB2312" w:hAnsi="宋体" w:eastAsia="仿宋_GB2312" w:cs="仿宋_GB2312"/>
          <w:b/>
          <w:color w:val="000000"/>
          <w:kern w:val="0"/>
          <w:szCs w:val="32"/>
        </w:rPr>
        <w:t>。</w:t>
      </w:r>
    </w:p>
    <w:p>
      <w:pPr>
        <w:widowControl/>
        <w:ind w:firstLine="480" w:firstLineChars="150"/>
        <w:jc w:val="left"/>
        <w:rPr>
          <w:rFonts w:ascii="仿宋_GB2312" w:hAnsi="宋体" w:eastAsia="仿宋_GB2312" w:cs="仿宋_GB2312"/>
          <w:color w:val="000000"/>
          <w:kern w:val="0"/>
          <w:szCs w:val="32"/>
        </w:rPr>
      </w:pPr>
      <w:r>
        <w:rPr>
          <w:rFonts w:ascii="仿宋_GB2312" w:hAnsi="宋体" w:eastAsia="仿宋_GB2312" w:cs="仿宋_GB2312"/>
          <w:color w:val="000000"/>
          <w:kern w:val="0"/>
          <w:szCs w:val="32"/>
        </w:rPr>
        <w:t>年初预算为</w:t>
      </w:r>
      <w:r>
        <w:rPr>
          <w:rFonts w:hint="eastAsia" w:ascii="仿宋_GB2312" w:hAnsi="宋体" w:eastAsia="仿宋_GB2312" w:cs="仿宋_GB2312"/>
          <w:color w:val="000000"/>
          <w:kern w:val="0"/>
          <w:szCs w:val="32"/>
        </w:rPr>
        <w:t>306.80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608.65</w:t>
      </w:r>
      <w:r>
        <w:rPr>
          <w:rFonts w:ascii="仿宋_GB2312" w:hAnsi="宋体" w:eastAsia="仿宋_GB2312" w:cs="仿宋_GB2312"/>
          <w:color w:val="000000"/>
          <w:kern w:val="0"/>
          <w:szCs w:val="32"/>
        </w:rPr>
        <w:t>万元，决算数大于预算数的主要原因是</w:t>
      </w:r>
      <w:r>
        <w:rPr>
          <w:rFonts w:hint="eastAsia" w:ascii="仿宋_GB2312" w:hAnsi="宋体" w:eastAsia="仿宋_GB2312" w:cs="仿宋_GB2312"/>
          <w:color w:val="000000"/>
          <w:kern w:val="0"/>
          <w:szCs w:val="32"/>
        </w:rPr>
        <w:t>其他城乡社区管理事务支出增加、燃气管理办公室为新设立单位，支出未纳入预算；。</w:t>
      </w:r>
    </w:p>
    <w:p>
      <w:pPr>
        <w:widowControl/>
        <w:ind w:firstLine="640" w:firstLineChars="200"/>
        <w:jc w:val="left"/>
        <w:rPr>
          <w:rFonts w:ascii="仿宋_GB2312" w:hAnsi="宋体" w:eastAsia="仿宋_GB2312" w:cs="仿宋_GB2312"/>
          <w:color w:val="000000"/>
          <w:kern w:val="0"/>
          <w:szCs w:val="32"/>
        </w:rPr>
      </w:pPr>
      <w:r>
        <w:rPr>
          <w:rFonts w:hint="eastAsia" w:ascii="仿宋_GB2312" w:hAnsi="宋体" w:eastAsia="仿宋_GB2312" w:cs="仿宋_GB2312"/>
          <w:color w:val="000000"/>
          <w:kern w:val="0"/>
          <w:szCs w:val="32"/>
        </w:rPr>
        <w:t>7</w:t>
      </w:r>
      <w:r>
        <w:rPr>
          <w:rFonts w:ascii="仿宋_GB2312" w:hAnsi="宋体" w:eastAsia="仿宋_GB2312" w:cs="仿宋_GB2312"/>
          <w:b/>
          <w:color w:val="000000"/>
          <w:kern w:val="0"/>
          <w:szCs w:val="32"/>
        </w:rPr>
        <w:t>.</w:t>
      </w:r>
      <w:r>
        <w:rPr>
          <w:rFonts w:hint="eastAsia" w:ascii="仿宋_GB2312" w:hAnsi="宋体" w:eastAsia="仿宋_GB2312" w:cs="仿宋_GB2312"/>
          <w:b/>
          <w:color w:val="000000"/>
          <w:kern w:val="0"/>
          <w:szCs w:val="32"/>
        </w:rPr>
        <w:t>城乡社区支出</w:t>
      </w:r>
      <w:r>
        <w:rPr>
          <w:rFonts w:ascii="仿宋_GB2312" w:hAnsi="宋体" w:eastAsia="仿宋_GB2312" w:cs="仿宋_GB2312"/>
          <w:b/>
          <w:color w:val="000000"/>
          <w:kern w:val="0"/>
          <w:szCs w:val="32"/>
        </w:rPr>
        <w:t>（类）</w:t>
      </w:r>
      <w:r>
        <w:rPr>
          <w:rFonts w:hint="eastAsia" w:ascii="仿宋_GB2312" w:hAnsi="宋体" w:eastAsia="仿宋_GB2312" w:cs="仿宋_GB2312"/>
          <w:b/>
          <w:color w:val="000000"/>
          <w:kern w:val="0"/>
          <w:szCs w:val="32"/>
        </w:rPr>
        <w:t>城乡社区规划与管理</w:t>
      </w:r>
      <w:r>
        <w:rPr>
          <w:rFonts w:ascii="仿宋_GB2312" w:hAnsi="宋体" w:eastAsia="仿宋_GB2312" w:cs="仿宋_GB2312"/>
          <w:b/>
          <w:color w:val="000000"/>
          <w:kern w:val="0"/>
          <w:szCs w:val="32"/>
        </w:rPr>
        <w:t>（款）</w:t>
      </w:r>
      <w:r>
        <w:rPr>
          <w:rFonts w:hint="eastAsia" w:ascii="仿宋_GB2312" w:hAnsi="宋体" w:eastAsia="仿宋_GB2312" w:cs="仿宋_GB2312"/>
          <w:b/>
          <w:color w:val="000000"/>
          <w:kern w:val="0"/>
          <w:szCs w:val="32"/>
        </w:rPr>
        <w:t>城乡社区规划与管理</w:t>
      </w:r>
      <w:r>
        <w:rPr>
          <w:rFonts w:ascii="仿宋_GB2312" w:hAnsi="宋体" w:eastAsia="仿宋_GB2312" w:cs="仿宋_GB2312"/>
          <w:b/>
          <w:color w:val="000000"/>
          <w:kern w:val="0"/>
          <w:szCs w:val="32"/>
        </w:rPr>
        <w:t>（项）</w:t>
      </w:r>
      <w:r>
        <w:rPr>
          <w:rFonts w:hint="eastAsia" w:ascii="仿宋_GB2312" w:hAnsi="宋体" w:eastAsia="仿宋_GB2312" w:cs="仿宋_GB2312"/>
          <w:b/>
          <w:color w:val="000000"/>
          <w:kern w:val="0"/>
          <w:szCs w:val="32"/>
        </w:rPr>
        <w:t>。</w:t>
      </w:r>
    </w:p>
    <w:p>
      <w:pPr>
        <w:widowControl/>
        <w:ind w:firstLine="480" w:firstLineChars="150"/>
        <w:jc w:val="left"/>
        <w:rPr>
          <w:rFonts w:ascii="仿宋_GB2312" w:hAnsi="宋体" w:eastAsia="仿宋_GB2312" w:cs="仿宋_GB2312"/>
          <w:color w:val="000000"/>
          <w:kern w:val="0"/>
          <w:szCs w:val="32"/>
        </w:rPr>
      </w:pPr>
      <w:r>
        <w:rPr>
          <w:rFonts w:ascii="仿宋_GB2312" w:hAnsi="宋体" w:eastAsia="仿宋_GB2312" w:cs="仿宋_GB2312"/>
          <w:color w:val="000000"/>
          <w:kern w:val="0"/>
          <w:szCs w:val="32"/>
        </w:rPr>
        <w:t>年初预算为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715.23</w:t>
      </w:r>
      <w:r>
        <w:rPr>
          <w:rFonts w:ascii="仿宋_GB2312" w:hAnsi="宋体" w:eastAsia="仿宋_GB2312" w:cs="仿宋_GB2312"/>
          <w:color w:val="000000"/>
          <w:kern w:val="0"/>
          <w:szCs w:val="32"/>
        </w:rPr>
        <w:t>万元，决算数大于</w:t>
      </w:r>
      <w:r>
        <w:rPr>
          <w:rFonts w:hint="eastAsia" w:ascii="仿宋_GB2312" w:hAnsi="宋体" w:eastAsia="仿宋_GB2312" w:cs="仿宋_GB2312"/>
          <w:color w:val="000000"/>
          <w:kern w:val="0"/>
          <w:szCs w:val="32"/>
        </w:rPr>
        <w:t>或小于</w:t>
      </w:r>
      <w:r>
        <w:rPr>
          <w:rFonts w:ascii="仿宋_GB2312" w:hAnsi="宋体" w:eastAsia="仿宋_GB2312" w:cs="仿宋_GB2312"/>
          <w:color w:val="000000"/>
          <w:kern w:val="0"/>
          <w:szCs w:val="32"/>
        </w:rPr>
        <w:t>预算数的主要原因是</w:t>
      </w:r>
      <w:r>
        <w:rPr>
          <w:rFonts w:hint="eastAsia" w:ascii="仿宋_GB2312" w:hAnsi="宋体" w:eastAsia="仿宋_GB2312" w:cs="仿宋_GB2312"/>
          <w:color w:val="000000"/>
          <w:kern w:val="0"/>
          <w:szCs w:val="32"/>
        </w:rPr>
        <w:t>年初未纳入预算。</w:t>
      </w:r>
    </w:p>
    <w:p>
      <w:pPr>
        <w:widowControl/>
        <w:ind w:firstLine="640" w:firstLineChars="200"/>
        <w:jc w:val="left"/>
        <w:rPr>
          <w:rFonts w:ascii="仿宋_GB2312" w:hAnsi="宋体" w:eastAsia="仿宋_GB2312" w:cs="仿宋_GB2312"/>
          <w:color w:val="000000"/>
          <w:kern w:val="0"/>
          <w:szCs w:val="32"/>
        </w:rPr>
      </w:pPr>
      <w:r>
        <w:rPr>
          <w:rFonts w:hint="eastAsia" w:ascii="仿宋_GB2312" w:hAnsi="宋体" w:eastAsia="仿宋_GB2312" w:cs="仿宋_GB2312"/>
          <w:color w:val="000000"/>
          <w:kern w:val="0"/>
          <w:szCs w:val="32"/>
        </w:rPr>
        <w:t>8</w:t>
      </w:r>
      <w:r>
        <w:rPr>
          <w:rFonts w:ascii="仿宋_GB2312" w:hAnsi="宋体" w:eastAsia="仿宋_GB2312" w:cs="仿宋_GB2312"/>
          <w:b/>
          <w:color w:val="000000"/>
          <w:kern w:val="0"/>
          <w:szCs w:val="32"/>
        </w:rPr>
        <w:t>.</w:t>
      </w:r>
      <w:r>
        <w:rPr>
          <w:rFonts w:hint="eastAsia" w:ascii="仿宋_GB2312" w:hAnsi="宋体" w:eastAsia="仿宋_GB2312" w:cs="仿宋_GB2312"/>
          <w:b/>
          <w:color w:val="000000"/>
          <w:kern w:val="0"/>
          <w:szCs w:val="32"/>
        </w:rPr>
        <w:t>城乡社区支出</w:t>
      </w:r>
      <w:r>
        <w:rPr>
          <w:rFonts w:ascii="仿宋_GB2312" w:hAnsi="宋体" w:eastAsia="仿宋_GB2312" w:cs="仿宋_GB2312"/>
          <w:b/>
          <w:color w:val="000000"/>
          <w:kern w:val="0"/>
          <w:szCs w:val="32"/>
        </w:rPr>
        <w:t>（类）</w:t>
      </w:r>
      <w:r>
        <w:rPr>
          <w:rFonts w:hint="eastAsia" w:ascii="仿宋_GB2312" w:hAnsi="宋体" w:eastAsia="仿宋_GB2312" w:cs="仿宋_GB2312"/>
          <w:b/>
          <w:color w:val="000000"/>
          <w:kern w:val="0"/>
          <w:szCs w:val="32"/>
        </w:rPr>
        <w:t>城乡社区公共设施</w:t>
      </w:r>
      <w:r>
        <w:rPr>
          <w:rFonts w:ascii="仿宋_GB2312" w:hAnsi="宋体" w:eastAsia="仿宋_GB2312" w:cs="仿宋_GB2312"/>
          <w:b/>
          <w:color w:val="000000"/>
          <w:kern w:val="0"/>
          <w:szCs w:val="32"/>
        </w:rPr>
        <w:t>（款）</w:t>
      </w:r>
      <w:r>
        <w:rPr>
          <w:rFonts w:hint="eastAsia" w:ascii="仿宋_GB2312" w:hAnsi="宋体" w:eastAsia="仿宋_GB2312" w:cs="仿宋_GB2312"/>
          <w:b/>
          <w:color w:val="000000"/>
          <w:kern w:val="0"/>
          <w:szCs w:val="32"/>
        </w:rPr>
        <w:t>小城镇基础设施建设</w:t>
      </w:r>
      <w:r>
        <w:rPr>
          <w:rFonts w:ascii="仿宋_GB2312" w:hAnsi="宋体" w:eastAsia="仿宋_GB2312" w:cs="仿宋_GB2312"/>
          <w:b/>
          <w:color w:val="000000"/>
          <w:kern w:val="0"/>
          <w:szCs w:val="32"/>
        </w:rPr>
        <w:t>（项）</w:t>
      </w:r>
      <w:r>
        <w:rPr>
          <w:rFonts w:hint="eastAsia" w:ascii="仿宋_GB2312" w:hAnsi="宋体" w:eastAsia="仿宋_GB2312" w:cs="仿宋_GB2312"/>
          <w:b/>
          <w:color w:val="000000"/>
          <w:kern w:val="0"/>
          <w:szCs w:val="32"/>
        </w:rPr>
        <w:t>、其他城乡社区公共设施支出</w:t>
      </w:r>
      <w:r>
        <w:rPr>
          <w:rFonts w:ascii="仿宋_GB2312" w:hAnsi="宋体" w:eastAsia="仿宋_GB2312" w:cs="仿宋_GB2312"/>
          <w:b/>
          <w:color w:val="000000"/>
          <w:kern w:val="0"/>
          <w:szCs w:val="32"/>
        </w:rPr>
        <w:t>（项）</w:t>
      </w:r>
      <w:r>
        <w:rPr>
          <w:rFonts w:hint="eastAsia" w:ascii="仿宋_GB2312" w:hAnsi="宋体" w:eastAsia="仿宋_GB2312" w:cs="仿宋_GB2312"/>
          <w:b/>
          <w:color w:val="000000"/>
          <w:kern w:val="0"/>
          <w:szCs w:val="32"/>
        </w:rPr>
        <w:t>。</w:t>
      </w:r>
    </w:p>
    <w:p>
      <w:pPr>
        <w:widowControl/>
        <w:ind w:firstLine="480" w:firstLineChars="150"/>
        <w:jc w:val="left"/>
        <w:rPr>
          <w:rFonts w:ascii="仿宋_GB2312" w:hAnsi="宋体" w:eastAsia="仿宋_GB2312" w:cs="仿宋_GB2312"/>
          <w:color w:val="000000"/>
          <w:kern w:val="0"/>
          <w:szCs w:val="32"/>
        </w:rPr>
      </w:pPr>
      <w:r>
        <w:rPr>
          <w:rFonts w:ascii="仿宋_GB2312" w:hAnsi="宋体" w:eastAsia="仿宋_GB2312" w:cs="仿宋_GB2312"/>
          <w:color w:val="000000"/>
          <w:kern w:val="0"/>
          <w:szCs w:val="32"/>
        </w:rPr>
        <w:t>年初预算为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2095.18</w:t>
      </w:r>
      <w:r>
        <w:rPr>
          <w:rFonts w:ascii="仿宋_GB2312" w:hAnsi="宋体" w:eastAsia="仿宋_GB2312" w:cs="仿宋_GB2312"/>
          <w:color w:val="000000"/>
          <w:kern w:val="0"/>
          <w:szCs w:val="32"/>
        </w:rPr>
        <w:t>万元，决算数大于预算数的主要原因是</w:t>
      </w:r>
      <w:r>
        <w:rPr>
          <w:rFonts w:hint="eastAsia" w:ascii="仿宋_GB2312" w:hAnsi="宋体" w:eastAsia="仿宋_GB2312" w:cs="仿宋_GB2312"/>
          <w:color w:val="000000"/>
          <w:kern w:val="0"/>
          <w:szCs w:val="32"/>
        </w:rPr>
        <w:t>项目支出未纳入预算。</w:t>
      </w:r>
    </w:p>
    <w:p>
      <w:pPr>
        <w:widowControl/>
        <w:ind w:firstLine="640" w:firstLineChars="200"/>
        <w:jc w:val="left"/>
        <w:rPr>
          <w:rFonts w:ascii="仿宋_GB2312" w:hAnsi="宋体" w:eastAsia="仿宋_GB2312" w:cs="仿宋_GB2312"/>
          <w:color w:val="000000"/>
          <w:kern w:val="0"/>
          <w:szCs w:val="32"/>
        </w:rPr>
      </w:pPr>
      <w:r>
        <w:rPr>
          <w:rFonts w:hint="eastAsia" w:ascii="仿宋_GB2312" w:hAnsi="宋体" w:eastAsia="仿宋_GB2312" w:cs="仿宋_GB2312"/>
          <w:color w:val="000000"/>
          <w:kern w:val="0"/>
          <w:szCs w:val="32"/>
        </w:rPr>
        <w:t>9</w:t>
      </w:r>
      <w:r>
        <w:rPr>
          <w:rFonts w:ascii="仿宋_GB2312" w:hAnsi="宋体" w:eastAsia="仿宋_GB2312" w:cs="仿宋_GB2312"/>
          <w:b/>
          <w:color w:val="000000"/>
          <w:kern w:val="0"/>
          <w:szCs w:val="32"/>
        </w:rPr>
        <w:t>.</w:t>
      </w:r>
      <w:r>
        <w:rPr>
          <w:rFonts w:hint="eastAsia" w:ascii="仿宋_GB2312" w:hAnsi="宋体" w:eastAsia="仿宋_GB2312" w:cs="仿宋_GB2312"/>
          <w:b/>
          <w:color w:val="000000"/>
          <w:kern w:val="0"/>
          <w:szCs w:val="32"/>
        </w:rPr>
        <w:t>城乡社区支出</w:t>
      </w:r>
      <w:r>
        <w:rPr>
          <w:rFonts w:ascii="仿宋_GB2312" w:hAnsi="宋体" w:eastAsia="仿宋_GB2312" w:cs="仿宋_GB2312"/>
          <w:b/>
          <w:color w:val="000000"/>
          <w:kern w:val="0"/>
          <w:szCs w:val="32"/>
        </w:rPr>
        <w:t>（类）</w:t>
      </w:r>
      <w:r>
        <w:rPr>
          <w:rFonts w:hint="eastAsia" w:ascii="仿宋_GB2312" w:hAnsi="宋体" w:eastAsia="仿宋_GB2312" w:cs="仿宋_GB2312"/>
          <w:b/>
          <w:color w:val="000000"/>
          <w:kern w:val="0"/>
          <w:szCs w:val="32"/>
        </w:rPr>
        <w:t>建设市场管理与监督</w:t>
      </w:r>
      <w:r>
        <w:rPr>
          <w:rFonts w:ascii="仿宋_GB2312" w:hAnsi="宋体" w:eastAsia="仿宋_GB2312" w:cs="仿宋_GB2312"/>
          <w:b/>
          <w:color w:val="000000"/>
          <w:kern w:val="0"/>
          <w:szCs w:val="32"/>
        </w:rPr>
        <w:t>（款）</w:t>
      </w:r>
      <w:r>
        <w:rPr>
          <w:rFonts w:hint="eastAsia" w:ascii="仿宋_GB2312" w:hAnsi="宋体" w:eastAsia="仿宋_GB2312" w:cs="仿宋_GB2312"/>
          <w:b/>
          <w:color w:val="000000"/>
          <w:kern w:val="0"/>
          <w:szCs w:val="32"/>
        </w:rPr>
        <w:t>建设市场管理与监督</w:t>
      </w:r>
      <w:r>
        <w:rPr>
          <w:rFonts w:ascii="仿宋_GB2312" w:hAnsi="宋体" w:eastAsia="仿宋_GB2312" w:cs="仿宋_GB2312"/>
          <w:b/>
          <w:color w:val="000000"/>
          <w:kern w:val="0"/>
          <w:szCs w:val="32"/>
        </w:rPr>
        <w:t>（项）</w:t>
      </w:r>
      <w:r>
        <w:rPr>
          <w:rFonts w:hint="eastAsia" w:ascii="仿宋_GB2312" w:hAnsi="宋体" w:eastAsia="仿宋_GB2312" w:cs="仿宋_GB2312"/>
          <w:b/>
          <w:color w:val="000000"/>
          <w:kern w:val="0"/>
          <w:szCs w:val="32"/>
        </w:rPr>
        <w:t>。</w:t>
      </w:r>
    </w:p>
    <w:p>
      <w:pPr>
        <w:widowControl/>
        <w:ind w:firstLine="480" w:firstLineChars="150"/>
        <w:jc w:val="left"/>
        <w:rPr>
          <w:rFonts w:ascii="仿宋_GB2312" w:hAnsi="宋体" w:eastAsia="仿宋_GB2312" w:cs="仿宋_GB2312"/>
          <w:color w:val="000000"/>
          <w:kern w:val="0"/>
          <w:szCs w:val="32"/>
        </w:rPr>
      </w:pPr>
      <w:r>
        <w:rPr>
          <w:rFonts w:ascii="仿宋_GB2312" w:hAnsi="宋体" w:eastAsia="仿宋_GB2312" w:cs="仿宋_GB2312"/>
          <w:color w:val="000000"/>
          <w:kern w:val="0"/>
          <w:szCs w:val="32"/>
        </w:rPr>
        <w:t>年初预算为</w:t>
      </w:r>
      <w:r>
        <w:rPr>
          <w:rFonts w:hint="eastAsia" w:ascii="仿宋_GB2312" w:hAnsi="宋体" w:eastAsia="仿宋_GB2312" w:cs="仿宋_GB2312"/>
          <w:color w:val="000000"/>
          <w:kern w:val="0"/>
          <w:szCs w:val="32"/>
        </w:rPr>
        <w:t>173.40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205.93</w:t>
      </w:r>
      <w:r>
        <w:rPr>
          <w:rFonts w:ascii="仿宋_GB2312" w:hAnsi="宋体" w:eastAsia="仿宋_GB2312" w:cs="仿宋_GB2312"/>
          <w:color w:val="000000"/>
          <w:kern w:val="0"/>
          <w:szCs w:val="32"/>
        </w:rPr>
        <w:t>万元，决算数大于预算数的主要原因是</w:t>
      </w:r>
      <w:r>
        <w:rPr>
          <w:rFonts w:hint="eastAsia" w:ascii="仿宋_GB2312" w:hAnsi="宋体" w:eastAsia="仿宋_GB2312" w:cs="仿宋_GB2312"/>
          <w:color w:val="000000"/>
          <w:kern w:val="0"/>
          <w:szCs w:val="32"/>
        </w:rPr>
        <w:t>人员工资标准提高。</w:t>
      </w:r>
    </w:p>
    <w:p>
      <w:pPr>
        <w:widowControl/>
        <w:ind w:firstLine="640" w:firstLineChars="200"/>
        <w:jc w:val="left"/>
        <w:rPr>
          <w:rFonts w:ascii="仿宋_GB2312" w:hAnsi="宋体" w:eastAsia="仿宋_GB2312" w:cs="仿宋_GB2312"/>
          <w:color w:val="000000"/>
          <w:kern w:val="0"/>
          <w:szCs w:val="32"/>
        </w:rPr>
      </w:pPr>
      <w:r>
        <w:rPr>
          <w:rFonts w:hint="eastAsia" w:ascii="仿宋_GB2312" w:hAnsi="宋体" w:eastAsia="仿宋_GB2312" w:cs="仿宋_GB2312"/>
          <w:color w:val="000000"/>
          <w:kern w:val="0"/>
          <w:szCs w:val="32"/>
        </w:rPr>
        <w:t>10</w:t>
      </w:r>
      <w:r>
        <w:rPr>
          <w:rFonts w:ascii="仿宋_GB2312" w:hAnsi="宋体" w:eastAsia="仿宋_GB2312" w:cs="仿宋_GB2312"/>
          <w:b/>
          <w:color w:val="000000"/>
          <w:kern w:val="0"/>
          <w:szCs w:val="32"/>
        </w:rPr>
        <w:t>.</w:t>
      </w:r>
      <w:r>
        <w:rPr>
          <w:rFonts w:hint="eastAsia" w:ascii="仿宋_GB2312" w:hAnsi="宋体" w:eastAsia="仿宋_GB2312" w:cs="仿宋_GB2312"/>
          <w:b/>
          <w:color w:val="000000"/>
          <w:kern w:val="0"/>
          <w:szCs w:val="32"/>
        </w:rPr>
        <w:t>城乡社区支出</w:t>
      </w:r>
      <w:r>
        <w:rPr>
          <w:rFonts w:ascii="仿宋_GB2312" w:hAnsi="宋体" w:eastAsia="仿宋_GB2312" w:cs="仿宋_GB2312"/>
          <w:b/>
          <w:color w:val="000000"/>
          <w:kern w:val="0"/>
          <w:szCs w:val="32"/>
        </w:rPr>
        <w:t>（类）</w:t>
      </w:r>
      <w:r>
        <w:rPr>
          <w:rFonts w:hint="eastAsia" w:ascii="仿宋_GB2312" w:hAnsi="宋体" w:eastAsia="仿宋_GB2312" w:cs="仿宋_GB2312"/>
          <w:b/>
          <w:color w:val="000000"/>
          <w:kern w:val="0"/>
          <w:szCs w:val="32"/>
        </w:rPr>
        <w:t>其他城乡社区支出</w:t>
      </w:r>
      <w:r>
        <w:rPr>
          <w:rFonts w:ascii="仿宋_GB2312" w:hAnsi="宋体" w:eastAsia="仿宋_GB2312" w:cs="仿宋_GB2312"/>
          <w:b/>
          <w:color w:val="000000"/>
          <w:kern w:val="0"/>
          <w:szCs w:val="32"/>
        </w:rPr>
        <w:t>（款）</w:t>
      </w:r>
      <w:r>
        <w:rPr>
          <w:rFonts w:hint="eastAsia" w:ascii="仿宋_GB2312" w:hAnsi="宋体" w:eastAsia="仿宋_GB2312" w:cs="仿宋_GB2312"/>
          <w:b/>
          <w:color w:val="000000"/>
          <w:kern w:val="0"/>
          <w:szCs w:val="32"/>
        </w:rPr>
        <w:t>其他城乡社区支出</w:t>
      </w:r>
      <w:r>
        <w:rPr>
          <w:rFonts w:ascii="仿宋_GB2312" w:hAnsi="宋体" w:eastAsia="仿宋_GB2312" w:cs="仿宋_GB2312"/>
          <w:b/>
          <w:color w:val="000000"/>
          <w:kern w:val="0"/>
          <w:szCs w:val="32"/>
        </w:rPr>
        <w:t>（项）</w:t>
      </w:r>
      <w:r>
        <w:rPr>
          <w:rFonts w:hint="eastAsia" w:ascii="仿宋_GB2312" w:hAnsi="宋体" w:eastAsia="仿宋_GB2312" w:cs="仿宋_GB2312"/>
          <w:b/>
          <w:color w:val="000000"/>
          <w:kern w:val="0"/>
          <w:szCs w:val="32"/>
        </w:rPr>
        <w:t>。</w:t>
      </w:r>
    </w:p>
    <w:p>
      <w:pPr>
        <w:widowControl/>
        <w:ind w:firstLine="480" w:firstLineChars="150"/>
        <w:jc w:val="left"/>
        <w:rPr>
          <w:rFonts w:ascii="仿宋_GB2312" w:hAnsi="宋体" w:eastAsia="仿宋_GB2312" w:cs="仿宋_GB2312"/>
          <w:color w:val="000000"/>
          <w:kern w:val="0"/>
          <w:szCs w:val="32"/>
        </w:rPr>
      </w:pPr>
      <w:r>
        <w:rPr>
          <w:rFonts w:ascii="仿宋_GB2312" w:hAnsi="宋体" w:eastAsia="仿宋_GB2312" w:cs="仿宋_GB2312"/>
          <w:color w:val="000000"/>
          <w:kern w:val="0"/>
          <w:szCs w:val="32"/>
        </w:rPr>
        <w:t>年初预算为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504.19</w:t>
      </w:r>
      <w:r>
        <w:rPr>
          <w:rFonts w:ascii="仿宋_GB2312" w:hAnsi="宋体" w:eastAsia="仿宋_GB2312" w:cs="仿宋_GB2312"/>
          <w:color w:val="000000"/>
          <w:kern w:val="0"/>
          <w:szCs w:val="32"/>
        </w:rPr>
        <w:t>万元，决算数大于预算数的主要原因是</w:t>
      </w:r>
      <w:r>
        <w:rPr>
          <w:rFonts w:hint="eastAsia" w:ascii="仿宋_GB2312" w:hAnsi="宋体" w:eastAsia="仿宋_GB2312" w:cs="仿宋_GB2312"/>
          <w:color w:val="000000"/>
          <w:kern w:val="0"/>
          <w:szCs w:val="32"/>
        </w:rPr>
        <w:t>年初未纳入预算。</w:t>
      </w:r>
    </w:p>
    <w:p>
      <w:pPr>
        <w:widowControl/>
        <w:ind w:firstLine="640" w:firstLineChars="200"/>
        <w:jc w:val="left"/>
        <w:rPr>
          <w:rFonts w:ascii="仿宋_GB2312" w:hAnsi="宋体" w:eastAsia="仿宋_GB2312" w:cs="仿宋_GB2312"/>
          <w:color w:val="000000"/>
          <w:kern w:val="0"/>
          <w:szCs w:val="32"/>
        </w:rPr>
      </w:pPr>
      <w:r>
        <w:rPr>
          <w:rFonts w:hint="eastAsia" w:ascii="仿宋_GB2312" w:hAnsi="宋体" w:eastAsia="仿宋_GB2312" w:cs="仿宋_GB2312"/>
          <w:color w:val="000000"/>
          <w:kern w:val="0"/>
          <w:szCs w:val="32"/>
        </w:rPr>
        <w:t>11</w:t>
      </w:r>
      <w:r>
        <w:rPr>
          <w:rFonts w:ascii="仿宋_GB2312" w:hAnsi="宋体" w:eastAsia="仿宋_GB2312" w:cs="仿宋_GB2312"/>
          <w:b/>
          <w:color w:val="000000"/>
          <w:kern w:val="0"/>
          <w:szCs w:val="32"/>
        </w:rPr>
        <w:t>.</w:t>
      </w:r>
      <w:r>
        <w:rPr>
          <w:rFonts w:hint="eastAsia" w:ascii="仿宋_GB2312" w:hAnsi="宋体" w:eastAsia="仿宋_GB2312" w:cs="仿宋_GB2312"/>
          <w:b/>
          <w:color w:val="000000"/>
          <w:kern w:val="0"/>
          <w:szCs w:val="32"/>
        </w:rPr>
        <w:t>农林水支出</w:t>
      </w:r>
      <w:r>
        <w:rPr>
          <w:rFonts w:ascii="仿宋_GB2312" w:hAnsi="宋体" w:eastAsia="仿宋_GB2312" w:cs="仿宋_GB2312"/>
          <w:b/>
          <w:color w:val="000000"/>
          <w:kern w:val="0"/>
          <w:szCs w:val="32"/>
        </w:rPr>
        <w:t>（类）</w:t>
      </w:r>
      <w:r>
        <w:rPr>
          <w:rFonts w:hint="eastAsia" w:ascii="仿宋_GB2312" w:hAnsi="宋体" w:eastAsia="仿宋_GB2312" w:cs="仿宋_GB2312"/>
          <w:b/>
          <w:color w:val="000000"/>
          <w:kern w:val="0"/>
          <w:szCs w:val="32"/>
        </w:rPr>
        <w:t>扶贫</w:t>
      </w:r>
      <w:r>
        <w:rPr>
          <w:rFonts w:ascii="仿宋_GB2312" w:hAnsi="宋体" w:eastAsia="仿宋_GB2312" w:cs="仿宋_GB2312"/>
          <w:b/>
          <w:color w:val="000000"/>
          <w:kern w:val="0"/>
          <w:szCs w:val="32"/>
        </w:rPr>
        <w:t>（款）</w:t>
      </w:r>
      <w:r>
        <w:rPr>
          <w:rFonts w:hint="eastAsia" w:ascii="仿宋_GB2312" w:hAnsi="宋体" w:eastAsia="仿宋_GB2312" w:cs="仿宋_GB2312"/>
          <w:b/>
          <w:color w:val="000000"/>
          <w:kern w:val="0"/>
          <w:szCs w:val="32"/>
        </w:rPr>
        <w:t>社会发展</w:t>
      </w:r>
      <w:r>
        <w:rPr>
          <w:rFonts w:ascii="仿宋_GB2312" w:hAnsi="宋体" w:eastAsia="仿宋_GB2312" w:cs="仿宋_GB2312"/>
          <w:b/>
          <w:color w:val="000000"/>
          <w:kern w:val="0"/>
          <w:szCs w:val="32"/>
        </w:rPr>
        <w:t>（项）</w:t>
      </w:r>
      <w:r>
        <w:rPr>
          <w:rFonts w:hint="eastAsia" w:ascii="仿宋_GB2312" w:hAnsi="宋体" w:eastAsia="仿宋_GB2312" w:cs="仿宋_GB2312"/>
          <w:b/>
          <w:color w:val="000000"/>
          <w:kern w:val="0"/>
          <w:szCs w:val="32"/>
        </w:rPr>
        <w:t>。</w:t>
      </w:r>
    </w:p>
    <w:p>
      <w:pPr>
        <w:widowControl/>
        <w:ind w:firstLine="480" w:firstLineChars="150"/>
        <w:jc w:val="left"/>
        <w:rPr>
          <w:rFonts w:ascii="仿宋_GB2312" w:hAnsi="宋体" w:eastAsia="仿宋_GB2312" w:cs="仿宋_GB2312"/>
          <w:color w:val="000000"/>
          <w:kern w:val="0"/>
          <w:szCs w:val="32"/>
        </w:rPr>
      </w:pPr>
      <w:r>
        <w:rPr>
          <w:rFonts w:ascii="仿宋_GB2312" w:hAnsi="宋体" w:eastAsia="仿宋_GB2312" w:cs="仿宋_GB2312"/>
          <w:color w:val="000000"/>
          <w:kern w:val="0"/>
          <w:szCs w:val="32"/>
        </w:rPr>
        <w:t>年初预算为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508</w:t>
      </w:r>
      <w:r>
        <w:rPr>
          <w:rFonts w:ascii="仿宋_GB2312" w:hAnsi="宋体" w:eastAsia="仿宋_GB2312" w:cs="仿宋_GB2312"/>
          <w:color w:val="000000"/>
          <w:kern w:val="0"/>
          <w:szCs w:val="32"/>
        </w:rPr>
        <w:t>万元，决算数大于预算数的主要原因是</w:t>
      </w:r>
      <w:r>
        <w:rPr>
          <w:rFonts w:hint="eastAsia" w:ascii="仿宋_GB2312" w:hAnsi="宋体" w:eastAsia="仿宋_GB2312" w:cs="仿宋_GB2312"/>
          <w:color w:val="000000"/>
          <w:kern w:val="0"/>
          <w:szCs w:val="32"/>
        </w:rPr>
        <w:t>贫困户农村危房改造支出年初未纳入预算。</w:t>
      </w:r>
    </w:p>
    <w:p>
      <w:pPr>
        <w:widowControl/>
        <w:ind w:firstLine="640" w:firstLineChars="200"/>
        <w:jc w:val="left"/>
        <w:rPr>
          <w:rFonts w:ascii="仿宋_GB2312" w:hAnsi="宋体" w:eastAsia="仿宋_GB2312" w:cs="仿宋_GB2312"/>
          <w:color w:val="000000"/>
          <w:kern w:val="0"/>
          <w:szCs w:val="32"/>
        </w:rPr>
      </w:pPr>
      <w:r>
        <w:rPr>
          <w:rFonts w:hint="eastAsia" w:ascii="仿宋_GB2312" w:hAnsi="宋体" w:eastAsia="仿宋_GB2312" w:cs="仿宋_GB2312"/>
          <w:color w:val="000000"/>
          <w:kern w:val="0"/>
          <w:szCs w:val="32"/>
        </w:rPr>
        <w:t>12</w:t>
      </w:r>
      <w:r>
        <w:rPr>
          <w:rFonts w:ascii="仿宋_GB2312" w:hAnsi="宋体" w:eastAsia="仿宋_GB2312" w:cs="仿宋_GB2312"/>
          <w:b/>
          <w:color w:val="000000"/>
          <w:kern w:val="0"/>
          <w:szCs w:val="32"/>
        </w:rPr>
        <w:t>.</w:t>
      </w:r>
      <w:r>
        <w:rPr>
          <w:rFonts w:hint="eastAsia" w:ascii="仿宋_GB2312" w:hAnsi="宋体" w:eastAsia="仿宋_GB2312" w:cs="仿宋_GB2312"/>
          <w:b/>
          <w:color w:val="000000"/>
          <w:kern w:val="0"/>
          <w:szCs w:val="32"/>
        </w:rPr>
        <w:t>住房保障支出</w:t>
      </w:r>
      <w:r>
        <w:rPr>
          <w:rFonts w:ascii="仿宋_GB2312" w:hAnsi="宋体" w:eastAsia="仿宋_GB2312" w:cs="仿宋_GB2312"/>
          <w:b/>
          <w:color w:val="000000"/>
          <w:kern w:val="0"/>
          <w:szCs w:val="32"/>
        </w:rPr>
        <w:t>（类）</w:t>
      </w:r>
      <w:r>
        <w:rPr>
          <w:rFonts w:hint="eastAsia" w:ascii="仿宋_GB2312" w:hAnsi="宋体" w:eastAsia="仿宋_GB2312" w:cs="仿宋_GB2312"/>
          <w:b/>
          <w:color w:val="000000"/>
          <w:kern w:val="0"/>
          <w:szCs w:val="32"/>
        </w:rPr>
        <w:t>保障性安居工程支出</w:t>
      </w:r>
      <w:r>
        <w:rPr>
          <w:rFonts w:ascii="仿宋_GB2312" w:hAnsi="宋体" w:eastAsia="仿宋_GB2312" w:cs="仿宋_GB2312"/>
          <w:b/>
          <w:color w:val="000000"/>
          <w:kern w:val="0"/>
          <w:szCs w:val="32"/>
        </w:rPr>
        <w:t>（款）</w:t>
      </w:r>
      <w:r>
        <w:rPr>
          <w:rFonts w:hint="eastAsia" w:ascii="仿宋_GB2312" w:hAnsi="宋体" w:eastAsia="仿宋_GB2312" w:cs="仿宋_GB2312"/>
          <w:b/>
          <w:color w:val="000000"/>
          <w:kern w:val="0"/>
          <w:szCs w:val="32"/>
        </w:rPr>
        <w:t>农村危房改造</w:t>
      </w:r>
      <w:r>
        <w:rPr>
          <w:rFonts w:ascii="仿宋_GB2312" w:hAnsi="宋体" w:eastAsia="仿宋_GB2312" w:cs="仿宋_GB2312"/>
          <w:b/>
          <w:color w:val="000000"/>
          <w:kern w:val="0"/>
          <w:szCs w:val="32"/>
        </w:rPr>
        <w:t>（项）</w:t>
      </w:r>
      <w:r>
        <w:rPr>
          <w:rFonts w:hint="eastAsia" w:ascii="仿宋_GB2312" w:hAnsi="宋体" w:eastAsia="仿宋_GB2312" w:cs="仿宋_GB2312"/>
          <w:b/>
          <w:color w:val="000000"/>
          <w:kern w:val="0"/>
          <w:szCs w:val="32"/>
        </w:rPr>
        <w:t>、保障性住房租金补贴</w:t>
      </w:r>
      <w:r>
        <w:rPr>
          <w:rFonts w:ascii="仿宋_GB2312" w:hAnsi="宋体" w:eastAsia="仿宋_GB2312" w:cs="仿宋_GB2312"/>
          <w:b/>
          <w:color w:val="000000"/>
          <w:kern w:val="0"/>
          <w:szCs w:val="32"/>
        </w:rPr>
        <w:t>（项）</w:t>
      </w:r>
      <w:r>
        <w:rPr>
          <w:rFonts w:hint="eastAsia" w:ascii="仿宋_GB2312" w:hAnsi="宋体" w:eastAsia="仿宋_GB2312" w:cs="仿宋_GB2312"/>
          <w:b/>
          <w:color w:val="000000"/>
          <w:kern w:val="0"/>
          <w:szCs w:val="32"/>
        </w:rPr>
        <w:t>、其他保障性安居工程支出</w:t>
      </w:r>
      <w:r>
        <w:rPr>
          <w:rFonts w:ascii="仿宋_GB2312" w:hAnsi="宋体" w:eastAsia="仿宋_GB2312" w:cs="仿宋_GB2312"/>
          <w:b/>
          <w:color w:val="000000"/>
          <w:kern w:val="0"/>
          <w:szCs w:val="32"/>
        </w:rPr>
        <w:t>（项）</w:t>
      </w:r>
      <w:r>
        <w:rPr>
          <w:rFonts w:hint="eastAsia" w:ascii="仿宋_GB2312" w:hAnsi="宋体" w:eastAsia="仿宋_GB2312" w:cs="仿宋_GB2312"/>
          <w:b/>
          <w:color w:val="000000"/>
          <w:kern w:val="0"/>
          <w:szCs w:val="32"/>
        </w:rPr>
        <w:t>。</w:t>
      </w:r>
    </w:p>
    <w:p>
      <w:pPr>
        <w:widowControl/>
        <w:ind w:firstLine="480" w:firstLineChars="150"/>
        <w:jc w:val="left"/>
        <w:rPr>
          <w:rFonts w:ascii="仿宋_GB2312" w:hAnsi="宋体" w:eastAsia="仿宋_GB2312" w:cs="仿宋_GB2312"/>
          <w:color w:val="000000"/>
          <w:kern w:val="0"/>
          <w:szCs w:val="32"/>
        </w:rPr>
      </w:pPr>
      <w:r>
        <w:rPr>
          <w:rFonts w:ascii="仿宋_GB2312" w:hAnsi="宋体" w:eastAsia="仿宋_GB2312" w:cs="仿宋_GB2312"/>
          <w:color w:val="000000"/>
          <w:kern w:val="0"/>
          <w:szCs w:val="32"/>
        </w:rPr>
        <w:t>年初预算为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418.92</w:t>
      </w:r>
      <w:r>
        <w:rPr>
          <w:rFonts w:ascii="仿宋_GB2312" w:hAnsi="宋体" w:eastAsia="仿宋_GB2312" w:cs="仿宋_GB2312"/>
          <w:color w:val="000000"/>
          <w:kern w:val="0"/>
          <w:szCs w:val="32"/>
        </w:rPr>
        <w:t>万元，决算数大于预算数的主要原因是</w:t>
      </w:r>
      <w:r>
        <w:rPr>
          <w:rFonts w:hint="eastAsia" w:ascii="仿宋_GB2312" w:hAnsi="宋体" w:eastAsia="仿宋_GB2312" w:cs="仿宋_GB2312"/>
          <w:color w:val="000000"/>
          <w:kern w:val="0"/>
          <w:szCs w:val="32"/>
        </w:rPr>
        <w:t>农村危房改造、保障性住房租金补贴、其他保障性安居工程支出年初未纳入预算。</w:t>
      </w:r>
    </w:p>
    <w:p>
      <w:pPr>
        <w:spacing w:line="360" w:lineRule="auto"/>
        <w:ind w:firstLine="640" w:firstLineChars="200"/>
        <w:rPr>
          <w:rFonts w:ascii="仿宋_GB2312" w:hAnsi="仿宋" w:eastAsia="仿宋_GB2312"/>
          <w:szCs w:val="32"/>
        </w:rPr>
      </w:pPr>
      <w:r>
        <w:rPr>
          <w:rFonts w:hint="eastAsia" w:ascii="黑体" w:hAnsi="黑体" w:eastAsia="黑体"/>
          <w:color w:val="000000"/>
          <w:kern w:val="0"/>
          <w:szCs w:val="32"/>
        </w:rPr>
        <w:t>六、一般公共预算财政拨款基本支出决算情况说明</w:t>
      </w:r>
    </w:p>
    <w:p>
      <w:pPr>
        <w:widowControl/>
        <w:ind w:firstLine="620" w:firstLineChars="200"/>
        <w:jc w:val="left"/>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201</w:t>
      </w:r>
      <w:r>
        <w:rPr>
          <w:rFonts w:hint="eastAsia" w:ascii="仿宋_GB2312" w:hAnsi="仿宋_GB2312" w:eastAsia="仿宋_GB2312" w:cs="仿宋_GB2312"/>
          <w:color w:val="000000"/>
          <w:kern w:val="0"/>
          <w:sz w:val="31"/>
          <w:szCs w:val="31"/>
        </w:rPr>
        <w:t>9</w:t>
      </w:r>
      <w:r>
        <w:rPr>
          <w:rFonts w:ascii="仿宋_GB2312" w:hAnsi="仿宋_GB2312" w:eastAsia="仿宋_GB2312" w:cs="仿宋_GB2312"/>
          <w:color w:val="000000"/>
          <w:kern w:val="0"/>
          <w:sz w:val="31"/>
          <w:szCs w:val="31"/>
        </w:rPr>
        <w:t>年</w:t>
      </w:r>
      <w:r>
        <w:rPr>
          <w:rFonts w:hint="eastAsia" w:ascii="仿宋_GB2312" w:hAnsi="仿宋" w:eastAsia="仿宋_GB2312"/>
          <w:szCs w:val="32"/>
        </w:rPr>
        <w:t>度</w:t>
      </w:r>
      <w:r>
        <w:rPr>
          <w:rFonts w:ascii="仿宋_GB2312" w:hAnsi="仿宋_GB2312" w:eastAsia="仿宋_GB2312" w:cs="仿宋_GB2312"/>
          <w:color w:val="000000"/>
          <w:kern w:val="0"/>
          <w:sz w:val="31"/>
          <w:szCs w:val="31"/>
        </w:rPr>
        <w:t>一般公共预算财政拨款基本支出</w:t>
      </w:r>
      <w:r>
        <w:rPr>
          <w:rFonts w:hint="eastAsia" w:ascii="仿宋_GB2312" w:hAnsi="仿宋_GB2312" w:eastAsia="仿宋_GB2312" w:cs="仿宋_GB2312"/>
          <w:color w:val="000000"/>
          <w:kern w:val="0"/>
          <w:sz w:val="31"/>
          <w:szCs w:val="31"/>
        </w:rPr>
        <w:t>717.81</w:t>
      </w:r>
      <w:r>
        <w:rPr>
          <w:rFonts w:ascii="仿宋_GB2312" w:hAnsi="仿宋_GB2312" w:eastAsia="仿宋_GB2312" w:cs="仿宋_GB2312"/>
          <w:color w:val="000000"/>
          <w:kern w:val="0"/>
          <w:sz w:val="31"/>
          <w:szCs w:val="31"/>
        </w:rPr>
        <w:t>万元，包括：人员经费支出</w:t>
      </w:r>
      <w:r>
        <w:rPr>
          <w:rFonts w:hint="eastAsia" w:ascii="仿宋_GB2312" w:hAnsi="仿宋_GB2312" w:eastAsia="仿宋_GB2312" w:cs="仿宋_GB2312"/>
          <w:color w:val="000000"/>
          <w:kern w:val="0"/>
          <w:sz w:val="31"/>
          <w:szCs w:val="31"/>
        </w:rPr>
        <w:t>704.75</w:t>
      </w:r>
      <w:r>
        <w:rPr>
          <w:rFonts w:ascii="仿宋_GB2312" w:hAnsi="仿宋_GB2312" w:eastAsia="仿宋_GB2312" w:cs="仿宋_GB2312"/>
          <w:color w:val="000000"/>
          <w:kern w:val="0"/>
          <w:sz w:val="31"/>
          <w:szCs w:val="31"/>
        </w:rPr>
        <w:t>万元和公用经费支出</w:t>
      </w:r>
      <w:r>
        <w:rPr>
          <w:rFonts w:hint="eastAsia" w:ascii="仿宋_GB2312" w:hAnsi="仿宋_GB2312" w:eastAsia="仿宋_GB2312" w:cs="仿宋_GB2312"/>
          <w:color w:val="000000"/>
          <w:kern w:val="0"/>
          <w:sz w:val="31"/>
          <w:szCs w:val="31"/>
        </w:rPr>
        <w:t>13.06</w:t>
      </w:r>
      <w:r>
        <w:rPr>
          <w:rFonts w:ascii="仿宋_GB2312" w:hAnsi="仿宋_GB2312" w:eastAsia="仿宋_GB2312" w:cs="仿宋_GB2312"/>
          <w:color w:val="000000"/>
          <w:kern w:val="0"/>
          <w:sz w:val="31"/>
          <w:szCs w:val="31"/>
        </w:rPr>
        <w:t>万元。</w:t>
      </w:r>
    </w:p>
    <w:p>
      <w:pPr>
        <w:widowControl/>
        <w:ind w:firstLine="643" w:firstLineChars="200"/>
        <w:jc w:val="left"/>
        <w:rPr>
          <w:rFonts w:ascii="仿宋_GB2312" w:hAnsi="宋体" w:eastAsia="仿宋_GB2312" w:cs="仿宋_GB2312"/>
          <w:color w:val="000000"/>
          <w:kern w:val="0"/>
          <w:szCs w:val="32"/>
        </w:rPr>
      </w:pPr>
      <w:r>
        <w:rPr>
          <w:rFonts w:ascii="仿宋_GB2312" w:hAnsi="宋体" w:eastAsia="仿宋_GB2312" w:cs="仿宋_GB2312"/>
          <w:b/>
          <w:bCs/>
          <w:color w:val="000000"/>
          <w:kern w:val="0"/>
          <w:szCs w:val="32"/>
        </w:rPr>
        <w:t>人员经费</w:t>
      </w:r>
      <w:r>
        <w:rPr>
          <w:rFonts w:hint="eastAsia" w:ascii="仿宋_GB2312" w:hAnsi="宋体" w:eastAsia="仿宋_GB2312" w:cs="仿宋_GB2312"/>
          <w:color w:val="000000"/>
          <w:kern w:val="0"/>
          <w:szCs w:val="32"/>
        </w:rPr>
        <w:t>704.75</w:t>
      </w:r>
      <w:r>
        <w:rPr>
          <w:rFonts w:ascii="仿宋_GB2312" w:hAnsi="宋体" w:eastAsia="仿宋_GB2312" w:cs="仿宋_GB2312"/>
          <w:color w:val="000000"/>
          <w:kern w:val="0"/>
          <w:szCs w:val="32"/>
        </w:rPr>
        <w:t>万元，主要包括</w:t>
      </w:r>
      <w:r>
        <w:rPr>
          <w:rFonts w:hint="eastAsia" w:ascii="仿宋_GB2312" w:hAnsi="宋体" w:eastAsia="仿宋_GB2312" w:cs="仿宋_GB2312"/>
          <w:color w:val="000000"/>
          <w:kern w:val="0"/>
          <w:szCs w:val="32"/>
        </w:rPr>
        <w:t>工资福利支出668.12万元；对个人和家庭的补助36.63万元。工资福利支出具体为：</w:t>
      </w:r>
      <w:r>
        <w:rPr>
          <w:rFonts w:ascii="仿宋_GB2312" w:hAnsi="宋体" w:eastAsia="仿宋_GB2312" w:cs="仿宋_GB2312"/>
          <w:color w:val="000000"/>
          <w:kern w:val="0"/>
          <w:szCs w:val="32"/>
        </w:rPr>
        <w:t>基本工资</w:t>
      </w:r>
      <w:r>
        <w:rPr>
          <w:rFonts w:hint="eastAsia" w:ascii="仿宋_GB2312" w:hAnsi="宋体" w:eastAsia="仿宋_GB2312" w:cs="仿宋_GB2312"/>
          <w:color w:val="000000"/>
          <w:kern w:val="0"/>
          <w:szCs w:val="32"/>
        </w:rPr>
        <w:t>263.75万元；津贴补贴125.84万元；奖金60.18万元；绩效工资124.97万元；机关事业单位基本养老保险缴费74.99万元；职业年金缴费0.37万元；职工基本医疗保险缴费15.93万元；公务员医疗补助缴费0.67万元；其他社会保障缴费1.42万元。对个人和家庭的补助为生活补助36.63万元。</w:t>
      </w:r>
    </w:p>
    <w:p>
      <w:pPr>
        <w:widowControl/>
        <w:ind w:firstLine="643" w:firstLineChars="200"/>
        <w:jc w:val="left"/>
      </w:pPr>
      <w:r>
        <w:rPr>
          <w:rFonts w:ascii="仿宋_GB2312" w:hAnsi="宋体" w:eastAsia="仿宋_GB2312" w:cs="仿宋_GB2312"/>
          <w:b/>
          <w:bCs/>
          <w:color w:val="000000"/>
          <w:kern w:val="0"/>
          <w:szCs w:val="32"/>
        </w:rPr>
        <w:t>公用经费</w:t>
      </w:r>
      <w:r>
        <w:rPr>
          <w:rFonts w:hint="eastAsia" w:ascii="仿宋_GB2312" w:hAnsi="宋体" w:eastAsia="仿宋_GB2312" w:cs="仿宋_GB2312"/>
          <w:color w:val="000000"/>
          <w:kern w:val="0"/>
          <w:szCs w:val="32"/>
        </w:rPr>
        <w:t>13.06</w:t>
      </w:r>
      <w:r>
        <w:rPr>
          <w:rFonts w:ascii="仿宋_GB2312" w:hAnsi="宋体" w:eastAsia="仿宋_GB2312" w:cs="仿宋_GB2312"/>
          <w:color w:val="000000"/>
          <w:kern w:val="0"/>
          <w:szCs w:val="32"/>
        </w:rPr>
        <w:t>万元，主要包括</w:t>
      </w:r>
      <w:r>
        <w:rPr>
          <w:rFonts w:hint="eastAsia" w:ascii="仿宋_GB2312" w:hAnsi="宋体" w:eastAsia="仿宋_GB2312" w:cs="仿宋_GB2312"/>
          <w:color w:val="000000"/>
          <w:kern w:val="0"/>
          <w:szCs w:val="32"/>
        </w:rPr>
        <w:t>商品和服务支出13.06万元。具体支出为;</w:t>
      </w:r>
      <w:r>
        <w:rPr>
          <w:rFonts w:ascii="仿宋_GB2312" w:hAnsi="宋体" w:eastAsia="仿宋_GB2312" w:cs="仿宋_GB2312"/>
          <w:color w:val="000000"/>
          <w:kern w:val="0"/>
          <w:szCs w:val="32"/>
        </w:rPr>
        <w:t>办公费</w:t>
      </w:r>
      <w:r>
        <w:rPr>
          <w:rFonts w:hint="eastAsia" w:ascii="仿宋_GB2312" w:hAnsi="宋体" w:eastAsia="仿宋_GB2312" w:cs="仿宋_GB2312"/>
          <w:color w:val="000000"/>
          <w:kern w:val="0"/>
          <w:szCs w:val="32"/>
        </w:rPr>
        <w:t>6.57万元；印刷费0.4万元；水费0.15万元；电费0.25万元；邮电费0.8万元；差旅费3.84万元；维修（护）费0.5万元；公务接待费0.16万元；福利费0.07万元；公车运行维护费0.32万元。</w:t>
      </w:r>
    </w:p>
    <w:p>
      <w:pPr>
        <w:ind w:firstLine="640" w:firstLineChars="200"/>
        <w:rPr>
          <w:rFonts w:ascii="黑体" w:hAnsi="黑体" w:eastAsia="黑体"/>
          <w:color w:val="000000"/>
          <w:kern w:val="0"/>
          <w:szCs w:val="32"/>
        </w:rPr>
      </w:pPr>
      <w:r>
        <w:rPr>
          <w:rFonts w:hint="eastAsia" w:ascii="黑体" w:hAnsi="黑体" w:eastAsia="黑体"/>
          <w:color w:val="000000"/>
          <w:kern w:val="0"/>
          <w:szCs w:val="32"/>
        </w:rPr>
        <w:t>七、一般公共预算财政拨款“三公”经费及会议费、培训费支出决算情况说明</w:t>
      </w:r>
    </w:p>
    <w:p>
      <w:pPr>
        <w:widowControl/>
        <w:ind w:firstLine="643" w:firstLineChars="200"/>
        <w:jc w:val="left"/>
      </w:pPr>
      <w:r>
        <w:rPr>
          <w:rFonts w:ascii="楷体_GB2312" w:hAnsi="宋体" w:eastAsia="楷体_GB2312" w:cs="楷体_GB2312"/>
          <w:b/>
          <w:color w:val="000000"/>
          <w:kern w:val="0"/>
          <w:szCs w:val="32"/>
        </w:rPr>
        <w:t>（一）“三公”经费财政拨款支出决算总体情况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 xml:space="preserve">。 </w:t>
      </w:r>
    </w:p>
    <w:p>
      <w:pPr>
        <w:widowControl/>
        <w:ind w:firstLine="640" w:firstLineChars="200"/>
        <w:jc w:val="left"/>
      </w:pPr>
      <w:r>
        <w:rPr>
          <w:rFonts w:ascii="仿宋_GB2312" w:hAnsi="宋体" w:eastAsia="仿宋_GB2312" w:cs="仿宋_GB2312"/>
          <w:color w:val="000000"/>
          <w:kern w:val="0"/>
          <w:szCs w:val="32"/>
        </w:rPr>
        <w:t>2019年</w:t>
      </w:r>
      <w:r>
        <w:rPr>
          <w:rFonts w:hint="eastAsia" w:ascii="仿宋_GB2312" w:hAnsi="仿宋" w:eastAsia="仿宋_GB2312"/>
          <w:szCs w:val="32"/>
        </w:rPr>
        <w:t>度</w:t>
      </w:r>
      <w:r>
        <w:rPr>
          <w:rFonts w:ascii="仿宋_GB2312" w:hAnsi="宋体" w:eastAsia="仿宋_GB2312" w:cs="仿宋_GB2312"/>
          <w:color w:val="000000"/>
          <w:kern w:val="0"/>
          <w:szCs w:val="32"/>
        </w:rPr>
        <w:t>“三公”经费财政拨款支出预算为</w:t>
      </w:r>
      <w:r>
        <w:rPr>
          <w:rFonts w:hint="eastAsia" w:ascii="仿宋_GB2312" w:hAnsi="宋体" w:eastAsia="仿宋_GB2312" w:cs="仿宋_GB2312"/>
          <w:color w:val="000000"/>
          <w:kern w:val="0"/>
          <w:szCs w:val="32"/>
        </w:rPr>
        <w:t>1.31</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0.47</w:t>
      </w:r>
      <w:r>
        <w:rPr>
          <w:rFonts w:ascii="仿宋_GB2312" w:hAnsi="宋体" w:eastAsia="仿宋_GB2312" w:cs="仿宋_GB2312"/>
          <w:color w:val="000000"/>
          <w:kern w:val="0"/>
          <w:szCs w:val="32"/>
        </w:rPr>
        <w:t>万元，完成预算的</w:t>
      </w:r>
      <w:r>
        <w:rPr>
          <w:rFonts w:hint="eastAsia" w:ascii="仿宋_GB2312" w:hAnsi="宋体" w:eastAsia="仿宋_GB2312" w:cs="仿宋_GB2312"/>
          <w:color w:val="000000"/>
          <w:kern w:val="0"/>
          <w:szCs w:val="32"/>
        </w:rPr>
        <w:t>35.88</w:t>
      </w:r>
      <w:r>
        <w:rPr>
          <w:rFonts w:ascii="仿宋_GB2312" w:hAnsi="宋体" w:eastAsia="仿宋_GB2312" w:cs="仿宋_GB2312"/>
          <w:color w:val="000000"/>
          <w:kern w:val="0"/>
          <w:szCs w:val="32"/>
        </w:rPr>
        <w:t>%。决算数</w:t>
      </w:r>
      <w:r>
        <w:rPr>
          <w:rFonts w:hint="eastAsia" w:ascii="仿宋_GB2312" w:hAnsi="宋体" w:eastAsia="仿宋_GB2312" w:cs="仿宋_GB2312"/>
          <w:color w:val="000000"/>
          <w:kern w:val="0"/>
          <w:szCs w:val="32"/>
        </w:rPr>
        <w:t>较</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rPr>
        <w:t>减少0.84万元，</w:t>
      </w:r>
      <w:r>
        <w:rPr>
          <w:rFonts w:ascii="仿宋_GB2312" w:hAnsi="宋体" w:eastAsia="仿宋_GB2312" w:cs="仿宋_GB2312"/>
          <w:color w:val="000000"/>
          <w:kern w:val="0"/>
          <w:szCs w:val="32"/>
        </w:rPr>
        <w:t>主要原因是</w:t>
      </w:r>
      <w:r>
        <w:rPr>
          <w:rFonts w:hint="eastAsia" w:ascii="仿宋_GB2312" w:hAnsi="宋体" w:eastAsia="仿宋_GB2312" w:cs="仿宋_GB2312"/>
          <w:color w:val="000000"/>
          <w:kern w:val="0"/>
          <w:szCs w:val="32"/>
        </w:rPr>
        <w:t>严格厉行节约</w:t>
      </w:r>
      <w:r>
        <w:rPr>
          <w:rFonts w:hint="eastAsia" w:ascii="仿宋_GB2312" w:hAnsi="宋体" w:eastAsia="仿宋_GB2312" w:cs="仿宋_GB2312"/>
          <w:color w:val="000000"/>
          <w:kern w:val="0"/>
          <w:szCs w:val="32"/>
          <w:lang w:eastAsia="zh-CN"/>
        </w:rPr>
        <w:t>，</w:t>
      </w:r>
      <w:r>
        <w:rPr>
          <w:rFonts w:hint="eastAsia" w:ascii="仿宋_GB2312" w:hAnsi="宋体" w:eastAsia="仿宋_GB2312" w:cs="仿宋_GB2312"/>
          <w:color w:val="000000"/>
          <w:kern w:val="0"/>
          <w:szCs w:val="32"/>
        </w:rPr>
        <w:t>压缩三公经费。</w:t>
      </w:r>
    </w:p>
    <w:p>
      <w:pPr>
        <w:spacing w:line="360" w:lineRule="auto"/>
        <w:ind w:firstLine="643" w:firstLineChars="200"/>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（二）</w:t>
      </w:r>
      <w:r>
        <w:rPr>
          <w:rFonts w:ascii="楷体_GB2312" w:hAnsi="宋体" w:eastAsia="楷体_GB2312" w:cs="楷体_GB2312"/>
          <w:b/>
          <w:color w:val="000000"/>
          <w:kern w:val="0"/>
          <w:szCs w:val="32"/>
        </w:rPr>
        <w:t>“三公”经费财政拨款支出决算具体情况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w:t>
      </w:r>
    </w:p>
    <w:p>
      <w:pPr>
        <w:widowControl/>
        <w:ind w:firstLine="640" w:firstLineChars="200"/>
        <w:jc w:val="left"/>
      </w:pPr>
      <w:r>
        <w:rPr>
          <w:rFonts w:ascii="仿宋_GB2312" w:hAnsi="宋体" w:eastAsia="仿宋_GB2312" w:cs="仿宋_GB2312"/>
          <w:color w:val="000000"/>
          <w:kern w:val="0"/>
          <w:szCs w:val="32"/>
        </w:rPr>
        <w:t>2019年</w:t>
      </w:r>
      <w:r>
        <w:rPr>
          <w:rFonts w:hint="eastAsia" w:ascii="仿宋_GB2312" w:hAnsi="仿宋" w:eastAsia="仿宋_GB2312"/>
          <w:szCs w:val="32"/>
        </w:rPr>
        <w:t>度</w:t>
      </w:r>
      <w:r>
        <w:rPr>
          <w:rFonts w:ascii="仿宋_GB2312" w:hAnsi="宋体" w:eastAsia="仿宋_GB2312" w:cs="仿宋_GB2312"/>
          <w:color w:val="000000"/>
          <w:kern w:val="0"/>
          <w:szCs w:val="32"/>
        </w:rPr>
        <w:t>“三公”经费财政拨款支出决算中，因公出国（境）费支出决算</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万元；公务用车购置</w:t>
      </w:r>
      <w:r>
        <w:rPr>
          <w:rFonts w:hint="eastAsia" w:ascii="仿宋_GB2312" w:hAnsi="宋体" w:eastAsia="仿宋_GB2312" w:cs="仿宋_GB2312"/>
          <w:color w:val="000000"/>
          <w:kern w:val="0"/>
          <w:szCs w:val="32"/>
        </w:rPr>
        <w:t>费支出0万元</w:t>
      </w:r>
      <w:r>
        <w:rPr>
          <w:rFonts w:ascii="仿宋_GB2312" w:hAnsi="宋体" w:eastAsia="仿宋_GB2312" w:cs="仿宋_GB2312"/>
          <w:color w:val="000000"/>
          <w:kern w:val="0"/>
          <w:szCs w:val="32"/>
        </w:rPr>
        <w:t>；公务用车运行</w:t>
      </w:r>
      <w:r>
        <w:rPr>
          <w:rFonts w:hint="eastAsia" w:ascii="仿宋_GB2312" w:hAnsi="仿宋" w:eastAsia="仿宋_GB2312"/>
          <w:szCs w:val="32"/>
        </w:rPr>
        <w:t>维护</w:t>
      </w:r>
      <w:r>
        <w:rPr>
          <w:rFonts w:ascii="仿宋_GB2312" w:hAnsi="宋体" w:eastAsia="仿宋_GB2312" w:cs="仿宋_GB2312"/>
          <w:color w:val="000000"/>
          <w:kern w:val="0"/>
          <w:szCs w:val="32"/>
        </w:rPr>
        <w:t>费支出决算</w:t>
      </w:r>
      <w:r>
        <w:rPr>
          <w:rFonts w:hint="eastAsia" w:ascii="仿宋_GB2312" w:hAnsi="宋体" w:eastAsia="仿宋_GB2312" w:cs="仿宋_GB2312"/>
          <w:color w:val="000000"/>
          <w:kern w:val="0"/>
          <w:szCs w:val="32"/>
        </w:rPr>
        <w:t>0.32</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rPr>
        <w:t>66.89</w:t>
      </w:r>
      <w:r>
        <w:rPr>
          <w:rFonts w:ascii="仿宋_GB2312" w:hAnsi="宋体" w:eastAsia="仿宋_GB2312" w:cs="仿宋_GB2312"/>
          <w:color w:val="000000"/>
          <w:kern w:val="0"/>
          <w:szCs w:val="32"/>
        </w:rPr>
        <w:t>%；公务接待费支出决算</w:t>
      </w:r>
      <w:r>
        <w:rPr>
          <w:rFonts w:hint="eastAsia" w:ascii="仿宋_GB2312" w:hAnsi="宋体" w:eastAsia="仿宋_GB2312" w:cs="仿宋_GB2312"/>
          <w:color w:val="000000"/>
          <w:kern w:val="0"/>
          <w:szCs w:val="32"/>
        </w:rPr>
        <w:t>0.16</w:t>
      </w:r>
      <w:r>
        <w:rPr>
          <w:rFonts w:ascii="仿宋_GB2312" w:hAnsi="宋体" w:eastAsia="仿宋_GB2312" w:cs="仿宋_GB2312"/>
          <w:color w:val="000000"/>
          <w:kern w:val="0"/>
          <w:szCs w:val="32"/>
        </w:rPr>
        <w:t>万元，占</w:t>
      </w:r>
      <w:r>
        <w:rPr>
          <w:rFonts w:hint="eastAsia" w:ascii="仿宋_GB2312" w:hAnsi="宋体" w:eastAsia="仿宋_GB2312" w:cs="仿宋_GB2312"/>
          <w:color w:val="000000"/>
          <w:kern w:val="0"/>
          <w:szCs w:val="32"/>
        </w:rPr>
        <w:t>33.11</w:t>
      </w:r>
      <w:r>
        <w:rPr>
          <w:rFonts w:ascii="仿宋_GB2312" w:hAnsi="宋体" w:eastAsia="仿宋_GB2312" w:cs="仿宋_GB2312"/>
          <w:color w:val="000000"/>
          <w:kern w:val="0"/>
          <w:szCs w:val="32"/>
        </w:rPr>
        <w:t>%。具体情况如下：</w:t>
      </w:r>
    </w:p>
    <w:p>
      <w:pPr>
        <w:ind w:firstLine="643" w:firstLineChars="200"/>
        <w:rPr>
          <w:rFonts w:ascii="仿宋_GB2312" w:hAnsi="仿宋" w:eastAsia="仿宋_GB2312"/>
          <w:b/>
          <w:bCs/>
          <w:szCs w:val="32"/>
        </w:rPr>
      </w:pPr>
      <w:r>
        <w:rPr>
          <w:rFonts w:hint="eastAsia" w:ascii="仿宋_GB2312" w:hAnsi="仿宋" w:eastAsia="仿宋_GB2312"/>
          <w:b/>
          <w:bCs/>
          <w:szCs w:val="32"/>
        </w:rPr>
        <w:t>1.因公出国（境）支出情况</w:t>
      </w:r>
      <w:r>
        <w:rPr>
          <w:rFonts w:hint="eastAsia" w:ascii="楷体_GB2312" w:hAnsi="宋体" w:eastAsia="楷体_GB2312" w:cs="楷体_GB2312"/>
          <w:b/>
          <w:color w:val="000000"/>
          <w:kern w:val="0"/>
          <w:szCs w:val="32"/>
        </w:rPr>
        <w:t>说明</w:t>
      </w:r>
      <w:r>
        <w:rPr>
          <w:rFonts w:hint="eastAsia" w:ascii="仿宋_GB2312" w:hAnsi="仿宋" w:eastAsia="仿宋_GB2312"/>
          <w:b/>
          <w:bCs/>
          <w:szCs w:val="32"/>
        </w:rPr>
        <w:t>。</w:t>
      </w:r>
    </w:p>
    <w:p>
      <w:pPr>
        <w:widowControl/>
        <w:ind w:firstLine="640" w:firstLineChars="200"/>
        <w:jc w:val="left"/>
      </w:pPr>
      <w:r>
        <w:rPr>
          <w:rFonts w:hint="eastAsia" w:ascii="仿宋_GB2312" w:hAnsi="仿宋" w:eastAsia="仿宋_GB2312"/>
          <w:szCs w:val="32"/>
        </w:rPr>
        <w:t>2019年度因公出国（境）团组</w:t>
      </w:r>
      <w:r>
        <w:rPr>
          <w:rFonts w:hint="eastAsia" w:ascii="仿宋_GB2312" w:hAnsi="仿宋_GB2312" w:eastAsia="仿宋_GB2312" w:cs="仿宋_GB2312"/>
          <w:szCs w:val="32"/>
        </w:rPr>
        <w:t>0个，0人次，</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w:t>
      </w:r>
      <w:r>
        <w:rPr>
          <w:rFonts w:hint="eastAsia" w:ascii="仿宋_GB2312" w:hAnsi="宋体" w:eastAsia="仿宋_GB2312" w:cs="仿宋_GB2312"/>
          <w:color w:val="000000"/>
          <w:kern w:val="0"/>
          <w:szCs w:val="32"/>
        </w:rPr>
        <w:t>，</w:t>
      </w:r>
      <w:r>
        <w:rPr>
          <w:rFonts w:ascii="仿宋_GB2312" w:hAnsi="宋体" w:eastAsia="仿宋_GB2312" w:cs="仿宋_GB2312"/>
          <w:color w:val="000000"/>
          <w:kern w:val="0"/>
          <w:szCs w:val="32"/>
        </w:rPr>
        <w:t>决算数</w:t>
      </w:r>
      <w:r>
        <w:rPr>
          <w:rFonts w:hint="eastAsia" w:ascii="仿宋_GB2312" w:hAnsi="宋体" w:eastAsia="仿宋_GB2312" w:cs="仿宋_GB2312"/>
          <w:color w:val="000000"/>
          <w:kern w:val="0"/>
          <w:szCs w:val="32"/>
        </w:rPr>
        <w:t>较</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rPr>
        <w:t>减少（增加）0万元，</w:t>
      </w:r>
      <w:r>
        <w:rPr>
          <w:rFonts w:ascii="仿宋_GB2312" w:hAnsi="宋体" w:eastAsia="仿宋_GB2312" w:cs="仿宋_GB2312"/>
          <w:color w:val="000000"/>
          <w:kern w:val="0"/>
          <w:szCs w:val="32"/>
        </w:rPr>
        <w:t>主要原因</w:t>
      </w:r>
      <w:r>
        <w:rPr>
          <w:rFonts w:hint="eastAsia" w:ascii="仿宋_GB2312" w:hAnsi="宋体" w:eastAsia="仿宋_GB2312" w:cs="仿宋_GB2312"/>
          <w:color w:val="000000"/>
          <w:kern w:val="0"/>
          <w:szCs w:val="32"/>
        </w:rPr>
        <w:t>本年度无因公出国（境）支出。</w:t>
      </w:r>
    </w:p>
    <w:p>
      <w:pPr>
        <w:ind w:firstLine="643" w:firstLineChars="200"/>
        <w:rPr>
          <w:rFonts w:ascii="仿宋_GB2312" w:hAnsi="仿宋" w:eastAsia="仿宋_GB2312"/>
          <w:b/>
          <w:bCs/>
          <w:szCs w:val="32"/>
        </w:rPr>
      </w:pPr>
      <w:r>
        <w:rPr>
          <w:rFonts w:hint="eastAsia" w:ascii="仿宋_GB2312" w:hAnsi="仿宋" w:eastAsia="仿宋_GB2312"/>
          <w:b/>
          <w:bCs/>
          <w:szCs w:val="32"/>
        </w:rPr>
        <w:t>2.公务用车购置费用支出情况</w:t>
      </w:r>
      <w:r>
        <w:rPr>
          <w:rFonts w:hint="eastAsia" w:ascii="楷体_GB2312" w:hAnsi="宋体" w:eastAsia="楷体_GB2312" w:cs="楷体_GB2312"/>
          <w:b/>
          <w:color w:val="000000"/>
          <w:kern w:val="0"/>
          <w:szCs w:val="32"/>
        </w:rPr>
        <w:t>说明</w:t>
      </w:r>
      <w:r>
        <w:rPr>
          <w:rFonts w:hint="eastAsia" w:ascii="仿宋_GB2312" w:hAnsi="仿宋" w:eastAsia="仿宋_GB2312"/>
          <w:b/>
          <w:bCs/>
          <w:szCs w:val="32"/>
        </w:rPr>
        <w:t>。</w:t>
      </w:r>
    </w:p>
    <w:p>
      <w:pPr>
        <w:widowControl/>
        <w:ind w:firstLine="640" w:firstLineChars="200"/>
        <w:jc w:val="left"/>
      </w:pPr>
      <w:r>
        <w:rPr>
          <w:rFonts w:hint="eastAsia" w:ascii="仿宋_GB2312" w:hAnsi="仿宋" w:eastAsia="仿宋_GB2312"/>
          <w:szCs w:val="32"/>
        </w:rPr>
        <w:t>2019年度购置车辆</w:t>
      </w:r>
      <w:r>
        <w:rPr>
          <w:rFonts w:hint="eastAsia" w:ascii="仿宋_GB2312" w:hAnsi="仿宋_GB2312" w:eastAsia="仿宋_GB2312" w:cs="仿宋_GB2312"/>
          <w:szCs w:val="32"/>
        </w:rPr>
        <w:t>0台，</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w:t>
      </w:r>
      <w:r>
        <w:rPr>
          <w:rFonts w:hint="eastAsia" w:ascii="仿宋_GB2312" w:hAnsi="宋体" w:eastAsia="仿宋_GB2312" w:cs="仿宋_GB2312"/>
          <w:color w:val="000000"/>
          <w:kern w:val="0"/>
          <w:szCs w:val="32"/>
        </w:rPr>
        <w:t>，决</w:t>
      </w:r>
      <w:r>
        <w:rPr>
          <w:rFonts w:ascii="仿宋_GB2312" w:hAnsi="宋体" w:eastAsia="仿宋_GB2312" w:cs="仿宋_GB2312"/>
          <w:color w:val="000000"/>
          <w:kern w:val="0"/>
          <w:szCs w:val="32"/>
        </w:rPr>
        <w:t>算数</w:t>
      </w:r>
      <w:r>
        <w:rPr>
          <w:rFonts w:hint="eastAsia" w:ascii="仿宋_GB2312" w:hAnsi="宋体" w:eastAsia="仿宋_GB2312" w:cs="仿宋_GB2312"/>
          <w:color w:val="000000"/>
          <w:kern w:val="0"/>
          <w:szCs w:val="32"/>
        </w:rPr>
        <w:t>较</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rPr>
        <w:t>减少（增加）0万元，</w:t>
      </w:r>
      <w:r>
        <w:rPr>
          <w:rFonts w:ascii="仿宋_GB2312" w:hAnsi="宋体" w:eastAsia="仿宋_GB2312" w:cs="仿宋_GB2312"/>
          <w:color w:val="000000"/>
          <w:kern w:val="0"/>
          <w:szCs w:val="32"/>
        </w:rPr>
        <w:t>主要原因</w:t>
      </w:r>
      <w:r>
        <w:rPr>
          <w:rFonts w:hint="eastAsia" w:ascii="仿宋_GB2312" w:hAnsi="宋体" w:eastAsia="仿宋_GB2312" w:cs="仿宋_GB2312"/>
          <w:color w:val="000000"/>
          <w:kern w:val="0"/>
          <w:szCs w:val="32"/>
        </w:rPr>
        <w:t>是本年度无公务用车购置费支出。</w:t>
      </w:r>
    </w:p>
    <w:p>
      <w:pPr>
        <w:ind w:firstLine="643" w:firstLineChars="200"/>
        <w:rPr>
          <w:rFonts w:ascii="仿宋_GB2312" w:hAnsi="仿宋" w:eastAsia="仿宋_GB2312"/>
          <w:b/>
          <w:bCs/>
          <w:szCs w:val="32"/>
        </w:rPr>
      </w:pPr>
      <w:r>
        <w:rPr>
          <w:rFonts w:hint="eastAsia" w:ascii="仿宋_GB2312" w:hAnsi="仿宋" w:eastAsia="仿宋_GB2312"/>
          <w:b/>
          <w:bCs/>
          <w:szCs w:val="32"/>
        </w:rPr>
        <w:t>3.公务用车运行维护费用支出情况</w:t>
      </w:r>
      <w:r>
        <w:rPr>
          <w:rFonts w:hint="eastAsia" w:ascii="楷体_GB2312" w:hAnsi="宋体" w:eastAsia="楷体_GB2312" w:cs="楷体_GB2312"/>
          <w:b/>
          <w:color w:val="000000"/>
          <w:kern w:val="0"/>
          <w:szCs w:val="32"/>
        </w:rPr>
        <w:t>说明</w:t>
      </w:r>
      <w:r>
        <w:rPr>
          <w:rFonts w:hint="eastAsia" w:ascii="仿宋_GB2312" w:hAnsi="仿宋" w:eastAsia="仿宋_GB2312"/>
          <w:b/>
          <w:bCs/>
          <w:szCs w:val="32"/>
        </w:rPr>
        <w:t>。</w:t>
      </w:r>
    </w:p>
    <w:p>
      <w:pPr>
        <w:widowControl/>
        <w:ind w:firstLine="640" w:firstLineChars="200"/>
        <w:jc w:val="left"/>
        <w:rPr>
          <w:rFonts w:ascii="仿宋_GB2312" w:hAnsi="宋体" w:eastAsia="仿宋_GB2312" w:cs="仿宋_GB2312"/>
          <w:color w:val="000000"/>
          <w:kern w:val="0"/>
          <w:szCs w:val="32"/>
        </w:rPr>
      </w:pPr>
      <w:r>
        <w:rPr>
          <w:rFonts w:hint="eastAsia" w:ascii="仿宋_GB2312" w:hAnsi="仿宋" w:eastAsia="仿宋_GB2312"/>
          <w:szCs w:val="32"/>
        </w:rPr>
        <w:t>2019年度</w:t>
      </w:r>
      <w:r>
        <w:rPr>
          <w:rFonts w:hint="eastAsia" w:ascii="仿宋_GB2312" w:hAnsi="仿宋_GB2312" w:eastAsia="仿宋_GB2312" w:cs="仿宋_GB2312"/>
          <w:szCs w:val="32"/>
        </w:rPr>
        <w:t>公务用车运行维护费</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rPr>
        <w:t>0.88</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0.32</w:t>
      </w:r>
      <w:r>
        <w:rPr>
          <w:rFonts w:ascii="仿宋_GB2312" w:hAnsi="宋体" w:eastAsia="仿宋_GB2312" w:cs="仿宋_GB2312"/>
          <w:color w:val="000000"/>
          <w:kern w:val="0"/>
          <w:szCs w:val="32"/>
        </w:rPr>
        <w:t>万元，完成预算的</w:t>
      </w:r>
      <w:r>
        <w:rPr>
          <w:rFonts w:hint="eastAsia" w:ascii="仿宋_GB2312" w:hAnsi="宋体" w:eastAsia="仿宋_GB2312" w:cs="仿宋_GB2312"/>
          <w:color w:val="000000"/>
          <w:kern w:val="0"/>
          <w:szCs w:val="32"/>
        </w:rPr>
        <w:t>36.36%，决</w:t>
      </w:r>
      <w:r>
        <w:rPr>
          <w:rFonts w:ascii="仿宋_GB2312" w:hAnsi="宋体" w:eastAsia="仿宋_GB2312" w:cs="仿宋_GB2312"/>
          <w:color w:val="000000"/>
          <w:kern w:val="0"/>
          <w:szCs w:val="32"/>
        </w:rPr>
        <w:t>算数</w:t>
      </w:r>
      <w:r>
        <w:rPr>
          <w:rFonts w:hint="eastAsia" w:ascii="仿宋_GB2312" w:hAnsi="宋体" w:eastAsia="仿宋_GB2312" w:cs="仿宋_GB2312"/>
          <w:color w:val="000000"/>
          <w:kern w:val="0"/>
          <w:szCs w:val="32"/>
        </w:rPr>
        <w:t>较</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rPr>
        <w:t>减少0.56万元，</w:t>
      </w:r>
      <w:r>
        <w:rPr>
          <w:rFonts w:ascii="仿宋_GB2312" w:hAnsi="宋体" w:eastAsia="仿宋_GB2312" w:cs="仿宋_GB2312"/>
          <w:color w:val="000000"/>
          <w:kern w:val="0"/>
          <w:szCs w:val="32"/>
        </w:rPr>
        <w:t>主要原因是</w:t>
      </w:r>
      <w:r>
        <w:rPr>
          <w:rFonts w:hint="eastAsia" w:ascii="仿宋_GB2312" w:hAnsi="宋体" w:eastAsia="仿宋_GB2312" w:cs="仿宋_GB2312"/>
          <w:color w:val="000000"/>
          <w:kern w:val="0"/>
          <w:szCs w:val="32"/>
        </w:rPr>
        <w:t>厉行节约</w:t>
      </w:r>
      <w:r>
        <w:rPr>
          <w:rFonts w:hint="eastAsia" w:ascii="仿宋_GB2312" w:hAnsi="宋体" w:eastAsia="仿宋_GB2312" w:cs="仿宋_GB2312"/>
          <w:color w:val="000000"/>
          <w:kern w:val="0"/>
          <w:szCs w:val="32"/>
          <w:lang w:eastAsia="zh-CN"/>
        </w:rPr>
        <w:t>，</w:t>
      </w:r>
      <w:r>
        <w:rPr>
          <w:rFonts w:hint="eastAsia" w:ascii="仿宋_GB2312" w:hAnsi="宋体" w:eastAsia="仿宋_GB2312" w:cs="仿宋_GB2312"/>
          <w:color w:val="000000"/>
          <w:kern w:val="0"/>
          <w:szCs w:val="32"/>
        </w:rPr>
        <w:t>压缩开支。</w:t>
      </w:r>
    </w:p>
    <w:p>
      <w:pPr>
        <w:ind w:firstLine="643" w:firstLineChars="200"/>
        <w:rPr>
          <w:rFonts w:ascii="仿宋_GB2312" w:hAnsi="仿宋" w:eastAsia="仿宋_GB2312"/>
          <w:szCs w:val="32"/>
        </w:rPr>
      </w:pPr>
      <w:r>
        <w:rPr>
          <w:rFonts w:hint="eastAsia" w:ascii="仿宋_GB2312" w:hAnsi="仿宋" w:eastAsia="仿宋_GB2312"/>
          <w:b/>
          <w:bCs/>
          <w:szCs w:val="32"/>
        </w:rPr>
        <w:t>4.公务接待费支出情况</w:t>
      </w:r>
      <w:r>
        <w:rPr>
          <w:rFonts w:hint="eastAsia" w:ascii="楷体_GB2312" w:hAnsi="宋体" w:eastAsia="楷体_GB2312" w:cs="楷体_GB2312"/>
          <w:b/>
          <w:color w:val="000000"/>
          <w:kern w:val="0"/>
          <w:szCs w:val="32"/>
        </w:rPr>
        <w:t>说明</w:t>
      </w:r>
      <w:r>
        <w:rPr>
          <w:rFonts w:hint="eastAsia" w:ascii="仿宋_GB2312" w:hAnsi="仿宋" w:eastAsia="仿宋_GB2312"/>
          <w:b/>
          <w:bCs/>
          <w:szCs w:val="32"/>
        </w:rPr>
        <w:t>。</w:t>
      </w:r>
    </w:p>
    <w:p>
      <w:pPr>
        <w:widowControl/>
        <w:ind w:firstLine="640" w:firstLineChars="200"/>
        <w:jc w:val="left"/>
        <w:rPr>
          <w:rFonts w:ascii="仿宋_GB2312" w:hAnsi="宋体" w:eastAsia="仿宋_GB2312" w:cs="仿宋_GB2312"/>
          <w:color w:val="000000"/>
          <w:kern w:val="0"/>
          <w:szCs w:val="32"/>
        </w:rPr>
      </w:pPr>
      <w:r>
        <w:rPr>
          <w:rFonts w:hint="eastAsia" w:ascii="仿宋_GB2312" w:hAnsi="仿宋" w:eastAsia="仿宋_GB2312"/>
          <w:szCs w:val="32"/>
        </w:rPr>
        <w:t>2019年度公务接待</w:t>
      </w:r>
      <w:r>
        <w:rPr>
          <w:rFonts w:hint="eastAsia" w:ascii="仿宋_GB2312" w:hAnsi="仿宋_GB2312" w:eastAsia="仿宋_GB2312" w:cs="仿宋_GB2312"/>
          <w:szCs w:val="32"/>
        </w:rPr>
        <w:t>1批次，52人次，</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rPr>
        <w:t>0.43</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0.16</w:t>
      </w:r>
      <w:r>
        <w:rPr>
          <w:rFonts w:ascii="仿宋_GB2312" w:hAnsi="宋体" w:eastAsia="仿宋_GB2312" w:cs="仿宋_GB2312"/>
          <w:color w:val="000000"/>
          <w:kern w:val="0"/>
          <w:szCs w:val="32"/>
        </w:rPr>
        <w:t>万元，完成预算的</w:t>
      </w:r>
      <w:r>
        <w:rPr>
          <w:rFonts w:hint="eastAsia" w:ascii="仿宋_GB2312" w:hAnsi="宋体" w:eastAsia="仿宋_GB2312" w:cs="仿宋_GB2312"/>
          <w:color w:val="000000"/>
          <w:kern w:val="0"/>
          <w:szCs w:val="32"/>
        </w:rPr>
        <w:t>37.21%，决</w:t>
      </w:r>
      <w:r>
        <w:rPr>
          <w:rFonts w:ascii="仿宋_GB2312" w:hAnsi="宋体" w:eastAsia="仿宋_GB2312" w:cs="仿宋_GB2312"/>
          <w:color w:val="000000"/>
          <w:kern w:val="0"/>
          <w:szCs w:val="32"/>
        </w:rPr>
        <w:t>算数</w:t>
      </w:r>
      <w:r>
        <w:rPr>
          <w:rFonts w:hint="eastAsia" w:ascii="仿宋_GB2312" w:hAnsi="宋体" w:eastAsia="仿宋_GB2312" w:cs="仿宋_GB2312"/>
          <w:color w:val="000000"/>
          <w:kern w:val="0"/>
          <w:szCs w:val="32"/>
        </w:rPr>
        <w:t>较</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rPr>
        <w:t>减少0.27万元，</w:t>
      </w:r>
      <w:r>
        <w:rPr>
          <w:rFonts w:ascii="仿宋_GB2312" w:hAnsi="宋体" w:eastAsia="仿宋_GB2312" w:cs="仿宋_GB2312"/>
          <w:color w:val="000000"/>
          <w:kern w:val="0"/>
          <w:szCs w:val="32"/>
        </w:rPr>
        <w:t>主要原因是</w:t>
      </w:r>
      <w:r>
        <w:rPr>
          <w:rFonts w:hint="eastAsia" w:ascii="仿宋_GB2312" w:hAnsi="宋体" w:eastAsia="仿宋_GB2312" w:cs="仿宋_GB2312"/>
          <w:color w:val="000000"/>
          <w:kern w:val="0"/>
          <w:szCs w:val="32"/>
        </w:rPr>
        <w:t>厉行节约</w:t>
      </w:r>
      <w:r>
        <w:rPr>
          <w:rFonts w:hint="eastAsia" w:ascii="仿宋_GB2312" w:hAnsi="宋体" w:eastAsia="仿宋_GB2312" w:cs="仿宋_GB2312"/>
          <w:color w:val="000000"/>
          <w:kern w:val="0"/>
          <w:szCs w:val="32"/>
          <w:lang w:eastAsia="zh-CN"/>
        </w:rPr>
        <w:t>，</w:t>
      </w:r>
      <w:r>
        <w:rPr>
          <w:rFonts w:hint="eastAsia" w:ascii="仿宋_GB2312" w:hAnsi="宋体" w:eastAsia="仿宋_GB2312" w:cs="仿宋_GB2312"/>
          <w:color w:val="000000"/>
          <w:kern w:val="0"/>
          <w:szCs w:val="32"/>
        </w:rPr>
        <w:t>压缩开支。</w:t>
      </w:r>
    </w:p>
    <w:p>
      <w:pPr>
        <w:ind w:firstLine="643" w:firstLineChars="200"/>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（三）培训费支出情况说明。</w:t>
      </w:r>
    </w:p>
    <w:p>
      <w:pPr>
        <w:widowControl/>
        <w:ind w:firstLine="640" w:firstLineChars="200"/>
        <w:jc w:val="left"/>
        <w:rPr>
          <w:rFonts w:ascii="仿宋_GB2312" w:hAnsi="宋体" w:eastAsia="仿宋_GB2312" w:cs="仿宋_GB2312"/>
          <w:color w:val="000000"/>
          <w:kern w:val="0"/>
          <w:szCs w:val="32"/>
        </w:rPr>
      </w:pPr>
      <w:r>
        <w:rPr>
          <w:rFonts w:hint="eastAsia" w:ascii="仿宋_GB2312" w:hAnsi="仿宋" w:eastAsia="仿宋_GB2312"/>
          <w:szCs w:val="32"/>
        </w:rPr>
        <w:t>2019年度</w:t>
      </w:r>
      <w:r>
        <w:rPr>
          <w:rFonts w:hint="eastAsia" w:ascii="仿宋_GB2312" w:hAnsi="仿宋_GB2312" w:eastAsia="仿宋_GB2312" w:cs="仿宋_GB2312"/>
          <w:szCs w:val="32"/>
        </w:rPr>
        <w:t>培训费</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万元，决算数</w:t>
      </w:r>
      <w:r>
        <w:rPr>
          <w:rFonts w:hint="eastAsia" w:ascii="仿宋_GB2312" w:hAnsi="宋体" w:eastAsia="仿宋_GB2312" w:cs="仿宋_GB2312"/>
          <w:color w:val="000000"/>
          <w:kern w:val="0"/>
          <w:szCs w:val="32"/>
        </w:rPr>
        <w:t>较</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rPr>
        <w:t>减少（增加）0万元，</w:t>
      </w:r>
      <w:r>
        <w:rPr>
          <w:rFonts w:ascii="仿宋_GB2312" w:hAnsi="宋体" w:eastAsia="仿宋_GB2312" w:cs="仿宋_GB2312"/>
          <w:color w:val="000000"/>
          <w:kern w:val="0"/>
          <w:szCs w:val="32"/>
        </w:rPr>
        <w:t>主要原因</w:t>
      </w:r>
      <w:r>
        <w:rPr>
          <w:rFonts w:hint="eastAsia" w:ascii="仿宋_GB2312" w:hAnsi="宋体" w:eastAsia="仿宋_GB2312" w:cs="仿宋_GB2312"/>
          <w:color w:val="000000"/>
          <w:kern w:val="0"/>
          <w:szCs w:val="32"/>
        </w:rPr>
        <w:t>是本年度无培训费支出。</w:t>
      </w:r>
    </w:p>
    <w:p>
      <w:pPr>
        <w:spacing w:line="360" w:lineRule="auto"/>
        <w:ind w:firstLine="643" w:firstLineChars="200"/>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（四）会议费支出情况说明。</w:t>
      </w:r>
    </w:p>
    <w:p>
      <w:pPr>
        <w:widowControl/>
        <w:ind w:firstLine="640" w:firstLineChars="200"/>
        <w:jc w:val="left"/>
        <w:rPr>
          <w:rFonts w:ascii="仿宋_GB2312" w:hAnsi="宋体" w:eastAsia="仿宋_GB2312" w:cs="仿宋_GB2312"/>
          <w:color w:val="000000"/>
          <w:kern w:val="0"/>
          <w:szCs w:val="32"/>
        </w:rPr>
      </w:pPr>
      <w:r>
        <w:rPr>
          <w:rFonts w:hint="eastAsia" w:ascii="仿宋_GB2312" w:hAnsi="仿宋" w:eastAsia="仿宋_GB2312"/>
          <w:szCs w:val="32"/>
        </w:rPr>
        <w:t>2019年度</w:t>
      </w:r>
      <w:r>
        <w:rPr>
          <w:rFonts w:hint="eastAsia" w:ascii="仿宋_GB2312" w:hAnsi="仿宋_GB2312" w:eastAsia="仿宋_GB2312" w:cs="仿宋_GB2312"/>
          <w:szCs w:val="32"/>
        </w:rPr>
        <w:t>会议费</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0.51</w:t>
      </w:r>
      <w:r>
        <w:rPr>
          <w:rFonts w:ascii="仿宋_GB2312" w:hAnsi="宋体" w:eastAsia="仿宋_GB2312" w:cs="仿宋_GB2312"/>
          <w:color w:val="000000"/>
          <w:kern w:val="0"/>
          <w:szCs w:val="32"/>
        </w:rPr>
        <w:t>万元，决算数</w:t>
      </w:r>
      <w:r>
        <w:rPr>
          <w:rFonts w:hint="eastAsia" w:ascii="仿宋_GB2312" w:hAnsi="宋体" w:eastAsia="仿宋_GB2312" w:cs="仿宋_GB2312"/>
          <w:color w:val="000000"/>
          <w:kern w:val="0"/>
          <w:szCs w:val="32"/>
        </w:rPr>
        <w:t>较</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rPr>
        <w:t>增加0.51万元，</w:t>
      </w:r>
      <w:r>
        <w:rPr>
          <w:rFonts w:ascii="仿宋_GB2312" w:hAnsi="宋体" w:eastAsia="仿宋_GB2312" w:cs="仿宋_GB2312"/>
          <w:color w:val="000000"/>
          <w:kern w:val="0"/>
          <w:szCs w:val="32"/>
        </w:rPr>
        <w:t>主要原因是</w:t>
      </w:r>
      <w:r>
        <w:rPr>
          <w:rFonts w:hint="eastAsia" w:ascii="仿宋_GB2312" w:hAnsi="宋体" w:eastAsia="仿宋_GB2312" w:cs="仿宋_GB2312"/>
          <w:color w:val="000000"/>
          <w:kern w:val="0"/>
          <w:szCs w:val="32"/>
        </w:rPr>
        <w:t>住建部在董岭村召开美丽乡村共同缔造现场会产生会议费用。</w:t>
      </w:r>
    </w:p>
    <w:p>
      <w:pPr>
        <w:widowControl/>
        <w:ind w:firstLine="640" w:firstLineChars="200"/>
        <w:jc w:val="center"/>
        <w:rPr>
          <w:rFonts w:ascii="仿宋_GB2312" w:hAnsi="宋体" w:eastAsia="仿宋_GB2312" w:cs="仿宋_GB2312"/>
          <w:color w:val="000000"/>
          <w:kern w:val="0"/>
          <w:szCs w:val="32"/>
        </w:rPr>
      </w:pPr>
      <w:r>
        <w:rPr>
          <w:rFonts w:ascii="仿宋_GB2312" w:hAnsi="宋体" w:eastAsia="仿宋_GB2312" w:cs="仿宋_GB2312"/>
          <w:color w:val="000000"/>
          <w:kern w:val="0"/>
          <w:szCs w:val="32"/>
        </w:rPr>
        <w:drawing>
          <wp:inline distT="0" distB="0" distL="0" distR="0">
            <wp:extent cx="4762500" cy="2971800"/>
            <wp:effectExtent l="0" t="0" r="19050" b="19050"/>
            <wp:docPr id="10"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ind w:firstLine="640" w:firstLineChars="200"/>
        <w:rPr>
          <w:rFonts w:ascii="黑体" w:hAnsi="黑体" w:eastAsia="黑体"/>
          <w:color w:val="000000"/>
          <w:kern w:val="0"/>
          <w:szCs w:val="32"/>
        </w:rPr>
      </w:pPr>
      <w:r>
        <w:rPr>
          <w:rFonts w:hint="eastAsia" w:ascii="黑体" w:hAnsi="黑体" w:eastAsia="黑体"/>
          <w:color w:val="000000"/>
          <w:kern w:val="0"/>
          <w:szCs w:val="32"/>
        </w:rPr>
        <w:t>八、政府性基金预算财政拨款收入支出情况说明</w:t>
      </w:r>
    </w:p>
    <w:p>
      <w:pPr>
        <w:ind w:firstLine="640"/>
        <w:rPr>
          <w:rFonts w:hint="eastAsia" w:ascii="仿宋_GB2312" w:hAnsi="仿宋_GB2312" w:eastAsia="仿宋_GB2312" w:cs="仿宋_GB2312"/>
          <w:szCs w:val="32"/>
          <w:lang w:eastAsia="zh-CN"/>
        </w:rPr>
      </w:pPr>
      <w:r>
        <w:rPr>
          <w:rFonts w:hint="eastAsia" w:ascii="仿宋_GB2312" w:hAnsi="仿宋_GB2312" w:eastAsia="仿宋_GB2312" w:cs="仿宋_GB2312"/>
          <w:szCs w:val="32"/>
        </w:rPr>
        <w:t>2019年度政府性基金预算财政拨款收入843.16万元，支出843.16万元，年初预算748万元完成预算的</w:t>
      </w:r>
      <w:r>
        <w:rPr>
          <w:rFonts w:hint="eastAsia" w:ascii="仿宋_GB2312" w:hAnsi="宋体" w:eastAsia="仿宋_GB2312" w:cs="仿宋_GB2312"/>
          <w:color w:val="000000"/>
          <w:kern w:val="0"/>
          <w:szCs w:val="32"/>
        </w:rPr>
        <w:t>112.72%，决算数较预算数增加95.16万元。</w:t>
      </w:r>
      <w:r>
        <w:rPr>
          <w:rFonts w:hint="eastAsia" w:ascii="仿宋_GB2312" w:hAnsi="宋体" w:eastAsia="仿宋_GB2312" w:cs="仿宋_GB2312"/>
          <w:color w:val="000000"/>
          <w:kern w:val="0"/>
          <w:szCs w:val="32"/>
          <w:lang w:eastAsia="zh-CN"/>
        </w:rPr>
        <w:t>主要原因是城市公共设施支出增加。</w:t>
      </w:r>
      <w:bookmarkStart w:id="0" w:name="_GoBack"/>
      <w:bookmarkEnd w:id="0"/>
    </w:p>
    <w:p>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九、国有资本经营财政拨款收入支出情况说明</w:t>
      </w:r>
    </w:p>
    <w:p>
      <w:pPr>
        <w:ind w:firstLine="640"/>
        <w:rPr>
          <w:rFonts w:ascii="仿宋_GB2312" w:hAnsi="仿宋_GB2312" w:eastAsia="仿宋_GB2312" w:cs="仿宋_GB2312"/>
          <w:szCs w:val="32"/>
        </w:rPr>
      </w:pPr>
      <w:r>
        <w:rPr>
          <w:rFonts w:hint="eastAsia" w:ascii="仿宋_GB2312" w:hAnsi="仿宋_GB2312" w:eastAsia="仿宋_GB2312" w:cs="仿宋_GB2312"/>
          <w:szCs w:val="32"/>
        </w:rPr>
        <w:t>本部门无国有资本经营决算拨款收支。</w:t>
      </w:r>
    </w:p>
    <w:p>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十、预算绩效情况说明</w:t>
      </w:r>
    </w:p>
    <w:p>
      <w:pPr>
        <w:widowControl/>
        <w:ind w:left="1616" w:leftChars="304" w:hanging="643" w:hanging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（一）</w:t>
      </w:r>
      <w:r>
        <w:rPr>
          <w:rFonts w:ascii="楷体_GB2312" w:hAnsi="宋体" w:eastAsia="楷体_GB2312" w:cs="楷体_GB2312"/>
          <w:b/>
          <w:color w:val="000000"/>
          <w:kern w:val="0"/>
          <w:szCs w:val="32"/>
        </w:rPr>
        <w:t>预算绩效管理工作开展情况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w:t>
      </w:r>
    </w:p>
    <w:p>
      <w:pPr>
        <w:widowControl/>
        <w:ind w:firstLine="640" w:firstLineChars="200"/>
        <w:jc w:val="left"/>
        <w:rPr>
          <w:rFonts w:hint="eastAsia" w:ascii="仿宋_GB2312" w:hAnsi="仿宋_GB2312" w:eastAsia="仿宋_GB2312" w:cs="仿宋_GB2312"/>
          <w:szCs w:val="32"/>
          <w:lang w:eastAsia="zh-CN"/>
        </w:rPr>
      </w:pPr>
      <w:r>
        <w:rPr>
          <w:rFonts w:hint="eastAsia" w:ascii="仿宋_GB2312" w:hAnsi="仿宋_GB2312" w:eastAsia="仿宋_GB2312" w:cs="仿宋_GB2312"/>
          <w:szCs w:val="32"/>
        </w:rPr>
        <w:t>根据预算绩效管理要求，本部门组织对2</w:t>
      </w:r>
      <w:r>
        <w:rPr>
          <w:rFonts w:ascii="仿宋_GB2312" w:hAnsi="仿宋_GB2312" w:eastAsia="仿宋_GB2312" w:cs="仿宋_GB2312"/>
          <w:szCs w:val="32"/>
        </w:rPr>
        <w:t>019</w:t>
      </w:r>
      <w:r>
        <w:rPr>
          <w:rFonts w:hint="eastAsia" w:ascii="仿宋_GB2312" w:hAnsi="仿宋_GB2312" w:eastAsia="仿宋_GB2312" w:cs="仿宋_GB2312"/>
          <w:szCs w:val="32"/>
        </w:rPr>
        <w:t>年一般公共预算1个项目</w:t>
      </w:r>
      <w:r>
        <w:rPr>
          <w:rFonts w:hint="eastAsia" w:ascii="仿宋_GB2312" w:hAnsi="仿宋_GB2312" w:eastAsia="仿宋_GB2312" w:cs="仿宋_GB2312"/>
          <w:color w:val="000000"/>
          <w:kern w:val="0"/>
          <w:sz w:val="31"/>
          <w:szCs w:val="31"/>
          <w:lang w:eastAsia="zh-CN"/>
        </w:rPr>
        <w:t>住房安全保障</w:t>
      </w:r>
      <w:r>
        <w:rPr>
          <w:rFonts w:ascii="仿宋_GB2312" w:hAnsi="仿宋_GB2312" w:eastAsia="仿宋_GB2312" w:cs="仿宋_GB2312"/>
          <w:color w:val="000000"/>
          <w:kern w:val="0"/>
          <w:sz w:val="31"/>
          <w:szCs w:val="31"/>
        </w:rPr>
        <w:t>项目</w:t>
      </w:r>
      <w:r>
        <w:rPr>
          <w:rFonts w:hint="eastAsia" w:ascii="仿宋_GB2312" w:hAnsi="仿宋_GB2312" w:eastAsia="仿宋_GB2312" w:cs="仿宋_GB2312"/>
          <w:szCs w:val="32"/>
        </w:rPr>
        <w:t>支出开展了绩效自评</w:t>
      </w:r>
      <w:r>
        <w:rPr>
          <w:rFonts w:ascii="仿宋_GB2312" w:hAnsi="仿宋_GB2312" w:eastAsia="仿宋_GB2312" w:cs="仿宋_GB2312"/>
          <w:szCs w:val="32"/>
        </w:rPr>
        <w:t>，其中，一级项目</w:t>
      </w:r>
      <w:r>
        <w:rPr>
          <w:rFonts w:hint="eastAsia" w:ascii="仿宋_GB2312" w:hAnsi="仿宋_GB2312" w:eastAsia="仿宋_GB2312" w:cs="仿宋_GB2312"/>
          <w:szCs w:val="32"/>
        </w:rPr>
        <w:t>1</w:t>
      </w:r>
      <w:r>
        <w:rPr>
          <w:rFonts w:ascii="仿宋_GB2312" w:hAnsi="仿宋_GB2312" w:eastAsia="仿宋_GB2312" w:cs="仿宋_GB2312"/>
          <w:szCs w:val="32"/>
        </w:rPr>
        <w:t>个，共涉及资金</w:t>
      </w:r>
      <w:r>
        <w:rPr>
          <w:rFonts w:hint="eastAsia" w:ascii="仿宋_GB2312" w:hAnsi="仿宋_GB2312" w:eastAsia="仿宋_GB2312" w:cs="仿宋_GB2312"/>
          <w:szCs w:val="32"/>
        </w:rPr>
        <w:t>508</w:t>
      </w:r>
      <w:r>
        <w:rPr>
          <w:rFonts w:ascii="仿宋_GB2312" w:hAnsi="仿宋_GB2312" w:eastAsia="仿宋_GB2312" w:cs="仿宋_GB2312"/>
          <w:szCs w:val="32"/>
        </w:rPr>
        <w:t>万元，占一般公共预算项目支出总额的</w:t>
      </w:r>
      <w:r>
        <w:rPr>
          <w:rFonts w:hint="eastAsia" w:ascii="仿宋_GB2312" w:hAnsi="仿宋_GB2312" w:eastAsia="仿宋_GB2312" w:cs="仿宋_GB2312"/>
          <w:szCs w:val="32"/>
        </w:rPr>
        <w:t>9.58</w:t>
      </w:r>
      <w:r>
        <w:rPr>
          <w:rFonts w:ascii="仿宋_GB2312" w:hAnsi="仿宋_GB2312" w:eastAsia="仿宋_GB2312" w:cs="仿宋_GB2312"/>
          <w:szCs w:val="32"/>
        </w:rPr>
        <w:t>%</w:t>
      </w:r>
      <w:r>
        <w:rPr>
          <w:rFonts w:hint="eastAsia" w:ascii="仿宋_GB2312" w:hAnsi="仿宋_GB2312" w:eastAsia="仿宋_GB2312" w:cs="仿宋_GB2312"/>
          <w:szCs w:val="32"/>
          <w:lang w:eastAsia="zh-CN"/>
        </w:rPr>
        <w:t>。</w:t>
      </w:r>
    </w:p>
    <w:p>
      <w:pPr>
        <w:widowControl/>
        <w:ind w:firstLine="640" w:firstLineChars="200"/>
        <w:jc w:val="left"/>
        <w:rPr>
          <w:rFonts w:ascii="仿宋_GB2312" w:hAnsi="仿宋_GB2312" w:eastAsia="仿宋_GB2312" w:cs="仿宋_GB2312"/>
          <w:color w:val="000000"/>
          <w:kern w:val="0"/>
          <w:sz w:val="31"/>
          <w:szCs w:val="31"/>
        </w:rPr>
      </w:pPr>
      <w:r>
        <w:rPr>
          <w:rFonts w:hint="eastAsia" w:ascii="仿宋_GB2312" w:hAnsi="仿宋_GB2312" w:eastAsia="仿宋_GB2312" w:cs="仿宋_GB2312"/>
          <w:szCs w:val="32"/>
        </w:rPr>
        <w:t>本部门</w:t>
      </w:r>
      <w:r>
        <w:rPr>
          <w:rFonts w:hint="eastAsia" w:ascii="仿宋_GB2312" w:hAnsi="仿宋_GB2312" w:eastAsia="仿宋_GB2312" w:cs="仿宋_GB2312"/>
          <w:szCs w:val="32"/>
          <w:lang w:eastAsia="zh-CN"/>
        </w:rPr>
        <w:t>组织</w:t>
      </w:r>
      <w:r>
        <w:rPr>
          <w:rFonts w:hint="eastAsia" w:ascii="仿宋_GB2312" w:hAnsi="仿宋_GB2312" w:eastAsia="仿宋_GB2312" w:cs="仿宋_GB2312"/>
          <w:szCs w:val="32"/>
        </w:rPr>
        <w:t>对2</w:t>
      </w:r>
      <w:r>
        <w:rPr>
          <w:rFonts w:ascii="仿宋_GB2312" w:hAnsi="仿宋_GB2312" w:eastAsia="仿宋_GB2312" w:cs="仿宋_GB2312"/>
          <w:szCs w:val="32"/>
        </w:rPr>
        <w:t>019</w:t>
      </w:r>
      <w:r>
        <w:rPr>
          <w:rFonts w:hint="eastAsia" w:ascii="仿宋_GB2312" w:hAnsi="仿宋_GB2312" w:eastAsia="仿宋_GB2312" w:cs="仿宋_GB2312"/>
          <w:szCs w:val="32"/>
        </w:rPr>
        <w:t>年度部门整体进行了绩效自评，涉及资金</w:t>
      </w:r>
      <w:r>
        <w:rPr>
          <w:rFonts w:hint="eastAsia" w:ascii="仿宋_GB2312" w:hAnsi="仿宋_GB2312" w:eastAsia="仿宋_GB2312" w:cs="仿宋_GB2312"/>
          <w:color w:val="000000"/>
          <w:kern w:val="0"/>
          <w:sz w:val="31"/>
          <w:szCs w:val="31"/>
        </w:rPr>
        <w:t>6145.64</w:t>
      </w:r>
      <w:r>
        <w:rPr>
          <w:rFonts w:hint="eastAsia" w:ascii="仿宋_GB2312" w:hAnsi="仿宋_GB2312" w:eastAsia="仿宋_GB2312" w:cs="仿宋_GB2312"/>
          <w:szCs w:val="32"/>
        </w:rPr>
        <w:t>万元。</w:t>
      </w:r>
    </w:p>
    <w:p>
      <w:pPr>
        <w:widowControl/>
        <w:ind w:firstLine="643" w:firstLine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（二）</w:t>
      </w:r>
      <w:r>
        <w:rPr>
          <w:rFonts w:ascii="楷体_GB2312" w:hAnsi="宋体" w:eastAsia="楷体_GB2312" w:cs="楷体_GB2312"/>
          <w:b/>
          <w:color w:val="000000"/>
          <w:kern w:val="0"/>
          <w:szCs w:val="32"/>
        </w:rPr>
        <w:t>部门决算中项目绩效自评结果。</w:t>
      </w:r>
    </w:p>
    <w:p>
      <w:pPr>
        <w:widowControl/>
        <w:ind w:firstLine="620" w:firstLineChars="200"/>
        <w:jc w:val="left"/>
        <w:rPr>
          <w:rFonts w:ascii="仿宋_GB2312" w:hAnsi="仿宋_GB2312" w:eastAsia="仿宋_GB2312" w:cs="仿宋_GB2312"/>
          <w:color w:val="000000"/>
          <w:kern w:val="0"/>
          <w:sz w:val="31"/>
          <w:szCs w:val="31"/>
        </w:rPr>
      </w:pPr>
      <w:r>
        <w:rPr>
          <w:rFonts w:hint="eastAsia" w:ascii="仿宋_GB2312" w:hAnsi="仿宋_GB2312" w:eastAsia="仿宋_GB2312" w:cs="仿宋_GB2312"/>
          <w:color w:val="000000"/>
          <w:kern w:val="0"/>
          <w:sz w:val="31"/>
          <w:szCs w:val="31"/>
          <w:lang w:eastAsia="zh-CN"/>
        </w:rPr>
        <w:t>住房安全保障</w:t>
      </w:r>
      <w:r>
        <w:rPr>
          <w:rFonts w:ascii="仿宋_GB2312" w:hAnsi="仿宋_GB2312" w:eastAsia="仿宋_GB2312" w:cs="仿宋_GB2312"/>
          <w:color w:val="000000"/>
          <w:kern w:val="0"/>
          <w:sz w:val="31"/>
          <w:szCs w:val="31"/>
        </w:rPr>
        <w:t>项目绩效自评综述：根据年初设定的绩效目标，项目自评得分</w:t>
      </w:r>
      <w:r>
        <w:rPr>
          <w:rFonts w:hint="eastAsia" w:ascii="仿宋_GB2312" w:hAnsi="仿宋_GB2312" w:eastAsia="仿宋_GB2312" w:cs="仿宋_GB2312"/>
          <w:color w:val="000000"/>
          <w:kern w:val="0"/>
          <w:sz w:val="31"/>
          <w:szCs w:val="31"/>
        </w:rPr>
        <w:t>98</w:t>
      </w:r>
      <w:r>
        <w:rPr>
          <w:rFonts w:ascii="仿宋_GB2312" w:hAnsi="仿宋_GB2312" w:eastAsia="仿宋_GB2312" w:cs="仿宋_GB2312"/>
          <w:color w:val="000000"/>
          <w:kern w:val="0"/>
          <w:sz w:val="31"/>
          <w:szCs w:val="31"/>
        </w:rPr>
        <w:t>分。项目全年预算数</w:t>
      </w:r>
      <w:r>
        <w:rPr>
          <w:rFonts w:hint="eastAsia" w:ascii="仿宋_GB2312" w:hAnsi="仿宋_GB2312" w:eastAsia="仿宋_GB2312" w:cs="仿宋_GB2312"/>
          <w:color w:val="000000"/>
          <w:kern w:val="0"/>
          <w:sz w:val="31"/>
          <w:szCs w:val="31"/>
        </w:rPr>
        <w:t>508.5</w:t>
      </w:r>
      <w:r>
        <w:rPr>
          <w:rFonts w:ascii="仿宋_GB2312" w:hAnsi="仿宋_GB2312" w:eastAsia="仿宋_GB2312" w:cs="仿宋_GB2312"/>
          <w:color w:val="000000"/>
          <w:kern w:val="0"/>
          <w:sz w:val="31"/>
          <w:szCs w:val="31"/>
        </w:rPr>
        <w:t xml:space="preserve">万元，执行数 </w:t>
      </w:r>
      <w:r>
        <w:rPr>
          <w:rFonts w:hint="eastAsia" w:ascii="仿宋_GB2312" w:hAnsi="仿宋_GB2312" w:eastAsia="仿宋_GB2312" w:cs="仿宋_GB2312"/>
          <w:color w:val="000000"/>
          <w:kern w:val="0"/>
          <w:sz w:val="31"/>
          <w:szCs w:val="31"/>
        </w:rPr>
        <w:t>508</w:t>
      </w:r>
      <w:r>
        <w:rPr>
          <w:rFonts w:ascii="仿宋_GB2312" w:hAnsi="仿宋_GB2312" w:eastAsia="仿宋_GB2312" w:cs="仿宋_GB2312"/>
          <w:color w:val="000000"/>
          <w:kern w:val="0"/>
          <w:sz w:val="31"/>
          <w:szCs w:val="31"/>
        </w:rPr>
        <w:t>万元，完成预算的</w:t>
      </w:r>
      <w:r>
        <w:rPr>
          <w:rFonts w:hint="eastAsia" w:ascii="仿宋_GB2312" w:hAnsi="仿宋_GB2312" w:eastAsia="仿宋_GB2312" w:cs="仿宋_GB2312"/>
          <w:color w:val="000000"/>
          <w:kern w:val="0"/>
          <w:sz w:val="31"/>
          <w:szCs w:val="31"/>
        </w:rPr>
        <w:t>99.9</w:t>
      </w:r>
      <w:r>
        <w:rPr>
          <w:rFonts w:ascii="仿宋_GB2312" w:hAnsi="仿宋_GB2312" w:eastAsia="仿宋_GB2312" w:cs="仿宋_GB2312"/>
          <w:color w:val="000000"/>
          <w:kern w:val="0"/>
          <w:sz w:val="31"/>
          <w:szCs w:val="31"/>
        </w:rPr>
        <w:t>%。</w:t>
      </w:r>
    </w:p>
    <w:p>
      <w:pPr>
        <w:widowControl/>
        <w:ind w:firstLine="620" w:firstLineChars="200"/>
        <w:jc w:val="left"/>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主要产出和效果：</w:t>
      </w:r>
      <w:r>
        <w:rPr>
          <w:rFonts w:hint="eastAsia" w:ascii="仿宋_GB2312" w:hAnsi="仿宋_GB2312" w:eastAsia="仿宋_GB2312" w:cs="仿宋_GB2312"/>
          <w:color w:val="000000"/>
          <w:kern w:val="0"/>
          <w:sz w:val="31"/>
          <w:szCs w:val="31"/>
        </w:rPr>
        <w:t>农村危房改造达到安全级别，群众住房安全有保障</w:t>
      </w:r>
      <w:r>
        <w:rPr>
          <w:rFonts w:ascii="仿宋_GB2312" w:hAnsi="仿宋_GB2312" w:eastAsia="仿宋_GB2312" w:cs="仿宋_GB2312"/>
          <w:color w:val="000000"/>
          <w:kern w:val="0"/>
          <w:sz w:val="31"/>
          <w:szCs w:val="31"/>
        </w:rPr>
        <w:t>。</w:t>
      </w:r>
    </w:p>
    <w:p>
      <w:pPr>
        <w:widowControl/>
        <w:ind w:firstLine="620" w:firstLineChars="200"/>
        <w:jc w:val="left"/>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通过项目实施</w:t>
      </w:r>
      <w:r>
        <w:rPr>
          <w:rFonts w:hint="eastAsia" w:ascii="仿宋_GB2312" w:hAnsi="仿宋_GB2312" w:eastAsia="仿宋_GB2312" w:cs="仿宋_GB2312"/>
          <w:color w:val="000000"/>
          <w:kern w:val="0"/>
          <w:sz w:val="31"/>
          <w:szCs w:val="31"/>
        </w:rPr>
        <w:t>农村危房改造，达到房屋居住安全。</w:t>
      </w:r>
    </w:p>
    <w:p>
      <w:pPr>
        <w:widowControl/>
        <w:ind w:firstLine="620" w:firstLineChars="200"/>
        <w:jc w:val="left"/>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发现的问题及原因：</w:t>
      </w:r>
      <w:r>
        <w:rPr>
          <w:rFonts w:hint="eastAsia" w:ascii="仿宋_GB2312" w:hAnsi="仿宋_GB2312" w:eastAsia="仿宋_GB2312" w:cs="仿宋_GB2312"/>
          <w:color w:val="000000"/>
          <w:kern w:val="0"/>
          <w:sz w:val="31"/>
          <w:szCs w:val="31"/>
        </w:rPr>
        <w:t>项目资金</w:t>
      </w:r>
      <w:r>
        <w:rPr>
          <w:rFonts w:hint="eastAsia" w:ascii="仿宋_GB2312" w:hAnsi="仿宋_GB2312" w:eastAsia="仿宋_GB2312" w:cs="仿宋_GB2312"/>
          <w:color w:val="000000"/>
          <w:kern w:val="0"/>
          <w:sz w:val="31"/>
          <w:szCs w:val="31"/>
          <w:lang w:eastAsia="zh-CN"/>
        </w:rPr>
        <w:t>兑付流程较多</w:t>
      </w:r>
      <w:r>
        <w:rPr>
          <w:rFonts w:hint="eastAsia" w:ascii="仿宋_GB2312" w:hAnsi="仿宋_GB2312" w:eastAsia="仿宋_GB2312" w:cs="仿宋_GB2312"/>
          <w:color w:val="000000"/>
          <w:kern w:val="0"/>
          <w:sz w:val="31"/>
          <w:szCs w:val="31"/>
        </w:rPr>
        <w:t>，不能及时兑付</w:t>
      </w:r>
      <w:r>
        <w:rPr>
          <w:rFonts w:ascii="仿宋_GB2312" w:hAnsi="仿宋_GB2312" w:eastAsia="仿宋_GB2312" w:cs="仿宋_GB2312"/>
          <w:color w:val="000000"/>
          <w:kern w:val="0"/>
          <w:sz w:val="31"/>
          <w:szCs w:val="31"/>
        </w:rPr>
        <w:t>。</w:t>
      </w:r>
    </w:p>
    <w:p>
      <w:pPr>
        <w:widowControl/>
        <w:ind w:firstLine="620" w:firstLineChars="200"/>
        <w:jc w:val="left"/>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下一步改进措施：</w:t>
      </w:r>
      <w:r>
        <w:rPr>
          <w:rFonts w:hint="eastAsia" w:ascii="仿宋_GB2312" w:hAnsi="仿宋_GB2312" w:eastAsia="仿宋_GB2312" w:cs="仿宋_GB2312"/>
          <w:color w:val="000000"/>
          <w:kern w:val="0"/>
          <w:sz w:val="31"/>
          <w:szCs w:val="31"/>
        </w:rPr>
        <w:t>加大重点项目投资，推动城乡建设</w:t>
      </w:r>
      <w:r>
        <w:rPr>
          <w:rFonts w:hint="eastAsia" w:ascii="仿宋_GB2312" w:hAnsi="仿宋_GB2312" w:eastAsia="仿宋_GB2312" w:cs="仿宋_GB2312"/>
          <w:color w:val="000000"/>
          <w:kern w:val="0"/>
          <w:sz w:val="31"/>
          <w:szCs w:val="31"/>
          <w:lang w:eastAsia="zh-CN"/>
        </w:rPr>
        <w:t>一体化</w:t>
      </w:r>
      <w:r>
        <w:rPr>
          <w:rFonts w:hint="eastAsia" w:ascii="仿宋_GB2312" w:hAnsi="仿宋_GB2312" w:eastAsia="仿宋_GB2312" w:cs="仿宋_GB2312"/>
          <w:color w:val="000000"/>
          <w:kern w:val="0"/>
          <w:sz w:val="31"/>
          <w:szCs w:val="31"/>
        </w:rPr>
        <w:t>。</w:t>
      </w:r>
    </w:p>
    <w:p>
      <w:pPr>
        <w:widowControl/>
        <w:ind w:firstLine="643" w:firstLine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（三）部门决算中整体支出绩效自评结果。</w:t>
      </w:r>
    </w:p>
    <w:p>
      <w:pPr>
        <w:widowControl/>
        <w:ind w:firstLine="620" w:firstLineChars="200"/>
        <w:jc w:val="left"/>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根据年初设定的绩效目标，</w:t>
      </w:r>
      <w:r>
        <w:rPr>
          <w:rFonts w:hint="eastAsia" w:ascii="仿宋_GB2312" w:hAnsi="仿宋_GB2312" w:eastAsia="仿宋_GB2312" w:cs="仿宋_GB2312"/>
          <w:color w:val="000000"/>
          <w:kern w:val="0"/>
          <w:sz w:val="31"/>
          <w:szCs w:val="31"/>
        </w:rPr>
        <w:t>本部门整体2019年度整体</w:t>
      </w:r>
      <w:r>
        <w:rPr>
          <w:rFonts w:ascii="仿宋_GB2312" w:hAnsi="仿宋_GB2312" w:eastAsia="仿宋_GB2312" w:cs="仿宋_GB2312"/>
          <w:color w:val="000000"/>
          <w:kern w:val="0"/>
          <w:sz w:val="31"/>
          <w:szCs w:val="31"/>
        </w:rPr>
        <w:t>自评得分</w:t>
      </w:r>
      <w:r>
        <w:rPr>
          <w:rFonts w:hint="eastAsia" w:ascii="仿宋_GB2312" w:hAnsi="仿宋_GB2312" w:eastAsia="仿宋_GB2312" w:cs="仿宋_GB2312"/>
          <w:color w:val="000000"/>
          <w:kern w:val="0"/>
          <w:sz w:val="31"/>
          <w:szCs w:val="31"/>
        </w:rPr>
        <w:t>95</w:t>
      </w:r>
      <w:r>
        <w:rPr>
          <w:rFonts w:ascii="仿宋_GB2312" w:hAnsi="仿宋_GB2312" w:eastAsia="仿宋_GB2312" w:cs="仿宋_GB2312"/>
          <w:color w:val="000000"/>
          <w:kern w:val="0"/>
          <w:sz w:val="31"/>
          <w:szCs w:val="31"/>
        </w:rPr>
        <w:t>分。全年预算数</w:t>
      </w:r>
      <w:r>
        <w:rPr>
          <w:rFonts w:hint="eastAsia" w:ascii="仿宋_GB2312" w:hAnsi="仿宋_GB2312" w:eastAsia="仿宋_GB2312" w:cs="仿宋_GB2312"/>
          <w:color w:val="000000"/>
          <w:kern w:val="0"/>
          <w:sz w:val="31"/>
          <w:szCs w:val="31"/>
        </w:rPr>
        <w:t>1325.36</w:t>
      </w:r>
      <w:r>
        <w:rPr>
          <w:rFonts w:ascii="仿宋_GB2312" w:hAnsi="仿宋_GB2312" w:eastAsia="仿宋_GB2312" w:cs="仿宋_GB2312"/>
          <w:color w:val="000000"/>
          <w:kern w:val="0"/>
          <w:sz w:val="31"/>
          <w:szCs w:val="31"/>
        </w:rPr>
        <w:t>万元，执行数</w:t>
      </w:r>
      <w:r>
        <w:rPr>
          <w:rFonts w:hint="eastAsia" w:ascii="仿宋_GB2312" w:hAnsi="仿宋_GB2312" w:eastAsia="仿宋_GB2312" w:cs="仿宋_GB2312"/>
          <w:color w:val="000000"/>
          <w:kern w:val="0"/>
          <w:sz w:val="31"/>
          <w:szCs w:val="31"/>
        </w:rPr>
        <w:t>6145.64</w:t>
      </w:r>
      <w:r>
        <w:rPr>
          <w:rFonts w:ascii="仿宋_GB2312" w:hAnsi="仿宋_GB2312" w:eastAsia="仿宋_GB2312" w:cs="仿宋_GB2312"/>
          <w:color w:val="000000"/>
          <w:kern w:val="0"/>
          <w:sz w:val="31"/>
          <w:szCs w:val="31"/>
        </w:rPr>
        <w:t>万元，完成预算的</w:t>
      </w:r>
      <w:r>
        <w:rPr>
          <w:rFonts w:hint="eastAsia" w:ascii="仿宋_GB2312" w:hAnsi="仿宋_GB2312" w:eastAsia="仿宋_GB2312" w:cs="仿宋_GB2312"/>
          <w:color w:val="000000"/>
          <w:kern w:val="0"/>
          <w:sz w:val="31"/>
          <w:szCs w:val="31"/>
        </w:rPr>
        <w:t>100</w:t>
      </w:r>
      <w:r>
        <w:rPr>
          <w:rFonts w:ascii="仿宋_GB2312" w:hAnsi="仿宋_GB2312" w:eastAsia="仿宋_GB2312" w:cs="仿宋_GB2312"/>
          <w:color w:val="000000"/>
          <w:kern w:val="0"/>
          <w:sz w:val="31"/>
          <w:szCs w:val="31"/>
        </w:rPr>
        <w:t>%。</w:t>
      </w:r>
    </w:p>
    <w:p>
      <w:pPr>
        <w:widowControl/>
        <w:ind w:firstLine="620" w:firstLineChars="200"/>
        <w:jc w:val="left"/>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主要产出和效果：</w:t>
      </w:r>
      <w:r>
        <w:rPr>
          <w:rFonts w:hint="eastAsia" w:ascii="仿宋_GB2312" w:hAnsi="仿宋_GB2312" w:eastAsia="仿宋_GB2312" w:cs="仿宋_GB2312"/>
          <w:color w:val="000000"/>
          <w:kern w:val="0"/>
          <w:sz w:val="31"/>
          <w:szCs w:val="31"/>
        </w:rPr>
        <w:t>居民居住环境和出行环境大幅度提升，群众满意度高，幸福指数大幅提升。</w:t>
      </w:r>
    </w:p>
    <w:p>
      <w:pPr>
        <w:widowControl/>
        <w:ind w:firstLine="620" w:firstLineChars="200"/>
        <w:jc w:val="left"/>
        <w:rPr>
          <w:rFonts w:ascii="仿宋_GB2312" w:hAnsi="仿宋_GB2312" w:eastAsia="仿宋_GB2312" w:cs="仿宋_GB2312"/>
          <w:color w:val="000000"/>
          <w:kern w:val="0"/>
          <w:sz w:val="31"/>
          <w:szCs w:val="31"/>
        </w:rPr>
      </w:pPr>
      <w:r>
        <w:rPr>
          <w:rFonts w:hint="eastAsia" w:ascii="仿宋_GB2312" w:hAnsi="仿宋_GB2312" w:eastAsia="仿宋_GB2312" w:cs="仿宋_GB2312"/>
          <w:color w:val="000000"/>
          <w:kern w:val="0"/>
          <w:sz w:val="31"/>
          <w:szCs w:val="31"/>
        </w:rPr>
        <w:t>主要工作绩效是</w:t>
      </w:r>
      <w:r>
        <w:rPr>
          <w:rFonts w:ascii="仿宋_GB2312" w:hAnsi="仿宋_GB2312" w:eastAsia="仿宋_GB2312" w:cs="仿宋_GB2312"/>
          <w:color w:val="000000"/>
          <w:kern w:val="0"/>
          <w:sz w:val="31"/>
          <w:szCs w:val="31"/>
        </w:rPr>
        <w:t>：</w:t>
      </w:r>
      <w:r>
        <w:rPr>
          <w:rFonts w:hint="eastAsia" w:ascii="仿宋_GB2312" w:hAnsi="仿宋_GB2312" w:eastAsia="仿宋_GB2312" w:cs="仿宋_GB2312"/>
          <w:color w:val="000000"/>
          <w:kern w:val="0"/>
          <w:sz w:val="31"/>
          <w:szCs w:val="31"/>
        </w:rPr>
        <w:t>城乡社区管理规范，公共设施建设进一步完善，房地产市场稳健，农村危房改造达到安全级别，群众住房安全有保障</w:t>
      </w:r>
      <w:r>
        <w:rPr>
          <w:rFonts w:ascii="仿宋_GB2312" w:hAnsi="仿宋_GB2312" w:eastAsia="仿宋_GB2312" w:cs="仿宋_GB2312"/>
          <w:color w:val="000000"/>
          <w:kern w:val="0"/>
          <w:sz w:val="31"/>
          <w:szCs w:val="31"/>
        </w:rPr>
        <w:t>。</w:t>
      </w:r>
    </w:p>
    <w:p>
      <w:pPr>
        <w:widowControl/>
        <w:ind w:firstLine="620" w:firstLineChars="200"/>
        <w:jc w:val="left"/>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发现的问题及原因：</w:t>
      </w:r>
      <w:r>
        <w:rPr>
          <w:rFonts w:hint="eastAsia" w:ascii="仿宋_GB2312" w:hAnsi="仿宋_GB2312" w:eastAsia="仿宋_GB2312" w:cs="仿宋_GB2312"/>
          <w:color w:val="000000"/>
          <w:kern w:val="0"/>
          <w:sz w:val="31"/>
          <w:szCs w:val="31"/>
        </w:rPr>
        <w:t>项目资金</w:t>
      </w:r>
      <w:r>
        <w:rPr>
          <w:rFonts w:hint="eastAsia" w:ascii="仿宋_GB2312" w:hAnsi="仿宋_GB2312" w:eastAsia="仿宋_GB2312" w:cs="仿宋_GB2312"/>
          <w:color w:val="000000"/>
          <w:kern w:val="0"/>
          <w:sz w:val="31"/>
          <w:szCs w:val="31"/>
          <w:lang w:eastAsia="zh-CN"/>
        </w:rPr>
        <w:t>兑付流程较多</w:t>
      </w:r>
      <w:r>
        <w:rPr>
          <w:rFonts w:hint="eastAsia" w:ascii="仿宋_GB2312" w:hAnsi="仿宋_GB2312" w:eastAsia="仿宋_GB2312" w:cs="仿宋_GB2312"/>
          <w:color w:val="000000"/>
          <w:kern w:val="0"/>
          <w:sz w:val="31"/>
          <w:szCs w:val="31"/>
        </w:rPr>
        <w:t>，不能及时兑付</w:t>
      </w:r>
      <w:r>
        <w:rPr>
          <w:rFonts w:ascii="仿宋_GB2312" w:hAnsi="仿宋_GB2312" w:eastAsia="仿宋_GB2312" w:cs="仿宋_GB2312"/>
          <w:color w:val="000000"/>
          <w:kern w:val="0"/>
          <w:sz w:val="31"/>
          <w:szCs w:val="31"/>
        </w:rPr>
        <w:t>。</w:t>
      </w:r>
    </w:p>
    <w:p>
      <w:pPr>
        <w:widowControl/>
        <w:ind w:firstLine="620" w:firstLineChars="200"/>
        <w:jc w:val="left"/>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下一步改进措施：</w:t>
      </w:r>
      <w:r>
        <w:rPr>
          <w:rFonts w:hint="eastAsia" w:ascii="仿宋_GB2312" w:hAnsi="仿宋_GB2312" w:eastAsia="仿宋_GB2312" w:cs="仿宋_GB2312"/>
          <w:color w:val="000000"/>
          <w:kern w:val="0"/>
          <w:sz w:val="31"/>
          <w:szCs w:val="31"/>
        </w:rPr>
        <w:t>加大重点项目投资，推动城乡建设</w:t>
      </w:r>
      <w:r>
        <w:rPr>
          <w:rFonts w:hint="eastAsia" w:ascii="仿宋_GB2312" w:hAnsi="仿宋_GB2312" w:eastAsia="仿宋_GB2312" w:cs="仿宋_GB2312"/>
          <w:color w:val="000000"/>
          <w:kern w:val="0"/>
          <w:sz w:val="31"/>
          <w:szCs w:val="31"/>
          <w:lang w:eastAsia="zh-CN"/>
        </w:rPr>
        <w:t>在上新台阶</w:t>
      </w:r>
      <w:r>
        <w:rPr>
          <w:rFonts w:hint="eastAsia" w:ascii="仿宋_GB2312" w:hAnsi="仿宋_GB2312" w:eastAsia="仿宋_GB2312" w:cs="仿宋_GB2312"/>
          <w:color w:val="000000"/>
          <w:kern w:val="0"/>
          <w:sz w:val="31"/>
          <w:szCs w:val="31"/>
        </w:rPr>
        <w:t>。</w:t>
      </w:r>
    </w:p>
    <w:p>
      <w:pPr>
        <w:widowControl/>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p>
    <w:p>
      <w:pPr>
        <w:widowControl/>
        <w:jc w:val="center"/>
        <w:rPr>
          <w:rFonts w:ascii="仿宋_GB2312" w:hAnsi="仿宋_GB2312" w:eastAsia="仿宋_GB2312" w:cs="仿宋_GB2312"/>
          <w:color w:val="000000"/>
          <w:kern w:val="0"/>
          <w:sz w:val="31"/>
          <w:szCs w:val="31"/>
        </w:rPr>
      </w:pPr>
    </w:p>
    <w:p>
      <w:pPr>
        <w:widowControl/>
        <w:rPr>
          <w:rFonts w:ascii="仿宋_GB2312" w:hAnsi="仿宋_GB2312" w:eastAsia="仿宋_GB2312" w:cs="仿宋_GB2312"/>
          <w:color w:val="000000"/>
          <w:kern w:val="0"/>
          <w:sz w:val="31"/>
          <w:szCs w:val="31"/>
        </w:rPr>
      </w:pPr>
    </w:p>
    <w:tbl>
      <w:tblPr>
        <w:tblStyle w:val="5"/>
        <w:tblW w:w="5000" w:type="pct"/>
        <w:tblInd w:w="0" w:type="dxa"/>
        <w:tblLayout w:type="autofit"/>
        <w:tblCellMar>
          <w:top w:w="0" w:type="dxa"/>
          <w:left w:w="108" w:type="dxa"/>
          <w:bottom w:w="0" w:type="dxa"/>
          <w:right w:w="108" w:type="dxa"/>
        </w:tblCellMar>
      </w:tblPr>
      <w:tblGrid>
        <w:gridCol w:w="843"/>
        <w:gridCol w:w="1519"/>
        <w:gridCol w:w="1015"/>
        <w:gridCol w:w="975"/>
        <w:gridCol w:w="1322"/>
        <w:gridCol w:w="2205"/>
        <w:gridCol w:w="801"/>
        <w:gridCol w:w="189"/>
        <w:gridCol w:w="1099"/>
      </w:tblGrid>
      <w:tr>
        <w:tblPrEx>
          <w:tblCellMar>
            <w:top w:w="0" w:type="dxa"/>
            <w:left w:w="108" w:type="dxa"/>
            <w:bottom w:w="0" w:type="dxa"/>
            <w:right w:w="108" w:type="dxa"/>
          </w:tblCellMar>
        </w:tblPrEx>
        <w:trPr>
          <w:trHeight w:val="600" w:hRule="atLeast"/>
        </w:trPr>
        <w:tc>
          <w:tcPr>
            <w:tcW w:w="5000" w:type="pct"/>
            <w:gridSpan w:val="9"/>
            <w:tcBorders>
              <w:top w:val="nil"/>
              <w:left w:val="nil"/>
              <w:bottom w:val="nil"/>
              <w:right w:val="nil"/>
            </w:tcBorders>
            <w:shd w:val="clear" w:color="auto" w:fill="auto"/>
            <w:vAlign w:val="center"/>
          </w:tcPr>
          <w:p>
            <w:pPr>
              <w:widowControl/>
              <w:jc w:val="center"/>
              <w:rPr>
                <w:rFonts w:ascii="宋体" w:hAnsi="宋体" w:eastAsia="宋体" w:cs="宋体"/>
                <w:b/>
                <w:bCs/>
                <w:color w:val="000000"/>
                <w:kern w:val="0"/>
                <w:szCs w:val="32"/>
              </w:rPr>
            </w:pPr>
            <w:r>
              <w:rPr>
                <w:rFonts w:hint="eastAsia" w:ascii="宋体" w:hAnsi="宋体" w:eastAsia="宋体" w:cs="宋体"/>
                <w:b/>
                <w:bCs/>
                <w:color w:val="000000"/>
                <w:kern w:val="0"/>
                <w:szCs w:val="32"/>
              </w:rPr>
              <w:t>县级预算（项目）绩效目标自评表</w:t>
            </w:r>
            <w:r>
              <w:rPr>
                <w:rFonts w:hint="eastAsia" w:ascii="宋体" w:hAnsi="宋体" w:eastAsia="宋体" w:cs="宋体"/>
                <w:color w:val="000000"/>
                <w:kern w:val="0"/>
                <w:szCs w:val="32"/>
              </w:rPr>
              <w:t xml:space="preserve"> </w:t>
            </w:r>
          </w:p>
        </w:tc>
      </w:tr>
      <w:tr>
        <w:tblPrEx>
          <w:tblCellMar>
            <w:top w:w="0" w:type="dxa"/>
            <w:left w:w="108" w:type="dxa"/>
            <w:bottom w:w="0" w:type="dxa"/>
            <w:right w:w="108" w:type="dxa"/>
          </w:tblCellMar>
        </w:tblPrEx>
        <w:trPr>
          <w:trHeight w:val="432" w:hRule="atLeast"/>
        </w:trPr>
        <w:tc>
          <w:tcPr>
            <w:tcW w:w="5000" w:type="pct"/>
            <w:gridSpan w:val="9"/>
            <w:tcBorders>
              <w:top w:val="nil"/>
              <w:left w:val="nil"/>
              <w:bottom w:val="single" w:color="auto" w:sz="4" w:space="0"/>
              <w:right w:val="nil"/>
            </w:tcBorders>
            <w:shd w:val="clear" w:color="auto" w:fill="auto"/>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（2019年度）</w:t>
            </w:r>
          </w:p>
        </w:tc>
      </w:tr>
      <w:tr>
        <w:tblPrEx>
          <w:tblCellMar>
            <w:top w:w="0" w:type="dxa"/>
            <w:left w:w="108" w:type="dxa"/>
            <w:bottom w:w="0" w:type="dxa"/>
            <w:right w:w="108" w:type="dxa"/>
          </w:tblCellMar>
        </w:tblPrEx>
        <w:trPr>
          <w:trHeight w:val="319" w:hRule="atLeast"/>
        </w:trPr>
        <w:tc>
          <w:tcPr>
            <w:tcW w:w="1185"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专项（项目）名称</w:t>
            </w:r>
          </w:p>
        </w:tc>
        <w:tc>
          <w:tcPr>
            <w:tcW w:w="3814" w:type="pct"/>
            <w:gridSpan w:val="7"/>
            <w:tcBorders>
              <w:top w:val="single" w:color="auto" w:sz="4" w:space="0"/>
              <w:left w:val="nil"/>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蓝田县2019年度住房安全保障项目</w:t>
            </w:r>
          </w:p>
        </w:tc>
      </w:tr>
      <w:tr>
        <w:tblPrEx>
          <w:tblCellMar>
            <w:top w:w="0" w:type="dxa"/>
            <w:left w:w="108" w:type="dxa"/>
            <w:bottom w:w="0" w:type="dxa"/>
            <w:right w:w="108" w:type="dxa"/>
          </w:tblCellMar>
        </w:tblPrEx>
        <w:trPr>
          <w:trHeight w:val="319" w:hRule="atLeast"/>
        </w:trPr>
        <w:tc>
          <w:tcPr>
            <w:tcW w:w="1185"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县级主管部门</w:t>
            </w:r>
          </w:p>
        </w:tc>
        <w:tc>
          <w:tcPr>
            <w:tcW w:w="1661" w:type="pct"/>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蓝田县住建局</w:t>
            </w:r>
          </w:p>
        </w:tc>
        <w:tc>
          <w:tcPr>
            <w:tcW w:w="1106" w:type="pc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实施单位</w:t>
            </w:r>
          </w:p>
        </w:tc>
        <w:tc>
          <w:tcPr>
            <w:tcW w:w="1046" w:type="pct"/>
            <w:gridSpan w:val="3"/>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各镇街</w:t>
            </w:r>
          </w:p>
        </w:tc>
      </w:tr>
      <w:tr>
        <w:tblPrEx>
          <w:tblCellMar>
            <w:top w:w="0" w:type="dxa"/>
            <w:left w:w="108" w:type="dxa"/>
            <w:bottom w:w="0" w:type="dxa"/>
            <w:right w:w="108" w:type="dxa"/>
          </w:tblCellMar>
        </w:tblPrEx>
        <w:trPr>
          <w:trHeight w:val="660" w:hRule="atLeast"/>
        </w:trPr>
        <w:tc>
          <w:tcPr>
            <w:tcW w:w="1185" w:type="pct"/>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项目资金（万元）</w:t>
            </w:r>
          </w:p>
        </w:tc>
        <w:tc>
          <w:tcPr>
            <w:tcW w:w="998" w:type="pct"/>
            <w:gridSpan w:val="2"/>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kern w:val="0"/>
                <w:sz w:val="20"/>
              </w:rPr>
            </w:pPr>
          </w:p>
        </w:tc>
        <w:tc>
          <w:tcPr>
            <w:tcW w:w="663" w:type="pc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全年初预算（A）</w:t>
            </w:r>
          </w:p>
        </w:tc>
        <w:tc>
          <w:tcPr>
            <w:tcW w:w="1508" w:type="pct"/>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全年执行数（B）</w:t>
            </w:r>
          </w:p>
        </w:tc>
        <w:tc>
          <w:tcPr>
            <w:tcW w:w="644" w:type="pct"/>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执行率（B/A)</w:t>
            </w:r>
          </w:p>
        </w:tc>
      </w:tr>
      <w:tr>
        <w:tblPrEx>
          <w:tblCellMar>
            <w:top w:w="0" w:type="dxa"/>
            <w:left w:w="108" w:type="dxa"/>
            <w:bottom w:w="0" w:type="dxa"/>
            <w:right w:w="108" w:type="dxa"/>
          </w:tblCellMar>
        </w:tblPrEx>
        <w:trPr>
          <w:trHeight w:val="319" w:hRule="atLeast"/>
        </w:trPr>
        <w:tc>
          <w:tcPr>
            <w:tcW w:w="1185" w:type="pct"/>
            <w:gridSpan w:val="2"/>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kern w:val="0"/>
                <w:sz w:val="20"/>
              </w:rPr>
            </w:pPr>
          </w:p>
        </w:tc>
        <w:tc>
          <w:tcPr>
            <w:tcW w:w="998" w:type="pct"/>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年度资金总额：</w:t>
            </w:r>
          </w:p>
        </w:tc>
        <w:tc>
          <w:tcPr>
            <w:tcW w:w="663" w:type="pc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508.5</w:t>
            </w:r>
          </w:p>
        </w:tc>
        <w:tc>
          <w:tcPr>
            <w:tcW w:w="1508" w:type="pct"/>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508</w:t>
            </w:r>
          </w:p>
        </w:tc>
        <w:tc>
          <w:tcPr>
            <w:tcW w:w="644" w:type="pct"/>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99.9%</w:t>
            </w:r>
          </w:p>
        </w:tc>
      </w:tr>
      <w:tr>
        <w:tblPrEx>
          <w:tblCellMar>
            <w:top w:w="0" w:type="dxa"/>
            <w:left w:w="108" w:type="dxa"/>
            <w:bottom w:w="0" w:type="dxa"/>
            <w:right w:w="108" w:type="dxa"/>
          </w:tblCellMar>
        </w:tblPrEx>
        <w:trPr>
          <w:trHeight w:val="510" w:hRule="atLeast"/>
        </w:trPr>
        <w:tc>
          <w:tcPr>
            <w:tcW w:w="1185" w:type="pct"/>
            <w:gridSpan w:val="2"/>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kern w:val="0"/>
                <w:sz w:val="20"/>
              </w:rPr>
            </w:pPr>
          </w:p>
        </w:tc>
        <w:tc>
          <w:tcPr>
            <w:tcW w:w="998" w:type="pct"/>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其中：市级财政资金</w:t>
            </w:r>
          </w:p>
        </w:tc>
        <w:tc>
          <w:tcPr>
            <w:tcW w:w="663" w:type="pct"/>
            <w:tcBorders>
              <w:top w:val="nil"/>
              <w:left w:val="nil"/>
              <w:bottom w:val="single" w:color="auto" w:sz="4" w:space="0"/>
              <w:right w:val="single" w:color="auto" w:sz="4" w:space="0"/>
            </w:tcBorders>
            <w:shd w:val="clear" w:color="auto" w:fill="auto"/>
            <w:vAlign w:val="center"/>
          </w:tcPr>
          <w:p>
            <w:pPr>
              <w:rPr>
                <w:rFonts w:ascii="宋体" w:hAnsi="宋体" w:eastAsia="宋体" w:cs="宋体"/>
                <w:color w:val="000000"/>
                <w:kern w:val="0"/>
                <w:sz w:val="20"/>
              </w:rPr>
            </w:pPr>
          </w:p>
        </w:tc>
        <w:tc>
          <w:tcPr>
            <w:tcW w:w="1508" w:type="pct"/>
            <w:gridSpan w:val="2"/>
            <w:tcBorders>
              <w:top w:val="single" w:color="auto" w:sz="4" w:space="0"/>
              <w:left w:val="nil"/>
              <w:bottom w:val="single" w:color="auto" w:sz="4" w:space="0"/>
              <w:right w:val="single" w:color="auto" w:sz="4" w:space="0"/>
            </w:tcBorders>
            <w:shd w:val="clear" w:color="auto" w:fill="auto"/>
            <w:vAlign w:val="center"/>
          </w:tcPr>
          <w:p>
            <w:pPr>
              <w:jc w:val="center"/>
              <w:rPr>
                <w:rFonts w:ascii="宋体" w:hAnsi="宋体" w:eastAsia="宋体" w:cs="宋体"/>
                <w:color w:val="000000"/>
                <w:kern w:val="0"/>
                <w:sz w:val="20"/>
              </w:rPr>
            </w:pPr>
          </w:p>
        </w:tc>
        <w:tc>
          <w:tcPr>
            <w:tcW w:w="644" w:type="pct"/>
            <w:gridSpan w:val="2"/>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kern w:val="0"/>
                <w:sz w:val="20"/>
              </w:rPr>
            </w:pPr>
          </w:p>
        </w:tc>
      </w:tr>
      <w:tr>
        <w:tblPrEx>
          <w:tblCellMar>
            <w:top w:w="0" w:type="dxa"/>
            <w:left w:w="108" w:type="dxa"/>
            <w:bottom w:w="0" w:type="dxa"/>
            <w:right w:w="108" w:type="dxa"/>
          </w:tblCellMar>
        </w:tblPrEx>
        <w:trPr>
          <w:trHeight w:val="319" w:hRule="atLeast"/>
        </w:trPr>
        <w:tc>
          <w:tcPr>
            <w:tcW w:w="1185" w:type="pct"/>
            <w:gridSpan w:val="2"/>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kern w:val="0"/>
                <w:sz w:val="20"/>
              </w:rPr>
            </w:pPr>
          </w:p>
        </w:tc>
        <w:tc>
          <w:tcPr>
            <w:tcW w:w="998" w:type="pct"/>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 xml:space="preserve">      区县财政资金</w:t>
            </w:r>
          </w:p>
        </w:tc>
        <w:tc>
          <w:tcPr>
            <w:tcW w:w="663" w:type="pc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508.5</w:t>
            </w:r>
          </w:p>
        </w:tc>
        <w:tc>
          <w:tcPr>
            <w:tcW w:w="1508" w:type="pct"/>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508</w:t>
            </w:r>
          </w:p>
        </w:tc>
        <w:tc>
          <w:tcPr>
            <w:tcW w:w="644" w:type="pct"/>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99.9%</w:t>
            </w:r>
          </w:p>
        </w:tc>
      </w:tr>
      <w:tr>
        <w:tblPrEx>
          <w:tblCellMar>
            <w:top w:w="0" w:type="dxa"/>
            <w:left w:w="108" w:type="dxa"/>
            <w:bottom w:w="0" w:type="dxa"/>
            <w:right w:w="108" w:type="dxa"/>
          </w:tblCellMar>
        </w:tblPrEx>
        <w:trPr>
          <w:trHeight w:val="315" w:hRule="atLeast"/>
        </w:trPr>
        <w:tc>
          <w:tcPr>
            <w:tcW w:w="1185" w:type="pct"/>
            <w:gridSpan w:val="2"/>
            <w:vMerge w:val="continue"/>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color w:val="000000"/>
                <w:kern w:val="0"/>
                <w:sz w:val="20"/>
              </w:rPr>
            </w:pPr>
          </w:p>
        </w:tc>
        <w:tc>
          <w:tcPr>
            <w:tcW w:w="998" w:type="pct"/>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 xml:space="preserve">        其他资金</w:t>
            </w:r>
          </w:p>
        </w:tc>
        <w:tc>
          <w:tcPr>
            <w:tcW w:w="663" w:type="pct"/>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kern w:val="0"/>
                <w:sz w:val="20"/>
              </w:rPr>
            </w:pPr>
          </w:p>
        </w:tc>
        <w:tc>
          <w:tcPr>
            <w:tcW w:w="1508" w:type="pct"/>
            <w:gridSpan w:val="2"/>
            <w:tcBorders>
              <w:top w:val="single" w:color="auto" w:sz="4" w:space="0"/>
              <w:left w:val="nil"/>
              <w:bottom w:val="single" w:color="auto" w:sz="4" w:space="0"/>
              <w:right w:val="single" w:color="000000" w:sz="4" w:space="0"/>
            </w:tcBorders>
            <w:shd w:val="clear" w:color="auto" w:fill="auto"/>
            <w:vAlign w:val="center"/>
          </w:tcPr>
          <w:p>
            <w:pPr>
              <w:jc w:val="center"/>
              <w:rPr>
                <w:rFonts w:ascii="宋体" w:hAnsi="宋体" w:eastAsia="宋体" w:cs="宋体"/>
                <w:color w:val="000000"/>
                <w:kern w:val="0"/>
                <w:sz w:val="20"/>
              </w:rPr>
            </w:pPr>
          </w:p>
        </w:tc>
        <w:tc>
          <w:tcPr>
            <w:tcW w:w="644" w:type="pct"/>
            <w:gridSpan w:val="2"/>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kern w:val="0"/>
                <w:sz w:val="20"/>
              </w:rPr>
            </w:pPr>
          </w:p>
        </w:tc>
      </w:tr>
      <w:tr>
        <w:tblPrEx>
          <w:tblCellMar>
            <w:top w:w="0" w:type="dxa"/>
            <w:left w:w="108" w:type="dxa"/>
            <w:bottom w:w="0" w:type="dxa"/>
            <w:right w:w="108" w:type="dxa"/>
          </w:tblCellMar>
        </w:tblPrEx>
        <w:trPr>
          <w:trHeight w:val="315" w:hRule="atLeast"/>
        </w:trPr>
        <w:tc>
          <w:tcPr>
            <w:tcW w:w="423" w:type="pct"/>
            <w:vMerge w:val="restart"/>
            <w:tcBorders>
              <w:top w:val="nil"/>
              <w:left w:val="single" w:color="auto" w:sz="4" w:space="0"/>
              <w:bottom w:val="single" w:color="000000"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年度总体目标</w:t>
            </w:r>
          </w:p>
        </w:tc>
        <w:tc>
          <w:tcPr>
            <w:tcW w:w="2423" w:type="pct"/>
            <w:gridSpan w:val="4"/>
            <w:tcBorders>
              <w:top w:val="single" w:color="auto" w:sz="4" w:space="0"/>
              <w:left w:val="nil"/>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年初设定目标</w:t>
            </w:r>
          </w:p>
        </w:tc>
        <w:tc>
          <w:tcPr>
            <w:tcW w:w="2152" w:type="pct"/>
            <w:gridSpan w:val="4"/>
            <w:tcBorders>
              <w:top w:val="single" w:color="auto" w:sz="4" w:space="0"/>
              <w:left w:val="nil"/>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全年实际完成情况</w:t>
            </w:r>
          </w:p>
        </w:tc>
      </w:tr>
      <w:tr>
        <w:tblPrEx>
          <w:tblCellMar>
            <w:top w:w="0" w:type="dxa"/>
            <w:left w:w="108" w:type="dxa"/>
            <w:bottom w:w="0" w:type="dxa"/>
            <w:right w:w="108" w:type="dxa"/>
          </w:tblCellMar>
        </w:tblPrEx>
        <w:trPr>
          <w:trHeight w:val="480" w:hRule="atLeast"/>
        </w:trPr>
        <w:tc>
          <w:tcPr>
            <w:tcW w:w="423" w:type="pct"/>
            <w:vMerge w:val="continue"/>
            <w:tcBorders>
              <w:top w:val="nil"/>
              <w:left w:val="single" w:color="auto" w:sz="4" w:space="0"/>
              <w:bottom w:val="single" w:color="000000" w:sz="4" w:space="0"/>
              <w:right w:val="single" w:color="auto" w:sz="4" w:space="0"/>
            </w:tcBorders>
            <w:vAlign w:val="center"/>
          </w:tcPr>
          <w:p>
            <w:pPr>
              <w:jc w:val="center"/>
              <w:rPr>
                <w:rFonts w:ascii="宋体" w:hAnsi="宋体" w:eastAsia="宋体" w:cs="宋体"/>
                <w:color w:val="000000"/>
                <w:kern w:val="0"/>
                <w:sz w:val="20"/>
              </w:rPr>
            </w:pPr>
          </w:p>
        </w:tc>
        <w:tc>
          <w:tcPr>
            <w:tcW w:w="2423" w:type="pct"/>
            <w:gridSpan w:val="4"/>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102户贫困户住房安全保障</w:t>
            </w:r>
          </w:p>
        </w:tc>
        <w:tc>
          <w:tcPr>
            <w:tcW w:w="2152" w:type="pct"/>
            <w:gridSpan w:val="4"/>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102户</w:t>
            </w:r>
          </w:p>
        </w:tc>
      </w:tr>
      <w:tr>
        <w:tblPrEx>
          <w:tblCellMar>
            <w:top w:w="0" w:type="dxa"/>
            <w:left w:w="108" w:type="dxa"/>
            <w:bottom w:w="0" w:type="dxa"/>
            <w:right w:w="108" w:type="dxa"/>
          </w:tblCellMar>
        </w:tblPrEx>
        <w:trPr>
          <w:trHeight w:val="522" w:hRule="atLeast"/>
        </w:trPr>
        <w:tc>
          <w:tcPr>
            <w:tcW w:w="423"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绩效指标</w:t>
            </w:r>
          </w:p>
        </w:tc>
        <w:tc>
          <w:tcPr>
            <w:tcW w:w="761" w:type="pc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一级指标</w:t>
            </w:r>
          </w:p>
        </w:tc>
        <w:tc>
          <w:tcPr>
            <w:tcW w:w="509"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二级指标</w:t>
            </w:r>
          </w:p>
        </w:tc>
        <w:tc>
          <w:tcPr>
            <w:tcW w:w="1152" w:type="pct"/>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pPr>
            <w:r>
              <w:rPr>
                <w:rFonts w:hint="eastAsia" w:ascii="宋体" w:hAnsi="宋体" w:eastAsia="宋体" w:cs="宋体"/>
                <w:i w:val="0"/>
                <w:color w:val="000000"/>
                <w:kern w:val="0"/>
                <w:sz w:val="22"/>
                <w:szCs w:val="22"/>
                <w:u w:val="none"/>
                <w:lang w:val="en-US" w:eastAsia="zh-CN" w:bidi="ar"/>
              </w:rPr>
              <w:t>三级指标</w:t>
            </w:r>
          </w:p>
        </w:tc>
        <w:tc>
          <w:tcPr>
            <w:tcW w:w="1106" w:type="pc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年度指标值</w:t>
            </w:r>
          </w:p>
        </w:tc>
        <w:tc>
          <w:tcPr>
            <w:tcW w:w="497" w:type="pct"/>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全年完成值</w:t>
            </w:r>
          </w:p>
        </w:tc>
        <w:tc>
          <w:tcPr>
            <w:tcW w:w="549" w:type="pc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未完成原因和改进措施</w:t>
            </w:r>
          </w:p>
        </w:tc>
      </w:tr>
      <w:tr>
        <w:tblPrEx>
          <w:tblCellMar>
            <w:top w:w="0" w:type="dxa"/>
            <w:left w:w="108" w:type="dxa"/>
            <w:bottom w:w="0" w:type="dxa"/>
            <w:right w:w="108" w:type="dxa"/>
          </w:tblCellMar>
        </w:tblPrEx>
        <w:trPr>
          <w:trHeight w:val="259" w:hRule="atLeast"/>
        </w:trPr>
        <w:tc>
          <w:tcPr>
            <w:tcW w:w="423" w:type="pct"/>
            <w:vMerge w:val="continue"/>
            <w:tcBorders>
              <w:top w:val="nil"/>
              <w:left w:val="single" w:color="auto" w:sz="4" w:space="0"/>
              <w:bottom w:val="single" w:color="auto" w:sz="4" w:space="0"/>
              <w:right w:val="single" w:color="auto" w:sz="4" w:space="0"/>
            </w:tcBorders>
            <w:vAlign w:val="center"/>
          </w:tcPr>
          <w:p>
            <w:pPr>
              <w:jc w:val="center"/>
              <w:rPr>
                <w:rFonts w:ascii="宋体" w:hAnsi="宋体" w:eastAsia="宋体" w:cs="宋体"/>
                <w:color w:val="000000"/>
                <w:kern w:val="0"/>
                <w:sz w:val="20"/>
              </w:rPr>
            </w:pPr>
          </w:p>
        </w:tc>
        <w:tc>
          <w:tcPr>
            <w:tcW w:w="761" w:type="pct"/>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0"/>
              </w:rPr>
            </w:pPr>
            <w:r>
              <w:rPr>
                <w:rFonts w:hint="eastAsia" w:ascii="宋体" w:hAnsi="宋体" w:eastAsia="宋体" w:cs="宋体"/>
                <w:i w:val="0"/>
                <w:color w:val="000000"/>
                <w:kern w:val="0"/>
                <w:sz w:val="22"/>
                <w:szCs w:val="22"/>
                <w:u w:val="none"/>
                <w:lang w:val="en-US" w:eastAsia="zh-CN" w:bidi="ar"/>
              </w:rPr>
              <w:t>产出指标</w:t>
            </w:r>
          </w:p>
        </w:tc>
        <w:tc>
          <w:tcPr>
            <w:tcW w:w="509" w:type="pct"/>
            <w:vMerge w:val="restar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数量指标</w:t>
            </w:r>
          </w:p>
        </w:tc>
        <w:tc>
          <w:tcPr>
            <w:tcW w:w="1152" w:type="pct"/>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pPr>
            <w:r>
              <w:rPr>
                <w:rFonts w:hint="eastAsia" w:ascii="宋体" w:hAnsi="宋体" w:eastAsia="宋体" w:cs="宋体"/>
                <w:i w:val="0"/>
                <w:color w:val="000000"/>
                <w:kern w:val="0"/>
                <w:sz w:val="22"/>
                <w:szCs w:val="22"/>
                <w:u w:val="none"/>
                <w:lang w:val="en-US" w:eastAsia="zh-CN" w:bidi="ar"/>
              </w:rPr>
              <w:t>建档立卡贫困户危房改造数量</w:t>
            </w:r>
          </w:p>
        </w:tc>
        <w:tc>
          <w:tcPr>
            <w:tcW w:w="1106" w:type="pc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102户</w:t>
            </w:r>
          </w:p>
        </w:tc>
        <w:tc>
          <w:tcPr>
            <w:tcW w:w="497" w:type="pct"/>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102户</w:t>
            </w:r>
          </w:p>
        </w:tc>
        <w:tc>
          <w:tcPr>
            <w:tcW w:w="549" w:type="pct"/>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kern w:val="0"/>
                <w:sz w:val="20"/>
              </w:rPr>
            </w:pPr>
          </w:p>
        </w:tc>
      </w:tr>
      <w:tr>
        <w:tblPrEx>
          <w:tblCellMar>
            <w:top w:w="0" w:type="dxa"/>
            <w:left w:w="108" w:type="dxa"/>
            <w:bottom w:w="0" w:type="dxa"/>
            <w:right w:w="108" w:type="dxa"/>
          </w:tblCellMar>
        </w:tblPrEx>
        <w:trPr>
          <w:trHeight w:val="259" w:hRule="atLeast"/>
        </w:trPr>
        <w:tc>
          <w:tcPr>
            <w:tcW w:w="423" w:type="pct"/>
            <w:vMerge w:val="continue"/>
            <w:tcBorders>
              <w:top w:val="nil"/>
              <w:left w:val="single" w:color="auto" w:sz="4" w:space="0"/>
              <w:bottom w:val="single" w:color="auto" w:sz="4" w:space="0"/>
              <w:right w:val="single" w:color="auto" w:sz="4" w:space="0"/>
            </w:tcBorders>
            <w:vAlign w:val="center"/>
          </w:tcPr>
          <w:p>
            <w:pPr>
              <w:jc w:val="center"/>
              <w:rPr>
                <w:rFonts w:ascii="宋体" w:hAnsi="宋体" w:eastAsia="宋体" w:cs="宋体"/>
                <w:color w:val="000000"/>
                <w:kern w:val="0"/>
                <w:sz w:val="20"/>
              </w:rPr>
            </w:pPr>
          </w:p>
        </w:tc>
        <w:tc>
          <w:tcPr>
            <w:tcW w:w="761" w:type="pct"/>
            <w:vMerge w:val="continue"/>
            <w:tcBorders>
              <w:top w:val="nil"/>
              <w:left w:val="single" w:color="auto" w:sz="4" w:space="0"/>
              <w:bottom w:val="single" w:color="auto" w:sz="4" w:space="0"/>
              <w:right w:val="single" w:color="auto" w:sz="4" w:space="0"/>
            </w:tcBorders>
            <w:vAlign w:val="center"/>
          </w:tcPr>
          <w:p>
            <w:pPr>
              <w:jc w:val="center"/>
              <w:rPr>
                <w:rFonts w:ascii="宋体" w:hAnsi="宋体" w:eastAsia="宋体" w:cs="宋体"/>
                <w:kern w:val="0"/>
                <w:sz w:val="20"/>
              </w:rPr>
            </w:pPr>
          </w:p>
        </w:tc>
        <w:tc>
          <w:tcPr>
            <w:tcW w:w="509" w:type="pct"/>
            <w:vMerge w:val="continue"/>
            <w:tcBorders>
              <w:top w:val="single" w:color="auto" w:sz="4" w:space="0"/>
              <w:left w:val="nil"/>
              <w:bottom w:val="single" w:color="auto" w:sz="4" w:space="0"/>
              <w:right w:val="single" w:color="auto" w:sz="4" w:space="0"/>
            </w:tcBorders>
            <w:shd w:val="clear" w:color="auto" w:fill="auto"/>
            <w:vAlign w:val="center"/>
          </w:tcPr>
          <w:p>
            <w:pPr>
              <w:jc w:val="center"/>
              <w:rPr>
                <w:rFonts w:ascii="宋体" w:hAnsi="宋体" w:eastAsia="宋体" w:cs="宋体"/>
                <w:color w:val="000000"/>
                <w:kern w:val="0"/>
                <w:sz w:val="20"/>
              </w:rPr>
            </w:pPr>
          </w:p>
        </w:tc>
        <w:tc>
          <w:tcPr>
            <w:tcW w:w="1152" w:type="pct"/>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pPr>
            <w:r>
              <w:rPr>
                <w:rFonts w:hint="eastAsia" w:ascii="宋体" w:hAnsi="宋体" w:eastAsia="宋体" w:cs="宋体"/>
                <w:i w:val="0"/>
                <w:color w:val="000000"/>
                <w:kern w:val="0"/>
                <w:sz w:val="22"/>
                <w:szCs w:val="22"/>
                <w:u w:val="none"/>
                <w:lang w:val="en-US" w:eastAsia="zh-CN" w:bidi="ar"/>
              </w:rPr>
              <w:t>建档立卡贫困户危房改造面积</w:t>
            </w:r>
          </w:p>
        </w:tc>
        <w:tc>
          <w:tcPr>
            <w:tcW w:w="1106" w:type="pc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≥4440㎡</w:t>
            </w:r>
          </w:p>
        </w:tc>
        <w:tc>
          <w:tcPr>
            <w:tcW w:w="497" w:type="pct"/>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≥4440㎡</w:t>
            </w:r>
          </w:p>
        </w:tc>
        <w:tc>
          <w:tcPr>
            <w:tcW w:w="549" w:type="pct"/>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kern w:val="0"/>
                <w:sz w:val="20"/>
              </w:rPr>
            </w:pPr>
          </w:p>
        </w:tc>
      </w:tr>
      <w:tr>
        <w:tblPrEx>
          <w:tblCellMar>
            <w:top w:w="0" w:type="dxa"/>
            <w:left w:w="108" w:type="dxa"/>
            <w:bottom w:w="0" w:type="dxa"/>
            <w:right w:w="108" w:type="dxa"/>
          </w:tblCellMar>
        </w:tblPrEx>
        <w:trPr>
          <w:trHeight w:val="259" w:hRule="atLeast"/>
        </w:trPr>
        <w:tc>
          <w:tcPr>
            <w:tcW w:w="423" w:type="pct"/>
            <w:vMerge w:val="continue"/>
            <w:tcBorders>
              <w:top w:val="nil"/>
              <w:left w:val="single" w:color="auto" w:sz="4" w:space="0"/>
              <w:bottom w:val="single" w:color="auto" w:sz="4" w:space="0"/>
              <w:right w:val="single" w:color="auto" w:sz="4" w:space="0"/>
            </w:tcBorders>
            <w:vAlign w:val="center"/>
          </w:tcPr>
          <w:p>
            <w:pPr>
              <w:jc w:val="center"/>
              <w:rPr>
                <w:rFonts w:ascii="宋体" w:hAnsi="宋体" w:eastAsia="宋体" w:cs="宋体"/>
                <w:color w:val="000000"/>
                <w:kern w:val="0"/>
                <w:sz w:val="20"/>
              </w:rPr>
            </w:pPr>
          </w:p>
        </w:tc>
        <w:tc>
          <w:tcPr>
            <w:tcW w:w="761" w:type="pct"/>
            <w:vMerge w:val="continue"/>
            <w:tcBorders>
              <w:top w:val="nil"/>
              <w:left w:val="single" w:color="auto" w:sz="4" w:space="0"/>
              <w:bottom w:val="single" w:color="auto" w:sz="4" w:space="0"/>
              <w:right w:val="single" w:color="auto" w:sz="4" w:space="0"/>
            </w:tcBorders>
            <w:vAlign w:val="center"/>
          </w:tcPr>
          <w:p>
            <w:pPr>
              <w:jc w:val="center"/>
              <w:rPr>
                <w:rFonts w:ascii="宋体" w:hAnsi="宋体" w:eastAsia="宋体" w:cs="宋体"/>
                <w:kern w:val="0"/>
                <w:sz w:val="20"/>
              </w:rPr>
            </w:pPr>
          </w:p>
        </w:tc>
        <w:tc>
          <w:tcPr>
            <w:tcW w:w="509" w:type="pct"/>
            <w:vMerge w:val="restar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质量指标</w:t>
            </w:r>
          </w:p>
        </w:tc>
        <w:tc>
          <w:tcPr>
            <w:tcW w:w="1152" w:type="pct"/>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pPr>
            <w:r>
              <w:rPr>
                <w:rFonts w:hint="eastAsia" w:ascii="宋体" w:hAnsi="宋体" w:eastAsia="宋体" w:cs="宋体"/>
                <w:i w:val="0"/>
                <w:color w:val="000000"/>
                <w:kern w:val="0"/>
                <w:sz w:val="22"/>
                <w:szCs w:val="22"/>
                <w:u w:val="none"/>
                <w:lang w:val="en-US" w:eastAsia="zh-CN" w:bidi="ar"/>
              </w:rPr>
              <w:t>改造后验收合格</w:t>
            </w:r>
          </w:p>
        </w:tc>
        <w:tc>
          <w:tcPr>
            <w:tcW w:w="1106" w:type="pc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100%</w:t>
            </w:r>
          </w:p>
        </w:tc>
        <w:tc>
          <w:tcPr>
            <w:tcW w:w="497" w:type="pct"/>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100%</w:t>
            </w:r>
          </w:p>
        </w:tc>
        <w:tc>
          <w:tcPr>
            <w:tcW w:w="549" w:type="pct"/>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kern w:val="0"/>
                <w:sz w:val="20"/>
              </w:rPr>
            </w:pPr>
          </w:p>
        </w:tc>
      </w:tr>
      <w:tr>
        <w:tblPrEx>
          <w:tblCellMar>
            <w:top w:w="0" w:type="dxa"/>
            <w:left w:w="108" w:type="dxa"/>
            <w:bottom w:w="0" w:type="dxa"/>
            <w:right w:w="108" w:type="dxa"/>
          </w:tblCellMar>
        </w:tblPrEx>
        <w:trPr>
          <w:trHeight w:val="259" w:hRule="atLeast"/>
        </w:trPr>
        <w:tc>
          <w:tcPr>
            <w:tcW w:w="423" w:type="pct"/>
            <w:vMerge w:val="continue"/>
            <w:tcBorders>
              <w:top w:val="nil"/>
              <w:left w:val="single" w:color="auto" w:sz="4" w:space="0"/>
              <w:bottom w:val="single" w:color="auto" w:sz="4" w:space="0"/>
              <w:right w:val="single" w:color="auto" w:sz="4" w:space="0"/>
            </w:tcBorders>
            <w:vAlign w:val="center"/>
          </w:tcPr>
          <w:p>
            <w:pPr>
              <w:jc w:val="center"/>
              <w:rPr>
                <w:rFonts w:ascii="宋体" w:hAnsi="宋体" w:eastAsia="宋体" w:cs="宋体"/>
                <w:color w:val="000000"/>
                <w:kern w:val="0"/>
                <w:sz w:val="20"/>
              </w:rPr>
            </w:pPr>
          </w:p>
        </w:tc>
        <w:tc>
          <w:tcPr>
            <w:tcW w:w="761" w:type="pct"/>
            <w:vMerge w:val="continue"/>
            <w:tcBorders>
              <w:top w:val="nil"/>
              <w:left w:val="single" w:color="auto" w:sz="4" w:space="0"/>
              <w:bottom w:val="single" w:color="auto" w:sz="4" w:space="0"/>
              <w:right w:val="single" w:color="auto" w:sz="4" w:space="0"/>
            </w:tcBorders>
            <w:vAlign w:val="center"/>
          </w:tcPr>
          <w:p>
            <w:pPr>
              <w:jc w:val="center"/>
              <w:rPr>
                <w:rFonts w:ascii="宋体" w:hAnsi="宋体" w:eastAsia="宋体" w:cs="宋体"/>
                <w:kern w:val="0"/>
                <w:sz w:val="20"/>
              </w:rPr>
            </w:pPr>
          </w:p>
        </w:tc>
        <w:tc>
          <w:tcPr>
            <w:tcW w:w="509" w:type="pct"/>
            <w:vMerge w:val="continue"/>
            <w:tcBorders>
              <w:top w:val="single" w:color="auto" w:sz="4" w:space="0"/>
              <w:left w:val="nil"/>
              <w:bottom w:val="single" w:color="auto" w:sz="4" w:space="0"/>
              <w:right w:val="single" w:color="auto" w:sz="4" w:space="0"/>
            </w:tcBorders>
            <w:shd w:val="clear" w:color="auto" w:fill="auto"/>
            <w:vAlign w:val="center"/>
          </w:tcPr>
          <w:p>
            <w:pPr>
              <w:jc w:val="center"/>
              <w:rPr>
                <w:rFonts w:ascii="宋体" w:hAnsi="宋体" w:eastAsia="宋体" w:cs="宋体"/>
                <w:color w:val="000000"/>
                <w:kern w:val="0"/>
                <w:sz w:val="20"/>
              </w:rPr>
            </w:pPr>
          </w:p>
        </w:tc>
        <w:tc>
          <w:tcPr>
            <w:tcW w:w="1152" w:type="pct"/>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pPr>
            <w:r>
              <w:rPr>
                <w:rFonts w:hint="eastAsia" w:ascii="宋体" w:hAnsi="宋体" w:eastAsia="宋体" w:cs="宋体"/>
                <w:i w:val="0"/>
                <w:color w:val="000000"/>
                <w:kern w:val="0"/>
                <w:sz w:val="22"/>
                <w:szCs w:val="22"/>
                <w:u w:val="none"/>
                <w:lang w:val="en-US" w:eastAsia="zh-CN" w:bidi="ar"/>
              </w:rPr>
              <w:t>建档立卡贫困户危房改造面积标准</w:t>
            </w:r>
          </w:p>
        </w:tc>
        <w:tc>
          <w:tcPr>
            <w:tcW w:w="1106" w:type="pc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1-3人户40-60㎡,3人以上户，不低于人均13㎡，不高于人均18㎡</w:t>
            </w:r>
          </w:p>
        </w:tc>
        <w:tc>
          <w:tcPr>
            <w:tcW w:w="497" w:type="pct"/>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全面达标</w:t>
            </w:r>
          </w:p>
        </w:tc>
        <w:tc>
          <w:tcPr>
            <w:tcW w:w="549" w:type="pct"/>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kern w:val="0"/>
                <w:sz w:val="20"/>
              </w:rPr>
            </w:pPr>
          </w:p>
        </w:tc>
      </w:tr>
      <w:tr>
        <w:tblPrEx>
          <w:tblCellMar>
            <w:top w:w="0" w:type="dxa"/>
            <w:left w:w="108" w:type="dxa"/>
            <w:bottom w:w="0" w:type="dxa"/>
            <w:right w:w="108" w:type="dxa"/>
          </w:tblCellMar>
        </w:tblPrEx>
        <w:trPr>
          <w:trHeight w:val="259" w:hRule="atLeast"/>
        </w:trPr>
        <w:tc>
          <w:tcPr>
            <w:tcW w:w="423" w:type="pct"/>
            <w:vMerge w:val="continue"/>
            <w:tcBorders>
              <w:top w:val="nil"/>
              <w:left w:val="single" w:color="auto" w:sz="4" w:space="0"/>
              <w:bottom w:val="single" w:color="auto" w:sz="4" w:space="0"/>
              <w:right w:val="single" w:color="auto" w:sz="4" w:space="0"/>
            </w:tcBorders>
            <w:vAlign w:val="center"/>
          </w:tcPr>
          <w:p>
            <w:pPr>
              <w:jc w:val="center"/>
              <w:rPr>
                <w:rFonts w:ascii="宋体" w:hAnsi="宋体" w:eastAsia="宋体" w:cs="宋体"/>
                <w:color w:val="000000"/>
                <w:kern w:val="0"/>
                <w:sz w:val="20"/>
              </w:rPr>
            </w:pPr>
          </w:p>
        </w:tc>
        <w:tc>
          <w:tcPr>
            <w:tcW w:w="761" w:type="pct"/>
            <w:vMerge w:val="continue"/>
            <w:tcBorders>
              <w:top w:val="nil"/>
              <w:left w:val="single" w:color="auto" w:sz="4" w:space="0"/>
              <w:bottom w:val="single" w:color="auto" w:sz="4" w:space="0"/>
              <w:right w:val="single" w:color="auto" w:sz="4" w:space="0"/>
            </w:tcBorders>
            <w:vAlign w:val="center"/>
          </w:tcPr>
          <w:p>
            <w:pPr>
              <w:jc w:val="center"/>
              <w:rPr>
                <w:rFonts w:ascii="宋体" w:hAnsi="宋体" w:eastAsia="宋体" w:cs="宋体"/>
                <w:kern w:val="0"/>
                <w:sz w:val="20"/>
              </w:rPr>
            </w:pPr>
          </w:p>
        </w:tc>
        <w:tc>
          <w:tcPr>
            <w:tcW w:w="509" w:type="pct"/>
            <w:vMerge w:val="continue"/>
            <w:tcBorders>
              <w:top w:val="single" w:color="auto" w:sz="4" w:space="0"/>
              <w:left w:val="nil"/>
              <w:bottom w:val="single" w:color="auto" w:sz="4" w:space="0"/>
              <w:right w:val="single" w:color="auto" w:sz="4" w:space="0"/>
            </w:tcBorders>
            <w:shd w:val="clear" w:color="auto" w:fill="auto"/>
            <w:vAlign w:val="center"/>
          </w:tcPr>
          <w:p>
            <w:pPr>
              <w:jc w:val="center"/>
              <w:rPr>
                <w:rFonts w:ascii="宋体" w:hAnsi="宋体" w:eastAsia="宋体" w:cs="宋体"/>
                <w:color w:val="000000"/>
                <w:kern w:val="0"/>
                <w:sz w:val="20"/>
              </w:rPr>
            </w:pPr>
          </w:p>
        </w:tc>
        <w:tc>
          <w:tcPr>
            <w:tcW w:w="1152" w:type="pct"/>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pPr>
            <w:r>
              <w:rPr>
                <w:rFonts w:hint="eastAsia" w:ascii="宋体" w:hAnsi="宋体" w:eastAsia="宋体" w:cs="宋体"/>
                <w:i w:val="0"/>
                <w:color w:val="000000"/>
                <w:kern w:val="0"/>
                <w:sz w:val="22"/>
                <w:szCs w:val="22"/>
                <w:u w:val="none"/>
                <w:lang w:val="en-US" w:eastAsia="zh-CN" w:bidi="ar"/>
              </w:rPr>
              <w:t>改造后房屋满足基本居住功能需要比例</w:t>
            </w:r>
          </w:p>
        </w:tc>
        <w:tc>
          <w:tcPr>
            <w:tcW w:w="1106" w:type="pc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100%</w:t>
            </w:r>
          </w:p>
        </w:tc>
        <w:tc>
          <w:tcPr>
            <w:tcW w:w="497" w:type="pct"/>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100%</w:t>
            </w:r>
          </w:p>
        </w:tc>
        <w:tc>
          <w:tcPr>
            <w:tcW w:w="549" w:type="pct"/>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kern w:val="0"/>
                <w:sz w:val="20"/>
              </w:rPr>
            </w:pPr>
          </w:p>
        </w:tc>
      </w:tr>
      <w:tr>
        <w:tblPrEx>
          <w:tblCellMar>
            <w:top w:w="0" w:type="dxa"/>
            <w:left w:w="108" w:type="dxa"/>
            <w:bottom w:w="0" w:type="dxa"/>
            <w:right w:w="108" w:type="dxa"/>
          </w:tblCellMar>
        </w:tblPrEx>
        <w:trPr>
          <w:trHeight w:val="259" w:hRule="atLeast"/>
        </w:trPr>
        <w:tc>
          <w:tcPr>
            <w:tcW w:w="423" w:type="pct"/>
            <w:vMerge w:val="continue"/>
            <w:tcBorders>
              <w:top w:val="nil"/>
              <w:left w:val="single" w:color="auto" w:sz="4" w:space="0"/>
              <w:bottom w:val="single" w:color="auto" w:sz="4" w:space="0"/>
              <w:right w:val="single" w:color="auto" w:sz="4" w:space="0"/>
            </w:tcBorders>
            <w:vAlign w:val="center"/>
          </w:tcPr>
          <w:p>
            <w:pPr>
              <w:jc w:val="center"/>
              <w:rPr>
                <w:rFonts w:ascii="宋体" w:hAnsi="宋体" w:eastAsia="宋体" w:cs="宋体"/>
                <w:color w:val="000000"/>
                <w:kern w:val="0"/>
                <w:sz w:val="20"/>
              </w:rPr>
            </w:pPr>
          </w:p>
        </w:tc>
        <w:tc>
          <w:tcPr>
            <w:tcW w:w="761" w:type="pct"/>
            <w:vMerge w:val="continue"/>
            <w:tcBorders>
              <w:top w:val="nil"/>
              <w:left w:val="single" w:color="auto" w:sz="4" w:space="0"/>
              <w:bottom w:val="single" w:color="auto" w:sz="4" w:space="0"/>
              <w:right w:val="single" w:color="auto" w:sz="4" w:space="0"/>
            </w:tcBorders>
            <w:vAlign w:val="center"/>
          </w:tcPr>
          <w:p>
            <w:pPr>
              <w:jc w:val="center"/>
              <w:rPr>
                <w:rFonts w:ascii="宋体" w:hAnsi="宋体" w:eastAsia="宋体" w:cs="宋体"/>
                <w:kern w:val="0"/>
                <w:sz w:val="20"/>
              </w:rPr>
            </w:pPr>
          </w:p>
        </w:tc>
        <w:tc>
          <w:tcPr>
            <w:tcW w:w="509" w:type="pct"/>
            <w:vMerge w:val="restar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时效指标</w:t>
            </w:r>
          </w:p>
        </w:tc>
        <w:tc>
          <w:tcPr>
            <w:tcW w:w="1152" w:type="pct"/>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pPr>
            <w:r>
              <w:rPr>
                <w:rFonts w:hint="eastAsia" w:ascii="宋体" w:hAnsi="宋体" w:eastAsia="宋体" w:cs="宋体"/>
                <w:i w:val="0"/>
                <w:color w:val="000000"/>
                <w:kern w:val="0"/>
                <w:sz w:val="22"/>
                <w:szCs w:val="22"/>
                <w:u w:val="none"/>
                <w:lang w:val="en-US" w:eastAsia="zh-CN" w:bidi="ar"/>
              </w:rPr>
              <w:t>当年开工率</w:t>
            </w:r>
          </w:p>
        </w:tc>
        <w:tc>
          <w:tcPr>
            <w:tcW w:w="1106" w:type="pc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100%</w:t>
            </w:r>
          </w:p>
        </w:tc>
        <w:tc>
          <w:tcPr>
            <w:tcW w:w="497" w:type="pct"/>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100%</w:t>
            </w:r>
          </w:p>
        </w:tc>
        <w:tc>
          <w:tcPr>
            <w:tcW w:w="549" w:type="pct"/>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kern w:val="0"/>
                <w:sz w:val="20"/>
              </w:rPr>
            </w:pPr>
          </w:p>
        </w:tc>
      </w:tr>
      <w:tr>
        <w:tblPrEx>
          <w:tblCellMar>
            <w:top w:w="0" w:type="dxa"/>
            <w:left w:w="108" w:type="dxa"/>
            <w:bottom w:w="0" w:type="dxa"/>
            <w:right w:w="108" w:type="dxa"/>
          </w:tblCellMar>
        </w:tblPrEx>
        <w:trPr>
          <w:trHeight w:val="259" w:hRule="atLeast"/>
        </w:trPr>
        <w:tc>
          <w:tcPr>
            <w:tcW w:w="423" w:type="pct"/>
            <w:vMerge w:val="continue"/>
            <w:tcBorders>
              <w:top w:val="nil"/>
              <w:left w:val="single" w:color="auto" w:sz="4" w:space="0"/>
              <w:bottom w:val="single" w:color="auto" w:sz="4" w:space="0"/>
              <w:right w:val="single" w:color="auto" w:sz="4" w:space="0"/>
            </w:tcBorders>
            <w:vAlign w:val="center"/>
          </w:tcPr>
          <w:p>
            <w:pPr>
              <w:jc w:val="center"/>
              <w:rPr>
                <w:rFonts w:ascii="宋体" w:hAnsi="宋体" w:eastAsia="宋体" w:cs="宋体"/>
                <w:color w:val="000000"/>
                <w:kern w:val="0"/>
                <w:sz w:val="20"/>
              </w:rPr>
            </w:pPr>
          </w:p>
        </w:tc>
        <w:tc>
          <w:tcPr>
            <w:tcW w:w="761" w:type="pct"/>
            <w:vMerge w:val="continue"/>
            <w:tcBorders>
              <w:top w:val="nil"/>
              <w:left w:val="single" w:color="auto" w:sz="4" w:space="0"/>
              <w:bottom w:val="single" w:color="auto" w:sz="4" w:space="0"/>
              <w:right w:val="single" w:color="auto" w:sz="4" w:space="0"/>
            </w:tcBorders>
            <w:vAlign w:val="center"/>
          </w:tcPr>
          <w:p>
            <w:pPr>
              <w:jc w:val="center"/>
              <w:rPr>
                <w:rFonts w:ascii="宋体" w:hAnsi="宋体" w:eastAsia="宋体" w:cs="宋体"/>
                <w:kern w:val="0"/>
                <w:sz w:val="20"/>
              </w:rPr>
            </w:pPr>
          </w:p>
        </w:tc>
        <w:tc>
          <w:tcPr>
            <w:tcW w:w="509" w:type="pct"/>
            <w:vMerge w:val="continue"/>
            <w:tcBorders>
              <w:top w:val="single" w:color="auto" w:sz="4" w:space="0"/>
              <w:left w:val="nil"/>
              <w:bottom w:val="single" w:color="auto" w:sz="4" w:space="0"/>
              <w:right w:val="single" w:color="auto" w:sz="4" w:space="0"/>
            </w:tcBorders>
            <w:shd w:val="clear" w:color="auto" w:fill="auto"/>
            <w:vAlign w:val="center"/>
          </w:tcPr>
          <w:p>
            <w:pPr>
              <w:jc w:val="center"/>
              <w:rPr>
                <w:rFonts w:ascii="宋体" w:hAnsi="宋体" w:eastAsia="宋体" w:cs="宋体"/>
                <w:color w:val="000000"/>
                <w:kern w:val="0"/>
                <w:sz w:val="20"/>
              </w:rPr>
            </w:pPr>
          </w:p>
        </w:tc>
        <w:tc>
          <w:tcPr>
            <w:tcW w:w="1152" w:type="pct"/>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pPr>
            <w:r>
              <w:rPr>
                <w:rFonts w:hint="eastAsia" w:ascii="宋体" w:hAnsi="宋体" w:eastAsia="宋体" w:cs="宋体"/>
                <w:i w:val="0"/>
                <w:color w:val="000000"/>
                <w:kern w:val="0"/>
                <w:sz w:val="22"/>
                <w:szCs w:val="22"/>
                <w:u w:val="none"/>
                <w:lang w:val="en-US" w:eastAsia="zh-CN" w:bidi="ar"/>
              </w:rPr>
              <w:t>当年完成率</w:t>
            </w:r>
          </w:p>
        </w:tc>
        <w:tc>
          <w:tcPr>
            <w:tcW w:w="1106" w:type="pc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100%</w:t>
            </w:r>
          </w:p>
        </w:tc>
        <w:tc>
          <w:tcPr>
            <w:tcW w:w="497" w:type="pct"/>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100%</w:t>
            </w:r>
          </w:p>
        </w:tc>
        <w:tc>
          <w:tcPr>
            <w:tcW w:w="549" w:type="pct"/>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kern w:val="0"/>
                <w:sz w:val="20"/>
              </w:rPr>
            </w:pPr>
          </w:p>
        </w:tc>
      </w:tr>
      <w:tr>
        <w:tblPrEx>
          <w:tblCellMar>
            <w:top w:w="0" w:type="dxa"/>
            <w:left w:w="108" w:type="dxa"/>
            <w:bottom w:w="0" w:type="dxa"/>
            <w:right w:w="108" w:type="dxa"/>
          </w:tblCellMar>
        </w:tblPrEx>
        <w:trPr>
          <w:trHeight w:val="259" w:hRule="atLeast"/>
        </w:trPr>
        <w:tc>
          <w:tcPr>
            <w:tcW w:w="423" w:type="pct"/>
            <w:vMerge w:val="continue"/>
            <w:tcBorders>
              <w:top w:val="nil"/>
              <w:left w:val="single" w:color="auto" w:sz="4" w:space="0"/>
              <w:bottom w:val="single" w:color="auto" w:sz="4" w:space="0"/>
              <w:right w:val="single" w:color="auto" w:sz="4" w:space="0"/>
            </w:tcBorders>
            <w:vAlign w:val="center"/>
          </w:tcPr>
          <w:p>
            <w:pPr>
              <w:jc w:val="center"/>
              <w:rPr>
                <w:rFonts w:ascii="宋体" w:hAnsi="宋体" w:eastAsia="宋体" w:cs="宋体"/>
                <w:color w:val="000000"/>
                <w:kern w:val="0"/>
                <w:sz w:val="20"/>
              </w:rPr>
            </w:pPr>
          </w:p>
        </w:tc>
        <w:tc>
          <w:tcPr>
            <w:tcW w:w="761" w:type="pct"/>
            <w:vMerge w:val="continue"/>
            <w:tcBorders>
              <w:top w:val="nil"/>
              <w:left w:val="single" w:color="auto" w:sz="4" w:space="0"/>
              <w:bottom w:val="single" w:color="auto" w:sz="4" w:space="0"/>
              <w:right w:val="single" w:color="auto" w:sz="4" w:space="0"/>
            </w:tcBorders>
            <w:vAlign w:val="center"/>
          </w:tcPr>
          <w:p>
            <w:pPr>
              <w:jc w:val="center"/>
              <w:rPr>
                <w:rFonts w:ascii="宋体" w:hAnsi="宋体" w:eastAsia="宋体" w:cs="宋体"/>
                <w:kern w:val="0"/>
                <w:sz w:val="20"/>
              </w:rPr>
            </w:pPr>
          </w:p>
        </w:tc>
        <w:tc>
          <w:tcPr>
            <w:tcW w:w="509"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成本指标</w:t>
            </w:r>
          </w:p>
        </w:tc>
        <w:tc>
          <w:tcPr>
            <w:tcW w:w="1152" w:type="pct"/>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pPr>
            <w:r>
              <w:rPr>
                <w:rFonts w:hint="eastAsia" w:ascii="宋体" w:hAnsi="宋体" w:eastAsia="宋体" w:cs="宋体"/>
                <w:i w:val="0"/>
                <w:color w:val="000000"/>
                <w:kern w:val="0"/>
                <w:sz w:val="22"/>
                <w:szCs w:val="22"/>
                <w:u w:val="none"/>
                <w:lang w:val="en-US" w:eastAsia="zh-CN" w:bidi="ar"/>
              </w:rPr>
              <w:t>危房改造补助标准</w:t>
            </w:r>
          </w:p>
        </w:tc>
        <w:tc>
          <w:tcPr>
            <w:tcW w:w="1106" w:type="pc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C级每户不超过15000元/户，D级重建51000元/户</w:t>
            </w:r>
          </w:p>
        </w:tc>
        <w:tc>
          <w:tcPr>
            <w:tcW w:w="497" w:type="pct"/>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符合标准</w:t>
            </w:r>
          </w:p>
        </w:tc>
        <w:tc>
          <w:tcPr>
            <w:tcW w:w="549" w:type="pct"/>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kern w:val="0"/>
                <w:sz w:val="20"/>
              </w:rPr>
            </w:pPr>
          </w:p>
        </w:tc>
      </w:tr>
      <w:tr>
        <w:tblPrEx>
          <w:tblCellMar>
            <w:top w:w="0" w:type="dxa"/>
            <w:left w:w="108" w:type="dxa"/>
            <w:bottom w:w="0" w:type="dxa"/>
            <w:right w:w="108" w:type="dxa"/>
          </w:tblCellMar>
        </w:tblPrEx>
        <w:trPr>
          <w:trHeight w:val="259" w:hRule="atLeast"/>
        </w:trPr>
        <w:tc>
          <w:tcPr>
            <w:tcW w:w="423" w:type="pct"/>
            <w:vMerge w:val="continue"/>
            <w:tcBorders>
              <w:top w:val="nil"/>
              <w:left w:val="single" w:color="auto" w:sz="4" w:space="0"/>
              <w:bottom w:val="single" w:color="auto" w:sz="4" w:space="0"/>
              <w:right w:val="single" w:color="auto" w:sz="4" w:space="0"/>
            </w:tcBorders>
            <w:vAlign w:val="center"/>
          </w:tcPr>
          <w:p>
            <w:pPr>
              <w:jc w:val="center"/>
              <w:rPr>
                <w:rFonts w:ascii="宋体" w:hAnsi="宋体" w:eastAsia="宋体" w:cs="宋体"/>
                <w:color w:val="000000"/>
                <w:kern w:val="0"/>
                <w:sz w:val="20"/>
              </w:rPr>
            </w:pPr>
          </w:p>
        </w:tc>
        <w:tc>
          <w:tcPr>
            <w:tcW w:w="761" w:type="pct"/>
            <w:vMerge w:val="restart"/>
            <w:tcBorders>
              <w:top w:val="nil"/>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宋体" w:hAnsi="宋体" w:eastAsia="宋体" w:cs="宋体"/>
                <w:kern w:val="0"/>
                <w:sz w:val="20"/>
              </w:rPr>
            </w:pPr>
            <w:r>
              <w:rPr>
                <w:rFonts w:hint="eastAsia" w:ascii="宋体" w:hAnsi="宋体" w:eastAsia="宋体" w:cs="宋体"/>
                <w:i w:val="0"/>
                <w:color w:val="000000"/>
                <w:kern w:val="0"/>
                <w:sz w:val="22"/>
                <w:szCs w:val="22"/>
                <w:u w:val="none"/>
                <w:lang w:val="en-US" w:eastAsia="zh-CN" w:bidi="ar"/>
              </w:rPr>
              <w:t>效益指标</w:t>
            </w:r>
          </w:p>
        </w:tc>
        <w:tc>
          <w:tcPr>
            <w:tcW w:w="509" w:type="pct"/>
            <w:vMerge w:val="restar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社会效益指标</w:t>
            </w:r>
          </w:p>
        </w:tc>
        <w:tc>
          <w:tcPr>
            <w:tcW w:w="1152" w:type="pct"/>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pPr>
            <w:r>
              <w:rPr>
                <w:rFonts w:hint="eastAsia" w:ascii="宋体" w:hAnsi="宋体" w:eastAsia="宋体" w:cs="宋体"/>
                <w:i w:val="0"/>
                <w:color w:val="000000"/>
                <w:kern w:val="0"/>
                <w:sz w:val="22"/>
                <w:szCs w:val="22"/>
                <w:u w:val="none"/>
                <w:lang w:val="en-US" w:eastAsia="zh-CN" w:bidi="ar"/>
              </w:rPr>
              <w:t>改造房屋在相当于本地区抗震谁放烈度地震中表现</w:t>
            </w:r>
          </w:p>
        </w:tc>
        <w:tc>
          <w:tcPr>
            <w:tcW w:w="1106" w:type="pc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无严重毁损</w:t>
            </w:r>
          </w:p>
        </w:tc>
        <w:tc>
          <w:tcPr>
            <w:tcW w:w="497" w:type="pct"/>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符合标准</w:t>
            </w:r>
          </w:p>
        </w:tc>
        <w:tc>
          <w:tcPr>
            <w:tcW w:w="549" w:type="pct"/>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kern w:val="0"/>
                <w:sz w:val="20"/>
              </w:rPr>
            </w:pPr>
          </w:p>
        </w:tc>
      </w:tr>
      <w:tr>
        <w:tblPrEx>
          <w:tblCellMar>
            <w:top w:w="0" w:type="dxa"/>
            <w:left w:w="108" w:type="dxa"/>
            <w:bottom w:w="0" w:type="dxa"/>
            <w:right w:w="108" w:type="dxa"/>
          </w:tblCellMar>
        </w:tblPrEx>
        <w:trPr>
          <w:trHeight w:val="259" w:hRule="atLeast"/>
        </w:trPr>
        <w:tc>
          <w:tcPr>
            <w:tcW w:w="423" w:type="pct"/>
            <w:vMerge w:val="continue"/>
            <w:tcBorders>
              <w:top w:val="nil"/>
              <w:left w:val="single" w:color="auto" w:sz="4" w:space="0"/>
              <w:bottom w:val="single" w:color="auto" w:sz="4" w:space="0"/>
              <w:right w:val="single" w:color="auto" w:sz="4" w:space="0"/>
            </w:tcBorders>
            <w:vAlign w:val="center"/>
          </w:tcPr>
          <w:p>
            <w:pPr>
              <w:jc w:val="center"/>
              <w:rPr>
                <w:rFonts w:ascii="宋体" w:hAnsi="宋体" w:eastAsia="宋体" w:cs="宋体"/>
                <w:color w:val="000000"/>
                <w:kern w:val="0"/>
                <w:sz w:val="20"/>
              </w:rPr>
            </w:pPr>
          </w:p>
        </w:tc>
        <w:tc>
          <w:tcPr>
            <w:tcW w:w="761" w:type="pct"/>
            <w:vMerge w:val="continue"/>
            <w:tcBorders>
              <w:top w:val="nil"/>
              <w:left w:val="single" w:color="auto" w:sz="4" w:space="0"/>
              <w:bottom w:val="single" w:color="auto" w:sz="4" w:space="0"/>
              <w:right w:val="single" w:color="auto" w:sz="4" w:space="0"/>
            </w:tcBorders>
            <w:vAlign w:val="center"/>
          </w:tcPr>
          <w:p>
            <w:pPr>
              <w:jc w:val="center"/>
              <w:rPr>
                <w:rFonts w:ascii="宋体" w:hAnsi="宋体" w:eastAsia="宋体" w:cs="宋体"/>
                <w:kern w:val="0"/>
                <w:sz w:val="20"/>
              </w:rPr>
            </w:pPr>
          </w:p>
        </w:tc>
        <w:tc>
          <w:tcPr>
            <w:tcW w:w="509" w:type="pct"/>
            <w:vMerge w:val="continue"/>
            <w:tcBorders>
              <w:top w:val="single" w:color="auto" w:sz="4" w:space="0"/>
              <w:left w:val="nil"/>
              <w:bottom w:val="single" w:color="auto" w:sz="4" w:space="0"/>
              <w:right w:val="single" w:color="auto" w:sz="4" w:space="0"/>
            </w:tcBorders>
            <w:shd w:val="clear" w:color="auto" w:fill="auto"/>
            <w:vAlign w:val="center"/>
          </w:tcPr>
          <w:p>
            <w:pPr>
              <w:jc w:val="center"/>
              <w:rPr>
                <w:rFonts w:ascii="宋体" w:hAnsi="宋体" w:eastAsia="宋体" w:cs="宋体"/>
                <w:color w:val="000000"/>
                <w:kern w:val="0"/>
                <w:sz w:val="20"/>
              </w:rPr>
            </w:pPr>
          </w:p>
        </w:tc>
        <w:tc>
          <w:tcPr>
            <w:tcW w:w="1152" w:type="pct"/>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pPr>
            <w:r>
              <w:rPr>
                <w:rFonts w:hint="eastAsia" w:ascii="宋体" w:hAnsi="宋体" w:eastAsia="宋体" w:cs="宋体"/>
                <w:i w:val="0"/>
                <w:color w:val="000000"/>
                <w:kern w:val="0"/>
                <w:sz w:val="22"/>
                <w:szCs w:val="22"/>
                <w:u w:val="none"/>
                <w:lang w:val="en-US" w:eastAsia="zh-CN" w:bidi="ar"/>
              </w:rPr>
              <w:t>改造后房屋人畜分离、卫生厕所等基本卫生条件</w:t>
            </w:r>
          </w:p>
        </w:tc>
        <w:tc>
          <w:tcPr>
            <w:tcW w:w="1106" w:type="pc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有基本保障</w:t>
            </w:r>
          </w:p>
        </w:tc>
        <w:tc>
          <w:tcPr>
            <w:tcW w:w="497" w:type="pct"/>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有基本保障</w:t>
            </w:r>
          </w:p>
        </w:tc>
        <w:tc>
          <w:tcPr>
            <w:tcW w:w="549" w:type="pct"/>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kern w:val="0"/>
                <w:sz w:val="20"/>
              </w:rPr>
            </w:pPr>
          </w:p>
        </w:tc>
      </w:tr>
      <w:tr>
        <w:tblPrEx>
          <w:tblCellMar>
            <w:top w:w="0" w:type="dxa"/>
            <w:left w:w="108" w:type="dxa"/>
            <w:bottom w:w="0" w:type="dxa"/>
            <w:right w:w="108" w:type="dxa"/>
          </w:tblCellMar>
        </w:tblPrEx>
        <w:trPr>
          <w:trHeight w:val="259" w:hRule="atLeast"/>
        </w:trPr>
        <w:tc>
          <w:tcPr>
            <w:tcW w:w="423" w:type="pct"/>
            <w:vMerge w:val="continue"/>
            <w:tcBorders>
              <w:top w:val="nil"/>
              <w:left w:val="single" w:color="auto" w:sz="4" w:space="0"/>
              <w:bottom w:val="single" w:color="auto" w:sz="4" w:space="0"/>
              <w:right w:val="single" w:color="auto" w:sz="4" w:space="0"/>
            </w:tcBorders>
            <w:vAlign w:val="center"/>
          </w:tcPr>
          <w:p>
            <w:pPr>
              <w:jc w:val="center"/>
              <w:rPr>
                <w:rFonts w:ascii="宋体" w:hAnsi="宋体" w:eastAsia="宋体" w:cs="宋体"/>
                <w:color w:val="000000"/>
                <w:kern w:val="0"/>
                <w:sz w:val="20"/>
              </w:rPr>
            </w:pPr>
          </w:p>
        </w:tc>
        <w:tc>
          <w:tcPr>
            <w:tcW w:w="761" w:type="pct"/>
            <w:vMerge w:val="continue"/>
            <w:tcBorders>
              <w:top w:val="nil"/>
              <w:left w:val="single" w:color="auto" w:sz="4" w:space="0"/>
              <w:bottom w:val="single" w:color="auto" w:sz="4" w:space="0"/>
              <w:right w:val="single" w:color="auto" w:sz="4" w:space="0"/>
            </w:tcBorders>
            <w:vAlign w:val="center"/>
          </w:tcPr>
          <w:p>
            <w:pPr>
              <w:jc w:val="center"/>
              <w:rPr>
                <w:rFonts w:ascii="宋体" w:hAnsi="宋体" w:eastAsia="宋体" w:cs="宋体"/>
                <w:kern w:val="0"/>
                <w:sz w:val="20"/>
              </w:rPr>
            </w:pPr>
          </w:p>
        </w:tc>
        <w:tc>
          <w:tcPr>
            <w:tcW w:w="509" w:type="pct"/>
            <w:vMerge w:val="continue"/>
            <w:tcBorders>
              <w:top w:val="single" w:color="auto" w:sz="4" w:space="0"/>
              <w:left w:val="nil"/>
              <w:bottom w:val="single" w:color="auto" w:sz="4" w:space="0"/>
              <w:right w:val="single" w:color="auto" w:sz="4" w:space="0"/>
            </w:tcBorders>
            <w:shd w:val="clear" w:color="auto" w:fill="auto"/>
            <w:vAlign w:val="center"/>
          </w:tcPr>
          <w:p>
            <w:pPr>
              <w:jc w:val="center"/>
              <w:rPr>
                <w:rFonts w:ascii="宋体" w:hAnsi="宋体" w:eastAsia="宋体" w:cs="宋体"/>
                <w:color w:val="000000"/>
                <w:kern w:val="0"/>
                <w:sz w:val="20"/>
              </w:rPr>
            </w:pPr>
          </w:p>
        </w:tc>
        <w:tc>
          <w:tcPr>
            <w:tcW w:w="1152" w:type="pct"/>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pPr>
            <w:r>
              <w:rPr>
                <w:rFonts w:hint="eastAsia" w:ascii="宋体" w:hAnsi="宋体" w:eastAsia="宋体" w:cs="宋体"/>
                <w:i w:val="0"/>
                <w:color w:val="000000"/>
                <w:kern w:val="0"/>
                <w:sz w:val="22"/>
                <w:szCs w:val="22"/>
                <w:u w:val="none"/>
                <w:lang w:val="en-US" w:eastAsia="zh-CN" w:bidi="ar"/>
              </w:rPr>
              <w:t>改造后房屋入住率</w:t>
            </w:r>
          </w:p>
        </w:tc>
        <w:tc>
          <w:tcPr>
            <w:tcW w:w="1106" w:type="pc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90%</w:t>
            </w:r>
          </w:p>
        </w:tc>
        <w:tc>
          <w:tcPr>
            <w:tcW w:w="497" w:type="pct"/>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90%</w:t>
            </w:r>
          </w:p>
        </w:tc>
        <w:tc>
          <w:tcPr>
            <w:tcW w:w="549" w:type="pct"/>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kern w:val="0"/>
                <w:sz w:val="20"/>
              </w:rPr>
            </w:pPr>
          </w:p>
        </w:tc>
      </w:tr>
      <w:tr>
        <w:tblPrEx>
          <w:tblCellMar>
            <w:top w:w="0" w:type="dxa"/>
            <w:left w:w="108" w:type="dxa"/>
            <w:bottom w:w="0" w:type="dxa"/>
            <w:right w:w="108" w:type="dxa"/>
          </w:tblCellMar>
        </w:tblPrEx>
        <w:trPr>
          <w:trHeight w:val="259" w:hRule="atLeast"/>
        </w:trPr>
        <w:tc>
          <w:tcPr>
            <w:tcW w:w="423" w:type="pct"/>
            <w:vMerge w:val="continue"/>
            <w:tcBorders>
              <w:top w:val="nil"/>
              <w:left w:val="single" w:color="auto" w:sz="4" w:space="0"/>
              <w:bottom w:val="single" w:color="auto" w:sz="4" w:space="0"/>
              <w:right w:val="single" w:color="auto" w:sz="4" w:space="0"/>
            </w:tcBorders>
            <w:vAlign w:val="center"/>
          </w:tcPr>
          <w:p>
            <w:pPr>
              <w:jc w:val="center"/>
              <w:rPr>
                <w:rFonts w:ascii="宋体" w:hAnsi="宋体" w:eastAsia="宋体" w:cs="宋体"/>
                <w:color w:val="000000"/>
                <w:kern w:val="0"/>
                <w:sz w:val="20"/>
              </w:rPr>
            </w:pPr>
          </w:p>
        </w:tc>
        <w:tc>
          <w:tcPr>
            <w:tcW w:w="761" w:type="pct"/>
            <w:vMerge w:val="continue"/>
            <w:tcBorders>
              <w:top w:val="nil"/>
              <w:left w:val="single" w:color="auto" w:sz="4" w:space="0"/>
              <w:bottom w:val="single" w:color="auto" w:sz="4" w:space="0"/>
              <w:right w:val="single" w:color="auto" w:sz="4" w:space="0"/>
            </w:tcBorders>
            <w:shd w:val="clear" w:color="auto" w:fill="auto"/>
            <w:vAlign w:val="center"/>
          </w:tcPr>
          <w:p>
            <w:pPr>
              <w:jc w:val="center"/>
              <w:rPr>
                <w:rFonts w:ascii="宋体" w:hAnsi="宋体" w:eastAsia="宋体" w:cs="宋体"/>
                <w:kern w:val="0"/>
                <w:sz w:val="20"/>
              </w:rPr>
            </w:pPr>
          </w:p>
        </w:tc>
        <w:tc>
          <w:tcPr>
            <w:tcW w:w="509" w:type="pct"/>
            <w:vMerge w:val="continue"/>
            <w:tcBorders>
              <w:top w:val="single" w:color="auto" w:sz="4" w:space="0"/>
              <w:left w:val="nil"/>
              <w:bottom w:val="single" w:color="auto" w:sz="4" w:space="0"/>
              <w:right w:val="single" w:color="auto" w:sz="4" w:space="0"/>
            </w:tcBorders>
            <w:shd w:val="clear" w:color="auto" w:fill="auto"/>
            <w:vAlign w:val="center"/>
          </w:tcPr>
          <w:p>
            <w:pPr>
              <w:jc w:val="center"/>
              <w:rPr>
                <w:rFonts w:ascii="宋体" w:hAnsi="宋体" w:eastAsia="宋体" w:cs="宋体"/>
                <w:color w:val="000000"/>
                <w:kern w:val="0"/>
                <w:sz w:val="20"/>
              </w:rPr>
            </w:pPr>
          </w:p>
        </w:tc>
        <w:tc>
          <w:tcPr>
            <w:tcW w:w="1152" w:type="pct"/>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pPr>
            <w:r>
              <w:rPr>
                <w:rFonts w:hint="eastAsia" w:ascii="宋体" w:hAnsi="宋体" w:eastAsia="宋体" w:cs="宋体"/>
                <w:i w:val="0"/>
                <w:color w:val="000000"/>
                <w:kern w:val="0"/>
                <w:sz w:val="22"/>
                <w:szCs w:val="22"/>
                <w:u w:val="none"/>
                <w:lang w:val="en-US" w:eastAsia="zh-CN" w:bidi="ar"/>
              </w:rPr>
              <w:t>受益建档立卡贫困人口数</w:t>
            </w:r>
          </w:p>
        </w:tc>
        <w:tc>
          <w:tcPr>
            <w:tcW w:w="1106" w:type="pc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255</w:t>
            </w:r>
          </w:p>
        </w:tc>
        <w:tc>
          <w:tcPr>
            <w:tcW w:w="497" w:type="pct"/>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255</w:t>
            </w:r>
          </w:p>
        </w:tc>
        <w:tc>
          <w:tcPr>
            <w:tcW w:w="549" w:type="pct"/>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kern w:val="0"/>
                <w:sz w:val="20"/>
              </w:rPr>
            </w:pPr>
          </w:p>
        </w:tc>
      </w:tr>
      <w:tr>
        <w:tblPrEx>
          <w:tblCellMar>
            <w:top w:w="0" w:type="dxa"/>
            <w:left w:w="108" w:type="dxa"/>
            <w:bottom w:w="0" w:type="dxa"/>
            <w:right w:w="108" w:type="dxa"/>
          </w:tblCellMar>
        </w:tblPrEx>
        <w:trPr>
          <w:trHeight w:val="259" w:hRule="atLeast"/>
        </w:trPr>
        <w:tc>
          <w:tcPr>
            <w:tcW w:w="423" w:type="pct"/>
            <w:vMerge w:val="continue"/>
            <w:tcBorders>
              <w:top w:val="nil"/>
              <w:left w:val="single" w:color="auto" w:sz="4" w:space="0"/>
              <w:bottom w:val="single" w:color="auto" w:sz="4" w:space="0"/>
              <w:right w:val="single" w:color="auto" w:sz="4" w:space="0"/>
            </w:tcBorders>
            <w:vAlign w:val="center"/>
          </w:tcPr>
          <w:p>
            <w:pPr>
              <w:jc w:val="center"/>
              <w:rPr>
                <w:rFonts w:ascii="宋体" w:hAnsi="宋体" w:eastAsia="宋体" w:cs="宋体"/>
                <w:color w:val="000000"/>
                <w:kern w:val="0"/>
                <w:sz w:val="20"/>
              </w:rPr>
            </w:pPr>
          </w:p>
        </w:tc>
        <w:tc>
          <w:tcPr>
            <w:tcW w:w="761" w:type="pct"/>
            <w:vMerge w:val="continue"/>
            <w:tcBorders>
              <w:top w:val="nil"/>
              <w:left w:val="single" w:color="auto" w:sz="4" w:space="0"/>
              <w:bottom w:val="single" w:color="auto" w:sz="4" w:space="0"/>
              <w:right w:val="single" w:color="auto" w:sz="4" w:space="0"/>
            </w:tcBorders>
            <w:vAlign w:val="center"/>
          </w:tcPr>
          <w:p>
            <w:pPr>
              <w:jc w:val="center"/>
              <w:rPr>
                <w:rFonts w:ascii="宋体" w:hAnsi="宋体" w:eastAsia="宋体" w:cs="宋体"/>
                <w:kern w:val="0"/>
                <w:sz w:val="20"/>
              </w:rPr>
            </w:pPr>
          </w:p>
        </w:tc>
        <w:tc>
          <w:tcPr>
            <w:tcW w:w="509" w:type="pct"/>
            <w:vMerge w:val="continue"/>
            <w:tcBorders>
              <w:top w:val="single" w:color="auto" w:sz="4" w:space="0"/>
              <w:left w:val="nil"/>
              <w:bottom w:val="single" w:color="auto" w:sz="4" w:space="0"/>
              <w:right w:val="single" w:color="auto" w:sz="4" w:space="0"/>
            </w:tcBorders>
            <w:shd w:val="clear" w:color="auto" w:fill="auto"/>
            <w:vAlign w:val="center"/>
          </w:tcPr>
          <w:p>
            <w:pPr>
              <w:jc w:val="center"/>
              <w:rPr>
                <w:rFonts w:ascii="宋体" w:hAnsi="宋体" w:eastAsia="宋体" w:cs="宋体"/>
                <w:color w:val="000000"/>
                <w:kern w:val="0"/>
                <w:sz w:val="20"/>
              </w:rPr>
            </w:pPr>
          </w:p>
        </w:tc>
        <w:tc>
          <w:tcPr>
            <w:tcW w:w="1152" w:type="pct"/>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pPr>
            <w:r>
              <w:rPr>
                <w:rFonts w:hint="eastAsia" w:ascii="宋体" w:hAnsi="宋体" w:eastAsia="宋体" w:cs="宋体"/>
                <w:i w:val="0"/>
                <w:color w:val="000000"/>
                <w:kern w:val="0"/>
                <w:sz w:val="22"/>
                <w:szCs w:val="22"/>
                <w:u w:val="none"/>
                <w:lang w:val="en-US" w:eastAsia="zh-CN" w:bidi="ar"/>
              </w:rPr>
              <w:t>带动建档立卡贫困人口脱贫数</w:t>
            </w:r>
          </w:p>
        </w:tc>
        <w:tc>
          <w:tcPr>
            <w:tcW w:w="1106" w:type="pc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255</w:t>
            </w:r>
          </w:p>
        </w:tc>
        <w:tc>
          <w:tcPr>
            <w:tcW w:w="497" w:type="pct"/>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255</w:t>
            </w:r>
          </w:p>
        </w:tc>
        <w:tc>
          <w:tcPr>
            <w:tcW w:w="549" w:type="pct"/>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kern w:val="0"/>
                <w:sz w:val="20"/>
              </w:rPr>
            </w:pPr>
          </w:p>
        </w:tc>
      </w:tr>
      <w:tr>
        <w:tblPrEx>
          <w:tblCellMar>
            <w:top w:w="0" w:type="dxa"/>
            <w:left w:w="108" w:type="dxa"/>
            <w:bottom w:w="0" w:type="dxa"/>
            <w:right w:w="108" w:type="dxa"/>
          </w:tblCellMar>
        </w:tblPrEx>
        <w:trPr>
          <w:trHeight w:val="259" w:hRule="atLeast"/>
        </w:trPr>
        <w:tc>
          <w:tcPr>
            <w:tcW w:w="423" w:type="pct"/>
            <w:vMerge w:val="continue"/>
            <w:tcBorders>
              <w:top w:val="nil"/>
              <w:left w:val="single" w:color="auto" w:sz="4" w:space="0"/>
              <w:bottom w:val="single" w:color="auto" w:sz="4" w:space="0"/>
              <w:right w:val="single" w:color="auto" w:sz="4" w:space="0"/>
            </w:tcBorders>
            <w:vAlign w:val="center"/>
          </w:tcPr>
          <w:p>
            <w:pPr>
              <w:jc w:val="center"/>
              <w:rPr>
                <w:rFonts w:ascii="宋体" w:hAnsi="宋体" w:eastAsia="宋体" w:cs="宋体"/>
                <w:color w:val="000000"/>
                <w:kern w:val="0"/>
                <w:sz w:val="20"/>
              </w:rPr>
            </w:pPr>
          </w:p>
        </w:tc>
        <w:tc>
          <w:tcPr>
            <w:tcW w:w="761" w:type="pct"/>
            <w:vMerge w:val="continue"/>
            <w:tcBorders>
              <w:top w:val="nil"/>
              <w:left w:val="single" w:color="auto" w:sz="4" w:space="0"/>
              <w:bottom w:val="single" w:color="auto" w:sz="4" w:space="0"/>
              <w:right w:val="single" w:color="auto" w:sz="4" w:space="0"/>
            </w:tcBorders>
            <w:vAlign w:val="center"/>
          </w:tcPr>
          <w:p>
            <w:pPr>
              <w:jc w:val="center"/>
              <w:rPr>
                <w:rFonts w:ascii="宋体" w:hAnsi="宋体" w:eastAsia="宋体" w:cs="宋体"/>
                <w:kern w:val="0"/>
                <w:sz w:val="20"/>
              </w:rPr>
            </w:pPr>
          </w:p>
        </w:tc>
        <w:tc>
          <w:tcPr>
            <w:tcW w:w="509"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可持续影响指标</w:t>
            </w:r>
          </w:p>
        </w:tc>
        <w:tc>
          <w:tcPr>
            <w:tcW w:w="1152" w:type="pct"/>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pPr>
            <w:r>
              <w:rPr>
                <w:rFonts w:hint="eastAsia" w:ascii="宋体" w:hAnsi="宋体" w:eastAsia="宋体" w:cs="宋体"/>
                <w:i w:val="0"/>
                <w:color w:val="000000"/>
                <w:kern w:val="0"/>
                <w:sz w:val="22"/>
                <w:szCs w:val="22"/>
                <w:u w:val="none"/>
                <w:lang w:val="en-US" w:eastAsia="zh-CN" w:bidi="ar"/>
              </w:rPr>
              <w:t>改造后房屋保证安全期限</w:t>
            </w:r>
          </w:p>
        </w:tc>
        <w:tc>
          <w:tcPr>
            <w:tcW w:w="1106" w:type="pc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≥3年</w:t>
            </w:r>
          </w:p>
        </w:tc>
        <w:tc>
          <w:tcPr>
            <w:tcW w:w="497" w:type="pct"/>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≥3年</w:t>
            </w:r>
          </w:p>
        </w:tc>
        <w:tc>
          <w:tcPr>
            <w:tcW w:w="549" w:type="pct"/>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kern w:val="0"/>
                <w:sz w:val="20"/>
              </w:rPr>
            </w:pPr>
          </w:p>
        </w:tc>
      </w:tr>
      <w:tr>
        <w:tblPrEx>
          <w:tblCellMar>
            <w:top w:w="0" w:type="dxa"/>
            <w:left w:w="108" w:type="dxa"/>
            <w:bottom w:w="0" w:type="dxa"/>
            <w:right w:w="108" w:type="dxa"/>
          </w:tblCellMar>
        </w:tblPrEx>
        <w:trPr>
          <w:trHeight w:val="259" w:hRule="atLeast"/>
        </w:trPr>
        <w:tc>
          <w:tcPr>
            <w:tcW w:w="423" w:type="pct"/>
            <w:vMerge w:val="continue"/>
            <w:tcBorders>
              <w:top w:val="nil"/>
              <w:left w:val="single" w:color="auto" w:sz="4" w:space="0"/>
              <w:bottom w:val="single" w:color="auto" w:sz="4" w:space="0"/>
              <w:right w:val="single" w:color="auto" w:sz="4" w:space="0"/>
            </w:tcBorders>
            <w:vAlign w:val="center"/>
          </w:tcPr>
          <w:p>
            <w:pPr>
              <w:jc w:val="center"/>
              <w:rPr>
                <w:rFonts w:ascii="宋体" w:hAnsi="宋体" w:eastAsia="宋体" w:cs="宋体"/>
                <w:color w:val="000000"/>
                <w:kern w:val="0"/>
                <w:sz w:val="20"/>
              </w:rPr>
            </w:pPr>
          </w:p>
        </w:tc>
        <w:tc>
          <w:tcPr>
            <w:tcW w:w="761" w:type="pct"/>
            <w:tcBorders>
              <w:top w:val="nil"/>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宋体" w:hAnsi="宋体" w:eastAsia="宋体" w:cs="宋体"/>
                <w:kern w:val="0"/>
                <w:sz w:val="20"/>
              </w:rPr>
            </w:pPr>
            <w:r>
              <w:rPr>
                <w:rFonts w:hint="eastAsia" w:ascii="宋体" w:hAnsi="宋体" w:eastAsia="宋体" w:cs="宋体"/>
                <w:i w:val="0"/>
                <w:color w:val="000000"/>
                <w:kern w:val="0"/>
                <w:sz w:val="22"/>
                <w:szCs w:val="22"/>
                <w:u w:val="none"/>
                <w:lang w:val="en-US" w:eastAsia="zh-CN" w:bidi="ar"/>
              </w:rPr>
              <w:t>满意度指标</w:t>
            </w:r>
          </w:p>
        </w:tc>
        <w:tc>
          <w:tcPr>
            <w:tcW w:w="509"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服务对象满意度指标</w:t>
            </w:r>
          </w:p>
        </w:tc>
        <w:tc>
          <w:tcPr>
            <w:tcW w:w="1152" w:type="pct"/>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pPr>
            <w:r>
              <w:rPr>
                <w:rFonts w:hint="eastAsia" w:ascii="宋体" w:hAnsi="宋体" w:eastAsia="宋体" w:cs="宋体"/>
                <w:i w:val="0"/>
                <w:color w:val="000000"/>
                <w:kern w:val="0"/>
                <w:sz w:val="22"/>
                <w:szCs w:val="22"/>
                <w:u w:val="none"/>
                <w:lang w:val="en-US" w:eastAsia="zh-CN" w:bidi="ar"/>
              </w:rPr>
              <w:t>受益建档立卡贫困人口满意度</w:t>
            </w:r>
          </w:p>
        </w:tc>
        <w:tc>
          <w:tcPr>
            <w:tcW w:w="1106" w:type="pct"/>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95%</w:t>
            </w:r>
          </w:p>
        </w:tc>
        <w:tc>
          <w:tcPr>
            <w:tcW w:w="497" w:type="pct"/>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95%</w:t>
            </w:r>
          </w:p>
        </w:tc>
        <w:tc>
          <w:tcPr>
            <w:tcW w:w="549" w:type="pct"/>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kern w:val="0"/>
                <w:sz w:val="20"/>
              </w:rPr>
            </w:pPr>
          </w:p>
        </w:tc>
      </w:tr>
      <w:tr>
        <w:tblPrEx>
          <w:tblCellMar>
            <w:top w:w="0" w:type="dxa"/>
            <w:left w:w="108" w:type="dxa"/>
            <w:bottom w:w="0" w:type="dxa"/>
            <w:right w:w="108" w:type="dxa"/>
          </w:tblCellMar>
        </w:tblPrEx>
        <w:trPr>
          <w:trHeight w:val="259" w:hRule="atLeast"/>
        </w:trPr>
        <w:tc>
          <w:tcPr>
            <w:tcW w:w="423" w:type="pct"/>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说明</w:t>
            </w:r>
          </w:p>
        </w:tc>
        <w:tc>
          <w:tcPr>
            <w:tcW w:w="4576" w:type="pct"/>
            <w:gridSpan w:val="8"/>
            <w:tcBorders>
              <w:top w:val="nil"/>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无</w:t>
            </w:r>
          </w:p>
        </w:tc>
      </w:tr>
      <w:tr>
        <w:tblPrEx>
          <w:tblCellMar>
            <w:top w:w="0" w:type="dxa"/>
            <w:left w:w="108" w:type="dxa"/>
            <w:bottom w:w="0" w:type="dxa"/>
            <w:right w:w="108" w:type="dxa"/>
          </w:tblCellMar>
        </w:tblPrEx>
        <w:trPr>
          <w:trHeight w:val="259" w:hRule="atLeast"/>
        </w:trPr>
        <w:tc>
          <w:tcPr>
            <w:tcW w:w="5000" w:type="pct"/>
            <w:gridSpan w:val="9"/>
            <w:tcBorders>
              <w:top w:val="single" w:color="auto" w:sz="4" w:space="0"/>
              <w:left w:val="nil"/>
              <w:bottom w:val="nil"/>
              <w:right w:val="nil"/>
            </w:tcBorders>
            <w:vAlign w:val="center"/>
          </w:tcPr>
          <w:p>
            <w:pPr>
              <w:keepNext w:val="0"/>
              <w:keepLines w:val="0"/>
              <w:widowControl/>
              <w:suppressLineNumbers w:val="0"/>
              <w:jc w:val="left"/>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注：1.其他资金包括和财政资金共同投入到同一项目的自有资金、社会资金，以及以前年度的结转结余资金等。</w:t>
            </w:r>
          </w:p>
        </w:tc>
      </w:tr>
      <w:tr>
        <w:tblPrEx>
          <w:tblCellMar>
            <w:top w:w="0" w:type="dxa"/>
            <w:left w:w="108" w:type="dxa"/>
            <w:bottom w:w="0" w:type="dxa"/>
            <w:right w:w="108" w:type="dxa"/>
          </w:tblCellMar>
        </w:tblPrEx>
        <w:trPr>
          <w:trHeight w:val="259" w:hRule="atLeast"/>
        </w:trPr>
        <w:tc>
          <w:tcPr>
            <w:tcW w:w="5000" w:type="pct"/>
            <w:gridSpan w:val="9"/>
            <w:tcBorders>
              <w:top w:val="nil"/>
              <w:left w:val="nil"/>
              <w:bottom w:val="nil"/>
              <w:right w:val="nil"/>
            </w:tcBorders>
            <w:vAlign w:val="center"/>
          </w:tcPr>
          <w:p>
            <w:pPr>
              <w:keepNext w:val="0"/>
              <w:keepLines w:val="0"/>
              <w:widowControl/>
              <w:suppressLineNumbers w:val="0"/>
              <w:jc w:val="left"/>
              <w:textAlignment w:val="center"/>
              <w:rPr>
                <w:rFonts w:ascii="宋体" w:hAnsi="宋体" w:eastAsia="宋体" w:cs="宋体"/>
                <w:color w:val="000000"/>
                <w:kern w:val="0"/>
                <w:sz w:val="20"/>
              </w:rPr>
            </w:pPr>
            <w:r>
              <w:rPr>
                <w:rFonts w:hint="eastAsia" w:ascii="宋体" w:hAnsi="宋体" w:eastAsia="宋体" w:cs="宋体"/>
                <w:i w:val="0"/>
                <w:color w:val="000000"/>
                <w:kern w:val="0"/>
                <w:sz w:val="22"/>
                <w:szCs w:val="22"/>
                <w:u w:val="none"/>
                <w:lang w:val="en-US" w:eastAsia="zh-CN" w:bidi="ar"/>
              </w:rPr>
              <w:t xml:space="preserve">    2.定量指标，资金使用单位填写本地区实际完成数。财政和主管部门汇总时，对绝对值直接累加计算，相对值按照资金额度加权平均计算。</w:t>
            </w:r>
          </w:p>
        </w:tc>
      </w:tr>
      <w:tr>
        <w:tblPrEx>
          <w:tblCellMar>
            <w:top w:w="0" w:type="dxa"/>
            <w:left w:w="108" w:type="dxa"/>
            <w:bottom w:w="0" w:type="dxa"/>
            <w:right w:w="108" w:type="dxa"/>
          </w:tblCellMar>
        </w:tblPrEx>
        <w:trPr>
          <w:trHeight w:val="540" w:hRule="atLeast"/>
        </w:trPr>
        <w:tc>
          <w:tcPr>
            <w:tcW w:w="5000" w:type="pct"/>
            <w:gridSpan w:val="9"/>
            <w:tcBorders>
              <w:top w:val="nil"/>
              <w:left w:val="nil"/>
              <w:bottom w:val="nil"/>
              <w:right w:val="nil"/>
            </w:tcBorders>
            <w:shd w:val="clear" w:color="auto" w:fill="auto"/>
            <w:vAlign w:val="bottom"/>
          </w:tcPr>
          <w:p>
            <w:pPr>
              <w:widowControl/>
              <w:jc w:val="left"/>
              <w:rPr>
                <w:rFonts w:ascii="宋体" w:hAnsi="宋体" w:eastAsia="宋体" w:cs="宋体"/>
                <w:color w:val="000000"/>
                <w:kern w:val="0"/>
                <w:sz w:val="18"/>
                <w:szCs w:val="18"/>
              </w:rPr>
            </w:pPr>
          </w:p>
        </w:tc>
      </w:tr>
      <w:tr>
        <w:tblPrEx>
          <w:tblCellMar>
            <w:top w:w="0" w:type="dxa"/>
            <w:left w:w="108" w:type="dxa"/>
            <w:bottom w:w="0" w:type="dxa"/>
            <w:right w:w="108" w:type="dxa"/>
          </w:tblCellMar>
        </w:tblPrEx>
        <w:trPr>
          <w:trHeight w:val="510" w:hRule="atLeast"/>
        </w:trPr>
        <w:tc>
          <w:tcPr>
            <w:tcW w:w="5000" w:type="pct"/>
            <w:gridSpan w:val="9"/>
            <w:tcBorders>
              <w:top w:val="nil"/>
              <w:left w:val="nil"/>
              <w:bottom w:val="nil"/>
              <w:right w:val="nil"/>
            </w:tcBorders>
            <w:shd w:val="clear" w:color="auto" w:fill="auto"/>
            <w:vAlign w:val="bottom"/>
          </w:tcPr>
          <w:p>
            <w:pPr>
              <w:widowControl/>
              <w:jc w:val="left"/>
              <w:rPr>
                <w:rFonts w:ascii="宋体" w:hAnsi="宋体" w:eastAsia="宋体" w:cs="宋体"/>
                <w:color w:val="000000"/>
                <w:kern w:val="0"/>
                <w:sz w:val="18"/>
                <w:szCs w:val="18"/>
              </w:rPr>
            </w:pPr>
          </w:p>
        </w:tc>
      </w:tr>
    </w:tbl>
    <w:p>
      <w:pPr>
        <w:widowControl/>
        <w:rPr>
          <w:rFonts w:ascii="仿宋_GB2312" w:hAnsi="仿宋_GB2312" w:eastAsia="仿宋_GB2312" w:cs="仿宋_GB2312"/>
          <w:color w:val="000000"/>
          <w:kern w:val="0"/>
          <w:sz w:val="31"/>
          <w:szCs w:val="31"/>
        </w:rPr>
      </w:pPr>
    </w:p>
    <w:p>
      <w:pPr>
        <w:widowControl/>
        <w:rPr>
          <w:rFonts w:ascii="仿宋_GB2312" w:hAnsi="仿宋_GB2312" w:eastAsia="仿宋_GB2312" w:cs="仿宋_GB2312"/>
          <w:color w:val="000000"/>
          <w:kern w:val="0"/>
          <w:sz w:val="31"/>
          <w:szCs w:val="31"/>
        </w:rPr>
      </w:pPr>
    </w:p>
    <w:p>
      <w:pPr>
        <w:widowControl/>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sectPr>
          <w:pgSz w:w="11906" w:h="16838"/>
          <w:pgMar w:top="1134" w:right="1077" w:bottom="1134" w:left="1077" w:header="851" w:footer="992" w:gutter="0"/>
          <w:cols w:space="425" w:num="1"/>
          <w:docGrid w:type="lines" w:linePitch="435" w:charSpace="0"/>
        </w:sectPr>
      </w:pPr>
    </w:p>
    <w:tbl>
      <w:tblPr>
        <w:tblStyle w:val="5"/>
        <w:tblW w:w="0" w:type="auto"/>
        <w:tblInd w:w="0" w:type="dxa"/>
        <w:tblLayout w:type="autofit"/>
        <w:tblCellMar>
          <w:top w:w="0" w:type="dxa"/>
          <w:left w:w="108" w:type="dxa"/>
          <w:bottom w:w="0" w:type="dxa"/>
          <w:right w:w="108" w:type="dxa"/>
        </w:tblCellMar>
      </w:tblPr>
      <w:tblGrid>
        <w:gridCol w:w="651"/>
        <w:gridCol w:w="708"/>
        <w:gridCol w:w="761"/>
        <w:gridCol w:w="418"/>
        <w:gridCol w:w="2896"/>
        <w:gridCol w:w="2985"/>
        <w:gridCol w:w="2233"/>
        <w:gridCol w:w="878"/>
        <w:gridCol w:w="878"/>
        <w:gridCol w:w="418"/>
        <w:gridCol w:w="843"/>
        <w:gridCol w:w="1117"/>
      </w:tblGrid>
      <w:tr>
        <w:tblPrEx>
          <w:tblCellMar>
            <w:top w:w="0" w:type="dxa"/>
            <w:left w:w="108" w:type="dxa"/>
            <w:bottom w:w="0" w:type="dxa"/>
            <w:right w:w="108" w:type="dxa"/>
          </w:tblCellMar>
        </w:tblPrEx>
        <w:trPr>
          <w:trHeight w:val="885" w:hRule="atLeast"/>
        </w:trPr>
        <w:tc>
          <w:tcPr>
            <w:tcW w:w="0" w:type="auto"/>
            <w:gridSpan w:val="12"/>
            <w:tcBorders>
              <w:top w:val="nil"/>
              <w:left w:val="nil"/>
              <w:bottom w:val="nil"/>
              <w:right w:val="nil"/>
            </w:tcBorders>
            <w:shd w:val="clear" w:color="auto" w:fill="auto"/>
            <w:vAlign w:val="center"/>
          </w:tcPr>
          <w:p>
            <w:pPr>
              <w:widowControl/>
              <w:jc w:val="center"/>
              <w:rPr>
                <w:rFonts w:ascii="黑体" w:hAnsi="黑体" w:eastAsia="黑体" w:cs="宋体"/>
                <w:kern w:val="0"/>
                <w:sz w:val="18"/>
                <w:szCs w:val="40"/>
              </w:rPr>
            </w:pPr>
            <w:r>
              <w:rPr>
                <w:rFonts w:hint="eastAsia" w:ascii="黑体" w:hAnsi="黑体" w:eastAsia="黑体" w:cs="宋体"/>
                <w:kern w:val="0"/>
                <w:sz w:val="18"/>
                <w:szCs w:val="40"/>
              </w:rPr>
              <w:t>部门整体支出绩效自评表</w:t>
            </w:r>
            <w:r>
              <w:rPr>
                <w:rFonts w:hint="eastAsia" w:ascii="黑体" w:hAnsi="黑体" w:eastAsia="黑体" w:cs="宋体"/>
                <w:kern w:val="0"/>
                <w:sz w:val="18"/>
                <w:szCs w:val="40"/>
              </w:rPr>
              <w:br w:type="textWrapping"/>
            </w:r>
            <w:r>
              <w:rPr>
                <w:rFonts w:hint="eastAsia" w:ascii="黑体" w:hAnsi="黑体" w:eastAsia="黑体" w:cs="宋体"/>
                <w:kern w:val="0"/>
                <w:sz w:val="18"/>
              </w:rPr>
              <w:t>（2019年度）</w:t>
            </w:r>
          </w:p>
        </w:tc>
      </w:tr>
      <w:tr>
        <w:tblPrEx>
          <w:tblCellMar>
            <w:top w:w="0" w:type="dxa"/>
            <w:left w:w="108" w:type="dxa"/>
            <w:bottom w:w="0" w:type="dxa"/>
            <w:right w:w="108" w:type="dxa"/>
          </w:tblCellMar>
        </w:tblPrEx>
        <w:trPr>
          <w:trHeight w:val="450" w:hRule="atLeast"/>
        </w:trPr>
        <w:tc>
          <w:tcPr>
            <w:tcW w:w="0" w:type="auto"/>
            <w:gridSpan w:val="5"/>
            <w:tcBorders>
              <w:top w:val="nil"/>
              <w:left w:val="nil"/>
              <w:bottom w:val="nil"/>
              <w:right w:val="nil"/>
            </w:tcBorders>
            <w:shd w:val="clear" w:color="auto" w:fill="auto"/>
            <w:vAlign w:val="center"/>
          </w:tcPr>
          <w:p>
            <w:pPr>
              <w:widowControl/>
              <w:jc w:val="left"/>
              <w:rPr>
                <w:rFonts w:ascii="仿宋_GB2312" w:hAnsi="宋体" w:eastAsia="仿宋_GB2312" w:cs="宋体"/>
                <w:kern w:val="0"/>
                <w:sz w:val="18"/>
                <w:szCs w:val="24"/>
              </w:rPr>
            </w:pPr>
            <w:r>
              <w:rPr>
                <w:rFonts w:hint="eastAsia" w:ascii="仿宋_GB2312" w:hAnsi="宋体" w:eastAsia="仿宋_GB2312" w:cs="宋体"/>
                <w:kern w:val="0"/>
                <w:sz w:val="18"/>
                <w:szCs w:val="24"/>
              </w:rPr>
              <w:t>填报单位:蓝田县住房和城乡建设局</w:t>
            </w:r>
          </w:p>
        </w:tc>
        <w:tc>
          <w:tcPr>
            <w:tcW w:w="0" w:type="auto"/>
            <w:tcBorders>
              <w:top w:val="nil"/>
              <w:left w:val="nil"/>
              <w:bottom w:val="nil"/>
              <w:right w:val="nil"/>
            </w:tcBorders>
            <w:shd w:val="clear" w:color="auto" w:fill="auto"/>
            <w:vAlign w:val="center"/>
          </w:tcPr>
          <w:p>
            <w:pPr>
              <w:widowControl/>
              <w:jc w:val="center"/>
              <w:rPr>
                <w:rFonts w:ascii="仿宋_GB2312" w:hAnsi="宋体" w:eastAsia="仿宋_GB2312" w:cs="宋体"/>
                <w:kern w:val="0"/>
                <w:sz w:val="18"/>
                <w:szCs w:val="24"/>
              </w:rPr>
            </w:pPr>
            <w:r>
              <w:rPr>
                <w:rFonts w:hint="eastAsia" w:ascii="仿宋_GB2312" w:hAnsi="宋体" w:eastAsia="仿宋_GB2312" w:cs="宋体"/>
                <w:kern w:val="0"/>
                <w:sz w:val="18"/>
                <w:szCs w:val="24"/>
              </w:rPr>
              <w:t>自评得分：95</w:t>
            </w:r>
          </w:p>
        </w:tc>
        <w:tc>
          <w:tcPr>
            <w:tcW w:w="0" w:type="auto"/>
            <w:tcBorders>
              <w:top w:val="nil"/>
              <w:left w:val="nil"/>
              <w:bottom w:val="nil"/>
              <w:right w:val="nil"/>
            </w:tcBorders>
            <w:shd w:val="clear" w:color="auto" w:fill="auto"/>
            <w:vAlign w:val="center"/>
          </w:tcPr>
          <w:p>
            <w:pPr>
              <w:widowControl/>
              <w:jc w:val="center"/>
              <w:rPr>
                <w:rFonts w:ascii="仿宋_GB2312" w:hAnsi="宋体" w:eastAsia="仿宋_GB2312" w:cs="宋体"/>
                <w:kern w:val="0"/>
                <w:sz w:val="18"/>
                <w:szCs w:val="24"/>
              </w:rPr>
            </w:pPr>
          </w:p>
        </w:tc>
        <w:tc>
          <w:tcPr>
            <w:tcW w:w="0" w:type="auto"/>
            <w:tcBorders>
              <w:top w:val="nil"/>
              <w:left w:val="nil"/>
              <w:bottom w:val="nil"/>
              <w:right w:val="nil"/>
            </w:tcBorders>
            <w:shd w:val="clear" w:color="auto" w:fill="auto"/>
            <w:vAlign w:val="center"/>
          </w:tcPr>
          <w:p>
            <w:pPr>
              <w:widowControl/>
              <w:jc w:val="center"/>
              <w:rPr>
                <w:rFonts w:ascii="仿宋_GB2312" w:hAnsi="宋体" w:eastAsia="仿宋_GB2312" w:cs="宋体"/>
                <w:kern w:val="0"/>
                <w:sz w:val="18"/>
                <w:szCs w:val="24"/>
              </w:rPr>
            </w:pPr>
          </w:p>
        </w:tc>
        <w:tc>
          <w:tcPr>
            <w:tcW w:w="0" w:type="auto"/>
            <w:tcBorders>
              <w:top w:val="nil"/>
              <w:left w:val="nil"/>
              <w:bottom w:val="nil"/>
              <w:right w:val="nil"/>
            </w:tcBorders>
            <w:shd w:val="clear" w:color="auto" w:fill="auto"/>
            <w:vAlign w:val="center"/>
          </w:tcPr>
          <w:p>
            <w:pPr>
              <w:widowControl/>
              <w:jc w:val="center"/>
              <w:rPr>
                <w:rFonts w:ascii="仿宋_GB2312" w:hAnsi="宋体" w:eastAsia="仿宋_GB2312" w:cs="宋体"/>
                <w:kern w:val="0"/>
                <w:sz w:val="18"/>
                <w:szCs w:val="24"/>
              </w:rPr>
            </w:pPr>
          </w:p>
        </w:tc>
        <w:tc>
          <w:tcPr>
            <w:tcW w:w="0" w:type="auto"/>
            <w:tcBorders>
              <w:top w:val="nil"/>
              <w:left w:val="nil"/>
              <w:bottom w:val="nil"/>
              <w:right w:val="nil"/>
            </w:tcBorders>
            <w:shd w:val="clear" w:color="auto" w:fill="auto"/>
            <w:vAlign w:val="center"/>
          </w:tcPr>
          <w:p>
            <w:pPr>
              <w:widowControl/>
              <w:jc w:val="center"/>
              <w:rPr>
                <w:rFonts w:ascii="仿宋_GB2312" w:hAnsi="宋体" w:eastAsia="仿宋_GB2312" w:cs="宋体"/>
                <w:kern w:val="0"/>
                <w:sz w:val="18"/>
                <w:szCs w:val="24"/>
              </w:rPr>
            </w:pPr>
          </w:p>
        </w:tc>
        <w:tc>
          <w:tcPr>
            <w:tcW w:w="0" w:type="auto"/>
            <w:tcBorders>
              <w:top w:val="nil"/>
              <w:left w:val="nil"/>
              <w:bottom w:val="nil"/>
              <w:right w:val="nil"/>
            </w:tcBorders>
            <w:shd w:val="clear" w:color="auto" w:fill="auto"/>
            <w:noWrap/>
            <w:vAlign w:val="center"/>
          </w:tcPr>
          <w:p>
            <w:pPr>
              <w:widowControl/>
              <w:jc w:val="left"/>
              <w:rPr>
                <w:rFonts w:ascii="宋体" w:hAnsi="宋体" w:eastAsia="宋体" w:cs="宋体"/>
                <w:kern w:val="0"/>
                <w:sz w:val="18"/>
                <w:szCs w:val="24"/>
              </w:rPr>
            </w:pPr>
          </w:p>
        </w:tc>
        <w:tc>
          <w:tcPr>
            <w:tcW w:w="0" w:type="auto"/>
            <w:tcBorders>
              <w:top w:val="nil"/>
              <w:left w:val="nil"/>
              <w:bottom w:val="nil"/>
              <w:right w:val="nil"/>
            </w:tcBorders>
            <w:shd w:val="clear" w:color="auto" w:fill="auto"/>
            <w:noWrap/>
            <w:vAlign w:val="center"/>
          </w:tcPr>
          <w:p>
            <w:pPr>
              <w:widowControl/>
              <w:jc w:val="left"/>
              <w:rPr>
                <w:rFonts w:ascii="宋体" w:hAnsi="宋体" w:eastAsia="宋体" w:cs="宋体"/>
                <w:kern w:val="0"/>
                <w:sz w:val="18"/>
                <w:szCs w:val="24"/>
              </w:rPr>
            </w:pPr>
            <w:r>
              <w:rPr>
                <w:rFonts w:hint="eastAsia" w:ascii="宋体" w:hAnsi="宋体" w:eastAsia="宋体" w:cs="宋体"/>
                <w:kern w:val="0"/>
                <w:sz w:val="18"/>
                <w:szCs w:val="24"/>
              </w:rPr>
              <w:t>单位：万元</w:t>
            </w:r>
          </w:p>
        </w:tc>
      </w:tr>
      <w:tr>
        <w:tblPrEx>
          <w:tblCellMar>
            <w:top w:w="0" w:type="dxa"/>
            <w:left w:w="108" w:type="dxa"/>
            <w:bottom w:w="0" w:type="dxa"/>
            <w:right w:w="108" w:type="dxa"/>
          </w:tblCellMar>
        </w:tblPrEx>
        <w:trPr>
          <w:trHeight w:val="450" w:hRule="atLeast"/>
        </w:trPr>
        <w:tc>
          <w:tcPr>
            <w:tcW w:w="0" w:type="auto"/>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18"/>
              </w:rPr>
            </w:pPr>
            <w:r>
              <w:rPr>
                <w:rFonts w:hint="eastAsia" w:ascii="仿宋_GB2312" w:hAnsi="宋体" w:eastAsia="仿宋_GB2312" w:cs="宋体"/>
                <w:kern w:val="0"/>
                <w:sz w:val="18"/>
              </w:rPr>
              <w:t>（一）简要概述部门职能与职责。</w:t>
            </w:r>
          </w:p>
        </w:tc>
        <w:tc>
          <w:tcPr>
            <w:tcW w:w="0" w:type="auto"/>
            <w:gridSpan w:val="7"/>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rPr>
            </w:pPr>
            <w:r>
              <w:rPr>
                <w:rFonts w:hint="eastAsia" w:ascii="仿宋_GB2312" w:hAnsi="宋体" w:eastAsia="仿宋_GB2312" w:cs="宋体"/>
                <w:kern w:val="0"/>
                <w:sz w:val="18"/>
              </w:rPr>
              <w:t>　住房安全保障、房屋质量安全监管、物业管理、燃气安全</w:t>
            </w:r>
          </w:p>
        </w:tc>
      </w:tr>
      <w:tr>
        <w:tblPrEx>
          <w:tblCellMar>
            <w:top w:w="0" w:type="dxa"/>
            <w:left w:w="108" w:type="dxa"/>
            <w:bottom w:w="0" w:type="dxa"/>
            <w:right w:w="108" w:type="dxa"/>
          </w:tblCellMar>
        </w:tblPrEx>
        <w:trPr>
          <w:trHeight w:val="450" w:hRule="atLeast"/>
        </w:trPr>
        <w:tc>
          <w:tcPr>
            <w:tcW w:w="0" w:type="auto"/>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18"/>
              </w:rPr>
            </w:pPr>
            <w:r>
              <w:rPr>
                <w:rFonts w:hint="eastAsia" w:ascii="仿宋_GB2312" w:hAnsi="宋体" w:eastAsia="仿宋_GB2312" w:cs="宋体"/>
                <w:kern w:val="0"/>
                <w:sz w:val="18"/>
              </w:rPr>
              <w:t>（二）简要概述部门支出情况，按活动内容分类。</w:t>
            </w:r>
          </w:p>
        </w:tc>
        <w:tc>
          <w:tcPr>
            <w:tcW w:w="0" w:type="auto"/>
            <w:gridSpan w:val="7"/>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rPr>
            </w:pPr>
            <w:r>
              <w:rPr>
                <w:rFonts w:hint="eastAsia" w:ascii="仿宋_GB2312" w:hAnsi="宋体" w:eastAsia="仿宋_GB2312" w:cs="宋体"/>
                <w:kern w:val="0"/>
                <w:sz w:val="18"/>
              </w:rPr>
              <w:t>一般公共服务支出、城乡社区支出、住房保障支出　</w:t>
            </w:r>
          </w:p>
        </w:tc>
      </w:tr>
      <w:tr>
        <w:tblPrEx>
          <w:tblCellMar>
            <w:top w:w="0" w:type="dxa"/>
            <w:left w:w="108" w:type="dxa"/>
            <w:bottom w:w="0" w:type="dxa"/>
            <w:right w:w="108" w:type="dxa"/>
          </w:tblCellMar>
        </w:tblPrEx>
        <w:trPr>
          <w:trHeight w:val="450" w:hRule="atLeast"/>
        </w:trPr>
        <w:tc>
          <w:tcPr>
            <w:tcW w:w="0" w:type="auto"/>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18"/>
              </w:rPr>
            </w:pPr>
            <w:r>
              <w:rPr>
                <w:rFonts w:hint="eastAsia" w:ascii="仿宋_GB2312" w:hAnsi="宋体" w:eastAsia="仿宋_GB2312" w:cs="宋体"/>
                <w:kern w:val="0"/>
                <w:sz w:val="18"/>
              </w:rPr>
              <w:t>（三）简要概述当年市委市政府下达的重点工作。</w:t>
            </w:r>
          </w:p>
        </w:tc>
        <w:tc>
          <w:tcPr>
            <w:tcW w:w="0" w:type="auto"/>
            <w:gridSpan w:val="7"/>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rPr>
            </w:pPr>
            <w:r>
              <w:rPr>
                <w:rFonts w:hint="eastAsia" w:ascii="仿宋_GB2312" w:hAnsi="宋体" w:eastAsia="仿宋_GB2312" w:cs="宋体"/>
                <w:kern w:val="0"/>
                <w:sz w:val="18"/>
              </w:rPr>
              <w:t>扶贫及危房改造项目　</w:t>
            </w:r>
          </w:p>
        </w:tc>
      </w:tr>
      <w:tr>
        <w:tblPrEx>
          <w:tblCellMar>
            <w:top w:w="0" w:type="dxa"/>
            <w:left w:w="108" w:type="dxa"/>
            <w:bottom w:w="0" w:type="dxa"/>
            <w:right w:w="108" w:type="dxa"/>
          </w:tblCellMar>
        </w:tblPrEx>
        <w:trPr>
          <w:trHeight w:val="795"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楷体_GB2312" w:hAnsi="宋体" w:eastAsia="楷体_GB2312" w:cs="宋体"/>
                <w:b/>
                <w:bCs/>
                <w:kern w:val="0"/>
                <w:sz w:val="18"/>
              </w:rPr>
            </w:pPr>
            <w:r>
              <w:rPr>
                <w:rFonts w:hint="eastAsia" w:ascii="楷体_GB2312" w:hAnsi="宋体" w:eastAsia="楷体_GB2312" w:cs="宋体"/>
                <w:b/>
                <w:bCs/>
                <w:kern w:val="0"/>
                <w:sz w:val="18"/>
              </w:rPr>
              <w:t>一级</w:t>
            </w:r>
            <w:r>
              <w:rPr>
                <w:rFonts w:hint="eastAsia" w:ascii="楷体_GB2312" w:hAnsi="宋体" w:eastAsia="楷体_GB2312" w:cs="宋体"/>
                <w:b/>
                <w:bCs/>
                <w:kern w:val="0"/>
                <w:sz w:val="18"/>
              </w:rPr>
              <w:br w:type="textWrapping"/>
            </w:r>
            <w:r>
              <w:rPr>
                <w:rFonts w:hint="eastAsia" w:ascii="楷体_GB2312" w:hAnsi="宋体" w:eastAsia="楷体_GB2312" w:cs="宋体"/>
                <w:b/>
                <w:bCs/>
                <w:kern w:val="0"/>
                <w:sz w:val="18"/>
              </w:rPr>
              <w:t>指标</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楷体_GB2312" w:hAnsi="宋体" w:eastAsia="楷体_GB2312" w:cs="宋体"/>
                <w:b/>
                <w:bCs/>
                <w:kern w:val="0"/>
                <w:sz w:val="18"/>
              </w:rPr>
            </w:pPr>
            <w:r>
              <w:rPr>
                <w:rFonts w:hint="eastAsia" w:ascii="楷体_GB2312" w:hAnsi="宋体" w:eastAsia="楷体_GB2312" w:cs="宋体"/>
                <w:b/>
                <w:bCs/>
                <w:kern w:val="0"/>
                <w:sz w:val="18"/>
              </w:rPr>
              <w:t>二级</w:t>
            </w:r>
            <w:r>
              <w:rPr>
                <w:rFonts w:hint="eastAsia" w:ascii="楷体_GB2312" w:hAnsi="宋体" w:eastAsia="楷体_GB2312" w:cs="宋体"/>
                <w:b/>
                <w:bCs/>
                <w:kern w:val="0"/>
                <w:sz w:val="18"/>
              </w:rPr>
              <w:br w:type="textWrapping"/>
            </w:r>
            <w:r>
              <w:rPr>
                <w:rFonts w:hint="eastAsia" w:ascii="楷体_GB2312" w:hAnsi="宋体" w:eastAsia="楷体_GB2312" w:cs="宋体"/>
                <w:b/>
                <w:bCs/>
                <w:kern w:val="0"/>
                <w:sz w:val="18"/>
              </w:rPr>
              <w:t>指标</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楷体_GB2312" w:hAnsi="宋体" w:eastAsia="楷体_GB2312" w:cs="宋体"/>
                <w:b/>
                <w:bCs/>
                <w:kern w:val="0"/>
                <w:sz w:val="18"/>
              </w:rPr>
            </w:pPr>
            <w:r>
              <w:rPr>
                <w:rFonts w:hint="eastAsia" w:ascii="楷体_GB2312" w:hAnsi="宋体" w:eastAsia="楷体_GB2312" w:cs="宋体"/>
                <w:b/>
                <w:bCs/>
                <w:kern w:val="0"/>
                <w:sz w:val="18"/>
              </w:rPr>
              <w:t>三级指标</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楷体_GB2312" w:hAnsi="宋体" w:eastAsia="楷体_GB2312" w:cs="宋体"/>
                <w:b/>
                <w:bCs/>
                <w:kern w:val="0"/>
                <w:sz w:val="18"/>
              </w:rPr>
            </w:pPr>
            <w:r>
              <w:rPr>
                <w:rFonts w:hint="eastAsia" w:ascii="楷体_GB2312" w:hAnsi="宋体" w:eastAsia="楷体_GB2312" w:cs="宋体"/>
                <w:b/>
                <w:bCs/>
                <w:kern w:val="0"/>
                <w:sz w:val="18"/>
              </w:rPr>
              <w:t>分值</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楷体_GB2312" w:hAnsi="宋体" w:eastAsia="楷体_GB2312" w:cs="宋体"/>
                <w:b/>
                <w:bCs/>
                <w:kern w:val="0"/>
                <w:sz w:val="18"/>
              </w:rPr>
            </w:pPr>
            <w:r>
              <w:rPr>
                <w:rFonts w:hint="eastAsia" w:ascii="楷体_GB2312" w:hAnsi="宋体" w:eastAsia="楷体_GB2312" w:cs="宋体"/>
                <w:b/>
                <w:bCs/>
                <w:kern w:val="0"/>
                <w:sz w:val="18"/>
              </w:rPr>
              <w:t>指标说明</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楷体_GB2312" w:hAnsi="宋体" w:eastAsia="楷体_GB2312" w:cs="宋体"/>
                <w:b/>
                <w:bCs/>
                <w:kern w:val="0"/>
                <w:sz w:val="18"/>
              </w:rPr>
            </w:pPr>
            <w:r>
              <w:rPr>
                <w:rFonts w:hint="eastAsia" w:ascii="楷体_GB2312" w:hAnsi="宋体" w:eastAsia="楷体_GB2312" w:cs="宋体"/>
                <w:b/>
                <w:bCs/>
                <w:kern w:val="0"/>
                <w:sz w:val="18"/>
              </w:rPr>
              <w:t>评分标准</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楷体_GB2312" w:hAnsi="宋体" w:eastAsia="楷体_GB2312" w:cs="宋体"/>
                <w:b/>
                <w:bCs/>
                <w:kern w:val="0"/>
                <w:sz w:val="18"/>
              </w:rPr>
            </w:pPr>
            <w:r>
              <w:rPr>
                <w:rFonts w:hint="eastAsia" w:ascii="楷体_GB2312" w:hAnsi="宋体" w:eastAsia="楷体_GB2312" w:cs="宋体"/>
                <w:b/>
                <w:bCs/>
                <w:kern w:val="0"/>
                <w:sz w:val="18"/>
              </w:rPr>
              <w:t>指标值计算公式和数据获取方式</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楷体_GB2312" w:hAnsi="宋体" w:eastAsia="楷体_GB2312" w:cs="宋体"/>
                <w:b/>
                <w:bCs/>
                <w:kern w:val="0"/>
                <w:sz w:val="18"/>
              </w:rPr>
            </w:pPr>
            <w:r>
              <w:rPr>
                <w:rFonts w:hint="eastAsia" w:ascii="楷体_GB2312" w:hAnsi="宋体" w:eastAsia="楷体_GB2312" w:cs="宋体"/>
                <w:b/>
                <w:bCs/>
                <w:kern w:val="0"/>
                <w:sz w:val="18"/>
              </w:rPr>
              <w:t>年初目标值</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楷体_GB2312" w:hAnsi="宋体" w:eastAsia="楷体_GB2312" w:cs="宋体"/>
                <w:b/>
                <w:bCs/>
                <w:kern w:val="0"/>
                <w:sz w:val="18"/>
              </w:rPr>
            </w:pPr>
            <w:r>
              <w:rPr>
                <w:rFonts w:hint="eastAsia" w:ascii="楷体_GB2312" w:hAnsi="宋体" w:eastAsia="楷体_GB2312" w:cs="宋体"/>
                <w:b/>
                <w:bCs/>
                <w:kern w:val="0"/>
                <w:sz w:val="18"/>
              </w:rPr>
              <w:t>实际完成值</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楷体_GB2312" w:hAnsi="宋体" w:eastAsia="楷体_GB2312" w:cs="宋体"/>
                <w:b/>
                <w:bCs/>
                <w:kern w:val="0"/>
                <w:sz w:val="18"/>
              </w:rPr>
            </w:pPr>
            <w:r>
              <w:rPr>
                <w:rFonts w:hint="eastAsia" w:ascii="楷体_GB2312" w:hAnsi="宋体" w:eastAsia="楷体_GB2312" w:cs="宋体"/>
                <w:b/>
                <w:bCs/>
                <w:kern w:val="0"/>
                <w:sz w:val="18"/>
              </w:rPr>
              <w:t>得分</w:t>
            </w:r>
          </w:p>
        </w:tc>
        <w:tc>
          <w:tcPr>
            <w:tcW w:w="84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kern w:val="0"/>
                <w:sz w:val="18"/>
              </w:rPr>
            </w:pPr>
            <w:r>
              <w:rPr>
                <w:rFonts w:hint="eastAsia" w:ascii="仿宋_GB2312" w:hAnsi="宋体" w:eastAsia="仿宋_GB2312" w:cs="宋体"/>
                <w:b/>
                <w:bCs/>
                <w:kern w:val="0"/>
                <w:sz w:val="18"/>
              </w:rPr>
              <w:t>未完成原因分析与改进措施</w:t>
            </w:r>
          </w:p>
        </w:tc>
        <w:tc>
          <w:tcPr>
            <w:tcW w:w="111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kern w:val="0"/>
                <w:sz w:val="18"/>
              </w:rPr>
            </w:pPr>
            <w:r>
              <w:rPr>
                <w:rFonts w:hint="eastAsia" w:ascii="仿宋_GB2312" w:hAnsi="宋体" w:eastAsia="仿宋_GB2312" w:cs="宋体"/>
                <w:b/>
                <w:bCs/>
                <w:kern w:val="0"/>
                <w:sz w:val="18"/>
              </w:rPr>
              <w:t>绩效指标分析与建议</w:t>
            </w:r>
          </w:p>
        </w:tc>
      </w:tr>
      <w:tr>
        <w:tblPrEx>
          <w:tblCellMar>
            <w:top w:w="0" w:type="dxa"/>
            <w:left w:w="108" w:type="dxa"/>
            <w:bottom w:w="0" w:type="dxa"/>
            <w:right w:w="108" w:type="dxa"/>
          </w:tblCellMar>
        </w:tblPrEx>
        <w:trPr>
          <w:trHeight w:val="2760" w:hRule="atLeast"/>
        </w:trPr>
        <w:tc>
          <w:tcPr>
            <w:tcW w:w="0" w:type="auto"/>
            <w:vMerge w:val="restart"/>
            <w:tcBorders>
              <w:top w:val="nil"/>
              <w:left w:val="single" w:color="auto" w:sz="4" w:space="0"/>
              <w:bottom w:val="single" w:color="auto" w:sz="4" w:space="0"/>
              <w:right w:val="single" w:color="auto" w:sz="4" w:space="0"/>
            </w:tcBorders>
            <w:shd w:val="clear" w:color="auto" w:fill="auto"/>
            <w:noWrap/>
            <w:textDirection w:val="tbRlV"/>
            <w:vAlign w:val="center"/>
          </w:tcPr>
          <w:p>
            <w:pPr>
              <w:widowControl/>
              <w:jc w:val="center"/>
              <w:rPr>
                <w:rFonts w:ascii="楷体_GB2312" w:hAnsi="宋体" w:eastAsia="楷体_GB2312" w:cs="宋体"/>
                <w:kern w:val="0"/>
                <w:sz w:val="18"/>
              </w:rPr>
            </w:pPr>
            <w:r>
              <w:rPr>
                <w:rFonts w:hint="eastAsia" w:ascii="楷体_GB2312" w:hAnsi="宋体" w:eastAsia="楷体_GB2312" w:cs="宋体"/>
                <w:kern w:val="0"/>
                <w:sz w:val="18"/>
              </w:rPr>
              <w:t>投入</w:t>
            </w:r>
          </w:p>
        </w:tc>
        <w:tc>
          <w:tcPr>
            <w:tcW w:w="0" w:type="auto"/>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楷体_GB2312" w:hAnsi="宋体" w:eastAsia="楷体_GB2312" w:cs="宋体"/>
                <w:kern w:val="0"/>
                <w:sz w:val="18"/>
              </w:rPr>
            </w:pPr>
            <w:r>
              <w:rPr>
                <w:rFonts w:hint="eastAsia" w:ascii="楷体_GB2312" w:hAnsi="宋体" w:eastAsia="楷体_GB2312" w:cs="宋体"/>
                <w:kern w:val="0"/>
                <w:sz w:val="18"/>
              </w:rPr>
              <w:t>预算执行（25分）</w:t>
            </w:r>
          </w:p>
        </w:tc>
        <w:tc>
          <w:tcPr>
            <w:tcW w:w="0" w:type="auto"/>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kern w:val="0"/>
                <w:sz w:val="18"/>
              </w:rPr>
            </w:pPr>
            <w:r>
              <w:rPr>
                <w:rFonts w:hint="eastAsia" w:ascii="楷体_GB2312" w:hAnsi="宋体" w:eastAsia="楷体_GB2312" w:cs="宋体"/>
                <w:kern w:val="0"/>
                <w:sz w:val="18"/>
              </w:rPr>
              <w:t>预算</w:t>
            </w:r>
            <w:r>
              <w:rPr>
                <w:rFonts w:hint="eastAsia" w:ascii="楷体_GB2312" w:hAnsi="宋体" w:eastAsia="楷体_GB2312" w:cs="宋体"/>
                <w:kern w:val="0"/>
                <w:sz w:val="18"/>
              </w:rPr>
              <w:br w:type="textWrapping"/>
            </w:r>
            <w:r>
              <w:rPr>
                <w:rFonts w:hint="eastAsia" w:ascii="楷体_GB2312" w:hAnsi="宋体" w:eastAsia="楷体_GB2312" w:cs="宋体"/>
                <w:kern w:val="0"/>
                <w:sz w:val="18"/>
              </w:rPr>
              <w:t>完成率</w:t>
            </w:r>
            <w:r>
              <w:rPr>
                <w:rFonts w:hint="eastAsia" w:ascii="楷体_GB2312" w:hAnsi="宋体" w:eastAsia="楷体_GB2312" w:cs="宋体"/>
                <w:kern w:val="0"/>
                <w:sz w:val="18"/>
              </w:rPr>
              <w:br w:type="textWrapping"/>
            </w:r>
            <w:r>
              <w:rPr>
                <w:rFonts w:hint="eastAsia" w:ascii="楷体_GB2312" w:hAnsi="宋体" w:eastAsia="楷体_GB2312" w:cs="宋体"/>
                <w:kern w:val="0"/>
                <w:sz w:val="18"/>
              </w:rPr>
              <w:t>（10分）</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楷体_GB2312" w:hAnsi="宋体" w:eastAsia="楷体_GB2312" w:cs="宋体"/>
                <w:kern w:val="0"/>
                <w:sz w:val="18"/>
              </w:rPr>
            </w:pPr>
            <w:r>
              <w:rPr>
                <w:rFonts w:hint="eastAsia" w:ascii="楷体_GB2312" w:hAnsi="宋体" w:eastAsia="楷体_GB2312" w:cs="宋体"/>
                <w:kern w:val="0"/>
                <w:sz w:val="18"/>
              </w:rPr>
              <w:t>10</w:t>
            </w:r>
          </w:p>
        </w:tc>
        <w:tc>
          <w:tcPr>
            <w:tcW w:w="0" w:type="auto"/>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kern w:val="0"/>
                <w:sz w:val="18"/>
              </w:rPr>
            </w:pPr>
            <w:r>
              <w:rPr>
                <w:rFonts w:hint="eastAsia" w:ascii="楷体_GB2312" w:hAnsi="宋体" w:eastAsia="楷体_GB2312" w:cs="宋体"/>
                <w:kern w:val="0"/>
                <w:sz w:val="18"/>
              </w:rPr>
              <w:t>预算完成率=（预算完成数/预算数）×100%，用以反映和考核部门（单位）预算完成程度。</w:t>
            </w:r>
            <w:r>
              <w:rPr>
                <w:rFonts w:hint="eastAsia" w:ascii="楷体_GB2312" w:hAnsi="宋体" w:eastAsia="楷体_GB2312" w:cs="宋体"/>
                <w:kern w:val="0"/>
                <w:sz w:val="18"/>
              </w:rPr>
              <w:br w:type="textWrapping"/>
            </w:r>
            <w:r>
              <w:rPr>
                <w:rFonts w:hint="eastAsia" w:ascii="楷体_GB2312" w:hAnsi="宋体" w:eastAsia="楷体_GB2312" w:cs="宋体"/>
                <w:kern w:val="0"/>
                <w:sz w:val="18"/>
              </w:rPr>
              <w:t>预算完成数：部门（单位）本年度实际完成的预算数。</w:t>
            </w:r>
            <w:r>
              <w:rPr>
                <w:rFonts w:hint="eastAsia" w:ascii="楷体_GB2312" w:hAnsi="宋体" w:eastAsia="楷体_GB2312" w:cs="宋体"/>
                <w:kern w:val="0"/>
                <w:sz w:val="18"/>
              </w:rPr>
              <w:br w:type="textWrapping"/>
            </w:r>
            <w:r>
              <w:rPr>
                <w:rFonts w:hint="eastAsia" w:ascii="楷体_GB2312" w:hAnsi="宋体" w:eastAsia="楷体_GB2312" w:cs="宋体"/>
                <w:kern w:val="0"/>
                <w:sz w:val="18"/>
              </w:rPr>
              <w:t>预算数：财政部门批复的本年度部门（单位）预算数。</w:t>
            </w:r>
          </w:p>
        </w:tc>
        <w:tc>
          <w:tcPr>
            <w:tcW w:w="0" w:type="auto"/>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kern w:val="0"/>
                <w:sz w:val="18"/>
              </w:rPr>
            </w:pPr>
            <w:r>
              <w:rPr>
                <w:rFonts w:hint="eastAsia" w:ascii="楷体_GB2312" w:hAnsi="宋体" w:eastAsia="楷体_GB2312" w:cs="宋体"/>
                <w:kern w:val="0"/>
                <w:sz w:val="18"/>
              </w:rPr>
              <w:t>预算完成率＝100%的，得10分。</w:t>
            </w:r>
            <w:r>
              <w:rPr>
                <w:rFonts w:hint="eastAsia" w:ascii="楷体_GB2312" w:hAnsi="宋体" w:eastAsia="楷体_GB2312" w:cs="宋体"/>
                <w:kern w:val="0"/>
                <w:sz w:val="18"/>
              </w:rPr>
              <w:br w:type="textWrapping"/>
            </w:r>
            <w:r>
              <w:rPr>
                <w:rFonts w:hint="eastAsia" w:ascii="楷体_GB2312" w:hAnsi="宋体" w:eastAsia="楷体_GB2312" w:cs="宋体"/>
                <w:kern w:val="0"/>
                <w:sz w:val="18"/>
              </w:rPr>
              <w:t>预算完成率≥95%的，得9分。</w:t>
            </w:r>
            <w:r>
              <w:rPr>
                <w:rFonts w:hint="eastAsia" w:ascii="楷体_GB2312" w:hAnsi="宋体" w:eastAsia="楷体_GB2312" w:cs="宋体"/>
                <w:kern w:val="0"/>
                <w:sz w:val="18"/>
              </w:rPr>
              <w:br w:type="textWrapping"/>
            </w:r>
            <w:r>
              <w:rPr>
                <w:rFonts w:hint="eastAsia" w:ascii="楷体_GB2312" w:hAnsi="宋体" w:eastAsia="楷体_GB2312" w:cs="宋体"/>
                <w:kern w:val="0"/>
                <w:sz w:val="18"/>
              </w:rPr>
              <w:t>预算完成率在90%（含）和95%之间，得8分。</w:t>
            </w:r>
            <w:r>
              <w:rPr>
                <w:rFonts w:hint="eastAsia" w:ascii="楷体_GB2312" w:hAnsi="宋体" w:eastAsia="楷体_GB2312" w:cs="宋体"/>
                <w:kern w:val="0"/>
                <w:sz w:val="18"/>
              </w:rPr>
              <w:br w:type="textWrapping"/>
            </w:r>
            <w:r>
              <w:rPr>
                <w:rFonts w:hint="eastAsia" w:ascii="楷体_GB2312" w:hAnsi="宋体" w:eastAsia="楷体_GB2312" w:cs="宋体"/>
                <w:kern w:val="0"/>
                <w:sz w:val="18"/>
              </w:rPr>
              <w:t>预算完成率在85%（含）和90%之间，得7分。</w:t>
            </w:r>
            <w:r>
              <w:rPr>
                <w:rFonts w:hint="eastAsia" w:ascii="楷体_GB2312" w:hAnsi="宋体" w:eastAsia="楷体_GB2312" w:cs="宋体"/>
                <w:kern w:val="0"/>
                <w:sz w:val="18"/>
              </w:rPr>
              <w:br w:type="textWrapping"/>
            </w:r>
            <w:r>
              <w:rPr>
                <w:rFonts w:hint="eastAsia" w:ascii="楷体_GB2312" w:hAnsi="宋体" w:eastAsia="楷体_GB2312" w:cs="宋体"/>
                <w:kern w:val="0"/>
                <w:sz w:val="18"/>
              </w:rPr>
              <w:t>预算完成率在80%（含）和85%之间，得6分。</w:t>
            </w:r>
            <w:r>
              <w:rPr>
                <w:rFonts w:hint="eastAsia" w:ascii="楷体_GB2312" w:hAnsi="宋体" w:eastAsia="楷体_GB2312" w:cs="宋体"/>
                <w:kern w:val="0"/>
                <w:sz w:val="18"/>
              </w:rPr>
              <w:br w:type="textWrapping"/>
            </w:r>
            <w:r>
              <w:rPr>
                <w:rFonts w:hint="eastAsia" w:ascii="楷体_GB2312" w:hAnsi="宋体" w:eastAsia="楷体_GB2312" w:cs="宋体"/>
                <w:kern w:val="0"/>
                <w:sz w:val="18"/>
              </w:rPr>
              <w:t>预算完成率在70%（含）和80%之间，得4分。</w:t>
            </w:r>
            <w:r>
              <w:rPr>
                <w:rFonts w:hint="eastAsia" w:ascii="楷体_GB2312" w:hAnsi="宋体" w:eastAsia="楷体_GB2312" w:cs="宋体"/>
                <w:kern w:val="0"/>
                <w:sz w:val="18"/>
              </w:rPr>
              <w:br w:type="textWrapping"/>
            </w:r>
            <w:r>
              <w:rPr>
                <w:rFonts w:hint="eastAsia" w:ascii="楷体_GB2312" w:hAnsi="宋体" w:eastAsia="楷体_GB2312" w:cs="宋体"/>
                <w:kern w:val="0"/>
                <w:sz w:val="18"/>
              </w:rPr>
              <w:t>预算完成率＜70%的，得0分。</w:t>
            </w:r>
          </w:p>
        </w:tc>
        <w:tc>
          <w:tcPr>
            <w:tcW w:w="0" w:type="auto"/>
            <w:tcBorders>
              <w:top w:val="nil"/>
              <w:left w:val="nil"/>
              <w:bottom w:val="single" w:color="auto" w:sz="4" w:space="0"/>
              <w:right w:val="single" w:color="auto" w:sz="4" w:space="0"/>
            </w:tcBorders>
            <w:shd w:val="clear" w:color="auto" w:fill="auto"/>
            <w:vAlign w:val="center"/>
          </w:tcPr>
          <w:p>
            <w:pPr>
              <w:widowControl/>
              <w:jc w:val="left"/>
              <w:rPr>
                <w:rFonts w:hint="eastAsia" w:ascii="楷体_GB2312" w:hAnsi="宋体" w:eastAsia="楷体_GB2312" w:cs="宋体"/>
                <w:kern w:val="0"/>
                <w:sz w:val="18"/>
              </w:rPr>
            </w:pPr>
            <w:r>
              <w:rPr>
                <w:rFonts w:hint="eastAsia" w:ascii="楷体_GB2312" w:hAnsi="宋体" w:eastAsia="楷体_GB2312" w:cs="宋体"/>
                <w:kern w:val="0"/>
                <w:sz w:val="18"/>
              </w:rPr>
              <w:t>　预算完成率=6145.64/1325.36*100%</w:t>
            </w:r>
          </w:p>
          <w:p>
            <w:pPr>
              <w:widowControl/>
              <w:jc w:val="left"/>
              <w:rPr>
                <w:rFonts w:ascii="楷体_GB2312" w:hAnsi="宋体" w:eastAsia="楷体_GB2312" w:cs="宋体"/>
                <w:kern w:val="0"/>
                <w:sz w:val="18"/>
              </w:rPr>
            </w:pPr>
          </w:p>
        </w:tc>
        <w:tc>
          <w:tcPr>
            <w:tcW w:w="0" w:type="auto"/>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kern w:val="0"/>
                <w:sz w:val="18"/>
              </w:rPr>
            </w:pPr>
            <w:r>
              <w:rPr>
                <w:rFonts w:hint="eastAsia" w:ascii="楷体_GB2312" w:hAnsi="宋体" w:eastAsia="楷体_GB2312" w:cs="宋体"/>
                <w:kern w:val="0"/>
                <w:sz w:val="18"/>
              </w:rPr>
              <w:t>　1325.36</w:t>
            </w:r>
          </w:p>
        </w:tc>
        <w:tc>
          <w:tcPr>
            <w:tcW w:w="0" w:type="auto"/>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kern w:val="0"/>
                <w:sz w:val="18"/>
              </w:rPr>
            </w:pPr>
            <w:r>
              <w:rPr>
                <w:rFonts w:hint="eastAsia" w:ascii="楷体_GB2312" w:hAnsi="宋体" w:eastAsia="楷体_GB2312" w:cs="宋体"/>
                <w:kern w:val="0"/>
                <w:sz w:val="18"/>
              </w:rPr>
              <w:t>　6145.64</w:t>
            </w:r>
          </w:p>
        </w:tc>
        <w:tc>
          <w:tcPr>
            <w:tcW w:w="0" w:type="auto"/>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kern w:val="0"/>
                <w:sz w:val="18"/>
              </w:rPr>
            </w:pPr>
            <w:r>
              <w:rPr>
                <w:rFonts w:hint="eastAsia" w:ascii="楷体_GB2312" w:hAnsi="宋体" w:eastAsia="楷体_GB2312" w:cs="宋体"/>
                <w:kern w:val="0"/>
                <w:sz w:val="18"/>
              </w:rPr>
              <w:t>10　</w:t>
            </w:r>
          </w:p>
        </w:tc>
        <w:tc>
          <w:tcPr>
            <w:tcW w:w="84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rPr>
            </w:pPr>
            <w:r>
              <w:rPr>
                <w:rFonts w:hint="eastAsia" w:ascii="仿宋_GB2312" w:hAnsi="宋体" w:eastAsia="仿宋_GB2312" w:cs="宋体"/>
                <w:kern w:val="0"/>
                <w:sz w:val="18"/>
              </w:rPr>
              <w:t>　</w:t>
            </w:r>
          </w:p>
        </w:tc>
        <w:tc>
          <w:tcPr>
            <w:tcW w:w="111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rPr>
            </w:pPr>
            <w:r>
              <w:rPr>
                <w:rFonts w:hint="eastAsia" w:ascii="仿宋_GB2312" w:hAnsi="宋体" w:eastAsia="仿宋_GB2312" w:cs="宋体"/>
                <w:kern w:val="0"/>
                <w:sz w:val="18"/>
              </w:rPr>
              <w:t>　</w:t>
            </w:r>
          </w:p>
        </w:tc>
      </w:tr>
      <w:tr>
        <w:tblPrEx>
          <w:tblCellMar>
            <w:top w:w="0" w:type="dxa"/>
            <w:left w:w="108" w:type="dxa"/>
            <w:bottom w:w="0" w:type="dxa"/>
            <w:right w:w="108" w:type="dxa"/>
          </w:tblCellMar>
        </w:tblPrEx>
        <w:trPr>
          <w:trHeight w:val="2475"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jc w:val="left"/>
              <w:rPr>
                <w:rFonts w:ascii="楷体_GB2312" w:hAnsi="宋体" w:eastAsia="楷体_GB2312" w:cs="宋体"/>
                <w:kern w:val="0"/>
                <w:sz w:val="18"/>
              </w:rPr>
            </w:pPr>
          </w:p>
        </w:tc>
        <w:tc>
          <w:tcPr>
            <w:tcW w:w="0" w:type="auto"/>
            <w:vMerge w:val="continue"/>
            <w:tcBorders>
              <w:top w:val="nil"/>
              <w:left w:val="single" w:color="auto" w:sz="4" w:space="0"/>
              <w:bottom w:val="single" w:color="auto" w:sz="4" w:space="0"/>
              <w:right w:val="single" w:color="auto" w:sz="4" w:space="0"/>
            </w:tcBorders>
            <w:vAlign w:val="center"/>
          </w:tcPr>
          <w:p>
            <w:pPr>
              <w:widowControl/>
              <w:jc w:val="left"/>
              <w:rPr>
                <w:rFonts w:ascii="楷体_GB2312" w:hAnsi="宋体" w:eastAsia="楷体_GB2312" w:cs="宋体"/>
                <w:kern w:val="0"/>
                <w:sz w:val="18"/>
              </w:rPr>
            </w:pPr>
          </w:p>
        </w:tc>
        <w:tc>
          <w:tcPr>
            <w:tcW w:w="0" w:type="auto"/>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kern w:val="0"/>
                <w:sz w:val="18"/>
              </w:rPr>
            </w:pPr>
            <w:r>
              <w:rPr>
                <w:rFonts w:hint="eastAsia" w:ascii="楷体_GB2312" w:hAnsi="宋体" w:eastAsia="楷体_GB2312" w:cs="宋体"/>
                <w:kern w:val="0"/>
                <w:sz w:val="18"/>
              </w:rPr>
              <w:t>预算调整率</w:t>
            </w:r>
            <w:r>
              <w:rPr>
                <w:rFonts w:hint="eastAsia" w:ascii="楷体_GB2312" w:hAnsi="宋体" w:eastAsia="楷体_GB2312" w:cs="宋体"/>
                <w:kern w:val="0"/>
                <w:sz w:val="18"/>
              </w:rPr>
              <w:br w:type="textWrapping"/>
            </w:r>
            <w:r>
              <w:rPr>
                <w:rFonts w:hint="eastAsia" w:ascii="楷体_GB2312" w:hAnsi="宋体" w:eastAsia="楷体_GB2312" w:cs="宋体"/>
                <w:kern w:val="0"/>
                <w:sz w:val="18"/>
              </w:rPr>
              <w:t>（5分）</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楷体_GB2312" w:hAnsi="宋体" w:eastAsia="楷体_GB2312" w:cs="宋体"/>
                <w:kern w:val="0"/>
                <w:sz w:val="18"/>
              </w:rPr>
            </w:pPr>
            <w:r>
              <w:rPr>
                <w:rFonts w:hint="eastAsia" w:ascii="楷体_GB2312" w:hAnsi="宋体" w:eastAsia="楷体_GB2312" w:cs="宋体"/>
                <w:kern w:val="0"/>
                <w:sz w:val="18"/>
              </w:rPr>
              <w:t>5</w:t>
            </w:r>
          </w:p>
        </w:tc>
        <w:tc>
          <w:tcPr>
            <w:tcW w:w="0" w:type="auto"/>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kern w:val="0"/>
                <w:sz w:val="18"/>
              </w:rPr>
            </w:pPr>
            <w:r>
              <w:rPr>
                <w:rFonts w:hint="eastAsia" w:ascii="楷体_GB2312" w:hAnsi="宋体" w:eastAsia="楷体_GB2312" w:cs="宋体"/>
                <w:kern w:val="0"/>
                <w:sz w:val="18"/>
              </w:rPr>
              <w:t>预算调整率=（预算调整数/预算数）×100%，用以反映和考核部门（单位）预算的调整程度。</w:t>
            </w:r>
            <w:r>
              <w:rPr>
                <w:rFonts w:hint="eastAsia" w:ascii="楷体_GB2312" w:hAnsi="宋体" w:eastAsia="楷体_GB2312" w:cs="宋体"/>
                <w:kern w:val="0"/>
                <w:sz w:val="18"/>
              </w:rPr>
              <w:br w:type="textWrapping"/>
            </w:r>
            <w:r>
              <w:rPr>
                <w:rFonts w:hint="eastAsia" w:ascii="楷体_GB2312" w:hAnsi="宋体" w:eastAsia="楷体_GB2312" w:cs="宋体"/>
                <w:kern w:val="0"/>
                <w:sz w:val="18"/>
              </w:rPr>
              <w:t>预算调整数：部门（单位）在本年度内涉及预算的追加、追减或结构调整的资金总和（因落实国家政策、发生不可抗力、上级部门或本级党委政府临时交办而产生的调整除外）。</w:t>
            </w:r>
            <w:r>
              <w:rPr>
                <w:rFonts w:hint="eastAsia" w:ascii="楷体_GB2312" w:hAnsi="宋体" w:eastAsia="楷体_GB2312" w:cs="宋体"/>
                <w:kern w:val="0"/>
                <w:sz w:val="18"/>
              </w:rPr>
              <w:br w:type="textWrapping"/>
            </w:r>
            <w:r>
              <w:rPr>
                <w:rFonts w:hint="eastAsia" w:ascii="楷体_GB2312" w:hAnsi="宋体" w:eastAsia="楷体_GB2312" w:cs="宋体"/>
                <w:kern w:val="0"/>
                <w:sz w:val="18"/>
              </w:rPr>
              <w:t>预算包括一般公共预算与政府性基金预算。</w:t>
            </w:r>
          </w:p>
        </w:tc>
        <w:tc>
          <w:tcPr>
            <w:tcW w:w="0" w:type="auto"/>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kern w:val="0"/>
                <w:sz w:val="18"/>
              </w:rPr>
            </w:pPr>
            <w:r>
              <w:rPr>
                <w:rFonts w:hint="eastAsia" w:ascii="楷体_GB2312" w:hAnsi="宋体" w:eastAsia="楷体_GB2312" w:cs="宋体"/>
                <w:kern w:val="0"/>
                <w:sz w:val="18"/>
              </w:rPr>
              <w:t>预算调整率绝对值≤5%，得5分。</w:t>
            </w:r>
            <w:r>
              <w:rPr>
                <w:rFonts w:hint="eastAsia" w:ascii="楷体_GB2312" w:hAnsi="宋体" w:eastAsia="楷体_GB2312" w:cs="宋体"/>
                <w:kern w:val="0"/>
                <w:sz w:val="18"/>
              </w:rPr>
              <w:br w:type="textWrapping"/>
            </w:r>
            <w:r>
              <w:rPr>
                <w:rFonts w:hint="eastAsia" w:ascii="楷体_GB2312" w:hAnsi="宋体" w:eastAsia="楷体_GB2312" w:cs="宋体"/>
                <w:kern w:val="0"/>
                <w:sz w:val="18"/>
              </w:rPr>
              <w:t>预算调整率绝对值＞5%的，每增加0.1个百分点扣0.1分，扣完为止。</w:t>
            </w:r>
          </w:p>
        </w:tc>
        <w:tc>
          <w:tcPr>
            <w:tcW w:w="0" w:type="auto"/>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kern w:val="0"/>
                <w:sz w:val="18"/>
              </w:rPr>
            </w:pPr>
            <w:r>
              <w:rPr>
                <w:rFonts w:hint="eastAsia" w:ascii="楷体_GB2312" w:hAnsi="宋体" w:eastAsia="楷体_GB2312" w:cs="宋体"/>
                <w:kern w:val="0"/>
                <w:sz w:val="18"/>
              </w:rPr>
              <w:t>　</w:t>
            </w:r>
          </w:p>
        </w:tc>
        <w:tc>
          <w:tcPr>
            <w:tcW w:w="0" w:type="auto"/>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kern w:val="0"/>
                <w:sz w:val="18"/>
              </w:rPr>
            </w:pPr>
            <w:r>
              <w:rPr>
                <w:rFonts w:hint="eastAsia" w:ascii="楷体_GB2312" w:hAnsi="宋体" w:eastAsia="楷体_GB2312" w:cs="宋体"/>
                <w:kern w:val="0"/>
                <w:sz w:val="18"/>
              </w:rPr>
              <w:t>　6145.64</w:t>
            </w:r>
          </w:p>
        </w:tc>
        <w:tc>
          <w:tcPr>
            <w:tcW w:w="0" w:type="auto"/>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kern w:val="0"/>
                <w:sz w:val="18"/>
              </w:rPr>
            </w:pPr>
            <w:r>
              <w:rPr>
                <w:rFonts w:hint="eastAsia" w:ascii="楷体_GB2312" w:hAnsi="宋体" w:eastAsia="楷体_GB2312" w:cs="宋体"/>
                <w:kern w:val="0"/>
                <w:sz w:val="18"/>
              </w:rPr>
              <w:t>6415.64　</w:t>
            </w:r>
          </w:p>
        </w:tc>
        <w:tc>
          <w:tcPr>
            <w:tcW w:w="0" w:type="auto"/>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kern w:val="0"/>
                <w:sz w:val="18"/>
              </w:rPr>
            </w:pPr>
            <w:r>
              <w:rPr>
                <w:rFonts w:hint="eastAsia" w:ascii="楷体_GB2312" w:hAnsi="宋体" w:eastAsia="楷体_GB2312" w:cs="宋体"/>
                <w:kern w:val="0"/>
                <w:sz w:val="18"/>
              </w:rPr>
              <w:t>　5</w:t>
            </w:r>
          </w:p>
        </w:tc>
        <w:tc>
          <w:tcPr>
            <w:tcW w:w="84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rPr>
            </w:pPr>
            <w:r>
              <w:rPr>
                <w:rFonts w:hint="eastAsia" w:ascii="仿宋_GB2312" w:hAnsi="宋体" w:eastAsia="仿宋_GB2312" w:cs="宋体"/>
                <w:kern w:val="0"/>
                <w:sz w:val="18"/>
              </w:rPr>
              <w:t>　</w:t>
            </w:r>
          </w:p>
        </w:tc>
        <w:tc>
          <w:tcPr>
            <w:tcW w:w="111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rPr>
            </w:pPr>
            <w:r>
              <w:rPr>
                <w:rFonts w:hint="eastAsia" w:ascii="仿宋_GB2312" w:hAnsi="宋体" w:eastAsia="仿宋_GB2312" w:cs="宋体"/>
                <w:kern w:val="0"/>
                <w:sz w:val="18"/>
              </w:rPr>
              <w:t>　</w:t>
            </w:r>
          </w:p>
        </w:tc>
      </w:tr>
      <w:tr>
        <w:tblPrEx>
          <w:tblCellMar>
            <w:top w:w="0" w:type="dxa"/>
            <w:left w:w="108" w:type="dxa"/>
            <w:bottom w:w="0" w:type="dxa"/>
            <w:right w:w="108" w:type="dxa"/>
          </w:tblCellMar>
        </w:tblPrEx>
        <w:trPr>
          <w:trHeight w:val="558" w:hRule="atLeast"/>
        </w:trPr>
        <w:tc>
          <w:tcPr>
            <w:tcW w:w="0" w:type="auto"/>
            <w:vMerge w:val="restart"/>
            <w:tcBorders>
              <w:top w:val="nil"/>
              <w:left w:val="single" w:color="auto" w:sz="4" w:space="0"/>
              <w:bottom w:val="single" w:color="auto" w:sz="4" w:space="0"/>
              <w:right w:val="single" w:color="auto" w:sz="4" w:space="0"/>
            </w:tcBorders>
            <w:shd w:val="clear" w:color="auto" w:fill="auto"/>
            <w:noWrap/>
            <w:textDirection w:val="tbRlV"/>
            <w:vAlign w:val="center"/>
          </w:tcPr>
          <w:p>
            <w:pPr>
              <w:widowControl/>
              <w:jc w:val="center"/>
              <w:rPr>
                <w:rFonts w:ascii="楷体_GB2312" w:hAnsi="宋体" w:eastAsia="楷体_GB2312" w:cs="宋体"/>
                <w:kern w:val="0"/>
                <w:sz w:val="18"/>
              </w:rPr>
            </w:pPr>
            <w:r>
              <w:rPr>
                <w:rFonts w:hint="eastAsia" w:ascii="楷体_GB2312" w:hAnsi="宋体" w:eastAsia="楷体_GB2312" w:cs="宋体"/>
                <w:kern w:val="0"/>
                <w:sz w:val="18"/>
              </w:rPr>
              <w:t>投入</w:t>
            </w:r>
          </w:p>
        </w:tc>
        <w:tc>
          <w:tcPr>
            <w:tcW w:w="0" w:type="auto"/>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楷体_GB2312" w:hAnsi="宋体" w:eastAsia="楷体_GB2312" w:cs="宋体"/>
                <w:kern w:val="0"/>
                <w:sz w:val="18"/>
              </w:rPr>
            </w:pPr>
            <w:r>
              <w:rPr>
                <w:rFonts w:hint="eastAsia" w:ascii="楷体_GB2312" w:hAnsi="宋体" w:eastAsia="楷体_GB2312" w:cs="宋体"/>
                <w:kern w:val="0"/>
                <w:sz w:val="18"/>
              </w:rPr>
              <w:t>预算执行（25分）</w:t>
            </w:r>
          </w:p>
        </w:tc>
        <w:tc>
          <w:tcPr>
            <w:tcW w:w="0" w:type="auto"/>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kern w:val="0"/>
                <w:sz w:val="18"/>
              </w:rPr>
            </w:pPr>
            <w:r>
              <w:rPr>
                <w:rFonts w:hint="eastAsia" w:ascii="楷体_GB2312" w:hAnsi="宋体" w:eastAsia="楷体_GB2312" w:cs="宋体"/>
                <w:kern w:val="0"/>
                <w:sz w:val="18"/>
              </w:rPr>
              <w:t>支出进度率</w:t>
            </w:r>
            <w:r>
              <w:rPr>
                <w:rFonts w:hint="eastAsia" w:ascii="楷体_GB2312" w:hAnsi="宋体" w:eastAsia="楷体_GB2312" w:cs="宋体"/>
                <w:kern w:val="0"/>
                <w:sz w:val="18"/>
              </w:rPr>
              <w:br w:type="textWrapping"/>
            </w:r>
            <w:r>
              <w:rPr>
                <w:rFonts w:hint="eastAsia" w:ascii="楷体_GB2312" w:hAnsi="宋体" w:eastAsia="楷体_GB2312" w:cs="宋体"/>
                <w:kern w:val="0"/>
                <w:sz w:val="18"/>
              </w:rPr>
              <w:t>（5分）</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楷体_GB2312" w:hAnsi="宋体" w:eastAsia="楷体_GB2312" w:cs="宋体"/>
                <w:kern w:val="0"/>
                <w:sz w:val="18"/>
              </w:rPr>
            </w:pPr>
            <w:r>
              <w:rPr>
                <w:rFonts w:hint="eastAsia" w:ascii="楷体_GB2312" w:hAnsi="宋体" w:eastAsia="楷体_GB2312" w:cs="宋体"/>
                <w:kern w:val="0"/>
                <w:sz w:val="18"/>
              </w:rPr>
              <w:t>5</w:t>
            </w:r>
          </w:p>
        </w:tc>
        <w:tc>
          <w:tcPr>
            <w:tcW w:w="0" w:type="auto"/>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kern w:val="0"/>
                <w:sz w:val="18"/>
              </w:rPr>
            </w:pPr>
            <w:r>
              <w:rPr>
                <w:rFonts w:hint="eastAsia" w:ascii="楷体_GB2312" w:hAnsi="宋体" w:eastAsia="楷体_GB2312" w:cs="宋体"/>
                <w:kern w:val="0"/>
                <w:sz w:val="18"/>
              </w:rPr>
              <w:t>支出进度率=（实际支出/支出预算）×100%，用以反映和考核部门（单位）预算执行的及时性和均衡性程度。</w:t>
            </w:r>
            <w:r>
              <w:rPr>
                <w:rFonts w:hint="eastAsia" w:ascii="楷体_GB2312" w:hAnsi="宋体" w:eastAsia="楷体_GB2312" w:cs="宋体"/>
                <w:kern w:val="0"/>
                <w:sz w:val="18"/>
              </w:rPr>
              <w:br w:type="textWrapping"/>
            </w:r>
            <w:r>
              <w:rPr>
                <w:rFonts w:hint="eastAsia" w:ascii="楷体_GB2312" w:hAnsi="宋体" w:eastAsia="楷体_GB2312" w:cs="宋体"/>
                <w:kern w:val="0"/>
                <w:sz w:val="18"/>
              </w:rPr>
              <w:t>半年支出进度＝部门上半年实际支出/（上年结余结转+本年部门预算安排+上半年执行中追加追减）*100%。</w:t>
            </w:r>
            <w:r>
              <w:rPr>
                <w:rFonts w:hint="eastAsia" w:ascii="楷体_GB2312" w:hAnsi="宋体" w:eastAsia="楷体_GB2312" w:cs="宋体"/>
                <w:kern w:val="0"/>
                <w:sz w:val="18"/>
              </w:rPr>
              <w:br w:type="textWrapping"/>
            </w:r>
            <w:r>
              <w:rPr>
                <w:rFonts w:hint="eastAsia" w:ascii="楷体_GB2312" w:hAnsi="宋体" w:eastAsia="楷体_GB2312" w:cs="宋体"/>
                <w:kern w:val="0"/>
                <w:sz w:val="18"/>
              </w:rPr>
              <w:t>前三季度支出进度＝部门前三季度实际支出/（上年结余结转+本年部门预算安排+前三季度执行中追加追减）*100%。</w:t>
            </w:r>
          </w:p>
        </w:tc>
        <w:tc>
          <w:tcPr>
            <w:tcW w:w="0" w:type="auto"/>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kern w:val="0"/>
                <w:sz w:val="18"/>
              </w:rPr>
            </w:pPr>
            <w:r>
              <w:rPr>
                <w:rFonts w:hint="eastAsia" w:ascii="楷体_GB2312" w:hAnsi="宋体" w:eastAsia="楷体_GB2312" w:cs="宋体"/>
                <w:kern w:val="0"/>
                <w:sz w:val="18"/>
              </w:rPr>
              <w:t>半年进度：进度率≥45%，得2分；进度率在40%（含）和45%之间，得1分；进度率＜40%，得0分。</w:t>
            </w:r>
            <w:r>
              <w:rPr>
                <w:rFonts w:hint="eastAsia" w:ascii="楷体_GB2312" w:hAnsi="宋体" w:eastAsia="楷体_GB2312" w:cs="宋体"/>
                <w:kern w:val="0"/>
                <w:sz w:val="18"/>
              </w:rPr>
              <w:br w:type="textWrapping"/>
            </w:r>
            <w:r>
              <w:rPr>
                <w:rFonts w:hint="eastAsia" w:ascii="楷体_GB2312" w:hAnsi="宋体" w:eastAsia="楷体_GB2312" w:cs="宋体"/>
                <w:kern w:val="0"/>
                <w:sz w:val="18"/>
              </w:rPr>
              <w:t>前三季度进度：进度率≥75%，得3分；进度率在60%（含）和75%之间，得2分；进度率＜60%，得0分。</w:t>
            </w:r>
          </w:p>
        </w:tc>
        <w:tc>
          <w:tcPr>
            <w:tcW w:w="0" w:type="auto"/>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kern w:val="0"/>
                <w:sz w:val="18"/>
              </w:rPr>
            </w:pPr>
            <w:r>
              <w:rPr>
                <w:rFonts w:hint="eastAsia" w:ascii="楷体_GB2312" w:hAnsi="宋体" w:eastAsia="楷体_GB2312" w:cs="宋体"/>
                <w:kern w:val="0"/>
                <w:sz w:val="18"/>
              </w:rPr>
              <w:t>　</w:t>
            </w:r>
          </w:p>
        </w:tc>
        <w:tc>
          <w:tcPr>
            <w:tcW w:w="0" w:type="auto"/>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kern w:val="0"/>
                <w:sz w:val="18"/>
              </w:rPr>
            </w:pPr>
            <w:r>
              <w:rPr>
                <w:rFonts w:hint="eastAsia" w:ascii="楷体_GB2312" w:hAnsi="宋体" w:eastAsia="楷体_GB2312" w:cs="宋体"/>
                <w:kern w:val="0"/>
                <w:sz w:val="18"/>
              </w:rPr>
              <w:t>　1325.36</w:t>
            </w:r>
          </w:p>
        </w:tc>
        <w:tc>
          <w:tcPr>
            <w:tcW w:w="0" w:type="auto"/>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kern w:val="0"/>
                <w:sz w:val="18"/>
              </w:rPr>
            </w:pPr>
            <w:r>
              <w:rPr>
                <w:rFonts w:hint="eastAsia" w:ascii="楷体_GB2312" w:hAnsi="宋体" w:eastAsia="楷体_GB2312" w:cs="宋体"/>
                <w:kern w:val="0"/>
                <w:sz w:val="18"/>
              </w:rPr>
              <w:t>6145.64　</w:t>
            </w:r>
          </w:p>
        </w:tc>
        <w:tc>
          <w:tcPr>
            <w:tcW w:w="0" w:type="auto"/>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kern w:val="0"/>
                <w:sz w:val="18"/>
              </w:rPr>
            </w:pPr>
            <w:r>
              <w:rPr>
                <w:rFonts w:hint="eastAsia" w:ascii="楷体_GB2312" w:hAnsi="宋体" w:eastAsia="楷体_GB2312" w:cs="宋体"/>
                <w:kern w:val="0"/>
                <w:sz w:val="18"/>
              </w:rPr>
              <w:t>　5</w:t>
            </w:r>
          </w:p>
        </w:tc>
        <w:tc>
          <w:tcPr>
            <w:tcW w:w="84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rPr>
            </w:pPr>
            <w:r>
              <w:rPr>
                <w:rFonts w:hint="eastAsia" w:ascii="仿宋_GB2312" w:hAnsi="宋体" w:eastAsia="仿宋_GB2312" w:cs="宋体"/>
                <w:kern w:val="0"/>
                <w:sz w:val="18"/>
              </w:rPr>
              <w:t>　</w:t>
            </w:r>
          </w:p>
        </w:tc>
        <w:tc>
          <w:tcPr>
            <w:tcW w:w="111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rPr>
            </w:pPr>
            <w:r>
              <w:rPr>
                <w:rFonts w:hint="eastAsia" w:ascii="仿宋_GB2312" w:hAnsi="宋体" w:eastAsia="仿宋_GB2312" w:cs="宋体"/>
                <w:kern w:val="0"/>
                <w:sz w:val="18"/>
              </w:rPr>
              <w:t>　</w:t>
            </w:r>
          </w:p>
        </w:tc>
      </w:tr>
      <w:tr>
        <w:tblPrEx>
          <w:tblCellMar>
            <w:top w:w="0" w:type="dxa"/>
            <w:left w:w="108" w:type="dxa"/>
            <w:bottom w:w="0" w:type="dxa"/>
            <w:right w:w="108" w:type="dxa"/>
          </w:tblCellMar>
        </w:tblPrEx>
        <w:trPr>
          <w:trHeight w:val="1530"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jc w:val="left"/>
              <w:rPr>
                <w:rFonts w:ascii="楷体_GB2312" w:hAnsi="宋体" w:eastAsia="楷体_GB2312" w:cs="宋体"/>
                <w:kern w:val="0"/>
                <w:sz w:val="18"/>
              </w:rPr>
            </w:pPr>
          </w:p>
        </w:tc>
        <w:tc>
          <w:tcPr>
            <w:tcW w:w="0" w:type="auto"/>
            <w:vMerge w:val="continue"/>
            <w:tcBorders>
              <w:top w:val="nil"/>
              <w:left w:val="single" w:color="auto" w:sz="4" w:space="0"/>
              <w:bottom w:val="single" w:color="auto" w:sz="4" w:space="0"/>
              <w:right w:val="single" w:color="auto" w:sz="4" w:space="0"/>
            </w:tcBorders>
            <w:vAlign w:val="center"/>
          </w:tcPr>
          <w:p>
            <w:pPr>
              <w:widowControl/>
              <w:jc w:val="left"/>
              <w:rPr>
                <w:rFonts w:ascii="楷体_GB2312" w:hAnsi="宋体" w:eastAsia="楷体_GB2312" w:cs="宋体"/>
                <w:kern w:val="0"/>
                <w:sz w:val="18"/>
              </w:rPr>
            </w:pPr>
          </w:p>
        </w:tc>
        <w:tc>
          <w:tcPr>
            <w:tcW w:w="0" w:type="auto"/>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kern w:val="0"/>
                <w:sz w:val="18"/>
              </w:rPr>
            </w:pPr>
            <w:r>
              <w:rPr>
                <w:rFonts w:hint="eastAsia" w:ascii="楷体_GB2312" w:hAnsi="宋体" w:eastAsia="楷体_GB2312" w:cs="宋体"/>
                <w:kern w:val="0"/>
                <w:sz w:val="18"/>
              </w:rPr>
              <w:t>预算编制准确率（5分）</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楷体_GB2312" w:hAnsi="宋体" w:eastAsia="楷体_GB2312" w:cs="宋体"/>
                <w:kern w:val="0"/>
                <w:sz w:val="18"/>
              </w:rPr>
            </w:pPr>
            <w:r>
              <w:rPr>
                <w:rFonts w:hint="eastAsia" w:ascii="楷体_GB2312" w:hAnsi="宋体" w:eastAsia="楷体_GB2312" w:cs="宋体"/>
                <w:kern w:val="0"/>
                <w:sz w:val="18"/>
              </w:rPr>
              <w:t>5</w:t>
            </w:r>
          </w:p>
        </w:tc>
        <w:tc>
          <w:tcPr>
            <w:tcW w:w="0" w:type="auto"/>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kern w:val="0"/>
                <w:sz w:val="18"/>
              </w:rPr>
            </w:pPr>
            <w:r>
              <w:rPr>
                <w:rFonts w:hint="eastAsia" w:ascii="楷体_GB2312" w:hAnsi="宋体" w:eastAsia="楷体_GB2312" w:cs="宋体"/>
                <w:kern w:val="0"/>
                <w:sz w:val="18"/>
              </w:rPr>
              <w:t>部门预算中除财政拨款外的其他收入预算与决算差异率。</w:t>
            </w:r>
            <w:r>
              <w:rPr>
                <w:rFonts w:hint="eastAsia" w:ascii="楷体_GB2312" w:hAnsi="宋体" w:eastAsia="楷体_GB2312" w:cs="宋体"/>
                <w:kern w:val="0"/>
                <w:sz w:val="18"/>
              </w:rPr>
              <w:br w:type="textWrapping"/>
            </w:r>
            <w:r>
              <w:rPr>
                <w:rFonts w:hint="eastAsia" w:ascii="楷体_GB2312" w:hAnsi="宋体" w:eastAsia="楷体_GB2312" w:cs="宋体"/>
                <w:kern w:val="0"/>
                <w:sz w:val="18"/>
              </w:rPr>
              <w:t>预算编制准确率＝其他收入决算数/其他收入预算数×100%-100%。</w:t>
            </w:r>
          </w:p>
        </w:tc>
        <w:tc>
          <w:tcPr>
            <w:tcW w:w="0" w:type="auto"/>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kern w:val="0"/>
                <w:sz w:val="18"/>
              </w:rPr>
            </w:pPr>
            <w:r>
              <w:rPr>
                <w:rFonts w:hint="eastAsia" w:ascii="楷体_GB2312" w:hAnsi="宋体" w:eastAsia="楷体_GB2312" w:cs="宋体"/>
                <w:kern w:val="0"/>
                <w:sz w:val="18"/>
              </w:rPr>
              <w:t>预算编制准确率≤20%，得5分。</w:t>
            </w:r>
            <w:r>
              <w:rPr>
                <w:rFonts w:hint="eastAsia" w:ascii="楷体_GB2312" w:hAnsi="宋体" w:eastAsia="楷体_GB2312" w:cs="宋体"/>
                <w:kern w:val="0"/>
                <w:sz w:val="18"/>
              </w:rPr>
              <w:br w:type="textWrapping"/>
            </w:r>
            <w:r>
              <w:rPr>
                <w:rFonts w:hint="eastAsia" w:ascii="楷体_GB2312" w:hAnsi="宋体" w:eastAsia="楷体_GB2312" w:cs="宋体"/>
                <w:kern w:val="0"/>
                <w:sz w:val="18"/>
              </w:rPr>
              <w:t>预算编制准确率在20%和40%（含）之间，得3分。</w:t>
            </w:r>
            <w:r>
              <w:rPr>
                <w:rFonts w:hint="eastAsia" w:ascii="楷体_GB2312" w:hAnsi="宋体" w:eastAsia="楷体_GB2312" w:cs="宋体"/>
                <w:kern w:val="0"/>
                <w:sz w:val="18"/>
              </w:rPr>
              <w:br w:type="textWrapping"/>
            </w:r>
            <w:r>
              <w:rPr>
                <w:rFonts w:hint="eastAsia" w:ascii="楷体_GB2312" w:hAnsi="宋体" w:eastAsia="楷体_GB2312" w:cs="宋体"/>
                <w:kern w:val="0"/>
                <w:sz w:val="18"/>
              </w:rPr>
              <w:t>预算编制准确率＞40%，得0分。</w:t>
            </w:r>
          </w:p>
        </w:tc>
        <w:tc>
          <w:tcPr>
            <w:tcW w:w="0" w:type="auto"/>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kern w:val="0"/>
                <w:sz w:val="18"/>
              </w:rPr>
            </w:pPr>
            <w:r>
              <w:rPr>
                <w:rFonts w:hint="eastAsia" w:ascii="楷体_GB2312" w:hAnsi="宋体" w:eastAsia="楷体_GB2312" w:cs="宋体"/>
                <w:kern w:val="0"/>
                <w:sz w:val="18"/>
              </w:rPr>
              <w:t>　</w:t>
            </w:r>
          </w:p>
        </w:tc>
        <w:tc>
          <w:tcPr>
            <w:tcW w:w="0" w:type="auto"/>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kern w:val="0"/>
                <w:sz w:val="18"/>
              </w:rPr>
            </w:pPr>
            <w:r>
              <w:rPr>
                <w:rFonts w:hint="eastAsia" w:ascii="楷体_GB2312" w:hAnsi="宋体" w:eastAsia="楷体_GB2312" w:cs="宋体"/>
                <w:kern w:val="0"/>
                <w:sz w:val="18"/>
              </w:rPr>
              <w:t>　0</w:t>
            </w:r>
          </w:p>
        </w:tc>
        <w:tc>
          <w:tcPr>
            <w:tcW w:w="0" w:type="auto"/>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kern w:val="0"/>
                <w:sz w:val="18"/>
              </w:rPr>
            </w:pPr>
            <w:r>
              <w:rPr>
                <w:rFonts w:hint="eastAsia" w:ascii="楷体_GB2312" w:hAnsi="宋体" w:eastAsia="楷体_GB2312" w:cs="宋体"/>
                <w:kern w:val="0"/>
                <w:sz w:val="18"/>
              </w:rPr>
              <w:t>　0</w:t>
            </w:r>
          </w:p>
        </w:tc>
        <w:tc>
          <w:tcPr>
            <w:tcW w:w="0" w:type="auto"/>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kern w:val="0"/>
                <w:sz w:val="18"/>
              </w:rPr>
            </w:pPr>
            <w:r>
              <w:rPr>
                <w:rFonts w:hint="eastAsia" w:ascii="楷体_GB2312" w:hAnsi="宋体" w:eastAsia="楷体_GB2312" w:cs="宋体"/>
                <w:kern w:val="0"/>
                <w:sz w:val="18"/>
              </w:rPr>
              <w:t>0　</w:t>
            </w:r>
          </w:p>
        </w:tc>
        <w:tc>
          <w:tcPr>
            <w:tcW w:w="84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rPr>
            </w:pPr>
            <w:r>
              <w:rPr>
                <w:rFonts w:hint="eastAsia" w:ascii="仿宋_GB2312" w:hAnsi="宋体" w:eastAsia="仿宋_GB2312" w:cs="宋体"/>
                <w:kern w:val="0"/>
                <w:sz w:val="18"/>
              </w:rPr>
              <w:t>　</w:t>
            </w:r>
          </w:p>
        </w:tc>
        <w:tc>
          <w:tcPr>
            <w:tcW w:w="111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rPr>
            </w:pPr>
            <w:r>
              <w:rPr>
                <w:rFonts w:hint="eastAsia" w:ascii="仿宋_GB2312" w:hAnsi="宋体" w:eastAsia="仿宋_GB2312" w:cs="宋体"/>
                <w:kern w:val="0"/>
                <w:sz w:val="18"/>
              </w:rPr>
              <w:t>　</w:t>
            </w:r>
          </w:p>
        </w:tc>
      </w:tr>
      <w:tr>
        <w:tblPrEx>
          <w:tblCellMar>
            <w:top w:w="0" w:type="dxa"/>
            <w:left w:w="108" w:type="dxa"/>
            <w:bottom w:w="0" w:type="dxa"/>
            <w:right w:w="108" w:type="dxa"/>
          </w:tblCellMar>
        </w:tblPrEx>
        <w:trPr>
          <w:trHeight w:val="1782" w:hRule="atLeast"/>
        </w:trPr>
        <w:tc>
          <w:tcPr>
            <w:tcW w:w="0" w:type="auto"/>
            <w:vMerge w:val="restart"/>
            <w:tcBorders>
              <w:top w:val="nil"/>
              <w:left w:val="single" w:color="auto" w:sz="4" w:space="0"/>
              <w:bottom w:val="single" w:color="auto" w:sz="4" w:space="0"/>
              <w:right w:val="single" w:color="auto" w:sz="4" w:space="0"/>
            </w:tcBorders>
            <w:shd w:val="clear" w:color="auto" w:fill="auto"/>
            <w:noWrap/>
            <w:textDirection w:val="tbRlV"/>
            <w:vAlign w:val="center"/>
          </w:tcPr>
          <w:p>
            <w:pPr>
              <w:widowControl/>
              <w:jc w:val="center"/>
              <w:rPr>
                <w:rFonts w:ascii="楷体_GB2312" w:hAnsi="宋体" w:eastAsia="楷体_GB2312" w:cs="宋体"/>
                <w:kern w:val="0"/>
                <w:sz w:val="18"/>
              </w:rPr>
            </w:pPr>
            <w:r>
              <w:rPr>
                <w:rFonts w:hint="eastAsia" w:ascii="楷体_GB2312" w:hAnsi="宋体" w:eastAsia="楷体_GB2312" w:cs="宋体"/>
                <w:kern w:val="0"/>
                <w:sz w:val="18"/>
              </w:rPr>
              <w:t>过程</w:t>
            </w:r>
          </w:p>
        </w:tc>
        <w:tc>
          <w:tcPr>
            <w:tcW w:w="0" w:type="auto"/>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楷体_GB2312" w:hAnsi="宋体" w:eastAsia="楷体_GB2312" w:cs="宋体"/>
                <w:kern w:val="0"/>
                <w:sz w:val="18"/>
              </w:rPr>
            </w:pPr>
            <w:r>
              <w:rPr>
                <w:rFonts w:hint="eastAsia" w:ascii="楷体_GB2312" w:hAnsi="宋体" w:eastAsia="楷体_GB2312" w:cs="宋体"/>
                <w:kern w:val="0"/>
                <w:sz w:val="18"/>
              </w:rPr>
              <w:t>预算管理（15分）</w:t>
            </w:r>
          </w:p>
        </w:tc>
        <w:tc>
          <w:tcPr>
            <w:tcW w:w="0" w:type="auto"/>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kern w:val="0"/>
                <w:sz w:val="18"/>
              </w:rPr>
            </w:pPr>
            <w:r>
              <w:rPr>
                <w:rFonts w:hint="eastAsia" w:ascii="楷体_GB2312" w:hAnsi="宋体" w:eastAsia="楷体_GB2312" w:cs="宋体"/>
                <w:kern w:val="0"/>
                <w:sz w:val="18"/>
              </w:rPr>
              <w:t>“三公经费”控制率</w:t>
            </w:r>
            <w:r>
              <w:rPr>
                <w:rFonts w:hint="eastAsia" w:ascii="楷体_GB2312" w:hAnsi="宋体" w:eastAsia="楷体_GB2312" w:cs="宋体"/>
                <w:kern w:val="0"/>
                <w:sz w:val="18"/>
              </w:rPr>
              <w:br w:type="textWrapping"/>
            </w:r>
            <w:r>
              <w:rPr>
                <w:rFonts w:hint="eastAsia" w:ascii="楷体_GB2312" w:hAnsi="宋体" w:eastAsia="楷体_GB2312" w:cs="宋体"/>
                <w:kern w:val="0"/>
                <w:sz w:val="18"/>
              </w:rPr>
              <w:t>（5分）</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楷体_GB2312" w:hAnsi="宋体" w:eastAsia="楷体_GB2312" w:cs="宋体"/>
                <w:kern w:val="0"/>
                <w:sz w:val="18"/>
              </w:rPr>
            </w:pPr>
            <w:r>
              <w:rPr>
                <w:rFonts w:hint="eastAsia" w:ascii="楷体_GB2312" w:hAnsi="宋体" w:eastAsia="楷体_GB2312" w:cs="宋体"/>
                <w:kern w:val="0"/>
                <w:sz w:val="18"/>
              </w:rPr>
              <w:t>5</w:t>
            </w:r>
          </w:p>
        </w:tc>
        <w:tc>
          <w:tcPr>
            <w:tcW w:w="0" w:type="auto"/>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kern w:val="0"/>
                <w:sz w:val="18"/>
              </w:rPr>
            </w:pPr>
            <w:r>
              <w:rPr>
                <w:rFonts w:hint="eastAsia" w:ascii="楷体_GB2312" w:hAnsi="宋体" w:eastAsia="楷体_GB2312" w:cs="宋体"/>
                <w:kern w:val="0"/>
                <w:sz w:val="18"/>
              </w:rPr>
              <w:t>“三公经费”控制率=（“三公经费”实际支出数/“三公经费”预算安排数）×100%，用以反映和考核部门（单位）对“三公经费”的实际控制程度。</w:t>
            </w:r>
          </w:p>
        </w:tc>
        <w:tc>
          <w:tcPr>
            <w:tcW w:w="0" w:type="auto"/>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kern w:val="0"/>
                <w:sz w:val="18"/>
              </w:rPr>
            </w:pPr>
            <w:r>
              <w:rPr>
                <w:rFonts w:hint="eastAsia" w:ascii="楷体_GB2312" w:hAnsi="宋体" w:eastAsia="楷体_GB2312" w:cs="宋体"/>
                <w:kern w:val="0"/>
                <w:sz w:val="18"/>
              </w:rPr>
              <w:t>三公经费控制率 ≤100%，得5分，每增加0.1个百分点扣0.5分，扣完为止。</w:t>
            </w:r>
          </w:p>
        </w:tc>
        <w:tc>
          <w:tcPr>
            <w:tcW w:w="0" w:type="auto"/>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kern w:val="0"/>
                <w:sz w:val="18"/>
              </w:rPr>
            </w:pPr>
            <w:r>
              <w:rPr>
                <w:rFonts w:hint="eastAsia" w:ascii="楷体_GB2312" w:hAnsi="宋体" w:eastAsia="楷体_GB2312" w:cs="宋体"/>
                <w:kern w:val="0"/>
                <w:sz w:val="18"/>
              </w:rPr>
              <w:t>　</w:t>
            </w:r>
          </w:p>
        </w:tc>
        <w:tc>
          <w:tcPr>
            <w:tcW w:w="0" w:type="auto"/>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kern w:val="0"/>
                <w:sz w:val="18"/>
              </w:rPr>
            </w:pPr>
            <w:r>
              <w:rPr>
                <w:rFonts w:hint="eastAsia" w:ascii="楷体_GB2312" w:hAnsi="宋体" w:eastAsia="楷体_GB2312" w:cs="宋体"/>
                <w:kern w:val="0"/>
                <w:sz w:val="18"/>
              </w:rPr>
              <w:t>　1.31</w:t>
            </w:r>
          </w:p>
        </w:tc>
        <w:tc>
          <w:tcPr>
            <w:tcW w:w="0" w:type="auto"/>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kern w:val="0"/>
                <w:sz w:val="18"/>
              </w:rPr>
            </w:pPr>
            <w:r>
              <w:rPr>
                <w:rFonts w:hint="eastAsia" w:ascii="楷体_GB2312" w:hAnsi="宋体" w:eastAsia="楷体_GB2312" w:cs="宋体"/>
                <w:kern w:val="0"/>
                <w:sz w:val="18"/>
              </w:rPr>
              <w:t>0.47　</w:t>
            </w:r>
          </w:p>
        </w:tc>
        <w:tc>
          <w:tcPr>
            <w:tcW w:w="0" w:type="auto"/>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kern w:val="0"/>
                <w:sz w:val="18"/>
              </w:rPr>
            </w:pPr>
            <w:r>
              <w:rPr>
                <w:rFonts w:hint="eastAsia" w:ascii="楷体_GB2312" w:hAnsi="宋体" w:eastAsia="楷体_GB2312" w:cs="宋体"/>
                <w:kern w:val="0"/>
                <w:sz w:val="18"/>
              </w:rPr>
              <w:t>5　</w:t>
            </w:r>
          </w:p>
        </w:tc>
        <w:tc>
          <w:tcPr>
            <w:tcW w:w="84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rPr>
            </w:pPr>
            <w:r>
              <w:rPr>
                <w:rFonts w:hint="eastAsia" w:ascii="仿宋_GB2312" w:hAnsi="宋体" w:eastAsia="仿宋_GB2312" w:cs="宋体"/>
                <w:kern w:val="0"/>
                <w:sz w:val="18"/>
              </w:rPr>
              <w:t>　</w:t>
            </w:r>
          </w:p>
        </w:tc>
        <w:tc>
          <w:tcPr>
            <w:tcW w:w="1116"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18"/>
              </w:rPr>
            </w:pPr>
            <w:r>
              <w:rPr>
                <w:rFonts w:hint="eastAsia" w:ascii="仿宋_GB2312" w:hAnsi="宋体" w:eastAsia="仿宋_GB2312" w:cs="宋体"/>
                <w:kern w:val="0"/>
                <w:sz w:val="18"/>
              </w:rPr>
              <w:t>　</w:t>
            </w:r>
          </w:p>
        </w:tc>
      </w:tr>
      <w:tr>
        <w:tblPrEx>
          <w:tblCellMar>
            <w:top w:w="0" w:type="dxa"/>
            <w:left w:w="108" w:type="dxa"/>
            <w:bottom w:w="0" w:type="dxa"/>
            <w:right w:w="108" w:type="dxa"/>
          </w:tblCellMar>
        </w:tblPrEx>
        <w:trPr>
          <w:trHeight w:val="1782"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jc w:val="left"/>
              <w:rPr>
                <w:rFonts w:ascii="楷体_GB2312" w:hAnsi="宋体" w:eastAsia="楷体_GB2312" w:cs="宋体"/>
                <w:kern w:val="0"/>
                <w:sz w:val="18"/>
              </w:rPr>
            </w:pPr>
          </w:p>
        </w:tc>
        <w:tc>
          <w:tcPr>
            <w:tcW w:w="0" w:type="auto"/>
            <w:vMerge w:val="continue"/>
            <w:tcBorders>
              <w:top w:val="nil"/>
              <w:left w:val="single" w:color="auto" w:sz="4" w:space="0"/>
              <w:bottom w:val="single" w:color="auto" w:sz="4" w:space="0"/>
              <w:right w:val="single" w:color="auto" w:sz="4" w:space="0"/>
            </w:tcBorders>
            <w:vAlign w:val="center"/>
          </w:tcPr>
          <w:p>
            <w:pPr>
              <w:widowControl/>
              <w:jc w:val="left"/>
              <w:rPr>
                <w:rFonts w:ascii="楷体_GB2312" w:hAnsi="宋体" w:eastAsia="楷体_GB2312" w:cs="宋体"/>
                <w:kern w:val="0"/>
                <w:sz w:val="18"/>
              </w:rPr>
            </w:pPr>
          </w:p>
        </w:tc>
        <w:tc>
          <w:tcPr>
            <w:tcW w:w="0" w:type="auto"/>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kern w:val="0"/>
                <w:sz w:val="18"/>
              </w:rPr>
            </w:pPr>
            <w:r>
              <w:rPr>
                <w:rFonts w:hint="eastAsia" w:ascii="楷体_GB2312" w:hAnsi="宋体" w:eastAsia="楷体_GB2312" w:cs="宋体"/>
                <w:kern w:val="0"/>
                <w:sz w:val="18"/>
              </w:rPr>
              <w:t>资产管理规范性</w:t>
            </w:r>
            <w:r>
              <w:rPr>
                <w:rFonts w:hint="eastAsia" w:ascii="楷体_GB2312" w:hAnsi="宋体" w:eastAsia="楷体_GB2312" w:cs="宋体"/>
                <w:kern w:val="0"/>
                <w:sz w:val="18"/>
              </w:rPr>
              <w:br w:type="textWrapping"/>
            </w:r>
            <w:r>
              <w:rPr>
                <w:rFonts w:hint="eastAsia" w:ascii="楷体_GB2312" w:hAnsi="宋体" w:eastAsia="楷体_GB2312" w:cs="宋体"/>
                <w:kern w:val="0"/>
                <w:sz w:val="18"/>
              </w:rPr>
              <w:t>（5分）</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楷体_GB2312" w:hAnsi="宋体" w:eastAsia="楷体_GB2312" w:cs="宋体"/>
                <w:kern w:val="0"/>
                <w:sz w:val="18"/>
              </w:rPr>
            </w:pPr>
            <w:r>
              <w:rPr>
                <w:rFonts w:hint="eastAsia" w:ascii="楷体_GB2312" w:hAnsi="宋体" w:eastAsia="楷体_GB2312" w:cs="宋体"/>
                <w:kern w:val="0"/>
                <w:sz w:val="18"/>
              </w:rPr>
              <w:t>5</w:t>
            </w:r>
          </w:p>
        </w:tc>
        <w:tc>
          <w:tcPr>
            <w:tcW w:w="0" w:type="auto"/>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kern w:val="0"/>
                <w:sz w:val="18"/>
              </w:rPr>
            </w:pPr>
            <w:r>
              <w:rPr>
                <w:rFonts w:hint="eastAsia" w:ascii="楷体_GB2312" w:hAnsi="宋体" w:eastAsia="楷体_GB2312" w:cs="宋体"/>
                <w:kern w:val="0"/>
                <w:sz w:val="18"/>
              </w:rPr>
              <w:t>部门（单位）资产管理是否规范，用以反映和考核部门（单位）资产管理情况。</w:t>
            </w:r>
            <w:r>
              <w:rPr>
                <w:rFonts w:hint="eastAsia" w:ascii="楷体_GB2312" w:hAnsi="宋体" w:eastAsia="楷体_GB2312" w:cs="宋体"/>
                <w:kern w:val="0"/>
                <w:sz w:val="18"/>
              </w:rPr>
              <w:br w:type="textWrapping"/>
            </w:r>
            <w:r>
              <w:rPr>
                <w:rFonts w:hint="eastAsia" w:ascii="楷体_GB2312" w:hAnsi="宋体" w:eastAsia="楷体_GB2312" w:cs="宋体"/>
                <w:kern w:val="0"/>
                <w:sz w:val="18"/>
              </w:rPr>
              <w:t>1.新增资产配置按预算执行。</w:t>
            </w:r>
            <w:r>
              <w:rPr>
                <w:rFonts w:hint="eastAsia" w:ascii="楷体_GB2312" w:hAnsi="宋体" w:eastAsia="楷体_GB2312" w:cs="宋体"/>
                <w:kern w:val="0"/>
                <w:sz w:val="18"/>
              </w:rPr>
              <w:br w:type="textWrapping"/>
            </w:r>
            <w:r>
              <w:rPr>
                <w:rFonts w:hint="eastAsia" w:ascii="楷体_GB2312" w:hAnsi="宋体" w:eastAsia="楷体_GB2312" w:cs="宋体"/>
                <w:kern w:val="0"/>
                <w:sz w:val="18"/>
              </w:rPr>
              <w:t>2.资产有偿使用、处置按规定程序审批。</w:t>
            </w:r>
            <w:r>
              <w:rPr>
                <w:rFonts w:hint="eastAsia" w:ascii="楷体_GB2312" w:hAnsi="宋体" w:eastAsia="楷体_GB2312" w:cs="宋体"/>
                <w:kern w:val="0"/>
                <w:sz w:val="18"/>
              </w:rPr>
              <w:br w:type="textWrapping"/>
            </w:r>
            <w:r>
              <w:rPr>
                <w:rFonts w:hint="eastAsia" w:ascii="楷体_GB2312" w:hAnsi="宋体" w:eastAsia="楷体_GB2312" w:cs="宋体"/>
                <w:kern w:val="0"/>
                <w:sz w:val="18"/>
              </w:rPr>
              <w:t>3.资产收益及时、足额上缴财政。</w:t>
            </w:r>
          </w:p>
        </w:tc>
        <w:tc>
          <w:tcPr>
            <w:tcW w:w="0" w:type="auto"/>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kern w:val="0"/>
                <w:sz w:val="18"/>
              </w:rPr>
            </w:pPr>
            <w:r>
              <w:rPr>
                <w:rFonts w:hint="eastAsia" w:ascii="楷体_GB2312" w:hAnsi="宋体" w:eastAsia="楷体_GB2312" w:cs="宋体"/>
                <w:kern w:val="0"/>
                <w:sz w:val="18"/>
              </w:rPr>
              <w:t>全部符合5分，有1项不符扣2分,扣完为止。</w:t>
            </w:r>
          </w:p>
        </w:tc>
        <w:tc>
          <w:tcPr>
            <w:tcW w:w="0" w:type="auto"/>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kern w:val="0"/>
                <w:sz w:val="18"/>
              </w:rPr>
            </w:pPr>
            <w:r>
              <w:rPr>
                <w:rFonts w:hint="eastAsia" w:ascii="楷体_GB2312" w:hAnsi="宋体" w:eastAsia="楷体_GB2312" w:cs="宋体"/>
                <w:kern w:val="0"/>
                <w:sz w:val="18"/>
              </w:rPr>
              <w:t>　</w:t>
            </w:r>
          </w:p>
        </w:tc>
        <w:tc>
          <w:tcPr>
            <w:tcW w:w="0" w:type="auto"/>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kern w:val="0"/>
                <w:sz w:val="18"/>
              </w:rPr>
            </w:pPr>
            <w:r>
              <w:rPr>
                <w:rFonts w:hint="eastAsia" w:ascii="楷体_GB2312" w:hAnsi="宋体" w:eastAsia="楷体_GB2312" w:cs="宋体"/>
                <w:kern w:val="0"/>
                <w:sz w:val="18"/>
              </w:rPr>
              <w:t>　</w:t>
            </w:r>
          </w:p>
        </w:tc>
        <w:tc>
          <w:tcPr>
            <w:tcW w:w="0" w:type="auto"/>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kern w:val="0"/>
                <w:sz w:val="18"/>
              </w:rPr>
            </w:pPr>
            <w:r>
              <w:rPr>
                <w:rFonts w:hint="eastAsia" w:ascii="楷体_GB2312" w:hAnsi="宋体" w:eastAsia="楷体_GB2312" w:cs="宋体"/>
                <w:kern w:val="0"/>
                <w:sz w:val="18"/>
              </w:rPr>
              <w:t>　</w:t>
            </w:r>
          </w:p>
        </w:tc>
        <w:tc>
          <w:tcPr>
            <w:tcW w:w="0" w:type="auto"/>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kern w:val="0"/>
                <w:sz w:val="18"/>
              </w:rPr>
            </w:pPr>
            <w:r>
              <w:rPr>
                <w:rFonts w:hint="eastAsia" w:ascii="楷体_GB2312" w:hAnsi="宋体" w:eastAsia="楷体_GB2312" w:cs="宋体"/>
                <w:kern w:val="0"/>
                <w:sz w:val="18"/>
              </w:rPr>
              <w:t>　5</w:t>
            </w:r>
          </w:p>
        </w:tc>
        <w:tc>
          <w:tcPr>
            <w:tcW w:w="84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18"/>
                <w:szCs w:val="24"/>
              </w:rPr>
            </w:pPr>
            <w:r>
              <w:rPr>
                <w:rFonts w:hint="eastAsia" w:ascii="宋体" w:hAnsi="宋体" w:eastAsia="宋体" w:cs="宋体"/>
                <w:kern w:val="0"/>
                <w:sz w:val="18"/>
                <w:szCs w:val="24"/>
              </w:rPr>
              <w:t>　</w:t>
            </w:r>
          </w:p>
        </w:tc>
        <w:tc>
          <w:tcPr>
            <w:tcW w:w="11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18"/>
                <w:szCs w:val="24"/>
              </w:rPr>
            </w:pPr>
            <w:r>
              <w:rPr>
                <w:rFonts w:hint="eastAsia" w:ascii="宋体" w:hAnsi="宋体" w:eastAsia="宋体" w:cs="宋体"/>
                <w:kern w:val="0"/>
                <w:sz w:val="18"/>
                <w:szCs w:val="24"/>
              </w:rPr>
              <w:t>　</w:t>
            </w:r>
          </w:p>
        </w:tc>
      </w:tr>
      <w:tr>
        <w:tblPrEx>
          <w:tblCellMar>
            <w:top w:w="0" w:type="dxa"/>
            <w:left w:w="108" w:type="dxa"/>
            <w:bottom w:w="0" w:type="dxa"/>
            <w:right w:w="108" w:type="dxa"/>
          </w:tblCellMar>
        </w:tblPrEx>
        <w:trPr>
          <w:trHeight w:val="1408" w:hRule="atLeast"/>
        </w:trPr>
        <w:tc>
          <w:tcPr>
            <w:tcW w:w="0" w:type="auto"/>
            <w:tcBorders>
              <w:top w:val="nil"/>
              <w:left w:val="single" w:color="auto" w:sz="4" w:space="0"/>
              <w:bottom w:val="single" w:color="auto" w:sz="4" w:space="0"/>
              <w:right w:val="single" w:color="auto" w:sz="4" w:space="0"/>
            </w:tcBorders>
            <w:shd w:val="clear" w:color="auto" w:fill="auto"/>
            <w:noWrap/>
            <w:textDirection w:val="tbRlV"/>
            <w:vAlign w:val="center"/>
          </w:tcPr>
          <w:p>
            <w:pPr>
              <w:widowControl/>
              <w:jc w:val="center"/>
              <w:rPr>
                <w:rFonts w:ascii="楷体_GB2312" w:hAnsi="宋体" w:eastAsia="楷体_GB2312" w:cs="宋体"/>
                <w:kern w:val="0"/>
                <w:sz w:val="18"/>
              </w:rPr>
            </w:pPr>
            <w:r>
              <w:rPr>
                <w:rFonts w:hint="eastAsia" w:ascii="楷体_GB2312" w:hAnsi="宋体" w:eastAsia="楷体_GB2312" w:cs="宋体"/>
                <w:kern w:val="0"/>
                <w:sz w:val="18"/>
              </w:rPr>
              <w:t>过程</w:t>
            </w:r>
          </w:p>
        </w:tc>
        <w:tc>
          <w:tcPr>
            <w:tcW w:w="0" w:type="auto"/>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kern w:val="0"/>
                <w:sz w:val="18"/>
              </w:rPr>
            </w:pPr>
            <w:r>
              <w:rPr>
                <w:rFonts w:hint="eastAsia" w:ascii="楷体_GB2312" w:hAnsi="宋体" w:eastAsia="楷体_GB2312" w:cs="宋体"/>
                <w:kern w:val="0"/>
                <w:sz w:val="18"/>
              </w:rPr>
              <w:t>预算管理（15分）</w:t>
            </w:r>
          </w:p>
        </w:tc>
        <w:tc>
          <w:tcPr>
            <w:tcW w:w="0" w:type="auto"/>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kern w:val="0"/>
                <w:sz w:val="18"/>
              </w:rPr>
            </w:pPr>
            <w:r>
              <w:rPr>
                <w:rFonts w:hint="eastAsia" w:ascii="楷体_GB2312" w:hAnsi="宋体" w:eastAsia="楷体_GB2312" w:cs="宋体"/>
                <w:kern w:val="0"/>
                <w:sz w:val="18"/>
              </w:rPr>
              <w:t>资金使用合规性</w:t>
            </w:r>
            <w:r>
              <w:rPr>
                <w:rFonts w:hint="eastAsia" w:ascii="楷体_GB2312" w:hAnsi="宋体" w:eastAsia="楷体_GB2312" w:cs="宋体"/>
                <w:kern w:val="0"/>
                <w:sz w:val="18"/>
              </w:rPr>
              <w:br w:type="textWrapping"/>
            </w:r>
            <w:r>
              <w:rPr>
                <w:rFonts w:hint="eastAsia" w:ascii="楷体_GB2312" w:hAnsi="宋体" w:eastAsia="楷体_GB2312" w:cs="宋体"/>
                <w:kern w:val="0"/>
                <w:sz w:val="18"/>
              </w:rPr>
              <w:t>（5分）</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楷体_GB2312" w:hAnsi="宋体" w:eastAsia="楷体_GB2312" w:cs="宋体"/>
                <w:kern w:val="0"/>
                <w:sz w:val="18"/>
              </w:rPr>
            </w:pPr>
            <w:r>
              <w:rPr>
                <w:rFonts w:hint="eastAsia" w:ascii="楷体_GB2312" w:hAnsi="宋体" w:eastAsia="楷体_GB2312" w:cs="宋体"/>
                <w:kern w:val="0"/>
                <w:sz w:val="18"/>
              </w:rPr>
              <w:t>5</w:t>
            </w:r>
          </w:p>
        </w:tc>
        <w:tc>
          <w:tcPr>
            <w:tcW w:w="0" w:type="auto"/>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kern w:val="0"/>
                <w:sz w:val="18"/>
              </w:rPr>
            </w:pPr>
            <w:r>
              <w:rPr>
                <w:rFonts w:hint="eastAsia" w:ascii="楷体_GB2312" w:hAnsi="宋体" w:eastAsia="楷体_GB2312" w:cs="宋体"/>
                <w:kern w:val="0"/>
                <w:sz w:val="18"/>
              </w:rPr>
              <w:t>部门（单位）使用预算资金是否符合相关的预算财务管理制度的规定，用以反映和考核部门（单位）预算资金的规范运行情况。</w:t>
            </w:r>
            <w:r>
              <w:rPr>
                <w:rFonts w:hint="eastAsia" w:ascii="楷体_GB2312" w:hAnsi="宋体" w:eastAsia="楷体_GB2312" w:cs="宋体"/>
                <w:kern w:val="0"/>
                <w:sz w:val="18"/>
              </w:rPr>
              <w:br w:type="textWrapping"/>
            </w:r>
            <w:r>
              <w:rPr>
                <w:rFonts w:hint="eastAsia" w:ascii="楷体_GB2312" w:hAnsi="宋体" w:eastAsia="楷体_GB2312" w:cs="宋体"/>
                <w:kern w:val="0"/>
                <w:sz w:val="18"/>
              </w:rPr>
              <w:t>1.符合国家财经法规和财务管理制度规定以及有关专项资金管理办法的规定；</w:t>
            </w:r>
            <w:r>
              <w:rPr>
                <w:rFonts w:hint="eastAsia" w:ascii="楷体_GB2312" w:hAnsi="宋体" w:eastAsia="楷体_GB2312" w:cs="宋体"/>
                <w:kern w:val="0"/>
                <w:sz w:val="18"/>
              </w:rPr>
              <w:br w:type="textWrapping"/>
            </w:r>
            <w:r>
              <w:rPr>
                <w:rFonts w:hint="eastAsia" w:ascii="楷体_GB2312" w:hAnsi="宋体" w:eastAsia="楷体_GB2312" w:cs="宋体"/>
                <w:kern w:val="0"/>
                <w:sz w:val="18"/>
              </w:rPr>
              <w:t>2.资金的拨付有完整的审批程序和手续；</w:t>
            </w:r>
            <w:r>
              <w:rPr>
                <w:rFonts w:hint="eastAsia" w:ascii="楷体_GB2312" w:hAnsi="宋体" w:eastAsia="楷体_GB2312" w:cs="宋体"/>
                <w:kern w:val="0"/>
                <w:sz w:val="18"/>
              </w:rPr>
              <w:br w:type="textWrapping"/>
            </w:r>
            <w:r>
              <w:rPr>
                <w:rFonts w:hint="eastAsia" w:ascii="楷体_GB2312" w:hAnsi="宋体" w:eastAsia="楷体_GB2312" w:cs="宋体"/>
                <w:kern w:val="0"/>
                <w:sz w:val="18"/>
              </w:rPr>
              <w:t>3.重大项目开支经过评估论证；</w:t>
            </w:r>
            <w:r>
              <w:rPr>
                <w:rFonts w:hint="eastAsia" w:ascii="楷体_GB2312" w:hAnsi="宋体" w:eastAsia="楷体_GB2312" w:cs="宋体"/>
                <w:kern w:val="0"/>
                <w:sz w:val="18"/>
              </w:rPr>
              <w:br w:type="textWrapping"/>
            </w:r>
            <w:r>
              <w:rPr>
                <w:rFonts w:hint="eastAsia" w:ascii="楷体_GB2312" w:hAnsi="宋体" w:eastAsia="楷体_GB2312" w:cs="宋体"/>
                <w:kern w:val="0"/>
                <w:sz w:val="18"/>
              </w:rPr>
              <w:t>4.符合部门预算批复的用途；</w:t>
            </w:r>
            <w:r>
              <w:rPr>
                <w:rFonts w:hint="eastAsia" w:ascii="楷体_GB2312" w:hAnsi="宋体" w:eastAsia="楷体_GB2312" w:cs="宋体"/>
                <w:kern w:val="0"/>
                <w:sz w:val="18"/>
              </w:rPr>
              <w:br w:type="textWrapping"/>
            </w:r>
            <w:r>
              <w:rPr>
                <w:rFonts w:hint="eastAsia" w:ascii="楷体_GB2312" w:hAnsi="宋体" w:eastAsia="楷体_GB2312" w:cs="宋体"/>
                <w:kern w:val="0"/>
                <w:sz w:val="18"/>
              </w:rPr>
              <w:t>5.不存在截留、挤占、挪用、虚列支出等情况。</w:t>
            </w:r>
          </w:p>
        </w:tc>
        <w:tc>
          <w:tcPr>
            <w:tcW w:w="0" w:type="auto"/>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kern w:val="0"/>
                <w:sz w:val="18"/>
              </w:rPr>
            </w:pPr>
            <w:r>
              <w:rPr>
                <w:rFonts w:hint="eastAsia" w:ascii="楷体_GB2312" w:hAnsi="宋体" w:eastAsia="楷体_GB2312" w:cs="宋体"/>
                <w:kern w:val="0"/>
                <w:sz w:val="18"/>
              </w:rPr>
              <w:t>全部符合5分,有1项不符扣2分。</w:t>
            </w:r>
          </w:p>
        </w:tc>
        <w:tc>
          <w:tcPr>
            <w:tcW w:w="0" w:type="auto"/>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kern w:val="0"/>
                <w:sz w:val="18"/>
              </w:rPr>
            </w:pPr>
            <w:r>
              <w:rPr>
                <w:rFonts w:hint="eastAsia" w:ascii="楷体_GB2312" w:hAnsi="宋体" w:eastAsia="楷体_GB2312" w:cs="宋体"/>
                <w:kern w:val="0"/>
                <w:sz w:val="18"/>
              </w:rPr>
              <w:t>　</w:t>
            </w:r>
          </w:p>
        </w:tc>
        <w:tc>
          <w:tcPr>
            <w:tcW w:w="0" w:type="auto"/>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kern w:val="0"/>
                <w:sz w:val="18"/>
              </w:rPr>
            </w:pPr>
            <w:r>
              <w:rPr>
                <w:rFonts w:hint="eastAsia" w:ascii="楷体_GB2312" w:hAnsi="宋体" w:eastAsia="楷体_GB2312" w:cs="宋体"/>
                <w:kern w:val="0"/>
                <w:sz w:val="18"/>
              </w:rPr>
              <w:t>　</w:t>
            </w:r>
          </w:p>
        </w:tc>
        <w:tc>
          <w:tcPr>
            <w:tcW w:w="0" w:type="auto"/>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kern w:val="0"/>
                <w:sz w:val="18"/>
              </w:rPr>
            </w:pPr>
            <w:r>
              <w:rPr>
                <w:rFonts w:hint="eastAsia" w:ascii="楷体_GB2312" w:hAnsi="宋体" w:eastAsia="楷体_GB2312" w:cs="宋体"/>
                <w:kern w:val="0"/>
                <w:sz w:val="18"/>
              </w:rPr>
              <w:t>　</w:t>
            </w:r>
          </w:p>
        </w:tc>
        <w:tc>
          <w:tcPr>
            <w:tcW w:w="0" w:type="auto"/>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kern w:val="0"/>
                <w:sz w:val="18"/>
              </w:rPr>
            </w:pPr>
            <w:r>
              <w:rPr>
                <w:rFonts w:hint="eastAsia" w:ascii="楷体_GB2312" w:hAnsi="宋体" w:eastAsia="楷体_GB2312" w:cs="宋体"/>
                <w:kern w:val="0"/>
                <w:sz w:val="18"/>
              </w:rPr>
              <w:t>　5</w:t>
            </w:r>
          </w:p>
        </w:tc>
        <w:tc>
          <w:tcPr>
            <w:tcW w:w="84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18"/>
                <w:szCs w:val="24"/>
              </w:rPr>
            </w:pPr>
            <w:r>
              <w:rPr>
                <w:rFonts w:hint="eastAsia" w:ascii="宋体" w:hAnsi="宋体" w:eastAsia="宋体" w:cs="宋体"/>
                <w:kern w:val="0"/>
                <w:sz w:val="18"/>
                <w:szCs w:val="24"/>
              </w:rPr>
              <w:t>　</w:t>
            </w:r>
          </w:p>
        </w:tc>
        <w:tc>
          <w:tcPr>
            <w:tcW w:w="11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18"/>
                <w:szCs w:val="24"/>
              </w:rPr>
            </w:pPr>
            <w:r>
              <w:rPr>
                <w:rFonts w:hint="eastAsia" w:ascii="宋体" w:hAnsi="宋体" w:eastAsia="宋体" w:cs="宋体"/>
                <w:kern w:val="0"/>
                <w:sz w:val="18"/>
                <w:szCs w:val="24"/>
              </w:rPr>
              <w:t>　</w:t>
            </w:r>
          </w:p>
        </w:tc>
      </w:tr>
      <w:tr>
        <w:tblPrEx>
          <w:tblCellMar>
            <w:top w:w="0" w:type="dxa"/>
            <w:left w:w="108" w:type="dxa"/>
            <w:bottom w:w="0" w:type="dxa"/>
            <w:right w:w="108" w:type="dxa"/>
          </w:tblCellMar>
        </w:tblPrEx>
        <w:trPr>
          <w:trHeight w:val="1635" w:hRule="atLeast"/>
        </w:trPr>
        <w:tc>
          <w:tcPr>
            <w:tcW w:w="0" w:type="auto"/>
            <w:vMerge w:val="restart"/>
            <w:tcBorders>
              <w:top w:val="nil"/>
              <w:left w:val="single" w:color="auto" w:sz="4" w:space="0"/>
              <w:bottom w:val="single" w:color="auto" w:sz="4" w:space="0"/>
              <w:right w:val="single" w:color="auto" w:sz="4" w:space="0"/>
            </w:tcBorders>
            <w:shd w:val="clear" w:color="auto" w:fill="auto"/>
            <w:noWrap/>
            <w:textDirection w:val="tbRlV"/>
            <w:vAlign w:val="center"/>
          </w:tcPr>
          <w:p>
            <w:pPr>
              <w:widowControl/>
              <w:jc w:val="center"/>
              <w:rPr>
                <w:rFonts w:ascii="楷体_GB2312" w:hAnsi="宋体" w:eastAsia="楷体_GB2312" w:cs="宋体"/>
                <w:kern w:val="0"/>
                <w:sz w:val="18"/>
              </w:rPr>
            </w:pPr>
            <w:r>
              <w:rPr>
                <w:rFonts w:hint="eastAsia" w:ascii="楷体_GB2312" w:hAnsi="宋体" w:eastAsia="楷体_GB2312" w:cs="宋体"/>
                <w:kern w:val="0"/>
                <w:sz w:val="18"/>
              </w:rPr>
              <w:t>效果</w:t>
            </w:r>
          </w:p>
        </w:tc>
        <w:tc>
          <w:tcPr>
            <w:tcW w:w="0" w:type="auto"/>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楷体_GB2312" w:hAnsi="宋体" w:eastAsia="楷体_GB2312" w:cs="宋体"/>
                <w:kern w:val="0"/>
                <w:sz w:val="18"/>
              </w:rPr>
            </w:pPr>
            <w:r>
              <w:rPr>
                <w:rFonts w:hint="eastAsia" w:ascii="楷体_GB2312" w:hAnsi="宋体" w:eastAsia="楷体_GB2312" w:cs="宋体"/>
                <w:kern w:val="0"/>
                <w:sz w:val="18"/>
              </w:rPr>
              <w:t>履职尽责（60分）</w:t>
            </w:r>
          </w:p>
        </w:tc>
        <w:tc>
          <w:tcPr>
            <w:tcW w:w="0" w:type="auto"/>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kern w:val="0"/>
                <w:sz w:val="18"/>
              </w:rPr>
            </w:pPr>
            <w:r>
              <w:rPr>
                <w:rFonts w:hint="eastAsia" w:ascii="楷体_GB2312" w:hAnsi="宋体" w:eastAsia="楷体_GB2312" w:cs="宋体"/>
                <w:kern w:val="0"/>
                <w:sz w:val="18"/>
              </w:rPr>
              <w:t>项目产出</w:t>
            </w:r>
            <w:r>
              <w:rPr>
                <w:rFonts w:hint="eastAsia" w:ascii="楷体_GB2312" w:hAnsi="宋体" w:eastAsia="楷体_GB2312" w:cs="宋体"/>
                <w:kern w:val="0"/>
                <w:sz w:val="18"/>
              </w:rPr>
              <w:br w:type="textWrapping"/>
            </w:r>
            <w:r>
              <w:rPr>
                <w:rFonts w:hint="eastAsia" w:ascii="楷体_GB2312" w:hAnsi="宋体" w:eastAsia="楷体_GB2312" w:cs="宋体"/>
                <w:kern w:val="0"/>
                <w:sz w:val="18"/>
              </w:rPr>
              <w:t>（40分）</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楷体_GB2312" w:hAnsi="宋体" w:eastAsia="楷体_GB2312" w:cs="宋体"/>
                <w:kern w:val="0"/>
                <w:sz w:val="18"/>
              </w:rPr>
            </w:pPr>
            <w:r>
              <w:rPr>
                <w:rFonts w:hint="eastAsia" w:ascii="楷体_GB2312" w:hAnsi="宋体" w:eastAsia="楷体_GB2312" w:cs="宋体"/>
                <w:kern w:val="0"/>
                <w:sz w:val="18"/>
              </w:rPr>
              <w:t>40</w:t>
            </w:r>
          </w:p>
        </w:tc>
        <w:tc>
          <w:tcPr>
            <w:tcW w:w="0" w:type="auto"/>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kern w:val="0"/>
                <w:sz w:val="18"/>
              </w:rPr>
            </w:pPr>
            <w:r>
              <w:rPr>
                <w:rFonts w:hint="eastAsia" w:ascii="楷体_GB2312" w:hAnsi="宋体" w:eastAsia="楷体_GB2312" w:cs="宋体"/>
                <w:kern w:val="0"/>
                <w:sz w:val="18"/>
              </w:rPr>
              <w:t>　</w:t>
            </w:r>
          </w:p>
        </w:tc>
        <w:tc>
          <w:tcPr>
            <w:tcW w:w="0" w:type="auto"/>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ascii="楷体_GB2312" w:hAnsi="宋体" w:eastAsia="楷体_GB2312" w:cs="宋体"/>
                <w:kern w:val="0"/>
                <w:sz w:val="18"/>
              </w:rPr>
            </w:pPr>
            <w:r>
              <w:rPr>
                <w:rFonts w:hint="eastAsia" w:ascii="楷体_GB2312" w:hAnsi="宋体" w:eastAsia="楷体_GB2312" w:cs="宋体"/>
                <w:kern w:val="0"/>
                <w:sz w:val="18"/>
              </w:rPr>
              <w:t>1.若为定性指标，根据“三档”原则分别按照指标分值的100-80%（含）、80-50%（含）、50-10%来记分；</w:t>
            </w:r>
            <w:r>
              <w:rPr>
                <w:rFonts w:hint="eastAsia" w:ascii="楷体_GB2312" w:hAnsi="宋体" w:eastAsia="楷体_GB2312" w:cs="宋体"/>
                <w:kern w:val="0"/>
                <w:sz w:val="18"/>
              </w:rPr>
              <w:br w:type="textWrapping"/>
            </w:r>
            <w:r>
              <w:rPr>
                <w:rFonts w:hint="eastAsia" w:ascii="楷体_GB2312" w:hAnsi="宋体" w:eastAsia="楷体_GB2312" w:cs="宋体"/>
                <w:kern w:val="0"/>
                <w:sz w:val="18"/>
              </w:rPr>
              <w:t>2.若为定量指标，完成值达到指标值，记满分；未达到指标值，按完成比率计分，正向指标（即指标值为≥*）得分＝实际完成值/年初目标值*该指标分值，反向指标（即指标值为≤*）得分＝年初目标值/实际完成值*该指标分值。</w:t>
            </w:r>
          </w:p>
        </w:tc>
        <w:tc>
          <w:tcPr>
            <w:tcW w:w="0" w:type="auto"/>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kern w:val="0"/>
                <w:sz w:val="18"/>
              </w:rPr>
            </w:pPr>
            <w:r>
              <w:rPr>
                <w:rFonts w:hint="eastAsia" w:ascii="楷体_GB2312" w:hAnsi="宋体" w:eastAsia="楷体_GB2312" w:cs="宋体"/>
                <w:kern w:val="0"/>
                <w:sz w:val="18"/>
              </w:rPr>
              <w:t>　</w:t>
            </w:r>
          </w:p>
        </w:tc>
        <w:tc>
          <w:tcPr>
            <w:tcW w:w="0" w:type="auto"/>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kern w:val="0"/>
                <w:sz w:val="18"/>
              </w:rPr>
            </w:pPr>
            <w:r>
              <w:rPr>
                <w:rFonts w:hint="eastAsia" w:ascii="楷体_GB2312" w:hAnsi="宋体" w:eastAsia="楷体_GB2312" w:cs="宋体"/>
                <w:kern w:val="0"/>
                <w:sz w:val="18"/>
              </w:rPr>
              <w:t>　</w:t>
            </w:r>
          </w:p>
        </w:tc>
        <w:tc>
          <w:tcPr>
            <w:tcW w:w="0" w:type="auto"/>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kern w:val="0"/>
                <w:sz w:val="18"/>
              </w:rPr>
            </w:pPr>
            <w:r>
              <w:rPr>
                <w:rFonts w:hint="eastAsia" w:ascii="楷体_GB2312" w:hAnsi="宋体" w:eastAsia="楷体_GB2312" w:cs="宋体"/>
                <w:kern w:val="0"/>
                <w:sz w:val="18"/>
              </w:rPr>
              <w:t>　</w:t>
            </w:r>
          </w:p>
        </w:tc>
        <w:tc>
          <w:tcPr>
            <w:tcW w:w="0" w:type="auto"/>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kern w:val="0"/>
                <w:sz w:val="18"/>
              </w:rPr>
            </w:pPr>
            <w:r>
              <w:rPr>
                <w:rFonts w:hint="eastAsia" w:ascii="楷体_GB2312" w:hAnsi="宋体" w:eastAsia="楷体_GB2312" w:cs="宋体"/>
                <w:kern w:val="0"/>
                <w:sz w:val="18"/>
              </w:rPr>
              <w:t>40　</w:t>
            </w:r>
          </w:p>
        </w:tc>
        <w:tc>
          <w:tcPr>
            <w:tcW w:w="84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18"/>
                <w:szCs w:val="24"/>
              </w:rPr>
            </w:pPr>
            <w:r>
              <w:rPr>
                <w:rFonts w:hint="eastAsia" w:ascii="宋体" w:hAnsi="宋体" w:eastAsia="宋体" w:cs="宋体"/>
                <w:kern w:val="0"/>
                <w:sz w:val="18"/>
                <w:szCs w:val="24"/>
              </w:rPr>
              <w:t>　</w:t>
            </w:r>
          </w:p>
        </w:tc>
        <w:tc>
          <w:tcPr>
            <w:tcW w:w="11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18"/>
                <w:szCs w:val="24"/>
              </w:rPr>
            </w:pPr>
            <w:r>
              <w:rPr>
                <w:rFonts w:hint="eastAsia" w:ascii="宋体" w:hAnsi="宋体" w:eastAsia="宋体" w:cs="宋体"/>
                <w:kern w:val="0"/>
                <w:sz w:val="18"/>
                <w:szCs w:val="24"/>
              </w:rPr>
              <w:t>　</w:t>
            </w:r>
          </w:p>
        </w:tc>
      </w:tr>
      <w:tr>
        <w:tblPrEx>
          <w:tblCellMar>
            <w:top w:w="0" w:type="dxa"/>
            <w:left w:w="108" w:type="dxa"/>
            <w:bottom w:w="0" w:type="dxa"/>
            <w:right w:w="108" w:type="dxa"/>
          </w:tblCellMar>
        </w:tblPrEx>
        <w:trPr>
          <w:trHeight w:val="1635" w:hRule="atLeast"/>
        </w:trPr>
        <w:tc>
          <w:tcPr>
            <w:tcW w:w="0" w:type="auto"/>
            <w:vMerge w:val="continue"/>
            <w:tcBorders>
              <w:top w:val="nil"/>
              <w:left w:val="single" w:color="auto" w:sz="4" w:space="0"/>
              <w:bottom w:val="single" w:color="auto" w:sz="4" w:space="0"/>
              <w:right w:val="single" w:color="auto" w:sz="4" w:space="0"/>
            </w:tcBorders>
            <w:vAlign w:val="center"/>
          </w:tcPr>
          <w:p>
            <w:pPr>
              <w:widowControl/>
              <w:jc w:val="left"/>
              <w:rPr>
                <w:rFonts w:ascii="楷体_GB2312" w:hAnsi="宋体" w:eastAsia="楷体_GB2312" w:cs="宋体"/>
                <w:kern w:val="0"/>
                <w:sz w:val="18"/>
              </w:rPr>
            </w:pPr>
          </w:p>
        </w:tc>
        <w:tc>
          <w:tcPr>
            <w:tcW w:w="0" w:type="auto"/>
            <w:vMerge w:val="continue"/>
            <w:tcBorders>
              <w:top w:val="nil"/>
              <w:left w:val="single" w:color="auto" w:sz="4" w:space="0"/>
              <w:bottom w:val="single" w:color="auto" w:sz="4" w:space="0"/>
              <w:right w:val="single" w:color="auto" w:sz="4" w:space="0"/>
            </w:tcBorders>
            <w:vAlign w:val="center"/>
          </w:tcPr>
          <w:p>
            <w:pPr>
              <w:widowControl/>
              <w:jc w:val="left"/>
              <w:rPr>
                <w:rFonts w:ascii="楷体_GB2312" w:hAnsi="宋体" w:eastAsia="楷体_GB2312" w:cs="宋体"/>
                <w:kern w:val="0"/>
                <w:sz w:val="18"/>
              </w:rPr>
            </w:pPr>
          </w:p>
        </w:tc>
        <w:tc>
          <w:tcPr>
            <w:tcW w:w="0" w:type="auto"/>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kern w:val="0"/>
                <w:sz w:val="18"/>
              </w:rPr>
            </w:pPr>
            <w:r>
              <w:rPr>
                <w:rFonts w:hint="eastAsia" w:ascii="楷体_GB2312" w:hAnsi="宋体" w:eastAsia="楷体_GB2312" w:cs="宋体"/>
                <w:kern w:val="0"/>
                <w:sz w:val="18"/>
              </w:rPr>
              <w:t>项目效益</w:t>
            </w:r>
            <w:r>
              <w:rPr>
                <w:rFonts w:hint="eastAsia" w:ascii="楷体_GB2312" w:hAnsi="宋体" w:eastAsia="楷体_GB2312" w:cs="宋体"/>
                <w:kern w:val="0"/>
                <w:sz w:val="18"/>
              </w:rPr>
              <w:br w:type="textWrapping"/>
            </w:r>
            <w:r>
              <w:rPr>
                <w:rFonts w:hint="eastAsia" w:ascii="楷体_GB2312" w:hAnsi="宋体" w:eastAsia="楷体_GB2312" w:cs="宋体"/>
                <w:kern w:val="0"/>
                <w:sz w:val="18"/>
              </w:rPr>
              <w:t>（20分）</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楷体_GB2312" w:hAnsi="宋体" w:eastAsia="楷体_GB2312" w:cs="宋体"/>
                <w:kern w:val="0"/>
                <w:sz w:val="18"/>
              </w:rPr>
            </w:pPr>
            <w:r>
              <w:rPr>
                <w:rFonts w:hint="eastAsia" w:ascii="楷体_GB2312" w:hAnsi="宋体" w:eastAsia="楷体_GB2312" w:cs="宋体"/>
                <w:kern w:val="0"/>
                <w:sz w:val="18"/>
              </w:rPr>
              <w:t>20</w:t>
            </w:r>
          </w:p>
        </w:tc>
        <w:tc>
          <w:tcPr>
            <w:tcW w:w="0" w:type="auto"/>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kern w:val="0"/>
                <w:sz w:val="18"/>
              </w:rPr>
            </w:pPr>
            <w:r>
              <w:rPr>
                <w:rFonts w:hint="eastAsia" w:ascii="楷体_GB2312" w:hAnsi="宋体" w:eastAsia="楷体_GB2312" w:cs="宋体"/>
                <w:kern w:val="0"/>
                <w:sz w:val="18"/>
              </w:rPr>
              <w:t>　</w:t>
            </w:r>
          </w:p>
        </w:tc>
        <w:tc>
          <w:tcPr>
            <w:tcW w:w="0" w:type="auto"/>
            <w:vMerge w:val="continue"/>
            <w:tcBorders>
              <w:top w:val="nil"/>
              <w:left w:val="single" w:color="auto" w:sz="4" w:space="0"/>
              <w:bottom w:val="single" w:color="auto" w:sz="4" w:space="0"/>
              <w:right w:val="single" w:color="auto" w:sz="4" w:space="0"/>
            </w:tcBorders>
            <w:vAlign w:val="center"/>
          </w:tcPr>
          <w:p>
            <w:pPr>
              <w:widowControl/>
              <w:jc w:val="left"/>
              <w:rPr>
                <w:rFonts w:ascii="楷体_GB2312" w:hAnsi="宋体" w:eastAsia="楷体_GB2312" w:cs="宋体"/>
                <w:kern w:val="0"/>
                <w:sz w:val="18"/>
              </w:rPr>
            </w:pPr>
          </w:p>
        </w:tc>
        <w:tc>
          <w:tcPr>
            <w:tcW w:w="0" w:type="auto"/>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kern w:val="0"/>
                <w:sz w:val="18"/>
              </w:rPr>
            </w:pPr>
            <w:r>
              <w:rPr>
                <w:rFonts w:hint="eastAsia" w:ascii="楷体_GB2312" w:hAnsi="宋体" w:eastAsia="楷体_GB2312" w:cs="宋体"/>
                <w:kern w:val="0"/>
                <w:sz w:val="18"/>
              </w:rPr>
              <w:t>　</w:t>
            </w:r>
          </w:p>
        </w:tc>
        <w:tc>
          <w:tcPr>
            <w:tcW w:w="0" w:type="auto"/>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kern w:val="0"/>
                <w:sz w:val="18"/>
              </w:rPr>
            </w:pPr>
            <w:r>
              <w:rPr>
                <w:rFonts w:hint="eastAsia" w:ascii="楷体_GB2312" w:hAnsi="宋体" w:eastAsia="楷体_GB2312" w:cs="宋体"/>
                <w:kern w:val="0"/>
                <w:sz w:val="18"/>
              </w:rPr>
              <w:t>　</w:t>
            </w:r>
          </w:p>
        </w:tc>
        <w:tc>
          <w:tcPr>
            <w:tcW w:w="0" w:type="auto"/>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kern w:val="0"/>
                <w:sz w:val="18"/>
              </w:rPr>
            </w:pPr>
            <w:r>
              <w:rPr>
                <w:rFonts w:hint="eastAsia" w:ascii="楷体_GB2312" w:hAnsi="宋体" w:eastAsia="楷体_GB2312" w:cs="宋体"/>
                <w:kern w:val="0"/>
                <w:sz w:val="18"/>
              </w:rPr>
              <w:t>　</w:t>
            </w:r>
          </w:p>
        </w:tc>
        <w:tc>
          <w:tcPr>
            <w:tcW w:w="0" w:type="auto"/>
            <w:tcBorders>
              <w:top w:val="nil"/>
              <w:left w:val="nil"/>
              <w:bottom w:val="single" w:color="auto" w:sz="4" w:space="0"/>
              <w:right w:val="single" w:color="auto" w:sz="4" w:space="0"/>
            </w:tcBorders>
            <w:shd w:val="clear" w:color="auto" w:fill="auto"/>
            <w:vAlign w:val="center"/>
          </w:tcPr>
          <w:p>
            <w:pPr>
              <w:widowControl/>
              <w:jc w:val="left"/>
              <w:rPr>
                <w:rFonts w:ascii="楷体_GB2312" w:hAnsi="宋体" w:eastAsia="楷体_GB2312" w:cs="宋体"/>
                <w:kern w:val="0"/>
                <w:sz w:val="18"/>
              </w:rPr>
            </w:pPr>
            <w:r>
              <w:rPr>
                <w:rFonts w:hint="eastAsia" w:ascii="楷体_GB2312" w:hAnsi="宋体" w:eastAsia="楷体_GB2312" w:cs="宋体"/>
                <w:kern w:val="0"/>
                <w:sz w:val="18"/>
              </w:rPr>
              <w:t>　20</w:t>
            </w:r>
          </w:p>
        </w:tc>
        <w:tc>
          <w:tcPr>
            <w:tcW w:w="84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18"/>
                <w:szCs w:val="24"/>
              </w:rPr>
            </w:pPr>
            <w:r>
              <w:rPr>
                <w:rFonts w:hint="eastAsia" w:ascii="宋体" w:hAnsi="宋体" w:eastAsia="宋体" w:cs="宋体"/>
                <w:kern w:val="0"/>
                <w:sz w:val="18"/>
                <w:szCs w:val="24"/>
              </w:rPr>
              <w:t>　</w:t>
            </w:r>
          </w:p>
        </w:tc>
        <w:tc>
          <w:tcPr>
            <w:tcW w:w="111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18"/>
                <w:szCs w:val="24"/>
              </w:rPr>
            </w:pPr>
            <w:r>
              <w:rPr>
                <w:rFonts w:hint="eastAsia" w:ascii="宋体" w:hAnsi="宋体" w:eastAsia="宋体" w:cs="宋体"/>
                <w:kern w:val="0"/>
                <w:sz w:val="18"/>
                <w:szCs w:val="24"/>
              </w:rPr>
              <w:t>　</w:t>
            </w:r>
          </w:p>
        </w:tc>
      </w:tr>
      <w:tr>
        <w:tblPrEx>
          <w:tblCellMar>
            <w:top w:w="0" w:type="dxa"/>
            <w:left w:w="108" w:type="dxa"/>
            <w:bottom w:w="0" w:type="dxa"/>
            <w:right w:w="108" w:type="dxa"/>
          </w:tblCellMar>
        </w:tblPrEx>
        <w:trPr>
          <w:trHeight w:val="1395" w:hRule="atLeast"/>
        </w:trPr>
        <w:tc>
          <w:tcPr>
            <w:tcW w:w="0" w:type="auto"/>
            <w:gridSpan w:val="1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atLeast"/>
              <w:jc w:val="left"/>
              <w:rPr>
                <w:rFonts w:ascii="宋体" w:hAnsi="宋体" w:eastAsia="宋体" w:cs="宋体"/>
                <w:kern w:val="0"/>
                <w:sz w:val="18"/>
              </w:rPr>
            </w:pPr>
            <w:r>
              <w:rPr>
                <w:rFonts w:hint="eastAsia" w:ascii="宋体" w:hAnsi="宋体" w:eastAsia="宋体" w:cs="宋体"/>
                <w:kern w:val="0"/>
                <w:sz w:val="13"/>
              </w:rPr>
              <w:t>备注：</w:t>
            </w:r>
            <w:r>
              <w:rPr>
                <w:rFonts w:hint="eastAsia" w:ascii="宋体" w:hAnsi="宋体" w:eastAsia="宋体" w:cs="宋体"/>
                <w:kern w:val="0"/>
                <w:sz w:val="13"/>
              </w:rPr>
              <w:br w:type="textWrapping"/>
            </w:r>
            <w:r>
              <w:rPr>
                <w:rFonts w:hint="eastAsia" w:ascii="宋体" w:hAnsi="宋体" w:eastAsia="宋体" w:cs="宋体"/>
                <w:kern w:val="0"/>
                <w:sz w:val="13"/>
              </w:rPr>
              <w:t>1.“项目产出”和“项目效果”直接细化成部门年初绩效目标中的指标，并根据重要程度赋权。</w:t>
            </w:r>
            <w:r>
              <w:rPr>
                <w:rFonts w:hint="eastAsia" w:ascii="宋体" w:hAnsi="宋体" w:eastAsia="宋体" w:cs="宋体"/>
                <w:kern w:val="0"/>
                <w:sz w:val="13"/>
              </w:rPr>
              <w:br w:type="textWrapping"/>
            </w:r>
            <w:r>
              <w:rPr>
                <w:rFonts w:hint="eastAsia" w:ascii="宋体" w:hAnsi="宋体" w:eastAsia="宋体" w:cs="宋体"/>
                <w:kern w:val="0"/>
                <w:sz w:val="13"/>
              </w:rPr>
              <w:t>2.“绩效指标分析”是指参考历史数据、行业标准及绩效目标实际完成情况等相关资料，从“是否与项目密切相关，指标值是否可获取，指标值设置是否合理”等角度，从产出和效果类指标中找出需要改进的指标，并逐项提出次年的编制意见和建议。</w:t>
            </w:r>
          </w:p>
        </w:tc>
      </w:tr>
    </w:tbl>
    <w:p>
      <w:pPr>
        <w:rPr>
          <w:rFonts w:ascii="黑体" w:hAnsi="黑体" w:eastAsia="黑体"/>
          <w:color w:val="000000"/>
          <w:kern w:val="0"/>
          <w:szCs w:val="32"/>
        </w:rPr>
        <w:sectPr>
          <w:pgSz w:w="16838" w:h="11906" w:orient="landscape"/>
          <w:pgMar w:top="1077" w:right="1134" w:bottom="1077" w:left="1134" w:header="851" w:footer="992" w:gutter="0"/>
          <w:cols w:space="425" w:num="1"/>
          <w:docGrid w:type="linesAndChars" w:linePitch="435" w:charSpace="0"/>
        </w:sectPr>
      </w:pPr>
    </w:p>
    <w:p>
      <w:pPr>
        <w:ind w:firstLine="640" w:firstLineChars="200"/>
        <w:rPr>
          <w:rFonts w:ascii="黑体" w:hAnsi="黑体" w:eastAsia="黑体"/>
          <w:szCs w:val="32"/>
        </w:rPr>
      </w:pPr>
      <w:r>
        <w:rPr>
          <w:rFonts w:hint="eastAsia" w:ascii="黑体" w:hAnsi="黑体" w:eastAsia="黑体"/>
          <w:color w:val="000000"/>
          <w:kern w:val="0"/>
          <w:szCs w:val="32"/>
        </w:rPr>
        <w:t>十一、其他重要事项说明</w:t>
      </w:r>
    </w:p>
    <w:p>
      <w:pPr>
        <w:widowControl/>
        <w:ind w:firstLine="643" w:firstLineChars="200"/>
        <w:jc w:val="left"/>
      </w:pPr>
      <w:r>
        <w:rPr>
          <w:rFonts w:ascii="楷体_GB2312" w:hAnsi="宋体" w:eastAsia="楷体_GB2312" w:cs="楷体_GB2312"/>
          <w:b/>
          <w:color w:val="000000"/>
          <w:kern w:val="0"/>
          <w:szCs w:val="32"/>
        </w:rPr>
        <w:t>（一）机关运行经费支出情况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 xml:space="preserve">。 </w:t>
      </w:r>
    </w:p>
    <w:p>
      <w:pPr>
        <w:widowControl/>
        <w:ind w:firstLine="640" w:firstLineChars="200"/>
        <w:jc w:val="left"/>
        <w:rPr>
          <w:rFonts w:ascii="仿宋_GB2312" w:hAnsi="宋体" w:eastAsia="仿宋_GB2312" w:cs="仿宋_GB2312"/>
          <w:color w:val="000000"/>
          <w:kern w:val="0"/>
          <w:szCs w:val="32"/>
        </w:rPr>
      </w:pPr>
      <w:r>
        <w:rPr>
          <w:rFonts w:hint="eastAsia" w:ascii="仿宋_GB2312" w:hAnsi="仿宋_GB2312" w:eastAsia="仿宋_GB2312" w:cs="仿宋_GB2312"/>
          <w:szCs w:val="32"/>
        </w:rPr>
        <w:t>示例：</w:t>
      </w:r>
      <w:r>
        <w:rPr>
          <w:rFonts w:ascii="仿宋_GB2312" w:hAnsi="仿宋_GB2312" w:eastAsia="仿宋_GB2312" w:cs="仿宋_GB2312"/>
          <w:color w:val="000000"/>
          <w:kern w:val="0"/>
          <w:sz w:val="31"/>
          <w:szCs w:val="31"/>
        </w:rPr>
        <w:t>2019年</w:t>
      </w:r>
      <w:r>
        <w:rPr>
          <w:rFonts w:hint="eastAsia" w:ascii="仿宋_GB2312" w:hAnsi="仿宋_GB2312" w:eastAsia="仿宋_GB2312" w:cs="仿宋_GB2312"/>
          <w:color w:val="000000"/>
          <w:kern w:val="0"/>
          <w:sz w:val="31"/>
          <w:szCs w:val="31"/>
        </w:rPr>
        <w:t>度</w:t>
      </w:r>
      <w:r>
        <w:rPr>
          <w:rFonts w:ascii="仿宋_GB2312" w:hAnsi="仿宋_GB2312" w:eastAsia="仿宋_GB2312" w:cs="仿宋_GB2312"/>
          <w:color w:val="000000"/>
          <w:kern w:val="0"/>
          <w:sz w:val="31"/>
          <w:szCs w:val="31"/>
        </w:rPr>
        <w:t>机关运行经费</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rPr>
        <w:t>8</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rPr>
        <w:t>3.94</w:t>
      </w:r>
      <w:r>
        <w:rPr>
          <w:rFonts w:ascii="仿宋_GB2312" w:hAnsi="宋体" w:eastAsia="仿宋_GB2312" w:cs="仿宋_GB2312"/>
          <w:color w:val="000000"/>
          <w:kern w:val="0"/>
          <w:szCs w:val="32"/>
        </w:rPr>
        <w:t>万元，完成预算的</w:t>
      </w:r>
      <w:r>
        <w:rPr>
          <w:rFonts w:hint="eastAsia" w:ascii="仿宋_GB2312" w:hAnsi="宋体" w:eastAsia="仿宋_GB2312" w:cs="仿宋_GB2312"/>
          <w:color w:val="000000"/>
          <w:kern w:val="0"/>
          <w:szCs w:val="32"/>
        </w:rPr>
        <w:t>49.25</w:t>
      </w:r>
      <w:r>
        <w:rPr>
          <w:rFonts w:ascii="仿宋_GB2312" w:hAnsi="宋体" w:eastAsia="仿宋_GB2312" w:cs="仿宋_GB2312"/>
          <w:color w:val="000000"/>
          <w:kern w:val="0"/>
          <w:szCs w:val="32"/>
        </w:rPr>
        <w:t>%。决算数</w:t>
      </w:r>
      <w:r>
        <w:rPr>
          <w:rFonts w:hint="eastAsia" w:ascii="仿宋_GB2312" w:hAnsi="宋体" w:eastAsia="仿宋_GB2312" w:cs="仿宋_GB2312"/>
          <w:color w:val="000000"/>
          <w:kern w:val="0"/>
          <w:szCs w:val="32"/>
        </w:rPr>
        <w:t>较</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rPr>
        <w:t>减少4.06万元，</w:t>
      </w:r>
      <w:r>
        <w:rPr>
          <w:rFonts w:ascii="仿宋_GB2312" w:hAnsi="宋体" w:eastAsia="仿宋_GB2312" w:cs="仿宋_GB2312"/>
          <w:color w:val="000000"/>
          <w:kern w:val="0"/>
          <w:szCs w:val="32"/>
        </w:rPr>
        <w:t>主要原因是</w:t>
      </w:r>
      <w:r>
        <w:rPr>
          <w:rFonts w:hint="eastAsia" w:ascii="仿宋_GB2312" w:hAnsi="宋体" w:eastAsia="仿宋_GB2312" w:cs="仿宋_GB2312"/>
          <w:color w:val="000000"/>
          <w:kern w:val="0"/>
          <w:szCs w:val="32"/>
        </w:rPr>
        <w:t>厉行节约，压缩经费。</w:t>
      </w:r>
    </w:p>
    <w:p>
      <w:pPr>
        <w:widowControl/>
        <w:ind w:firstLine="643" w:firstLine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（二）政府采购支出情况说明。</w:t>
      </w:r>
    </w:p>
    <w:p>
      <w:pPr>
        <w:widowControl/>
        <w:ind w:firstLine="640" w:firstLineChars="200"/>
        <w:jc w:val="left"/>
        <w:rPr>
          <w:rFonts w:ascii="仿宋_GB2312" w:hAnsi="仿宋_GB2312" w:eastAsia="仿宋_GB2312" w:cs="仿宋_GB2312"/>
          <w:szCs w:val="32"/>
        </w:rPr>
      </w:pPr>
      <w:r>
        <w:rPr>
          <w:rFonts w:hint="eastAsia" w:ascii="仿宋_GB2312" w:hAnsi="仿宋_GB2312" w:eastAsia="仿宋_GB2312" w:cs="仿宋_GB2312"/>
          <w:szCs w:val="32"/>
        </w:rPr>
        <w:t>示例：2019年度本部门政府采购支出总额共216.7万元，其中政府采购货物类支出0万元、政府采购服务类支出0万元、政府采购工程类支出216.7万元。</w:t>
      </w:r>
    </w:p>
    <w:p>
      <w:pPr>
        <w:widowControl/>
        <w:ind w:firstLine="643" w:firstLine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（三）国有资产占用及购置情况说明。</w:t>
      </w:r>
    </w:p>
    <w:p>
      <w:pPr>
        <w:ind w:firstLine="640"/>
        <w:rPr>
          <w:rFonts w:ascii="仿宋_GB2312" w:hAnsi="仿宋_GB2312" w:eastAsia="仿宋_GB2312" w:cs="仿宋_GB2312"/>
          <w:szCs w:val="32"/>
        </w:rPr>
      </w:pPr>
      <w:r>
        <w:rPr>
          <w:rFonts w:hint="eastAsia" w:ascii="仿宋_GB2312" w:hAnsi="仿宋_GB2312" w:eastAsia="仿宋_GB2312" w:cs="仿宋_GB2312"/>
          <w:szCs w:val="32"/>
        </w:rPr>
        <w:t>示例：截至2019年末，本部门机关及所属单位共有车辆1辆；单价50万元以上的通用设备0台（套）；单价100万元以上的专用设备0台（套）。201</w:t>
      </w:r>
      <w:r>
        <w:rPr>
          <w:rFonts w:ascii="仿宋_GB2312" w:hAnsi="仿宋_GB2312" w:eastAsia="仿宋_GB2312" w:cs="仿宋_GB2312"/>
          <w:szCs w:val="32"/>
        </w:rPr>
        <w:t>9</w:t>
      </w:r>
      <w:r>
        <w:rPr>
          <w:rFonts w:hint="eastAsia" w:ascii="仿宋_GB2312" w:hAnsi="仿宋_GB2312" w:eastAsia="仿宋_GB2312" w:cs="仿宋_GB2312"/>
          <w:szCs w:val="32"/>
        </w:rPr>
        <w:t>年当年购置车辆0辆；购置单价50万元以上的通用设备0台（套）；购置单价100万元以上的专用设备0台（套）。</w:t>
      </w:r>
    </w:p>
    <w:p>
      <w:pPr>
        <w:widowControl/>
        <w:jc w:val="left"/>
        <w:rPr>
          <w:rFonts w:ascii="黑体" w:hAnsi="宋体" w:eastAsia="黑体"/>
          <w:color w:val="000000"/>
          <w:kern w:val="0"/>
          <w:szCs w:val="32"/>
        </w:rPr>
      </w:pPr>
    </w:p>
    <w:p>
      <w:pPr>
        <w:widowControl/>
        <w:jc w:val="left"/>
        <w:rPr>
          <w:rFonts w:ascii="黑体" w:hAnsi="宋体" w:eastAsia="黑体"/>
          <w:color w:val="000000"/>
          <w:kern w:val="0"/>
          <w:szCs w:val="32"/>
        </w:rPr>
      </w:pPr>
    </w:p>
    <w:p>
      <w:pPr>
        <w:numPr>
          <w:ilvl w:val="0"/>
          <w:numId w:val="2"/>
        </w:numPr>
        <w:jc w:val="center"/>
        <w:rPr>
          <w:rFonts w:ascii="黑体" w:hAnsi="宋体" w:eastAsia="黑体"/>
          <w:color w:val="000000"/>
          <w:kern w:val="0"/>
          <w:sz w:val="44"/>
          <w:szCs w:val="44"/>
        </w:rPr>
      </w:pPr>
      <w:r>
        <w:rPr>
          <w:rFonts w:hint="eastAsia" w:ascii="黑体" w:hAnsi="宋体" w:eastAsia="黑体"/>
          <w:color w:val="000000"/>
          <w:kern w:val="0"/>
          <w:sz w:val="44"/>
          <w:szCs w:val="44"/>
        </w:rPr>
        <w:t>专业名词解释</w:t>
      </w:r>
    </w:p>
    <w:p>
      <w:pPr>
        <w:rPr>
          <w:rFonts w:ascii="黑体" w:hAnsi="宋体" w:eastAsia="黑体"/>
          <w:color w:val="000000"/>
          <w:kern w:val="0"/>
          <w:sz w:val="44"/>
          <w:szCs w:val="44"/>
        </w:rPr>
      </w:pPr>
    </w:p>
    <w:p>
      <w:pPr>
        <w:ind w:firstLine="643" w:firstLineChars="200"/>
        <w:rPr>
          <w:rFonts w:ascii="仿宋_GB2312" w:hAnsi="仿宋_GB2312" w:eastAsia="仿宋_GB2312" w:cs="仿宋_GB2312"/>
          <w:szCs w:val="32"/>
        </w:rPr>
      </w:pPr>
      <w:r>
        <w:rPr>
          <w:rFonts w:hint="eastAsia" w:ascii="仿宋_GB2312" w:hAnsi="仿宋_GB2312" w:eastAsia="仿宋_GB2312" w:cs="仿宋_GB2312"/>
          <w:b/>
          <w:bCs/>
          <w:szCs w:val="32"/>
        </w:rPr>
        <w:t>1.基本支出</w:t>
      </w:r>
      <w:r>
        <w:rPr>
          <w:rFonts w:hint="eastAsia" w:ascii="仿宋_GB2312" w:hAnsi="仿宋_GB2312" w:eastAsia="仿宋_GB2312" w:cs="仿宋_GB2312"/>
          <w:szCs w:val="32"/>
        </w:rPr>
        <w:t>：指为保障机构正常运转、完成日常工作任务而发生的各项支出。</w:t>
      </w:r>
    </w:p>
    <w:p>
      <w:pPr>
        <w:ind w:firstLine="643" w:firstLineChars="200"/>
        <w:rPr>
          <w:rFonts w:ascii="仿宋_GB2312" w:hAnsi="仿宋_GB2312" w:eastAsia="仿宋_GB2312" w:cs="仿宋_GB2312"/>
          <w:szCs w:val="32"/>
        </w:rPr>
      </w:pPr>
      <w:r>
        <w:rPr>
          <w:rFonts w:hint="eastAsia" w:ascii="仿宋_GB2312" w:hAnsi="仿宋_GB2312" w:eastAsia="仿宋_GB2312" w:cs="仿宋_GB2312"/>
          <w:b/>
          <w:bCs/>
          <w:szCs w:val="32"/>
        </w:rPr>
        <w:t>2.项目支出</w:t>
      </w:r>
      <w:r>
        <w:rPr>
          <w:rFonts w:hint="eastAsia" w:ascii="仿宋_GB2312" w:hAnsi="仿宋_GB2312" w:eastAsia="仿宋_GB2312" w:cs="仿宋_GB2312"/>
          <w:szCs w:val="32"/>
        </w:rPr>
        <w:t>：指单位为完成特定的行政工作任务或事业发展目标所发生的各项支出。</w:t>
      </w:r>
    </w:p>
    <w:p>
      <w:pPr>
        <w:ind w:firstLine="640"/>
        <w:rPr>
          <w:rFonts w:ascii="仿宋_GB2312" w:hAnsi="仿宋_GB2312" w:eastAsia="仿宋_GB2312" w:cs="仿宋_GB2312"/>
          <w:szCs w:val="32"/>
        </w:rPr>
      </w:pPr>
      <w:r>
        <w:rPr>
          <w:rFonts w:hint="eastAsia" w:ascii="仿宋_GB2312" w:hAnsi="仿宋_GB2312" w:eastAsia="仿宋_GB2312" w:cs="仿宋_GB2312"/>
          <w:b/>
          <w:bCs/>
          <w:szCs w:val="32"/>
        </w:rPr>
        <w:t>3.“三公”经费</w:t>
      </w:r>
      <w:r>
        <w:rPr>
          <w:rFonts w:hint="eastAsia" w:ascii="仿宋_GB2312" w:hAnsi="仿宋_GB2312" w:eastAsia="仿宋_GB2312" w:cs="仿宋_GB2312"/>
          <w:szCs w:val="32"/>
        </w:rPr>
        <w:t>：指部门使用一般公共预算财政拨款安排的因公出国（境）费、公务用车购置及运行费和公务接待费支出。</w:t>
      </w:r>
    </w:p>
    <w:p>
      <w:pPr>
        <w:ind w:firstLine="640"/>
        <w:rPr>
          <w:rFonts w:ascii="仿宋_GB2312" w:hAnsi="仿宋_GB2312" w:eastAsia="仿宋_GB2312" w:cs="仿宋_GB2312"/>
          <w:szCs w:val="32"/>
        </w:rPr>
      </w:pPr>
      <w:r>
        <w:rPr>
          <w:rFonts w:hint="eastAsia" w:ascii="仿宋_GB2312" w:hAnsi="仿宋_GB2312" w:eastAsia="仿宋_GB2312" w:cs="仿宋_GB2312"/>
          <w:b/>
          <w:bCs/>
          <w:szCs w:val="32"/>
        </w:rPr>
        <w:t>4.财政拨款收入</w:t>
      </w:r>
      <w:r>
        <w:rPr>
          <w:rFonts w:hint="eastAsia" w:ascii="仿宋_GB2312" w:hAnsi="仿宋_GB2312" w:eastAsia="仿宋_GB2312" w:cs="仿宋_GB2312"/>
          <w:szCs w:val="32"/>
        </w:rPr>
        <w:t>：指本级财政当年拨付的资金。</w:t>
      </w:r>
    </w:p>
    <w:p>
      <w:pPr>
        <w:ind w:firstLine="640"/>
        <w:rPr>
          <w:rFonts w:ascii="仿宋_GB2312" w:hAnsi="仿宋_GB2312" w:eastAsia="仿宋_GB2312" w:cs="仿宋_GB2312"/>
          <w:szCs w:val="32"/>
        </w:rPr>
      </w:pPr>
      <w:r>
        <w:rPr>
          <w:rFonts w:hint="eastAsia" w:ascii="仿宋_GB2312" w:hAnsi="仿宋_GB2312" w:eastAsia="仿宋_GB2312" w:cs="仿宋_GB2312"/>
          <w:b/>
          <w:bCs/>
          <w:szCs w:val="32"/>
        </w:rPr>
        <w:t>5.调整预算数：</w:t>
      </w:r>
      <w:r>
        <w:rPr>
          <w:rFonts w:hint="eastAsia" w:ascii="仿宋_GB2312" w:hAnsi="宋体" w:eastAsia="仿宋_GB2312"/>
          <w:bCs/>
          <w:szCs w:val="32"/>
        </w:rPr>
        <w:t>填列经调整后的全年预算数，包括年初预算数和预算调增调减数</w:t>
      </w:r>
      <w:r>
        <w:rPr>
          <w:rFonts w:hint="eastAsia" w:ascii="仿宋_GB2312" w:eastAsia="仿宋_GB2312"/>
          <w:bCs/>
          <w:szCs w:val="32"/>
        </w:rPr>
        <w:t>，即：调整预算数＝年初预算数＋预算调增数－预算调减数</w:t>
      </w:r>
      <w:r>
        <w:rPr>
          <w:rFonts w:hint="eastAsia" w:ascii="仿宋_GB2312" w:hAnsi="宋体" w:eastAsia="仿宋_GB2312"/>
          <w:bCs/>
          <w:szCs w:val="32"/>
        </w:rPr>
        <w:t>。</w:t>
      </w:r>
    </w:p>
    <w:p/>
    <w:sectPr>
      <w:pgSz w:w="11906" w:h="16838"/>
      <w:pgMar w:top="1134" w:right="1077" w:bottom="1134" w:left="1077" w:header="851" w:footer="992" w:gutter="0"/>
      <w:cols w:space="425"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altName w:val="微软雅黑"/>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Arial">
    <w:panose1 w:val="020B0604020202020204"/>
    <w:charset w:val="00"/>
    <w:family w:val="swiss"/>
    <w:pitch w:val="default"/>
    <w:sig w:usb0="E0002AFF" w:usb1="C0007843" w:usb2="00000009" w:usb3="00000000" w:csb0="400001FF" w:csb1="FFFF0000"/>
  </w:font>
  <w:font w:name="楷体_GB2312">
    <w:altName w:val="楷体"/>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F232710"/>
    <w:multiLevelType w:val="singleLevel"/>
    <w:tmpl w:val="9F232710"/>
    <w:lvl w:ilvl="0" w:tentative="0">
      <w:start w:val="1"/>
      <w:numFmt w:val="chineseCounting"/>
      <w:suff w:val="space"/>
      <w:lvlText w:val="第%1部分"/>
      <w:lvlJc w:val="left"/>
      <w:rPr>
        <w:rFonts w:hint="eastAsia"/>
      </w:rPr>
    </w:lvl>
  </w:abstractNum>
  <w:abstractNum w:abstractNumId="1">
    <w:nsid w:val="39BEA4A8"/>
    <w:multiLevelType w:val="singleLevel"/>
    <w:tmpl w:val="39BEA4A8"/>
    <w:lvl w:ilvl="0" w:tentative="0">
      <w:start w:val="4"/>
      <w:numFmt w:val="chineseCounting"/>
      <w:suff w:val="space"/>
      <w:lvlText w:val="第%1部分"/>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0"/>
  <w:bordersDoNotSurroundFooter w:val="0"/>
  <w:documentProtection w:enforcement="0"/>
  <w:defaultTabStop w:val="420"/>
  <w:drawingGridHorizontalSpacing w:val="160"/>
  <w:drawingGridVerticalSpacing w:val="435"/>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744F"/>
    <w:rsid w:val="00004ADE"/>
    <w:rsid w:val="00024407"/>
    <w:rsid w:val="0002745B"/>
    <w:rsid w:val="00031F2E"/>
    <w:rsid w:val="0004145F"/>
    <w:rsid w:val="000556AD"/>
    <w:rsid w:val="0005636E"/>
    <w:rsid w:val="00083E62"/>
    <w:rsid w:val="001064C7"/>
    <w:rsid w:val="001402F3"/>
    <w:rsid w:val="00140FF8"/>
    <w:rsid w:val="00160CDC"/>
    <w:rsid w:val="00163D8C"/>
    <w:rsid w:val="00170224"/>
    <w:rsid w:val="00185BFC"/>
    <w:rsid w:val="00196E4A"/>
    <w:rsid w:val="001C6BBB"/>
    <w:rsid w:val="00215729"/>
    <w:rsid w:val="00233646"/>
    <w:rsid w:val="00247539"/>
    <w:rsid w:val="0028077D"/>
    <w:rsid w:val="00287AC5"/>
    <w:rsid w:val="002A2B79"/>
    <w:rsid w:val="002C4488"/>
    <w:rsid w:val="002E19EC"/>
    <w:rsid w:val="00302566"/>
    <w:rsid w:val="00321F27"/>
    <w:rsid w:val="003329E4"/>
    <w:rsid w:val="00361121"/>
    <w:rsid w:val="003855C7"/>
    <w:rsid w:val="003969A6"/>
    <w:rsid w:val="003A3AE9"/>
    <w:rsid w:val="003B69DD"/>
    <w:rsid w:val="003D5063"/>
    <w:rsid w:val="00401049"/>
    <w:rsid w:val="00466064"/>
    <w:rsid w:val="00476E6A"/>
    <w:rsid w:val="00493BAA"/>
    <w:rsid w:val="004A5001"/>
    <w:rsid w:val="005455D6"/>
    <w:rsid w:val="00550DE6"/>
    <w:rsid w:val="00556BB4"/>
    <w:rsid w:val="00581E4D"/>
    <w:rsid w:val="005A1D05"/>
    <w:rsid w:val="005A35ED"/>
    <w:rsid w:val="005B1EAF"/>
    <w:rsid w:val="005D2EB5"/>
    <w:rsid w:val="005D3397"/>
    <w:rsid w:val="006001C5"/>
    <w:rsid w:val="006234B1"/>
    <w:rsid w:val="0063725A"/>
    <w:rsid w:val="00653B6F"/>
    <w:rsid w:val="00674625"/>
    <w:rsid w:val="00691FAE"/>
    <w:rsid w:val="006A0521"/>
    <w:rsid w:val="006A1C6D"/>
    <w:rsid w:val="006C5731"/>
    <w:rsid w:val="007169D5"/>
    <w:rsid w:val="00717F0D"/>
    <w:rsid w:val="0076632F"/>
    <w:rsid w:val="007B5B57"/>
    <w:rsid w:val="007C34F1"/>
    <w:rsid w:val="007D79DE"/>
    <w:rsid w:val="007E2DC6"/>
    <w:rsid w:val="00820B19"/>
    <w:rsid w:val="00824DBD"/>
    <w:rsid w:val="00895F49"/>
    <w:rsid w:val="008B1ACE"/>
    <w:rsid w:val="008B40AD"/>
    <w:rsid w:val="008D2237"/>
    <w:rsid w:val="008D349D"/>
    <w:rsid w:val="008E0D7B"/>
    <w:rsid w:val="008E1D3C"/>
    <w:rsid w:val="009054E5"/>
    <w:rsid w:val="00925840"/>
    <w:rsid w:val="00937DF6"/>
    <w:rsid w:val="0095756D"/>
    <w:rsid w:val="009670C3"/>
    <w:rsid w:val="00973888"/>
    <w:rsid w:val="00982F91"/>
    <w:rsid w:val="009D0952"/>
    <w:rsid w:val="00A300BA"/>
    <w:rsid w:val="00A564B4"/>
    <w:rsid w:val="00AA19A3"/>
    <w:rsid w:val="00AB3524"/>
    <w:rsid w:val="00AE24EA"/>
    <w:rsid w:val="00AF2D6F"/>
    <w:rsid w:val="00B05CEB"/>
    <w:rsid w:val="00B17DF5"/>
    <w:rsid w:val="00B2560D"/>
    <w:rsid w:val="00B357AE"/>
    <w:rsid w:val="00B37B8A"/>
    <w:rsid w:val="00B42590"/>
    <w:rsid w:val="00B50587"/>
    <w:rsid w:val="00B71F10"/>
    <w:rsid w:val="00B9031F"/>
    <w:rsid w:val="00BC549F"/>
    <w:rsid w:val="00BE3AA2"/>
    <w:rsid w:val="00BF4144"/>
    <w:rsid w:val="00C001EB"/>
    <w:rsid w:val="00C205D2"/>
    <w:rsid w:val="00C22F42"/>
    <w:rsid w:val="00C2350E"/>
    <w:rsid w:val="00C23C69"/>
    <w:rsid w:val="00C87FF0"/>
    <w:rsid w:val="00CD3658"/>
    <w:rsid w:val="00CD57EE"/>
    <w:rsid w:val="00CE519C"/>
    <w:rsid w:val="00D11A01"/>
    <w:rsid w:val="00D46006"/>
    <w:rsid w:val="00D555CA"/>
    <w:rsid w:val="00D668AC"/>
    <w:rsid w:val="00DB5409"/>
    <w:rsid w:val="00DC0813"/>
    <w:rsid w:val="00E01A62"/>
    <w:rsid w:val="00E05F33"/>
    <w:rsid w:val="00E067EF"/>
    <w:rsid w:val="00E13D7D"/>
    <w:rsid w:val="00E17744"/>
    <w:rsid w:val="00E2303A"/>
    <w:rsid w:val="00E275C2"/>
    <w:rsid w:val="00E552AD"/>
    <w:rsid w:val="00E757E7"/>
    <w:rsid w:val="00E8744F"/>
    <w:rsid w:val="00E977DD"/>
    <w:rsid w:val="00EB02A0"/>
    <w:rsid w:val="00EF49DC"/>
    <w:rsid w:val="00F010F7"/>
    <w:rsid w:val="00F15309"/>
    <w:rsid w:val="00F518ED"/>
    <w:rsid w:val="00FE4A73"/>
    <w:rsid w:val="029344B5"/>
    <w:rsid w:val="10340CEF"/>
    <w:rsid w:val="111C3157"/>
    <w:rsid w:val="12242C80"/>
    <w:rsid w:val="16275AC8"/>
    <w:rsid w:val="2AA620BE"/>
    <w:rsid w:val="40564DD2"/>
    <w:rsid w:val="405A4604"/>
    <w:rsid w:val="413246E5"/>
    <w:rsid w:val="50863683"/>
    <w:rsid w:val="5CB95562"/>
    <w:rsid w:val="61A648A7"/>
    <w:rsid w:val="62444508"/>
    <w:rsid w:val="657D53B8"/>
    <w:rsid w:val="6F8D72D3"/>
    <w:rsid w:val="6F9F343A"/>
    <w:rsid w:val="7A4A65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方正仿宋简体" w:cs="Times New Roman"/>
      <w:kern w:val="2"/>
      <w:sz w:val="32"/>
      <w:szCs w:val="20"/>
      <w:lang w:val="en-US" w:eastAsia="zh-CN" w:bidi="ar-SA"/>
    </w:rPr>
  </w:style>
  <w:style w:type="character" w:default="1" w:styleId="7">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0"/>
    <w:semiHidden/>
    <w:unhideWhenUsed/>
    <w:uiPriority w:val="99"/>
    <w:rPr>
      <w:sz w:val="18"/>
      <w:szCs w:val="18"/>
    </w:rPr>
  </w:style>
  <w:style w:type="paragraph" w:styleId="3">
    <w:name w:val="footer"/>
    <w:basedOn w:val="1"/>
    <w:link w:val="9"/>
    <w:unhideWhenUsed/>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页眉 Char"/>
    <w:basedOn w:val="7"/>
    <w:link w:val="4"/>
    <w:qFormat/>
    <w:uiPriority w:val="99"/>
    <w:rPr>
      <w:sz w:val="18"/>
      <w:szCs w:val="18"/>
    </w:rPr>
  </w:style>
  <w:style w:type="character" w:customStyle="1" w:styleId="9">
    <w:name w:val="页脚 Char"/>
    <w:basedOn w:val="7"/>
    <w:link w:val="3"/>
    <w:qFormat/>
    <w:uiPriority w:val="99"/>
    <w:rPr>
      <w:sz w:val="18"/>
      <w:szCs w:val="18"/>
    </w:rPr>
  </w:style>
  <w:style w:type="character" w:customStyle="1" w:styleId="10">
    <w:name w:val="批注框文本 Char"/>
    <w:basedOn w:val="7"/>
    <w:link w:val="2"/>
    <w:semiHidden/>
    <w:uiPriority w:val="99"/>
    <w:rPr>
      <w:rFonts w:ascii="Calibri" w:hAnsi="Calibri" w:eastAsia="方正仿宋简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chart" Target="charts/chart6.xml"/><Relationship Id="rId8" Type="http://schemas.openxmlformats.org/officeDocument/2006/relationships/chart" Target="charts/chart5.xml"/><Relationship Id="rId7" Type="http://schemas.openxmlformats.org/officeDocument/2006/relationships/chart" Target="charts/chart4.xml"/><Relationship Id="rId6" Type="http://schemas.openxmlformats.org/officeDocument/2006/relationships/chart" Target="charts/chart3.xml"/><Relationship Id="rId5" Type="http://schemas.openxmlformats.org/officeDocument/2006/relationships/chart" Target="charts/chart2.xml"/><Relationship Id="rId4" Type="http://schemas.openxmlformats.org/officeDocument/2006/relationships/chart" Target="charts/chart1.xml"/><Relationship Id="rId3" Type="http://schemas.openxmlformats.org/officeDocument/2006/relationships/theme" Target="theme/theme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chart" Target="charts/chart7.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Workbook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Workbook4.xlsx"/></Relationships>
</file>

<file path=word/charts/_rels/chart4.xml.rels><?xml version="1.0" encoding="UTF-8" standalone="yes"?>
<Relationships xmlns="http://schemas.openxmlformats.org/package/2006/relationships"><Relationship Id="rId1" Type="http://schemas.openxmlformats.org/officeDocument/2006/relationships/package" Target="../embeddings/Workbook7.xlsx"/></Relationships>
</file>

<file path=word/charts/_rels/chart5.xml.rels><?xml version="1.0" encoding="UTF-8" standalone="yes"?>
<Relationships xmlns="http://schemas.openxmlformats.org/package/2006/relationships"><Relationship Id="rId1" Type="http://schemas.openxmlformats.org/officeDocument/2006/relationships/package" Target="../embeddings/Workbook6.xlsx"/></Relationships>
</file>

<file path=word/charts/_rels/chart6.xml.rels><?xml version="1.0" encoding="UTF-8" standalone="yes"?>
<Relationships xmlns="http://schemas.openxmlformats.org/package/2006/relationships"><Relationship Id="rId1" Type="http://schemas.openxmlformats.org/officeDocument/2006/relationships/package" Target="../embeddings/Workbook5.xlsx"/></Relationships>
</file>

<file path=word/charts/_rels/chart7.xml.rels><?xml version="1.0" encoding="UTF-8" standalone="yes"?>
<Relationships xmlns="http://schemas.openxmlformats.org/package/2006/relationships"><Relationship Id="rId1" Type="http://schemas.openxmlformats.org/officeDocument/2006/relationships/package" Target="../embeddings/Workbook3.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编制</c:v>
                </c:pt>
              </c:strCache>
            </c:strRef>
          </c:tx>
          <c:invertIfNegative val="0"/>
          <c:dLbls>
            <c:delete val="1"/>
          </c:dLbls>
          <c:cat>
            <c:strRef>
              <c:f>Sheet1!$A$2:$A$5</c:f>
              <c:strCache>
                <c:ptCount val="4"/>
                <c:pt idx="0">
                  <c:v>住建局（机关）</c:v>
                </c:pt>
                <c:pt idx="1">
                  <c:v>质监站</c:v>
                </c:pt>
                <c:pt idx="2">
                  <c:v>房管所</c:v>
                </c:pt>
                <c:pt idx="3">
                  <c:v>燃气办</c:v>
                </c:pt>
              </c:strCache>
            </c:strRef>
          </c:cat>
          <c:val>
            <c:numRef>
              <c:f>Sheet1!$B$2:$B$5</c:f>
              <c:numCache>
                <c:formatCode>General</c:formatCode>
                <c:ptCount val="4"/>
                <c:pt idx="0">
                  <c:v>14</c:v>
                </c:pt>
                <c:pt idx="1">
                  <c:v>24</c:v>
                </c:pt>
                <c:pt idx="2">
                  <c:v>30</c:v>
                </c:pt>
                <c:pt idx="3">
                  <c:v>15</c:v>
                </c:pt>
              </c:numCache>
            </c:numRef>
          </c:val>
        </c:ser>
        <c:ser>
          <c:idx val="1"/>
          <c:order val="1"/>
          <c:tx>
            <c:strRef>
              <c:f>Sheet1!$C$1</c:f>
              <c:strCache>
                <c:ptCount val="1"/>
                <c:pt idx="0">
                  <c:v>实有</c:v>
                </c:pt>
              </c:strCache>
            </c:strRef>
          </c:tx>
          <c:invertIfNegative val="0"/>
          <c:dLbls>
            <c:delete val="1"/>
          </c:dLbls>
          <c:cat>
            <c:strRef>
              <c:f>Sheet1!$A$2:$A$5</c:f>
              <c:strCache>
                <c:ptCount val="4"/>
                <c:pt idx="0">
                  <c:v>住建局（机关）</c:v>
                </c:pt>
                <c:pt idx="1">
                  <c:v>质监站</c:v>
                </c:pt>
                <c:pt idx="2">
                  <c:v>房管所</c:v>
                </c:pt>
                <c:pt idx="3">
                  <c:v>燃气办</c:v>
                </c:pt>
              </c:strCache>
            </c:strRef>
          </c:cat>
          <c:val>
            <c:numRef>
              <c:f>Sheet1!$C$2:$C$5</c:f>
              <c:numCache>
                <c:formatCode>General</c:formatCode>
                <c:ptCount val="4"/>
                <c:pt idx="0">
                  <c:v>20</c:v>
                </c:pt>
                <c:pt idx="1">
                  <c:v>24</c:v>
                </c:pt>
                <c:pt idx="2">
                  <c:v>22</c:v>
                </c:pt>
                <c:pt idx="3">
                  <c:v>3</c:v>
                </c:pt>
              </c:numCache>
            </c:numRef>
          </c:val>
        </c:ser>
        <c:ser>
          <c:idx val="2"/>
          <c:order val="2"/>
          <c:tx>
            <c:strRef>
              <c:f>Sheet1!$D$1</c:f>
              <c:strCache>
                <c:ptCount val="1"/>
                <c:pt idx="0">
                  <c:v>退休</c:v>
                </c:pt>
              </c:strCache>
            </c:strRef>
          </c:tx>
          <c:invertIfNegative val="0"/>
          <c:dLbls>
            <c:delete val="1"/>
          </c:dLbls>
          <c:cat>
            <c:strRef>
              <c:f>Sheet1!$A$2:$A$5</c:f>
              <c:strCache>
                <c:ptCount val="4"/>
                <c:pt idx="0">
                  <c:v>住建局（机关）</c:v>
                </c:pt>
                <c:pt idx="1">
                  <c:v>质监站</c:v>
                </c:pt>
                <c:pt idx="2">
                  <c:v>房管所</c:v>
                </c:pt>
                <c:pt idx="3">
                  <c:v>燃气办</c:v>
                </c:pt>
              </c:strCache>
            </c:strRef>
          </c:cat>
          <c:val>
            <c:numRef>
              <c:f>Sheet1!$D$2:$D$5</c:f>
              <c:numCache>
                <c:formatCode>General</c:formatCode>
                <c:ptCount val="4"/>
                <c:pt idx="0">
                  <c:v>28</c:v>
                </c:pt>
                <c:pt idx="1">
                  <c:v>6</c:v>
                </c:pt>
                <c:pt idx="2">
                  <c:v>1</c:v>
                </c:pt>
                <c:pt idx="3">
                  <c:v>0</c:v>
                </c:pt>
              </c:numCache>
            </c:numRef>
          </c:val>
        </c:ser>
        <c:dLbls>
          <c:showLegendKey val="0"/>
          <c:showVal val="0"/>
          <c:showCatName val="0"/>
          <c:showSerName val="0"/>
          <c:showPercent val="0"/>
          <c:showBubbleSize val="0"/>
        </c:dLbls>
        <c:gapWidth val="150"/>
        <c:axId val="164446976"/>
        <c:axId val="164448512"/>
      </c:barChart>
      <c:catAx>
        <c:axId val="164446976"/>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64448512"/>
        <c:crosses val="autoZero"/>
        <c:auto val="1"/>
        <c:lblAlgn val="ctr"/>
        <c:lblOffset val="100"/>
        <c:noMultiLvlLbl val="0"/>
      </c:catAx>
      <c:valAx>
        <c:axId val="164448512"/>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64446976"/>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收入</c:v>
                </c:pt>
              </c:strCache>
            </c:strRef>
          </c:tx>
          <c:invertIfNegative val="0"/>
          <c:dLbls>
            <c:delete val="1"/>
          </c:dLbls>
          <c:cat>
            <c:strRef>
              <c:f>Sheet1!$A$2:$A$3</c:f>
              <c:strCache>
                <c:ptCount val="2"/>
                <c:pt idx="0">
                  <c:v>2019年</c:v>
                </c:pt>
                <c:pt idx="1">
                  <c:v>2018年</c:v>
                </c:pt>
              </c:strCache>
            </c:strRef>
          </c:cat>
          <c:val>
            <c:numRef>
              <c:f>Sheet1!$B$2:$B$3</c:f>
              <c:numCache>
                <c:formatCode>General</c:formatCode>
                <c:ptCount val="2"/>
                <c:pt idx="0">
                  <c:v>6145.64</c:v>
                </c:pt>
                <c:pt idx="1">
                  <c:v>5689.89</c:v>
                </c:pt>
              </c:numCache>
            </c:numRef>
          </c:val>
        </c:ser>
        <c:ser>
          <c:idx val="1"/>
          <c:order val="1"/>
          <c:tx>
            <c:strRef>
              <c:f>Sheet1!$C$1</c:f>
              <c:strCache>
                <c:ptCount val="1"/>
                <c:pt idx="0">
                  <c:v>支出</c:v>
                </c:pt>
              </c:strCache>
            </c:strRef>
          </c:tx>
          <c:invertIfNegative val="0"/>
          <c:dLbls>
            <c:delete val="1"/>
          </c:dLbls>
          <c:cat>
            <c:strRef>
              <c:f>Sheet1!$A$2:$A$3</c:f>
              <c:strCache>
                <c:ptCount val="2"/>
                <c:pt idx="0">
                  <c:v>2019年</c:v>
                </c:pt>
                <c:pt idx="1">
                  <c:v>2018年</c:v>
                </c:pt>
              </c:strCache>
            </c:strRef>
          </c:cat>
          <c:val>
            <c:numRef>
              <c:f>Sheet1!$C$2:$C$3</c:f>
              <c:numCache>
                <c:formatCode>General</c:formatCode>
                <c:ptCount val="2"/>
                <c:pt idx="0">
                  <c:v>6145.64</c:v>
                </c:pt>
                <c:pt idx="1">
                  <c:v>5689.89</c:v>
                </c:pt>
              </c:numCache>
            </c:numRef>
          </c:val>
        </c:ser>
        <c:dLbls>
          <c:showLegendKey val="0"/>
          <c:showVal val="0"/>
          <c:showCatName val="0"/>
          <c:showSerName val="0"/>
          <c:showPercent val="0"/>
          <c:showBubbleSize val="0"/>
        </c:dLbls>
        <c:gapWidth val="150"/>
        <c:axId val="167239040"/>
        <c:axId val="236823296"/>
      </c:barChart>
      <c:catAx>
        <c:axId val="167239040"/>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36823296"/>
        <c:crosses val="autoZero"/>
        <c:auto val="1"/>
        <c:lblAlgn val="ctr"/>
        <c:lblOffset val="100"/>
        <c:noMultiLvlLbl val="0"/>
      </c:catAx>
      <c:valAx>
        <c:axId val="236823296"/>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67239040"/>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lgn="ctr">
            <a:defRPr lang="zh-CN" sz="1800" b="1" i="0" u="none" strike="noStrike" kern="1200" baseline="0">
              <a:solidFill>
                <a:schemeClr val="tx1"/>
              </a:solidFill>
              <a:latin typeface="+mn-lt"/>
              <a:ea typeface="+mn-ea"/>
              <a:cs typeface="+mn-cs"/>
            </a:defRPr>
          </a:pPr>
        </a:p>
      </c:txPr>
    </c:title>
    <c:autoTitleDeleted val="0"/>
    <c:plotArea>
      <c:layout/>
      <c:barChart>
        <c:barDir val="col"/>
        <c:grouping val="clustered"/>
        <c:varyColors val="0"/>
        <c:ser>
          <c:idx val="0"/>
          <c:order val="0"/>
          <c:tx>
            <c:strRef>
              <c:f>Sheet1!$B$1</c:f>
              <c:strCache>
                <c:ptCount val="1"/>
                <c:pt idx="0">
                  <c:v>收入</c:v>
                </c:pt>
              </c:strCache>
            </c:strRef>
          </c:tx>
          <c:invertIfNegative val="0"/>
          <c:dLbls>
            <c:delete val="1"/>
          </c:dLbls>
          <c:cat>
            <c:strRef>
              <c:f>Sheet1!$A$2:$A$3</c:f>
              <c:strCache>
                <c:ptCount val="2"/>
                <c:pt idx="0">
                  <c:v>收入</c:v>
                </c:pt>
                <c:pt idx="1">
                  <c:v>财政拨款收入</c:v>
                </c:pt>
              </c:strCache>
            </c:strRef>
          </c:cat>
          <c:val>
            <c:numRef>
              <c:f>Sheet1!$B$2:$B$3</c:f>
              <c:numCache>
                <c:formatCode>General</c:formatCode>
                <c:ptCount val="2"/>
                <c:pt idx="0">
                  <c:v>6145.64</c:v>
                </c:pt>
                <c:pt idx="1">
                  <c:v>6145.64</c:v>
                </c:pt>
              </c:numCache>
            </c:numRef>
          </c:val>
        </c:ser>
        <c:dLbls>
          <c:showLegendKey val="0"/>
          <c:showVal val="0"/>
          <c:showCatName val="0"/>
          <c:showSerName val="0"/>
          <c:showPercent val="0"/>
          <c:showBubbleSize val="0"/>
        </c:dLbls>
        <c:gapWidth val="150"/>
        <c:axId val="62981632"/>
        <c:axId val="62983168"/>
      </c:barChart>
      <c:catAx>
        <c:axId val="62981632"/>
        <c:scaling>
          <c:orientation val="minMax"/>
        </c:scaling>
        <c:delete val="0"/>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62983168"/>
        <c:crosses val="autoZero"/>
        <c:auto val="1"/>
        <c:lblAlgn val="ctr"/>
        <c:lblOffset val="100"/>
        <c:noMultiLvlLbl val="0"/>
      </c:catAx>
      <c:valAx>
        <c:axId val="62983168"/>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62981632"/>
        <c:crosses val="autoZero"/>
        <c:crossBetween val="between"/>
      </c:valAx>
      <c:spPr>
        <a:solidFill>
          <a:schemeClr val="bg1"/>
        </a:solidFill>
        <a:ln>
          <a:noFill/>
        </a:ln>
        <a:effectLst/>
      </c:spPr>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支出</c:v>
                </c:pt>
              </c:strCache>
            </c:strRef>
          </c:tx>
          <c:explosion val="0"/>
          <c:dPt>
            <c:idx val="0"/>
            <c:bubble3D val="0"/>
          </c:dPt>
          <c:dPt>
            <c:idx val="1"/>
            <c:bubble3D val="0"/>
          </c:dPt>
          <c:dLbls>
            <c:delete val="1"/>
          </c:dLbls>
          <c:cat>
            <c:strRef>
              <c:f>Sheet1!$A$2:$A$3</c:f>
              <c:strCache>
                <c:ptCount val="2"/>
                <c:pt idx="0">
                  <c:v>基本支出</c:v>
                </c:pt>
                <c:pt idx="1">
                  <c:v>项目支出</c:v>
                </c:pt>
              </c:strCache>
            </c:strRef>
          </c:cat>
          <c:val>
            <c:numRef>
              <c:f>Sheet1!$B$2:$B$3</c:f>
              <c:numCache>
                <c:formatCode>General</c:formatCode>
                <c:ptCount val="2"/>
                <c:pt idx="0">
                  <c:v>1465.81</c:v>
                </c:pt>
                <c:pt idx="1">
                  <c:v>4679.83</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财政拨款收入</c:v>
                </c:pt>
              </c:strCache>
            </c:strRef>
          </c:tx>
          <c:invertIfNegative val="0"/>
          <c:dLbls>
            <c:delete val="1"/>
          </c:dLbls>
          <c:cat>
            <c:strRef>
              <c:f>Sheet1!$A$2:$A$3</c:f>
              <c:strCache>
                <c:ptCount val="2"/>
                <c:pt idx="0">
                  <c:v>2019年</c:v>
                </c:pt>
                <c:pt idx="1">
                  <c:v>2018年</c:v>
                </c:pt>
              </c:strCache>
            </c:strRef>
          </c:cat>
          <c:val>
            <c:numRef>
              <c:f>Sheet1!$B$2:$B$3</c:f>
              <c:numCache>
                <c:formatCode>General</c:formatCode>
                <c:ptCount val="2"/>
                <c:pt idx="0">
                  <c:v>6145.64</c:v>
                </c:pt>
                <c:pt idx="1">
                  <c:v>5689.89</c:v>
                </c:pt>
              </c:numCache>
            </c:numRef>
          </c:val>
        </c:ser>
        <c:ser>
          <c:idx val="1"/>
          <c:order val="1"/>
          <c:tx>
            <c:strRef>
              <c:f>Sheet1!$C$1</c:f>
              <c:strCache>
                <c:ptCount val="1"/>
                <c:pt idx="0">
                  <c:v>财政拨款支出</c:v>
                </c:pt>
              </c:strCache>
            </c:strRef>
          </c:tx>
          <c:invertIfNegative val="0"/>
          <c:dLbls>
            <c:delete val="1"/>
          </c:dLbls>
          <c:cat>
            <c:strRef>
              <c:f>Sheet1!$A$2:$A$3</c:f>
              <c:strCache>
                <c:ptCount val="2"/>
                <c:pt idx="0">
                  <c:v>2019年</c:v>
                </c:pt>
                <c:pt idx="1">
                  <c:v>2018年</c:v>
                </c:pt>
              </c:strCache>
            </c:strRef>
          </c:cat>
          <c:val>
            <c:numRef>
              <c:f>Sheet1!$C$2:$C$3</c:f>
              <c:numCache>
                <c:formatCode>General</c:formatCode>
                <c:ptCount val="2"/>
                <c:pt idx="0">
                  <c:v>6145.64</c:v>
                </c:pt>
                <c:pt idx="1">
                  <c:v>5689.89</c:v>
                </c:pt>
              </c:numCache>
            </c:numRef>
          </c:val>
        </c:ser>
        <c:dLbls>
          <c:showLegendKey val="0"/>
          <c:showVal val="0"/>
          <c:showCatName val="0"/>
          <c:showSerName val="0"/>
          <c:showPercent val="0"/>
          <c:showBubbleSize val="0"/>
        </c:dLbls>
        <c:gapWidth val="150"/>
        <c:axId val="70252800"/>
        <c:axId val="70258688"/>
      </c:barChart>
      <c:catAx>
        <c:axId val="70252800"/>
        <c:scaling>
          <c:orientation val="minMax"/>
        </c:scaling>
        <c:delete val="0"/>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70258688"/>
        <c:crosses val="autoZero"/>
        <c:auto val="1"/>
        <c:lblAlgn val="ctr"/>
        <c:lblOffset val="100"/>
        <c:noMultiLvlLbl val="0"/>
      </c:catAx>
      <c:valAx>
        <c:axId val="70258688"/>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70252800"/>
        <c:crosses val="autoZero"/>
        <c:crossBetween val="between"/>
      </c:valAx>
      <c:spPr>
        <a:solidFill>
          <a:schemeClr val="bg1"/>
        </a:solidFill>
        <a:ln>
          <a:noFill/>
        </a:ln>
        <a:effectLst/>
      </c:spPr>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支出</c:v>
                </c:pt>
              </c:strCache>
            </c:strRef>
          </c:tx>
          <c:invertIfNegative val="0"/>
          <c:dLbls>
            <c:delete val="1"/>
          </c:dLbls>
          <c:cat>
            <c:strRef>
              <c:f>Sheet1!$A$2:$A$3</c:f>
              <c:strCache>
                <c:ptCount val="2"/>
                <c:pt idx="0">
                  <c:v>2019年</c:v>
                </c:pt>
                <c:pt idx="1">
                  <c:v>2018年</c:v>
                </c:pt>
              </c:strCache>
            </c:strRef>
          </c:cat>
          <c:val>
            <c:numRef>
              <c:f>Sheet1!$B$2:$B$3</c:f>
              <c:numCache>
                <c:formatCode>General</c:formatCode>
                <c:ptCount val="2"/>
                <c:pt idx="0">
                  <c:v>6145.64</c:v>
                </c:pt>
                <c:pt idx="1">
                  <c:v>5689.89</c:v>
                </c:pt>
              </c:numCache>
            </c:numRef>
          </c:val>
        </c:ser>
        <c:ser>
          <c:idx val="1"/>
          <c:order val="1"/>
          <c:tx>
            <c:strRef>
              <c:f>Sheet1!$C$1</c:f>
              <c:strCache>
                <c:ptCount val="1"/>
                <c:pt idx="0">
                  <c:v>一般公共预算财政拨款支出</c:v>
                </c:pt>
              </c:strCache>
            </c:strRef>
          </c:tx>
          <c:invertIfNegative val="0"/>
          <c:dLbls>
            <c:delete val="1"/>
          </c:dLbls>
          <c:cat>
            <c:strRef>
              <c:f>Sheet1!$A$2:$A$3</c:f>
              <c:strCache>
                <c:ptCount val="2"/>
                <c:pt idx="0">
                  <c:v>2019年</c:v>
                </c:pt>
                <c:pt idx="1">
                  <c:v>2018年</c:v>
                </c:pt>
              </c:strCache>
            </c:strRef>
          </c:cat>
          <c:val>
            <c:numRef>
              <c:f>Sheet1!$C$2:$C$3</c:f>
              <c:numCache>
                <c:formatCode>General</c:formatCode>
                <c:ptCount val="2"/>
                <c:pt idx="0">
                  <c:v>5302.48</c:v>
                </c:pt>
                <c:pt idx="1">
                  <c:v>4175</c:v>
                </c:pt>
              </c:numCache>
            </c:numRef>
          </c:val>
        </c:ser>
        <c:dLbls>
          <c:showLegendKey val="0"/>
          <c:showVal val="0"/>
          <c:showCatName val="0"/>
          <c:showSerName val="0"/>
          <c:showPercent val="0"/>
          <c:showBubbleSize val="0"/>
        </c:dLbls>
        <c:gapWidth val="150"/>
        <c:axId val="70308224"/>
        <c:axId val="70309760"/>
      </c:barChart>
      <c:catAx>
        <c:axId val="70308224"/>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70309760"/>
        <c:crosses val="autoZero"/>
        <c:auto val="1"/>
        <c:lblAlgn val="ctr"/>
        <c:lblOffset val="100"/>
        <c:noMultiLvlLbl val="0"/>
      </c:catAx>
      <c:valAx>
        <c:axId val="70309760"/>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70308224"/>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预算数</c:v>
                </c:pt>
              </c:strCache>
            </c:strRef>
          </c:tx>
          <c:invertIfNegative val="0"/>
          <c:dLbls>
            <c:delete val="1"/>
          </c:dLbls>
          <c:cat>
            <c:strRef>
              <c:f>Sheet1!$A$2:$A$4</c:f>
              <c:strCache>
                <c:ptCount val="3"/>
                <c:pt idx="0">
                  <c:v>公车运行维护费</c:v>
                </c:pt>
                <c:pt idx="1">
                  <c:v>公务接待费</c:v>
                </c:pt>
                <c:pt idx="2">
                  <c:v>会议费</c:v>
                </c:pt>
              </c:strCache>
            </c:strRef>
          </c:cat>
          <c:val>
            <c:numRef>
              <c:f>Sheet1!$B$2:$B$4</c:f>
              <c:numCache>
                <c:formatCode>General</c:formatCode>
                <c:ptCount val="3"/>
                <c:pt idx="0">
                  <c:v>0.88</c:v>
                </c:pt>
                <c:pt idx="1">
                  <c:v>0.43</c:v>
                </c:pt>
                <c:pt idx="2">
                  <c:v>0</c:v>
                </c:pt>
              </c:numCache>
            </c:numRef>
          </c:val>
        </c:ser>
        <c:ser>
          <c:idx val="1"/>
          <c:order val="1"/>
          <c:tx>
            <c:strRef>
              <c:f>Sheet1!$C$1</c:f>
              <c:strCache>
                <c:ptCount val="1"/>
                <c:pt idx="0">
                  <c:v>决算数</c:v>
                </c:pt>
              </c:strCache>
            </c:strRef>
          </c:tx>
          <c:invertIfNegative val="0"/>
          <c:dLbls>
            <c:delete val="1"/>
          </c:dLbls>
          <c:cat>
            <c:strRef>
              <c:f>Sheet1!$A$2:$A$4</c:f>
              <c:strCache>
                <c:ptCount val="3"/>
                <c:pt idx="0">
                  <c:v>公车运行维护费</c:v>
                </c:pt>
                <c:pt idx="1">
                  <c:v>公务接待费</c:v>
                </c:pt>
                <c:pt idx="2">
                  <c:v>会议费</c:v>
                </c:pt>
              </c:strCache>
            </c:strRef>
          </c:cat>
          <c:val>
            <c:numRef>
              <c:f>Sheet1!$C$2:$C$4</c:f>
              <c:numCache>
                <c:formatCode>General</c:formatCode>
                <c:ptCount val="3"/>
                <c:pt idx="0">
                  <c:v>0.32</c:v>
                </c:pt>
                <c:pt idx="1">
                  <c:v>0.16</c:v>
                </c:pt>
                <c:pt idx="2">
                  <c:v>0.51</c:v>
                </c:pt>
              </c:numCache>
            </c:numRef>
          </c:val>
        </c:ser>
        <c:dLbls>
          <c:showLegendKey val="0"/>
          <c:showVal val="0"/>
          <c:showCatName val="0"/>
          <c:showSerName val="0"/>
          <c:showPercent val="0"/>
          <c:showBubbleSize val="0"/>
        </c:dLbls>
        <c:gapWidth val="150"/>
        <c:axId val="70523136"/>
        <c:axId val="70524928"/>
      </c:barChart>
      <c:catAx>
        <c:axId val="70523136"/>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70524928"/>
        <c:crosses val="autoZero"/>
        <c:auto val="1"/>
        <c:lblAlgn val="ctr"/>
        <c:lblOffset val="100"/>
        <c:noMultiLvlLbl val="0"/>
      </c:catAx>
      <c:valAx>
        <c:axId val="70524928"/>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70523136"/>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DA764D5-BCAB-4AA3-830F-3C2C548E9DFD}">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34</Pages>
  <Words>2893</Words>
  <Characters>16496</Characters>
  <Lines>137</Lines>
  <Paragraphs>38</Paragraphs>
  <TotalTime>3</TotalTime>
  <ScaleCrop>false</ScaleCrop>
  <LinksUpToDate>false</LinksUpToDate>
  <CharactersWithSpaces>19351</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2020-09-22T01:56:00Z</dcterms:created>
  <dc:creator>dreamsummit</dc:creator>
  <cp:lastModifiedBy>Administrator</cp:lastModifiedBy>
  <dcterms:modified xsi:type="dcterms:W3CDTF">2020-09-30T02:28:35Z</dcterms:modified>
  <cp:revision>84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