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rPr>
          <w:rFonts w:ascii="宋体" w:hAnsi="宋体" w:eastAsia="宋体"/>
          <w:szCs w:val="32"/>
        </w:rPr>
      </w:pPr>
      <w:r>
        <w:rPr>
          <w:rFonts w:hint="eastAsia" w:ascii="宋体" w:hAnsi="宋体" w:eastAsia="宋体"/>
          <w:szCs w:val="32"/>
        </w:rPr>
        <w:t>附件</w:t>
      </w: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hint="eastAsia" w:ascii="宋体" w:hAnsi="宋体" w:eastAsia="宋体" w:cstheme="majorEastAsia"/>
          <w:b/>
          <w:bCs/>
          <w:sz w:val="48"/>
          <w:szCs w:val="48"/>
          <w:lang w:eastAsia="zh-CN"/>
        </w:rPr>
      </w:pPr>
      <w:r>
        <w:rPr>
          <w:rFonts w:hint="eastAsia" w:ascii="宋体" w:hAnsi="宋体" w:eastAsia="宋体" w:cstheme="majorEastAsia"/>
          <w:b/>
          <w:bCs/>
          <w:sz w:val="48"/>
          <w:szCs w:val="48"/>
        </w:rPr>
        <w:t>蓝田县</w:t>
      </w:r>
      <w:r>
        <w:rPr>
          <w:rFonts w:hint="eastAsia" w:ascii="宋体" w:hAnsi="宋体" w:eastAsia="宋体" w:cstheme="majorEastAsia"/>
          <w:b/>
          <w:bCs/>
          <w:sz w:val="48"/>
          <w:szCs w:val="48"/>
          <w:lang w:eastAsia="zh-CN"/>
        </w:rPr>
        <w:t>工商业联合会</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eastAsia" w:ascii="宋体" w:hAnsi="宋体" w:eastAsia="宋体" w:cstheme="minorEastAsia"/>
          <w:b/>
          <w:bCs/>
          <w:szCs w:val="32"/>
          <w:lang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hint="eastAsia" w:ascii="宋体" w:hAnsi="宋体" w:eastAsia="宋体" w:cs="宋体"/>
          <w:b/>
          <w:bCs/>
          <w:szCs w:val="32"/>
          <w:lang w:eastAsia="zh-CN"/>
        </w:rPr>
      </w:pPr>
      <w:r>
        <w:rPr>
          <w:rFonts w:hint="eastAsia" w:ascii="宋体" w:hAnsi="宋体" w:eastAsia="宋体" w:cstheme="minorEastAsia"/>
          <w:b/>
          <w:bCs/>
          <w:szCs w:val="32"/>
        </w:rPr>
        <w:t>部门主要负责人审签情况：</w:t>
      </w:r>
      <w:r>
        <w:rPr>
          <w:rFonts w:hint="eastAsia" w:ascii="宋体" w:hAnsi="宋体" w:eastAsia="宋体" w:cstheme="minorEastAsia"/>
          <w:b/>
          <w:bCs/>
          <w:szCs w:val="32"/>
          <w:lang w:eastAsia="zh-CN"/>
        </w:rPr>
        <w:t>已签审</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pStyle w:val="5"/>
        <w:widowControl/>
        <w:shd w:val="clear" w:color="auto" w:fill="FFFFFF"/>
        <w:spacing w:before="0" w:beforeAutospacing="0" w:after="0" w:afterAutospacing="0" w:line="375" w:lineRule="atLeast"/>
        <w:ind w:firstLine="420"/>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加强和改进非公有制经济人士思想政治工作；参与政治协商，发挥民主监督作用，积极参政议政；协助政府管理和服务非公有制经济；促进行业协会商会改革发展；参与协调劳动关系，协同社会治理，促进社会和谐稳定；引导非公有制企业和非公有制经济人士依法诚信经营，帮助其依法维护合法权益，促进权利平等、机会平等、规则平等。</w:t>
      </w:r>
    </w:p>
    <w:p>
      <w:pPr>
        <w:widowControl/>
        <w:numPr>
          <w:ilvl w:val="0"/>
          <w:numId w:val="2"/>
        </w:numPr>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内设机构</w:t>
      </w:r>
    </w:p>
    <w:p>
      <w:pPr>
        <w:pStyle w:val="5"/>
        <w:widowControl/>
        <w:shd w:val="clear" w:color="auto" w:fill="FFFFFF"/>
        <w:spacing w:before="0" w:beforeAutospacing="0" w:after="0" w:afterAutospacing="0" w:line="375" w:lineRule="atLeast"/>
        <w:ind w:firstLine="420"/>
        <w:rPr>
          <w:rFonts w:hint="eastAsia" w:ascii="楷体" w:hAnsi="楷体" w:eastAsia="楷体" w:cs="楷体"/>
          <w:b/>
          <w:bCs/>
          <w:color w:val="000000"/>
          <w:kern w:val="0"/>
          <w:szCs w:val="32"/>
        </w:rPr>
      </w:pPr>
      <w:r>
        <w:rPr>
          <w:rFonts w:hint="eastAsia" w:ascii="仿宋_GB2312" w:hAnsi="仿宋_GB2312" w:eastAsia="仿宋_GB2312" w:cs="仿宋_GB2312"/>
          <w:kern w:val="2"/>
          <w:sz w:val="32"/>
          <w:szCs w:val="32"/>
          <w:lang w:val="en-US" w:eastAsia="zh-CN" w:bidi="ar-SA"/>
        </w:rPr>
        <w:t>无内设机构。</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snapToGrid w:val="0"/>
        <w:spacing w:line="560" w:lineRule="exact"/>
        <w:ind w:firstLine="640" w:firstLineChars="200"/>
        <w:rPr>
          <w:rFonts w:hint="eastAsia" w:ascii="仿宋_GB2312" w:hAnsi="仿宋_GB2312" w:eastAsia="仿宋_GB2312" w:cs="仿宋_GB2312"/>
          <w:szCs w:val="32"/>
        </w:rPr>
      </w:pPr>
      <w:r>
        <w:rPr>
          <w:rFonts w:hint="eastAsia" w:ascii="仿宋_GB2312" w:hAnsi="仿宋_GB2312" w:eastAsia="仿宋_GB2312" w:cs="仿宋_GB2312"/>
          <w:szCs w:val="32"/>
        </w:rPr>
        <w:t>从预算单位构成看，本单位为独立预算部门，无二级预算部门，为全额财政拨款的行政单位。内设科室1个：</w:t>
      </w:r>
      <w:r>
        <w:rPr>
          <w:rFonts w:hint="eastAsia" w:ascii="仿宋_GB2312" w:hAnsi="仿宋_GB2312" w:eastAsia="仿宋_GB2312" w:cs="仿宋_GB2312"/>
          <w:szCs w:val="32"/>
          <w:lang w:eastAsia="zh-CN"/>
        </w:rPr>
        <w:t>蓝田县工商业联合会</w:t>
      </w:r>
      <w:r>
        <w:rPr>
          <w:rFonts w:hint="eastAsia" w:ascii="仿宋_GB2312" w:hAnsi="仿宋_GB2312" w:eastAsia="仿宋_GB2312" w:cs="仿宋_GB2312"/>
          <w:szCs w:val="32"/>
        </w:rPr>
        <w:t>办公室</w:t>
      </w:r>
      <w:r>
        <w:rPr>
          <w:rFonts w:hint="eastAsia" w:ascii="仿宋_GB2312" w:hAnsi="仿宋_GB2312" w:eastAsia="仿宋_GB2312" w:cs="仿宋_GB2312"/>
          <w:szCs w:val="32"/>
          <w:lang w:eastAsia="zh-CN"/>
        </w:rPr>
        <w:t>，承担</w:t>
      </w:r>
      <w:r>
        <w:rPr>
          <w:rFonts w:hint="eastAsia" w:ascii="仿宋_GB2312" w:hAnsi="仿宋_GB2312" w:eastAsia="仿宋_GB2312" w:cs="仿宋_GB2312"/>
          <w:szCs w:val="32"/>
        </w:rPr>
        <w:t>日常工作。</w:t>
      </w:r>
    </w:p>
    <w:p>
      <w:pPr>
        <w:spacing w:line="560" w:lineRule="exact"/>
        <w:ind w:firstLine="640" w:firstLineChars="200"/>
        <w:rPr>
          <w:rFonts w:ascii="仿宋_GB2312" w:hAnsi="仿宋_GB2312" w:eastAsia="仿宋_GB2312" w:cs="仿宋_GB2312"/>
          <w:szCs w:val="32"/>
        </w:rPr>
      </w:pPr>
      <w:r>
        <w:rPr>
          <w:rFonts w:hint="eastAsia" w:ascii="仿宋_GB2312" w:hAnsi="仿宋_GB2312" w:eastAsia="仿宋_GB2312" w:cs="仿宋_GB2312"/>
          <w:kern w:val="0"/>
          <w:szCs w:val="32"/>
        </w:rPr>
        <w:t>本单位无下属单位。</w:t>
      </w:r>
    </w:p>
    <w:tbl>
      <w:tblPr>
        <w:tblStyle w:val="7"/>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黑体" w:hAnsi="黑体" w:eastAsia="黑体"/>
                <w:szCs w:val="32"/>
              </w:rPr>
            </w:pPr>
            <w:r>
              <w:rPr>
                <w:rFonts w:hint="eastAsia" w:ascii="黑体" w:hAnsi="黑体" w:eastAsia="黑体"/>
                <w:szCs w:val="32"/>
              </w:rPr>
              <w:t>序号</w:t>
            </w:r>
          </w:p>
        </w:tc>
        <w:tc>
          <w:tcPr>
            <w:tcW w:w="7278" w:type="dxa"/>
            <w:vAlign w:val="center"/>
          </w:tcPr>
          <w:p>
            <w:pPr>
              <w:jc w:val="center"/>
              <w:rPr>
                <w:rFonts w:ascii="黑体" w:hAnsi="黑体" w:eastAsia="黑体"/>
                <w:szCs w:val="32"/>
              </w:rPr>
            </w:pPr>
            <w:r>
              <w:rPr>
                <w:rFonts w:hint="eastAsia" w:ascii="黑体" w:hAnsi="黑体" w:eastAsia="黑体"/>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pPr>
              <w:jc w:val="center"/>
              <w:rPr>
                <w:rFonts w:ascii="仿宋_GB2312" w:hAnsi="仿宋_GB2312" w:eastAsia="仿宋_GB2312" w:cs="仿宋_GB2312"/>
                <w:szCs w:val="32"/>
              </w:rPr>
            </w:pPr>
            <w:r>
              <w:rPr>
                <w:rFonts w:hint="eastAsia" w:ascii="仿宋_GB2312" w:hAnsi="仿宋_GB2312" w:eastAsia="仿宋_GB2312" w:cs="仿宋_GB2312"/>
                <w:szCs w:val="32"/>
              </w:rPr>
              <w:t>1</w:t>
            </w:r>
          </w:p>
        </w:tc>
        <w:tc>
          <w:tcPr>
            <w:tcW w:w="7278" w:type="dxa"/>
            <w:vAlign w:val="center"/>
          </w:tcPr>
          <w:p>
            <w:pPr>
              <w:jc w:val="center"/>
              <w:rPr>
                <w:rFonts w:hint="eastAsia" w:ascii="仿宋_GB2312" w:hAnsi="仿宋_GB2312" w:eastAsia="仿宋_GB2312" w:cs="仿宋_GB2312"/>
                <w:szCs w:val="32"/>
                <w:lang w:eastAsia="zh-CN"/>
              </w:rPr>
            </w:pPr>
            <w:r>
              <w:rPr>
                <w:rFonts w:hint="eastAsia" w:ascii="仿宋_GB2312" w:hAnsi="仿宋_GB2312" w:eastAsia="仿宋_GB2312" w:cs="仿宋_GB2312"/>
                <w:szCs w:val="32"/>
                <w:lang w:eastAsia="zh-CN"/>
              </w:rPr>
              <w:t>蓝田县工商业联合会</w:t>
            </w:r>
          </w:p>
        </w:tc>
      </w:tr>
    </w:tbl>
    <w:p>
      <w:pPr>
        <w:ind w:firstLine="640"/>
        <w:rPr>
          <w:rFonts w:ascii="黑体" w:hAnsi="黑体" w:eastAsia="黑体"/>
          <w:b/>
          <w:bCs/>
          <w:szCs w:val="32"/>
        </w:rPr>
      </w:pPr>
      <w:r>
        <w:rPr>
          <w:rFonts w:hint="eastAsia" w:ascii="黑体" w:hAnsi="黑体" w:eastAsia="黑体"/>
          <w:b/>
          <w:bCs/>
          <w:szCs w:val="32"/>
        </w:rPr>
        <w:t>三、部门人员情况</w:t>
      </w:r>
    </w:p>
    <w:p>
      <w:pPr>
        <w:pStyle w:val="5"/>
        <w:widowControl/>
        <w:shd w:val="clear" w:color="auto" w:fill="FFFFFF"/>
        <w:spacing w:before="0" w:beforeAutospacing="0" w:after="0" w:afterAutospacing="0" w:line="375" w:lineRule="atLeast"/>
        <w:ind w:firstLine="420"/>
        <w:rPr>
          <w:rFonts w:hint="eastAsia" w:ascii="仿宋" w:hAnsi="仿宋" w:eastAsia="仿宋" w:cs="仿宋"/>
          <w:color w:val="auto"/>
          <w:sz w:val="32"/>
          <w:szCs w:val="32"/>
          <w:shd w:val="clear" w:color="auto" w:fill="FFFFFF"/>
        </w:rPr>
      </w:pPr>
      <w:r>
        <w:rPr>
          <w:rFonts w:hint="eastAsia" w:ascii="仿宋" w:hAnsi="仿宋" w:eastAsia="仿宋" w:cs="仿宋"/>
          <w:color w:val="auto"/>
          <w:sz w:val="32"/>
          <w:szCs w:val="32"/>
          <w:shd w:val="clear" w:color="auto" w:fill="FFFFFF"/>
        </w:rPr>
        <w:t>截止201</w:t>
      </w:r>
      <w:r>
        <w:rPr>
          <w:rFonts w:hint="eastAsia" w:ascii="仿宋" w:hAnsi="仿宋" w:eastAsia="仿宋" w:cs="仿宋"/>
          <w:color w:val="auto"/>
          <w:sz w:val="32"/>
          <w:szCs w:val="32"/>
          <w:shd w:val="clear" w:color="auto" w:fill="FFFFFF"/>
          <w:lang w:val="en-US" w:eastAsia="zh-CN"/>
        </w:rPr>
        <w:t>9</w:t>
      </w:r>
      <w:r>
        <w:rPr>
          <w:rFonts w:hint="eastAsia" w:ascii="仿宋" w:hAnsi="仿宋" w:eastAsia="仿宋" w:cs="仿宋"/>
          <w:color w:val="auto"/>
          <w:sz w:val="32"/>
          <w:szCs w:val="32"/>
          <w:shd w:val="clear" w:color="auto" w:fill="FFFFFF"/>
        </w:rPr>
        <w:t>年底，本部门人员编制</w:t>
      </w:r>
      <w:r>
        <w:rPr>
          <w:rFonts w:hint="eastAsia" w:ascii="仿宋" w:hAnsi="仿宋" w:eastAsia="仿宋" w:cs="仿宋"/>
          <w:color w:val="auto"/>
          <w:sz w:val="32"/>
          <w:szCs w:val="32"/>
          <w:shd w:val="clear" w:color="auto" w:fill="FFFFFF"/>
          <w:lang w:val="en-US" w:eastAsia="zh-CN"/>
        </w:rPr>
        <w:t>3</w:t>
      </w:r>
      <w:r>
        <w:rPr>
          <w:rFonts w:hint="eastAsia" w:ascii="仿宋" w:hAnsi="仿宋" w:eastAsia="仿宋" w:cs="仿宋"/>
          <w:color w:val="auto"/>
          <w:sz w:val="32"/>
          <w:szCs w:val="32"/>
          <w:shd w:val="clear" w:color="auto" w:fill="FFFFFF"/>
        </w:rPr>
        <w:t>人，其中行政编制</w:t>
      </w:r>
      <w:r>
        <w:rPr>
          <w:rFonts w:hint="eastAsia" w:ascii="仿宋" w:hAnsi="仿宋" w:eastAsia="仿宋" w:cs="仿宋"/>
          <w:color w:val="auto"/>
          <w:sz w:val="32"/>
          <w:szCs w:val="32"/>
          <w:shd w:val="clear" w:color="auto" w:fill="FFFFFF"/>
          <w:lang w:val="en-US" w:eastAsia="zh-CN"/>
        </w:rPr>
        <w:t>3</w:t>
      </w:r>
      <w:r>
        <w:rPr>
          <w:rFonts w:hint="eastAsia" w:ascii="仿宋" w:hAnsi="仿宋" w:eastAsia="仿宋" w:cs="仿宋"/>
          <w:color w:val="auto"/>
          <w:sz w:val="32"/>
          <w:szCs w:val="32"/>
          <w:shd w:val="clear" w:color="auto" w:fill="FFFFFF"/>
        </w:rPr>
        <w:t>人、事业编制0人；实有人员3人，其中行政3人、事业0人。单位管理的离退休人员0人。</w:t>
      </w:r>
    </w:p>
    <w:p>
      <w:pPr>
        <w:pStyle w:val="5"/>
        <w:widowControl/>
        <w:shd w:val="clear" w:color="auto" w:fill="FFFFFF"/>
        <w:spacing w:before="0" w:beforeAutospacing="0" w:after="0" w:afterAutospacing="0" w:line="375" w:lineRule="atLeast"/>
        <w:ind w:firstLine="420"/>
        <w:rPr>
          <w:rFonts w:hint="eastAsia" w:ascii="仿宋" w:hAnsi="仿宋" w:eastAsia="仿宋" w:cs="仿宋"/>
          <w:color w:val="auto"/>
          <w:sz w:val="32"/>
          <w:szCs w:val="32"/>
          <w:shd w:val="clear" w:color="auto" w:fill="FFFFFF"/>
        </w:rPr>
      </w:pPr>
    </w:p>
    <w:p>
      <w:pPr>
        <w:pStyle w:val="5"/>
        <w:widowControl/>
        <w:shd w:val="clear" w:color="auto" w:fill="FFFFFF"/>
        <w:spacing w:before="0" w:beforeAutospacing="0" w:after="0" w:afterAutospacing="0" w:line="375" w:lineRule="atLeast"/>
        <w:ind w:firstLine="420"/>
        <w:rPr>
          <w:rFonts w:hint="eastAsia" w:ascii="仿宋" w:hAnsi="仿宋" w:eastAsia="仿宋" w:cs="仿宋"/>
          <w:color w:val="auto"/>
          <w:sz w:val="32"/>
          <w:szCs w:val="32"/>
          <w:shd w:val="clear" w:color="auto" w:fill="FFFFFF"/>
        </w:rPr>
      </w:pPr>
      <w:r>
        <w:rPr>
          <w:rFonts w:hint="eastAsia" w:ascii="仿宋" w:hAnsi="仿宋" w:eastAsia="仿宋" w:cs="仿宋"/>
          <w:color w:val="3D3D3C"/>
          <w:sz w:val="32"/>
          <w:szCs w:val="32"/>
          <w:shd w:val="clear" w:color="auto" w:fill="FFFFFF"/>
        </w:rPr>
        <w:object>
          <v:shape id="_x0000_i1029" o:spt="75" type="#_x0000_t75" style="height:222.75pt;width:204.75pt;" o:ole="t" filled="f" o:preferrelative="t" stroked="f" coordsize="21600,21600">
            <v:path/>
            <v:fill on="f" focussize="0,0"/>
            <v:stroke on="f"/>
            <v:imagedata r:id="rId5" o:title=""/>
            <o:lock v:ext="edit" aspectratio="t"/>
            <w10:wrap type="none"/>
            <w10:anchorlock/>
          </v:shape>
          <o:OLEObject Type="Embed" ProgID="Excel.Chart.8" ShapeID="_x0000_i1029" DrawAspect="Content" ObjectID="_1468075725" r:id="rId4">
            <o:LockedField>false</o:LockedField>
          </o:OLEObject>
        </w:object>
      </w:r>
    </w:p>
    <w:p>
      <w:pPr>
        <w:ind w:firstLine="640"/>
        <w:rPr>
          <w:rFonts w:ascii="仿宋_GB2312" w:hAnsi="仿宋_GB2312" w:eastAsia="仿宋_GB2312" w:cs="仿宋_GB2312"/>
          <w:szCs w:val="32"/>
        </w:rPr>
      </w:pPr>
    </w:p>
    <w:p>
      <w:pPr>
        <w:widowControl/>
        <w:jc w:val="center"/>
        <w:rPr>
          <w:rFonts w:hint="eastAsia"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4"/>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1"/>
                <w:szCs w:val="21"/>
                <w:lang w:eastAsia="zh-CN"/>
              </w:rPr>
              <w:t>无三公经费支出</w:t>
            </w: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方正仿宋简体" w:cs="宋体"/>
                <w:color w:val="000000"/>
                <w:sz w:val="24"/>
                <w:lang w:eastAsia="zh-CN"/>
              </w:rPr>
            </w:pPr>
            <w:r>
              <w:rPr>
                <w:rFonts w:hint="eastAsia" w:ascii="宋体" w:hAnsi="宋体" w:cs="宋体"/>
                <w:color w:val="000000"/>
                <w:sz w:val="24"/>
                <w:lang w:eastAsia="zh-CN"/>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15"/>
                <w:szCs w:val="15"/>
              </w:rPr>
            </w:pPr>
            <w:r>
              <w:rPr>
                <w:rFonts w:hint="eastAsia" w:ascii="宋体" w:hAnsi="宋体" w:cs="宋体"/>
                <w:color w:val="000000"/>
                <w:sz w:val="15"/>
                <w:szCs w:val="15"/>
              </w:rPr>
              <w:t>本部门</w:t>
            </w:r>
            <w:r>
              <w:rPr>
                <w:rFonts w:hint="eastAsia" w:ascii="宋体" w:hAnsi="宋体" w:cs="宋体"/>
                <w:color w:val="000000"/>
                <w:kern w:val="0"/>
                <w:sz w:val="15"/>
                <w:szCs w:val="15"/>
              </w:rPr>
              <w:t>政府性基金预算财政拨款收入支出</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0.95</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val="0"/>
                <w:bCs/>
                <w:color w:val="000000"/>
                <w:sz w:val="21"/>
                <w:szCs w:val="21"/>
                <w:lang w:val="en-US" w:eastAsia="zh-CN"/>
              </w:rPr>
              <w:t>46.33</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cs="宋体"/>
                <w:b/>
                <w:color w:val="000000"/>
                <w:sz w:val="21"/>
                <w:szCs w:val="21"/>
                <w:lang w:val="en-US" w:eastAsia="zh-CN"/>
              </w:rPr>
            </w:pPr>
            <w:r>
              <w:rPr>
                <w:rFonts w:hint="eastAsia" w:ascii="宋体" w:hAnsi="宋体" w:eastAsia="宋体" w:cs="宋体"/>
                <w:b w:val="0"/>
                <w:bCs/>
                <w:color w:val="000000"/>
                <w:sz w:val="21"/>
                <w:szCs w:val="21"/>
                <w:lang w:val="en-US" w:eastAsia="zh-CN"/>
              </w:rPr>
              <w:t>46.33</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rPr>
          <w:rFonts w:ascii="宋体" w:hAnsi="宋体" w:eastAsia="宋体" w:cs="宋体"/>
          <w:b/>
          <w:bCs/>
          <w:sz w:val="21"/>
          <w:szCs w:val="21"/>
        </w:rPr>
      </w:pPr>
      <w:r>
        <w:rPr>
          <w:rFonts w:hint="eastAsia" w:ascii="宋体" w:hAnsi="宋体" w:eastAsia="宋体" w:cs="宋体"/>
          <w:b/>
          <w:bCs/>
          <w:sz w:val="21"/>
          <w:szCs w:val="21"/>
        </w:rPr>
        <w:t>公开02表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9146" w:type="dxa"/>
        <w:tblInd w:w="-279" w:type="dxa"/>
        <w:tblLayout w:type="fixed"/>
        <w:tblCellMar>
          <w:top w:w="15" w:type="dxa"/>
          <w:left w:w="15" w:type="dxa"/>
          <w:bottom w:w="15" w:type="dxa"/>
          <w:right w:w="15" w:type="dxa"/>
        </w:tblCellMar>
      </w:tblPr>
      <w:tblGrid>
        <w:gridCol w:w="900"/>
        <w:gridCol w:w="2415"/>
        <w:gridCol w:w="750"/>
        <w:gridCol w:w="780"/>
        <w:gridCol w:w="690"/>
        <w:gridCol w:w="600"/>
        <w:gridCol w:w="825"/>
        <w:gridCol w:w="705"/>
        <w:gridCol w:w="671"/>
        <w:gridCol w:w="810"/>
      </w:tblGrid>
      <w:tr>
        <w:tblPrEx>
          <w:tblCellMar>
            <w:top w:w="15" w:type="dxa"/>
            <w:left w:w="15" w:type="dxa"/>
            <w:bottom w:w="15" w:type="dxa"/>
            <w:right w:w="15" w:type="dxa"/>
          </w:tblCellMar>
        </w:tblPrEx>
        <w:trPr>
          <w:trHeight w:val="439" w:hRule="atLeast"/>
        </w:trPr>
        <w:tc>
          <w:tcPr>
            <w:tcW w:w="33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7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8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6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142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70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6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81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tblPrEx>
          <w:tblCellMar>
            <w:top w:w="15" w:type="dxa"/>
            <w:left w:w="15" w:type="dxa"/>
            <w:bottom w:w="15" w:type="dxa"/>
            <w:right w:w="15" w:type="dxa"/>
          </w:tblCellMar>
        </w:tblPrEx>
        <w:trPr>
          <w:trHeight w:val="1125" w:hRule="atLeast"/>
        </w:trPr>
        <w:tc>
          <w:tcPr>
            <w:tcW w:w="90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415"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7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8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82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其中：教育收费</w:t>
            </w:r>
          </w:p>
        </w:tc>
        <w:tc>
          <w:tcPr>
            <w:tcW w:w="70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6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1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9" w:hRule="atLeast"/>
        </w:trPr>
        <w:tc>
          <w:tcPr>
            <w:tcW w:w="331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一般公共服务支出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p>
            <w:pPr>
              <w:jc w:val="center"/>
              <w:rPr>
                <w:rFonts w:hint="default" w:ascii="宋体" w:hAnsi="宋体" w:eastAsia="宋体" w:cs="宋体"/>
                <w:color w:val="000000"/>
                <w:sz w:val="21"/>
                <w:szCs w:val="21"/>
                <w:lang w:val="en-US" w:eastAsia="zh-CN"/>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民主党派及工商联事务</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2012801</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行政运行</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2012802</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一般行政管理事务</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社会保障和就业支出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行政事业单位离退休</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卫生健康支出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行政单位医疗</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2101103</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公务员医疗补助</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2109901</w:t>
            </w: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49" w:hRule="atLeast"/>
        </w:trPr>
        <w:tc>
          <w:tcPr>
            <w:tcW w:w="90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4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7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0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2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70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6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81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9640" w:type="dxa"/>
        <w:tblInd w:w="-744" w:type="dxa"/>
        <w:tblLayout w:type="fixed"/>
        <w:tblCellMar>
          <w:top w:w="15" w:type="dxa"/>
          <w:left w:w="15" w:type="dxa"/>
          <w:bottom w:w="15" w:type="dxa"/>
          <w:right w:w="15" w:type="dxa"/>
        </w:tblCellMar>
      </w:tblPr>
      <w:tblGrid>
        <w:gridCol w:w="915"/>
        <w:gridCol w:w="120"/>
        <w:gridCol w:w="2190"/>
        <w:gridCol w:w="990"/>
        <w:gridCol w:w="986"/>
        <w:gridCol w:w="1077"/>
        <w:gridCol w:w="1109"/>
        <w:gridCol w:w="908"/>
        <w:gridCol w:w="1345"/>
      </w:tblGrid>
      <w:tr>
        <w:tblPrEx>
          <w:tblCellMar>
            <w:top w:w="15" w:type="dxa"/>
            <w:left w:w="15" w:type="dxa"/>
            <w:bottom w:w="15" w:type="dxa"/>
            <w:right w:w="15" w:type="dxa"/>
          </w:tblCellMar>
        </w:tblPrEx>
        <w:trPr>
          <w:trHeight w:val="372" w:hRule="atLeast"/>
        </w:trPr>
        <w:tc>
          <w:tcPr>
            <w:tcW w:w="32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8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7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10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90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134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tblPrEx>
          <w:tblCellMar>
            <w:top w:w="15" w:type="dxa"/>
            <w:left w:w="15" w:type="dxa"/>
            <w:bottom w:w="15" w:type="dxa"/>
            <w:right w:w="15" w:type="dxa"/>
          </w:tblCellMar>
        </w:tblPrEx>
        <w:trPr>
          <w:trHeight w:val="702" w:hRule="atLeast"/>
        </w:trPr>
        <w:tc>
          <w:tcPr>
            <w:tcW w:w="103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21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7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0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0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4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372" w:hRule="atLeast"/>
        </w:trPr>
        <w:tc>
          <w:tcPr>
            <w:tcW w:w="322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35.03</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一般</w:t>
            </w:r>
            <w:r>
              <w:rPr>
                <w:rFonts w:hint="eastAsia" w:ascii="宋体" w:hAnsi="宋体" w:eastAsia="宋体" w:cs="宋体"/>
                <w:color w:val="000000"/>
                <w:sz w:val="21"/>
                <w:szCs w:val="21"/>
                <w:lang w:val="en-US" w:eastAsia="zh-CN"/>
              </w:rPr>
              <w:t>公共服务支出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民主党派及工商联事务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2012801</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2012802</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一般行政管理事务</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社会保障和就业支出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行政事业单位离退休</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r>
              <w:rPr>
                <w:rFonts w:hint="eastAsia" w:ascii="宋体" w:hAnsi="宋体" w:eastAsia="宋体" w:cs="宋体"/>
                <w:color w:val="000000"/>
                <w:sz w:val="21"/>
                <w:szCs w:val="21"/>
                <w:lang w:eastAsia="zh-CN"/>
              </w:rPr>
              <w:t>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2101103</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公务员医疗补助</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2109901</w:t>
            </w: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2"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83" w:hRule="atLeast"/>
        </w:trPr>
        <w:tc>
          <w:tcPr>
            <w:tcW w:w="915"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310"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8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7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0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0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4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jc w:val="left"/>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rPr>
          <w:rFonts w:ascii="宋体" w:hAnsi="宋体" w:eastAsia="宋体" w:cs="宋体"/>
          <w:b/>
          <w:bCs/>
          <w:sz w:val="21"/>
          <w:szCs w:val="21"/>
        </w:rPr>
      </w:pPr>
      <w:r>
        <w:rPr>
          <w:rFonts w:hint="eastAsia" w:ascii="宋体" w:hAnsi="宋体" w:eastAsia="宋体" w:cs="宋体"/>
          <w:b/>
          <w:bCs/>
          <w:sz w:val="21"/>
          <w:szCs w:val="21"/>
        </w:rPr>
        <w:t>公开04表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pPr>
              <w:rPr>
                <w:rFonts w:ascii="宋体" w:hAnsi="宋体" w:eastAsia="宋体" w:cs="宋体"/>
                <w:b/>
                <w:color w:val="000000"/>
                <w:sz w:val="21"/>
                <w:szCs w:val="21"/>
              </w:rPr>
            </w:pPr>
          </w:p>
        </w:tc>
      </w:tr>
    </w:tbl>
    <w:p/>
    <w:p/>
    <w:p>
      <w:pPr>
        <w:jc w:val="center"/>
        <w:rPr>
          <w:rFonts w:ascii="宋体" w:hAnsi="宋体" w:eastAsia="宋体" w:cs="宋体"/>
          <w:b/>
          <w:bCs/>
          <w:szCs w:val="32"/>
        </w:rPr>
      </w:pPr>
      <w:r>
        <w:rPr>
          <w:rFonts w:hint="eastAsia" w:ascii="宋体" w:hAnsi="宋体" w:eastAsia="宋体" w:cs="宋体"/>
          <w:b/>
          <w:bCs/>
          <w:szCs w:val="32"/>
        </w:rPr>
        <w:t xml:space="preserve">财政拨款收入支出决算总表 </w:t>
      </w:r>
    </w:p>
    <w:p>
      <w:pPr>
        <w:rPr>
          <w:rFonts w:ascii="宋体" w:hAnsi="宋体" w:eastAsia="宋体" w:cs="宋体"/>
          <w:b/>
          <w:bCs/>
          <w:sz w:val="21"/>
          <w:szCs w:val="21"/>
        </w:rPr>
      </w:pPr>
      <w:r>
        <w:rPr>
          <w:rFonts w:hint="eastAsia" w:ascii="宋体" w:hAnsi="宋体" w:eastAsia="宋体" w:cs="宋体"/>
          <w:b/>
          <w:bCs/>
          <w:sz w:val="21"/>
          <w:szCs w:val="21"/>
        </w:rPr>
        <w:t xml:space="preserve"> 公开04表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 xml:space="preserve">         46.33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r>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81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06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ascii="宋体" w:hAnsi="宋体" w:eastAsia="宋体" w:cs="宋体"/>
                <w:b w:val="0"/>
                <w:bCs/>
                <w:color w:val="000000"/>
                <w:kern w:val="0"/>
                <w:sz w:val="21"/>
                <w:szCs w:val="21"/>
                <w:lang w:val="en-US" w:eastAsia="zh-CN"/>
              </w:rPr>
            </w:pPr>
            <w:r>
              <w:rPr>
                <w:rFonts w:hint="eastAsia" w:ascii="宋体" w:hAnsi="宋体" w:eastAsia="宋体" w:cs="宋体"/>
                <w:b w:val="0"/>
                <w:bCs/>
                <w:color w:val="000000"/>
                <w:kern w:val="0"/>
                <w:sz w:val="21"/>
                <w:szCs w:val="21"/>
                <w:lang w:val="en-US" w:eastAsia="zh-CN"/>
              </w:rPr>
              <w:t>46.33</w:t>
            </w:r>
          </w:p>
        </w:tc>
        <w:tc>
          <w:tcPr>
            <w:tcW w:w="119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kern w:val="0"/>
                <w:sz w:val="21"/>
                <w:szCs w:val="21"/>
              </w:rPr>
            </w:pP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Pr>
        <w:rPr>
          <w:rFonts w:ascii="仿宋_GB2312" w:hAnsi="仿宋_GB2312" w:eastAsia="仿宋_GB2312" w:cs="仿宋_GB2312"/>
          <w:szCs w:val="32"/>
        </w:rPr>
      </w:pPr>
    </w:p>
    <w:p/>
    <w:p/>
    <w:p/>
    <w:p/>
    <w:p/>
    <w:p/>
    <w:p/>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46.33</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35.03</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33.83</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一般公共服务</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201</w:t>
            </w:r>
            <w:r>
              <w:rPr>
                <w:rFonts w:hint="eastAsia" w:ascii="宋体" w:hAnsi="宋体" w:eastAsia="宋体" w:cs="宋体"/>
                <w:color w:val="000000"/>
                <w:kern w:val="0"/>
                <w:sz w:val="21"/>
                <w:szCs w:val="21"/>
                <w:lang w:val="en-US" w:eastAsia="zh-CN"/>
              </w:rPr>
              <w:t>28</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rPr>
              <w:t>民主党派及工商联事务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41.51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ind w:left="420" w:hanging="420" w:hangingChars="200"/>
              <w:jc w:val="lef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rPr>
              <w:t xml:space="preserve">   201</w:t>
            </w:r>
            <w:r>
              <w:rPr>
                <w:rFonts w:hint="eastAsia" w:ascii="宋体" w:hAnsi="宋体" w:eastAsia="宋体" w:cs="宋体"/>
                <w:color w:val="000000"/>
                <w:kern w:val="0"/>
                <w:sz w:val="21"/>
                <w:szCs w:val="21"/>
                <w:lang w:val="en-US" w:eastAsia="zh-CN"/>
              </w:rPr>
              <w:t>2801</w:t>
            </w:r>
          </w:p>
        </w:tc>
        <w:tc>
          <w:tcPr>
            <w:tcW w:w="153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30.20</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29.00</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lang w:val="en-US" w:eastAsia="zh-CN"/>
              </w:rPr>
              <w:t>2012802</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一般行政管理事务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11.31</w:t>
            </w: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2080505</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0.96</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0.88</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0.84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2101103</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0.04</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2109901</w:t>
            </w: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0.08</w:t>
            </w: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53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00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3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3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5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659"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35.03</w:t>
            </w:r>
          </w:p>
        </w:tc>
        <w:tc>
          <w:tcPr>
            <w:tcW w:w="1437"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33.83</w:t>
            </w:r>
          </w:p>
        </w:tc>
        <w:tc>
          <w:tcPr>
            <w:tcW w:w="1363" w:type="dxa"/>
            <w:tcBorders>
              <w:left w:val="single" w:color="000000" w:sz="4" w:space="0"/>
              <w:bottom w:val="single" w:color="000000" w:sz="4" w:space="0"/>
              <w:right w:val="single" w:color="000000" w:sz="4" w:space="0"/>
            </w:tcBorders>
            <w:vAlign w:val="center"/>
          </w:tcPr>
          <w:p>
            <w:pPr>
              <w:jc w:val="center"/>
              <w:rPr>
                <w:rFonts w:hint="default" w:ascii="宋体" w:hAnsi="宋体" w:eastAsia="宋体" w:cs="宋体"/>
                <w:b/>
                <w:color w:val="000000"/>
                <w:sz w:val="21"/>
                <w:szCs w:val="21"/>
                <w:lang w:val="en-US" w:eastAsia="zh-CN"/>
              </w:rPr>
            </w:pPr>
            <w:r>
              <w:rPr>
                <w:rFonts w:hint="eastAsia" w:ascii="宋体" w:hAnsi="宋体" w:eastAsia="宋体" w:cs="宋体"/>
                <w:b/>
                <w:color w:val="000000"/>
                <w:sz w:val="21"/>
                <w:szCs w:val="21"/>
                <w:lang w:val="en-US" w:eastAsia="zh-CN"/>
              </w:rPr>
              <w:t>1.20</w:t>
            </w:r>
          </w:p>
        </w:tc>
        <w:tc>
          <w:tcPr>
            <w:tcW w:w="1155" w:type="dxa"/>
            <w:tcBorders>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工资福利支出 </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33.82</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33.82</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3010</w:t>
            </w:r>
            <w:r>
              <w:rPr>
                <w:rFonts w:hint="eastAsia" w:ascii="宋体" w:hAnsi="宋体" w:eastAsia="宋体" w:cs="宋体"/>
                <w:color w:val="000000"/>
                <w:kern w:val="0"/>
                <w:sz w:val="21"/>
                <w:szCs w:val="21"/>
                <w:lang w:val="en-US" w:eastAsia="zh-CN"/>
              </w:rPr>
              <w:t>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rPr>
              <w:t>奖金</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5.00</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3.87</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kern w:val="0"/>
                <w:sz w:val="21"/>
                <w:szCs w:val="21"/>
                <w:lang w:val="en-US" w:eastAsia="zh-CN"/>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0.95</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0.95</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both"/>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kern w:val="0"/>
                <w:sz w:val="21"/>
                <w:szCs w:val="21"/>
              </w:rPr>
              <w:t>3020</w:t>
            </w:r>
            <w:r>
              <w:rPr>
                <w:rFonts w:hint="eastAsia" w:ascii="宋体" w:hAnsi="宋体" w:eastAsia="宋体" w:cs="宋体"/>
                <w:color w:val="000000"/>
                <w:kern w:val="0"/>
                <w:sz w:val="21"/>
                <w:szCs w:val="21"/>
                <w:lang w:val="en-US" w:eastAsia="zh-CN"/>
              </w:rPr>
              <w:t>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rPr>
              <w:t>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43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2046"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65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43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eastAsia="zh-CN"/>
        </w:rPr>
        <w:t>蓝田县工商业联合会</w:t>
      </w:r>
      <w:r>
        <w:rPr>
          <w:rFonts w:hint="eastAsia" w:ascii="宋体" w:hAnsi="宋体" w:eastAsia="宋体" w:cs="宋体"/>
          <w:b/>
          <w:bCs/>
          <w:sz w:val="21"/>
          <w:szCs w:val="21"/>
        </w:rPr>
        <w:t xml:space="preserve">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t>2019年度收入总体情况及比上年减少</w:t>
      </w:r>
      <w:r>
        <w:rPr>
          <w:rFonts w:hint="eastAsia" w:ascii="仿宋_GB2312" w:hAnsi="仿宋" w:eastAsia="仿宋_GB2312"/>
          <w:szCs w:val="32"/>
          <w:lang w:val="en-US" w:eastAsia="zh-CN"/>
        </w:rPr>
        <w:t>0.09万元</w:t>
      </w:r>
      <w:r>
        <w:rPr>
          <w:rFonts w:hint="eastAsia" w:ascii="仿宋_GB2312" w:hAnsi="仿宋" w:eastAsia="仿宋_GB2312"/>
          <w:szCs w:val="32"/>
        </w:rPr>
        <w:t>，主要原因</w:t>
      </w:r>
      <w:r>
        <w:rPr>
          <w:rFonts w:hint="eastAsia" w:ascii="仿宋_GB2312" w:hAnsi="仿宋" w:eastAsia="仿宋_GB2312"/>
          <w:szCs w:val="32"/>
          <w:lang w:eastAsia="zh-CN"/>
        </w:rPr>
        <w:t>为缩减支出</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lang w:eastAsia="zh-CN"/>
        </w:rPr>
      </w:pPr>
      <w:r>
        <w:rPr>
          <w:rFonts w:hint="eastAsia" w:ascii="仿宋_GB2312" w:hAnsi="仿宋" w:eastAsia="仿宋_GB2312"/>
          <w:szCs w:val="32"/>
          <w:lang w:eastAsia="zh-CN"/>
        </w:rPr>
        <w:drawing>
          <wp:inline distT="0" distB="0" distL="114300" distR="114300">
            <wp:extent cx="5080000" cy="3810000"/>
            <wp:effectExtent l="4445" t="4445" r="20955" b="1460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2019度年支出总体情况及比上年减少</w:t>
      </w:r>
      <w:r>
        <w:rPr>
          <w:rFonts w:hint="eastAsia" w:ascii="仿宋_GB2312" w:hAnsi="仿宋" w:eastAsia="仿宋_GB2312"/>
          <w:szCs w:val="32"/>
          <w:lang w:val="en-US" w:eastAsia="zh-CN"/>
        </w:rPr>
        <w:t>0.09万元</w:t>
      </w:r>
      <w:r>
        <w:rPr>
          <w:rFonts w:hint="eastAsia" w:ascii="仿宋_GB2312" w:hAnsi="仿宋" w:eastAsia="仿宋_GB2312"/>
          <w:szCs w:val="32"/>
        </w:rPr>
        <w:t>，主要原因</w:t>
      </w:r>
      <w:r>
        <w:rPr>
          <w:rFonts w:hint="eastAsia" w:ascii="仿宋_GB2312" w:hAnsi="仿宋" w:eastAsia="仿宋_GB2312"/>
          <w:szCs w:val="32"/>
          <w:lang w:eastAsia="zh-CN"/>
        </w:rPr>
        <w:t>为缩减支出</w:t>
      </w:r>
      <w:r>
        <w:rPr>
          <w:rFonts w:hint="eastAsia" w:ascii="仿宋_GB2312" w:hAnsi="仿宋" w:eastAsia="仿宋_GB2312"/>
          <w:szCs w:val="32"/>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hint="eastAsia"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%；事业收入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%；经营收入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%；其他收入</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5080000" cy="38100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lang w:val="en-US" w:eastAsia="zh-CN"/>
        </w:rPr>
        <w:t>35.03</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75.6</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lang w:val="en-US" w:eastAsia="zh-CN"/>
        </w:rPr>
        <w:t>11.31</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24.4</w:t>
      </w:r>
      <w:r>
        <w:rPr>
          <w:rFonts w:ascii="仿宋_GB2312" w:hAnsi="宋体" w:eastAsia="仿宋_GB2312" w:cs="仿宋_GB2312"/>
          <w:color w:val="000000"/>
          <w:kern w:val="0"/>
          <w:szCs w:val="32"/>
        </w:rPr>
        <w:t>%。</w:t>
      </w:r>
    </w:p>
    <w:p>
      <w:pPr>
        <w:widowControl/>
        <w:ind w:firstLine="640" w:firstLineChars="200"/>
        <w:jc w:val="left"/>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5080000" cy="3810000"/>
            <wp:effectExtent l="4445" t="4445" r="2095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收入总体情况及比上年减少</w:t>
      </w:r>
      <w:r>
        <w:rPr>
          <w:rFonts w:hint="eastAsia" w:ascii="仿宋_GB2312" w:hAnsi="仿宋" w:eastAsia="仿宋_GB2312"/>
          <w:szCs w:val="32"/>
          <w:lang w:val="en-US" w:eastAsia="zh-CN"/>
        </w:rPr>
        <w:t>0.09万元</w:t>
      </w:r>
      <w:r>
        <w:rPr>
          <w:rFonts w:hint="eastAsia" w:ascii="仿宋_GB2312" w:hAnsi="仿宋" w:eastAsia="仿宋_GB2312"/>
          <w:szCs w:val="32"/>
        </w:rPr>
        <w:t>，主要原因</w:t>
      </w:r>
      <w:r>
        <w:rPr>
          <w:rFonts w:hint="eastAsia" w:ascii="仿宋_GB2312" w:hAnsi="仿宋" w:eastAsia="仿宋_GB2312"/>
          <w:szCs w:val="32"/>
          <w:lang w:eastAsia="zh-CN"/>
        </w:rPr>
        <w:t>为缩减支出</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rPr>
      </w:pPr>
      <w:r>
        <w:rPr>
          <w:rFonts w:hint="eastAsia" w:ascii="仿宋_GB2312" w:hAnsi="仿宋_GB2312" w:eastAsia="仿宋_GB2312" w:cs="仿宋_GB2312"/>
          <w:szCs w:val="32"/>
        </w:rPr>
        <w:drawing>
          <wp:inline distT="0" distB="0" distL="114300" distR="114300">
            <wp:extent cx="5080000" cy="3810000"/>
            <wp:effectExtent l="4445" t="4445" r="20955" b="1460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widowControl/>
        <w:ind w:firstLine="640" w:firstLineChars="200"/>
        <w:jc w:val="left"/>
        <w:rPr>
          <w:rFonts w:hint="eastAsia"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支出总体情况及比上年减少</w:t>
      </w:r>
      <w:r>
        <w:rPr>
          <w:rFonts w:hint="eastAsia" w:ascii="仿宋_GB2312" w:hAnsi="仿宋" w:eastAsia="仿宋_GB2312"/>
          <w:szCs w:val="32"/>
          <w:lang w:val="en-US" w:eastAsia="zh-CN"/>
        </w:rPr>
        <w:t>0.09万元</w:t>
      </w:r>
      <w:r>
        <w:rPr>
          <w:rFonts w:hint="eastAsia" w:ascii="仿宋_GB2312" w:hAnsi="仿宋" w:eastAsia="仿宋_GB2312"/>
          <w:szCs w:val="32"/>
        </w:rPr>
        <w:t>，主要原因</w:t>
      </w:r>
      <w:r>
        <w:rPr>
          <w:rFonts w:hint="eastAsia" w:ascii="仿宋_GB2312" w:hAnsi="仿宋" w:eastAsia="仿宋_GB2312"/>
          <w:szCs w:val="32"/>
          <w:lang w:eastAsia="zh-CN"/>
        </w:rPr>
        <w:t>为缩减支出</w:t>
      </w:r>
      <w:r>
        <w:rPr>
          <w:rFonts w:hint="eastAsia" w:ascii="仿宋_GB2312" w:hAnsi="仿宋" w:eastAsia="仿宋_GB2312"/>
          <w:szCs w:val="32"/>
        </w:rPr>
        <w:t>。</w:t>
      </w:r>
    </w:p>
    <w:p>
      <w:pPr>
        <w:widowControl/>
        <w:ind w:firstLine="640" w:firstLineChars="200"/>
        <w:jc w:val="left"/>
        <w:rPr>
          <w:rFonts w:hint="eastAsia" w:ascii="仿宋_GB2312" w:hAnsi="仿宋" w:eastAsia="仿宋_GB2312"/>
          <w:szCs w:val="32"/>
        </w:rPr>
      </w:pPr>
      <w:r>
        <w:rPr>
          <w:rFonts w:hint="eastAsia" w:ascii="仿宋_GB2312" w:hAnsi="仿宋_GB2312" w:eastAsia="仿宋_GB2312" w:cs="仿宋_GB2312"/>
          <w:szCs w:val="32"/>
        </w:rPr>
        <w:drawing>
          <wp:inline distT="0" distB="0" distL="114300" distR="114300">
            <wp:extent cx="5080000" cy="3810000"/>
            <wp:effectExtent l="4445" t="4445" r="20955" b="1460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0.09</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0.19</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hAnsi="宋体" w:eastAsia="仿宋_GB2312" w:cs="仿宋_GB2312"/>
          <w:color w:val="000000"/>
          <w:kern w:val="0"/>
          <w:szCs w:val="32"/>
          <w:lang w:eastAsia="zh-CN"/>
        </w:rPr>
        <w:t>缩减支出</w:t>
      </w:r>
      <w:r>
        <w:rPr>
          <w:rFonts w:hint="eastAsia" w:ascii="仿宋_GB2312" w:hAnsi="宋体" w:eastAsia="仿宋_GB2312" w:cs="仿宋_GB2312"/>
          <w:color w:val="000000"/>
          <w:kern w:val="0"/>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hint="eastAsia" w:ascii="仿宋_GB2312" w:hAnsi="仿宋_GB2312" w:eastAsia="仿宋_GB2312" w:cs="仿宋_GB2312"/>
          <w:szCs w:val="32"/>
        </w:rPr>
        <w:t>示例：</w:t>
      </w: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pPr>
        <w:widowControl/>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lang w:val="en-US" w:eastAsia="zh-CN"/>
        </w:rPr>
        <w:t>41.51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41.51</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widowControl/>
        <w:ind w:firstLine="640" w:firstLineChars="200"/>
        <w:jc w:val="left"/>
        <w:rPr>
          <w:rFonts w:hint="eastAsia" w:ascii="仿宋_GB2312" w:hAnsi="宋体" w:eastAsia="仿宋_GB2312" w:cs="仿宋_GB2312"/>
          <w:color w:val="000000"/>
          <w:kern w:val="0"/>
          <w:szCs w:val="32"/>
          <w:lang w:eastAsia="zh-CN"/>
        </w:rPr>
      </w:pPr>
      <w:r>
        <w:rPr>
          <w:rFonts w:ascii="仿宋_GB2312" w:hAnsi="宋体" w:eastAsia="仿宋_GB2312" w:cs="仿宋_GB2312"/>
          <w:color w:val="000000"/>
          <w:kern w:val="0"/>
          <w:szCs w:val="32"/>
        </w:rPr>
        <w:t>2.</w:t>
      </w:r>
      <w:r>
        <w:rPr>
          <w:rFonts w:hint="eastAsia" w:ascii="仿宋_GB2312" w:hAnsi="宋体" w:eastAsia="仿宋_GB2312" w:cs="仿宋_GB2312"/>
          <w:color w:val="000000"/>
          <w:kern w:val="0"/>
          <w:szCs w:val="32"/>
          <w:lang w:eastAsia="zh-CN"/>
        </w:rPr>
        <w:t>社会保障和就业年初预算为</w:t>
      </w:r>
      <w:r>
        <w:rPr>
          <w:rFonts w:hint="eastAsia" w:ascii="仿宋_GB2312" w:hAnsi="宋体" w:eastAsia="仿宋_GB2312" w:cs="仿宋_GB2312"/>
          <w:color w:val="000000"/>
          <w:kern w:val="0"/>
          <w:szCs w:val="32"/>
          <w:lang w:val="en-US" w:eastAsia="zh-CN"/>
        </w:rPr>
        <w:t>3.87万元，支出决算为3.87万元，完成年初预算的100％</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widowControl/>
        <w:ind w:firstLine="640" w:firstLineChars="200"/>
        <w:jc w:val="left"/>
        <w:rPr>
          <w:rFonts w:hint="default" w:eastAsia="方正仿宋简体"/>
          <w:lang w:val="en-US" w:eastAsia="zh-CN"/>
        </w:rPr>
      </w:pPr>
      <w:r>
        <w:rPr>
          <w:rFonts w:hint="eastAsia" w:ascii="仿宋_GB2312" w:hAnsi="宋体" w:eastAsia="仿宋_GB2312" w:cs="仿宋_GB2312"/>
          <w:color w:val="000000"/>
          <w:kern w:val="0"/>
          <w:szCs w:val="32"/>
          <w:lang w:val="en-US" w:eastAsia="zh-CN"/>
        </w:rPr>
        <w:t>3.卫生健康年初预算为0.96万元，支出0.96万元。</w:t>
      </w:r>
      <w:r>
        <w:rPr>
          <w:rFonts w:hint="eastAsia" w:ascii="仿宋_GB2312" w:hAnsi="宋体" w:eastAsia="仿宋_GB2312" w:cs="仿宋_GB2312"/>
          <w:color w:val="000000"/>
          <w:kern w:val="0"/>
          <w:szCs w:val="32"/>
          <w:lang w:val="en-US" w:eastAsia="zh-CN"/>
        </w:rPr>
        <w:t>完成年初预算的100％</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持平</w:t>
      </w:r>
      <w:r>
        <w:rPr>
          <w:rFonts w:hint="eastAsia" w:ascii="仿宋_GB2312" w:hAnsi="宋体" w:eastAsia="仿宋_GB2312" w:cs="仿宋_GB2312"/>
          <w:color w:val="000000"/>
          <w:kern w:val="0"/>
          <w:szCs w:val="32"/>
          <w:lang w:eastAsia="zh-CN"/>
        </w:rPr>
        <w:t>。</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hint="default" w:ascii="仿宋_GB2312" w:hAnsi="仿宋_GB2312" w:eastAsia="仿宋_GB2312" w:cs="仿宋_GB2312"/>
          <w:color w:val="000000"/>
          <w:kern w:val="0"/>
          <w:sz w:val="31"/>
          <w:szCs w:val="31"/>
          <w:lang w:val="en-US" w:eastAsia="zh-CN"/>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41.51</w:t>
      </w:r>
      <w:r>
        <w:rPr>
          <w:rFonts w:ascii="仿宋_GB2312" w:hAnsi="仿宋_GB2312" w:eastAsia="仿宋_GB2312" w:cs="仿宋_GB2312"/>
          <w:color w:val="000000"/>
          <w:kern w:val="0"/>
          <w:sz w:val="31"/>
          <w:szCs w:val="31"/>
        </w:rPr>
        <w:t>万元，包括：</w:t>
      </w:r>
      <w:r>
        <w:rPr>
          <w:rFonts w:hint="eastAsia" w:ascii="仿宋_GB2312" w:hAnsi="仿宋_GB2312" w:eastAsia="仿宋_GB2312" w:cs="仿宋_GB2312"/>
          <w:color w:val="000000"/>
          <w:kern w:val="0"/>
          <w:sz w:val="31"/>
          <w:szCs w:val="31"/>
          <w:lang w:eastAsia="zh-CN"/>
        </w:rPr>
        <w:t>民主党派和工商联事务</w:t>
      </w:r>
      <w:r>
        <w:rPr>
          <w:rFonts w:hint="eastAsia" w:ascii="仿宋_GB2312" w:hAnsi="仿宋_GB2312" w:eastAsia="仿宋_GB2312" w:cs="仿宋_GB2312"/>
          <w:color w:val="000000"/>
          <w:kern w:val="0"/>
          <w:sz w:val="31"/>
          <w:szCs w:val="31"/>
          <w:lang w:val="en-US" w:eastAsia="zh-CN"/>
        </w:rPr>
        <w:t>41.51万元，其中行政运行30.20万元，一般行政管理事务11.31万元。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示例：2019年度因公出国（境）团组</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示例：2019年度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示例：2019年度公务接待</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批次，</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仿宋_GB2312" w:eastAsia="仿宋_GB2312" w:cs="仿宋_GB2312"/>
          <w:szCs w:val="32"/>
          <w:lang w:val="en-US" w:eastAsia="zh-CN"/>
        </w:rPr>
        <w:t>0</w:t>
      </w:r>
      <w:r>
        <w:rPr>
          <w:rFonts w:ascii="仿宋_GB2312" w:hAnsi="宋体" w:eastAsia="仿宋_GB2312" w:cs="仿宋_GB2312"/>
          <w:color w:val="000000"/>
          <w:kern w:val="0"/>
          <w:szCs w:val="32"/>
        </w:rPr>
        <w:t>，完成预算的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示例：2019年度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r>
        <w:rPr>
          <w:rFonts w:hint="eastAsia" w:ascii="仿宋" w:hAnsi="仿宋" w:eastAsia="仿宋" w:cs="仿宋"/>
          <w:b w:val="0"/>
          <w:i w:val="0"/>
          <w:caps w:val="0"/>
          <w:color w:val="auto"/>
          <w:spacing w:val="0"/>
          <w:sz w:val="32"/>
          <w:szCs w:val="32"/>
          <w:shd w:val="clear" w:color="auto" w:fill="FFFFFF"/>
          <w:lang w:val="en-US" w:eastAsia="zh-CN"/>
        </w:rPr>
        <w:t>年初预算和年末实际支出无增减变化。</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本部门无政府性基金决算收支，并已公开空表</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本部门无国有资本经营决算拨款收支</w:t>
      </w:r>
      <w:r>
        <w:rPr>
          <w:rFonts w:hint="eastAsia" w:ascii="仿宋_GB2312" w:hAnsi="仿宋_GB2312" w:eastAsia="仿宋_GB2312" w:cs="仿宋_GB2312"/>
          <w:szCs w:val="32"/>
          <w:lang w:eastAsia="zh-CN"/>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示例：根据预算绩效管理要求，本部门组织对2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w:t>
      </w:r>
      <w:r>
        <w:rPr>
          <w:rFonts w:hint="eastAsia" w:ascii="仿宋_GB2312" w:hAnsi="仿宋_GB2312" w:eastAsia="仿宋_GB2312" w:cs="仿宋_GB2312"/>
          <w:szCs w:val="32"/>
          <w:lang w:val="en-US" w:eastAsia="zh-CN"/>
        </w:rPr>
        <w:t>7</w:t>
      </w:r>
      <w:r>
        <w:rPr>
          <w:rFonts w:hint="eastAsia" w:ascii="仿宋_GB2312" w:hAnsi="仿宋_GB2312" w:eastAsia="仿宋_GB2312" w:cs="仿宋_GB2312"/>
          <w:szCs w:val="32"/>
        </w:rPr>
        <w:t>个项目支出开展了绩效自评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lang w:val="en-US" w:eastAsia="zh-CN"/>
        </w:rPr>
        <w:t>2</w:t>
      </w:r>
      <w:r>
        <w:rPr>
          <w:rFonts w:ascii="仿宋_GB2312" w:hAnsi="仿宋_GB2312" w:eastAsia="仿宋_GB2312" w:cs="仿宋_GB2312"/>
          <w:szCs w:val="32"/>
        </w:rPr>
        <w:t>个，二级项目</w:t>
      </w:r>
      <w:r>
        <w:rPr>
          <w:rFonts w:hint="eastAsia" w:ascii="仿宋_GB2312" w:hAnsi="仿宋_GB2312" w:eastAsia="仿宋_GB2312" w:cs="仿宋_GB2312"/>
          <w:szCs w:val="32"/>
          <w:lang w:val="en-US" w:eastAsia="zh-CN"/>
        </w:rPr>
        <w:t>5</w:t>
      </w:r>
      <w:r>
        <w:rPr>
          <w:rFonts w:ascii="仿宋_GB2312" w:hAnsi="仿宋_GB2312" w:eastAsia="仿宋_GB2312" w:cs="仿宋_GB2312"/>
          <w:szCs w:val="32"/>
        </w:rPr>
        <w:t>个，共涉及资金</w:t>
      </w:r>
      <w:r>
        <w:rPr>
          <w:rFonts w:hint="eastAsia" w:ascii="仿宋_GB2312" w:hAnsi="仿宋_GB2312" w:eastAsia="仿宋_GB2312" w:cs="仿宋_GB2312"/>
          <w:szCs w:val="32"/>
          <w:lang w:val="en-US" w:eastAsia="zh-CN"/>
        </w:rPr>
        <w:t>35.03</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lang w:val="en-US" w:eastAsia="zh-CN"/>
        </w:rPr>
        <w:t>75.6</w:t>
      </w:r>
      <w:r>
        <w:rPr>
          <w:rFonts w:ascii="仿宋_GB2312" w:hAnsi="仿宋_GB2312" w:eastAsia="仿宋_GB2312" w:cs="仿宋_GB2312"/>
          <w:szCs w:val="32"/>
        </w:rPr>
        <w:t>%</w:t>
      </w:r>
      <w:r>
        <w:rPr>
          <w:rFonts w:hint="eastAsia" w:ascii="仿宋_GB2312" w:hAnsi="仿宋_GB2312" w:eastAsia="仿宋_GB2312" w:cs="仿宋_GB2312"/>
          <w:szCs w:val="32"/>
        </w:rPr>
        <w:t>；</w:t>
      </w:r>
      <w:r>
        <w:rPr>
          <w:rFonts w:ascii="仿宋_GB2312" w:hAnsi="仿宋_GB2312" w:eastAsia="仿宋_GB2312" w:cs="仿宋_GB2312"/>
          <w:color w:val="000000"/>
          <w:kern w:val="0"/>
          <w:sz w:val="31"/>
          <w:szCs w:val="31"/>
        </w:rPr>
        <w:t>组织对 2019年</w:t>
      </w:r>
      <w:r>
        <w:rPr>
          <w:rFonts w:hint="eastAsia" w:ascii="仿宋_GB2312" w:hAnsi="仿宋" w:eastAsia="仿宋_GB2312"/>
          <w:szCs w:val="32"/>
        </w:rPr>
        <w:t>度政府性</w:t>
      </w:r>
      <w:r>
        <w:rPr>
          <w:rFonts w:hint="eastAsia" w:ascii="仿宋_GB2312" w:hAnsi="仿宋_GB2312" w:eastAsia="仿宋_GB2312" w:cs="仿宋_GB2312"/>
          <w:szCs w:val="32"/>
        </w:rPr>
        <w:t>基金预算</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个项目支出开展了绩效自评</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涉及项目</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color w:val="000000"/>
          <w:kern w:val="0"/>
          <w:sz w:val="31"/>
          <w:szCs w:val="31"/>
        </w:rPr>
        <w:t>个，</w:t>
      </w:r>
      <w:r>
        <w:rPr>
          <w:rFonts w:ascii="仿宋_GB2312" w:hAnsi="仿宋_GB2312" w:eastAsia="仿宋_GB2312" w:cs="仿宋_GB2312"/>
          <w:color w:val="000000"/>
          <w:kern w:val="0"/>
          <w:sz w:val="31"/>
          <w:szCs w:val="31"/>
        </w:rPr>
        <w:t>共涉及资金</w:t>
      </w:r>
      <w:r>
        <w:rPr>
          <w:rFonts w:hint="eastAsia" w:ascii="仿宋_GB2312" w:hAnsi="仿宋_GB2312" w:eastAsia="仿宋_GB2312" w:cs="仿宋_GB2312"/>
          <w:color w:val="000000"/>
          <w:kern w:val="0"/>
          <w:sz w:val="31"/>
          <w:szCs w:val="31"/>
          <w:lang w:val="en-US" w:eastAsia="zh-CN"/>
        </w:rPr>
        <w:t>0</w:t>
      </w:r>
      <w:r>
        <w:rPr>
          <w:rFonts w:ascii="仿宋_GB2312" w:hAnsi="仿宋_GB2312" w:eastAsia="仿宋_GB2312" w:cs="仿宋_GB2312"/>
          <w:color w:val="000000"/>
          <w:kern w:val="0"/>
          <w:sz w:val="31"/>
          <w:szCs w:val="31"/>
        </w:rPr>
        <w:t>万元，占政府性基金预算项目支出总额的</w:t>
      </w:r>
      <w:r>
        <w:rPr>
          <w:rFonts w:hint="eastAsia" w:ascii="仿宋_GB2312" w:hAnsi="仿宋_GB2312" w:eastAsia="仿宋_GB2312" w:cs="仿宋_GB2312"/>
          <w:color w:val="000000"/>
          <w:kern w:val="0"/>
          <w:sz w:val="31"/>
          <w:szCs w:val="31"/>
          <w:lang w:val="en-US" w:eastAsia="zh-CN"/>
        </w:rPr>
        <w:t>0</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lang w:val="en-US" w:eastAsia="zh-CN"/>
        </w:rPr>
        <w:t>46.33</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95</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46.33</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46.33</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100</w:t>
      </w:r>
      <w:r>
        <w:rPr>
          <w:rFonts w:ascii="仿宋_GB2312" w:hAnsi="仿宋_GB2312" w:eastAsia="仿宋_GB2312" w:cs="仿宋_GB2312"/>
          <w:color w:val="000000"/>
          <w:kern w:val="0"/>
          <w:sz w:val="31"/>
          <w:szCs w:val="31"/>
        </w:rPr>
        <w:t>%。</w:t>
      </w:r>
    </w:p>
    <w:p>
      <w:pPr>
        <w:pStyle w:val="5"/>
        <w:widowControl/>
        <w:shd w:val="clear" w:color="auto" w:fill="FFFFFF"/>
        <w:spacing w:before="0" w:beforeAutospacing="0" w:after="0" w:afterAutospacing="0" w:line="375" w:lineRule="atLeast"/>
        <w:ind w:firstLine="420"/>
        <w:rPr>
          <w:rFonts w:hint="eastAsia" w:ascii="仿宋_GB2312" w:hAnsi="仿宋_GB2312" w:eastAsia="仿宋_GB2312" w:cs="仿宋_GB2312"/>
          <w:kern w:val="2"/>
          <w:sz w:val="32"/>
          <w:szCs w:val="32"/>
          <w:lang w:val="en-US" w:eastAsia="zh-CN" w:bidi="ar-SA"/>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kern w:val="2"/>
          <w:sz w:val="32"/>
          <w:szCs w:val="32"/>
          <w:lang w:val="en-US" w:eastAsia="zh-CN" w:bidi="ar-SA"/>
        </w:rPr>
        <w:t>加强和改进了非公有制经济人士思想政治工作；参与政治协商，发挥民主监督作用，积极参政议政；协助政府管理和服务非公有制经济；促进行业协会商会改革发展；参与协调劳动关系，协同社会治理，促进社会和谐稳定；引导非公有制企业和非公有制经济人士依法诚信经营，帮助其依法维护合法权益，促进权利平等、机会平等、规则平等。</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hint="eastAsia" w:ascii="仿宋_GB2312" w:hAnsi="仿宋_GB2312" w:eastAsia="仿宋_GB2312" w:cs="仿宋_GB2312"/>
          <w:color w:val="000000"/>
          <w:kern w:val="0"/>
          <w:sz w:val="31"/>
          <w:szCs w:val="31"/>
          <w:lang w:val="en-US" w:eastAsia="zh-CN"/>
        </w:rPr>
        <w:t>完成了2019年度目标任务</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lang w:eastAsia="zh-CN"/>
        </w:rPr>
        <w:t>非公企业及商会发展缓慢，专业知识和素养较为落后</w:t>
      </w:r>
      <w:r>
        <w:rPr>
          <w:rFonts w:hint="eastAsia" w:ascii="仿宋_GB2312" w:hAnsi="仿宋_GB2312" w:eastAsia="仿宋_GB2312" w:cs="仿宋_GB2312"/>
          <w:color w:val="000000"/>
          <w:kern w:val="0"/>
          <w:sz w:val="31"/>
          <w:szCs w:val="31"/>
        </w:rPr>
        <w:t>。原因是培训不足，</w:t>
      </w:r>
      <w:r>
        <w:rPr>
          <w:rFonts w:hint="eastAsia" w:ascii="仿宋_GB2312" w:hAnsi="仿宋_GB2312" w:eastAsia="仿宋_GB2312" w:cs="仿宋_GB2312"/>
          <w:color w:val="000000"/>
          <w:kern w:val="0"/>
          <w:sz w:val="31"/>
          <w:szCs w:val="31"/>
          <w:lang w:val="en-US" w:eastAsia="zh-CN"/>
        </w:rPr>
        <w:t>活动开展缺少</w:t>
      </w:r>
      <w:r>
        <w:rPr>
          <w:rFonts w:hint="eastAsia" w:ascii="仿宋_GB2312" w:hAnsi="仿宋_GB2312" w:eastAsia="仿宋_GB2312" w:cs="仿宋_GB2312"/>
          <w:color w:val="000000"/>
          <w:kern w:val="0"/>
          <w:sz w:val="31"/>
          <w:szCs w:val="31"/>
        </w:rPr>
        <w:t>。</w:t>
      </w:r>
      <w:r>
        <w:rPr>
          <w:rFonts w:ascii="仿宋_GB2312" w:hAnsi="仿宋_GB2312" w:eastAsia="仿宋_GB2312" w:cs="仿宋_GB2312"/>
          <w:color w:val="000000"/>
          <w:kern w:val="0"/>
          <w:sz w:val="31"/>
          <w:szCs w:val="31"/>
        </w:rPr>
        <w:t xml:space="preserve"> </w:t>
      </w:r>
    </w:p>
    <w:p>
      <w:pPr>
        <w:widowControl/>
        <w:ind w:firstLine="620" w:firstLineChars="200"/>
        <w:jc w:val="left"/>
        <w:rPr>
          <w:rFonts w:hint="eastAsia"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进一步与县委、县政府进行沟通协调，争取</w:t>
      </w:r>
      <w:r>
        <w:rPr>
          <w:rFonts w:hint="eastAsia" w:ascii="仿宋_GB2312" w:hAnsi="仿宋_GB2312" w:eastAsia="仿宋_GB2312" w:cs="仿宋_GB2312"/>
          <w:color w:val="000000"/>
          <w:kern w:val="0"/>
          <w:sz w:val="31"/>
          <w:szCs w:val="31"/>
          <w:lang w:val="en-US" w:eastAsia="zh-CN"/>
        </w:rPr>
        <w:t>工作</w:t>
      </w:r>
      <w:r>
        <w:rPr>
          <w:rFonts w:hint="eastAsia" w:ascii="仿宋_GB2312" w:hAnsi="仿宋_GB2312" w:eastAsia="仿宋_GB2312" w:cs="仿宋_GB2312"/>
          <w:color w:val="000000"/>
          <w:kern w:val="0"/>
          <w:sz w:val="31"/>
          <w:szCs w:val="31"/>
        </w:rPr>
        <w:t>经费，</w:t>
      </w:r>
      <w:r>
        <w:rPr>
          <w:rFonts w:hint="eastAsia" w:ascii="仿宋_GB2312" w:hAnsi="仿宋_GB2312" w:eastAsia="仿宋_GB2312" w:cs="仿宋_GB2312"/>
          <w:color w:val="000000"/>
          <w:kern w:val="0"/>
          <w:sz w:val="31"/>
          <w:szCs w:val="31"/>
          <w:lang w:val="en-US" w:eastAsia="zh-CN"/>
        </w:rPr>
        <w:t>积极组织非公企业外出参观学习发达地区先进经验，带动当地经济持续健康发展。</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p>
      <w:pPr>
        <w:rPr>
          <w:rFonts w:ascii="黑体" w:hAnsi="黑体" w:eastAsia="黑体"/>
          <w:color w:val="000000"/>
          <w:kern w:val="0"/>
          <w:szCs w:val="32"/>
        </w:rPr>
      </w:pPr>
    </w:p>
    <w:p>
      <w:pPr>
        <w:rPr>
          <w:rFonts w:ascii="黑体" w:hAnsi="黑体" w:eastAsia="黑体"/>
          <w:color w:val="000000"/>
          <w:kern w:val="0"/>
          <w:szCs w:val="32"/>
        </w:rPr>
      </w:pP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noWrap w:val="0"/>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noWrap w:val="0"/>
            <w:vAlign w:val="center"/>
          </w:tcPr>
          <w:p>
            <w:pPr>
              <w:widowControl/>
              <w:jc w:val="left"/>
              <w:rPr>
                <w:rFonts w:hint="eastAsia"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w:t>
            </w:r>
            <w:r>
              <w:rPr>
                <w:rFonts w:hint="eastAsia" w:ascii="仿宋_GB2312" w:hAnsi="宋体" w:eastAsia="仿宋_GB2312" w:cs="宋体"/>
                <w:kern w:val="0"/>
                <w:sz w:val="24"/>
                <w:szCs w:val="24"/>
                <w:lang w:val="en-US" w:eastAsia="zh-CN"/>
              </w:rPr>
              <w:t>蓝田县工商业联合会</w:t>
            </w:r>
          </w:p>
        </w:tc>
        <w:tc>
          <w:tcPr>
            <w:tcW w:w="2579" w:type="dxa"/>
            <w:tcBorders>
              <w:top w:val="nil"/>
              <w:left w:val="nil"/>
              <w:bottom w:val="nil"/>
              <w:right w:val="nil"/>
            </w:tcBorders>
            <w:noWrap w:val="0"/>
            <w:vAlign w:val="center"/>
          </w:tcPr>
          <w:p>
            <w:pPr>
              <w:widowControl/>
              <w:jc w:val="center"/>
              <w:rPr>
                <w:rFonts w:hint="eastAsia" w:ascii="仿宋_GB2312" w:hAnsi="宋体" w:eastAsia="仿宋_GB2312" w:cs="宋体"/>
                <w:kern w:val="0"/>
                <w:sz w:val="24"/>
                <w:szCs w:val="24"/>
              </w:rPr>
            </w:pPr>
            <w:r>
              <w:rPr>
                <w:rFonts w:hint="eastAsia" w:ascii="仿宋_GB2312" w:hAnsi="宋体" w:eastAsia="仿宋_GB2312" w:cs="宋体"/>
                <w:kern w:val="0"/>
                <w:sz w:val="24"/>
                <w:szCs w:val="24"/>
              </w:rPr>
              <w:t>自评得分：95</w:t>
            </w:r>
          </w:p>
        </w:tc>
        <w:tc>
          <w:tcPr>
            <w:tcW w:w="1096" w:type="dxa"/>
            <w:gridSpan w:val="2"/>
            <w:tcBorders>
              <w:top w:val="nil"/>
              <w:left w:val="nil"/>
              <w:bottom w:val="nil"/>
              <w:right w:val="nil"/>
            </w:tcBorders>
            <w:noWrap w:val="0"/>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noWrap w:val="0"/>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noWrap w:val="0"/>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noWrap w:val="0"/>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noWrap w:val="0"/>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noWrap w:val="0"/>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宋体" w:eastAsia="仿宋_GB2312" w:cs="宋体"/>
                <w:kern w:val="0"/>
                <w:sz w:val="20"/>
                <w:lang w:eastAsia="zh-CN"/>
              </w:rPr>
            </w:pPr>
            <w:r>
              <w:rPr>
                <w:rFonts w:hint="eastAsia" w:ascii="仿宋_GB2312" w:hAnsi="宋体" w:eastAsia="仿宋_GB2312" w:cs="宋体"/>
                <w:kern w:val="0"/>
                <w:sz w:val="20"/>
              </w:rPr>
              <w:t>做好非公企业思想政治引导、促进“两个健康”等方面工作，组织非公企业学习国家、省、市、县相关政策，发挥工商联桥梁纽带作用</w:t>
            </w:r>
            <w:r>
              <w:rPr>
                <w:rFonts w:hint="eastAsia" w:ascii="仿宋_GB2312" w:hAnsi="宋体" w:eastAsia="仿宋_GB2312" w:cs="宋体"/>
                <w:kern w:val="0"/>
                <w:sz w:val="20"/>
                <w:lang w:eastAsia="zh-CN"/>
              </w:rPr>
              <w:t>。</w:t>
            </w:r>
          </w:p>
        </w:tc>
      </w:tr>
      <w:tr>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2019年度支出合计</w:t>
            </w:r>
            <w:r>
              <w:rPr>
                <w:rFonts w:hint="eastAsia" w:ascii="楷体_GB2312" w:hAnsi="宋体" w:eastAsia="楷体_GB2312" w:cs="宋体"/>
                <w:kern w:val="0"/>
                <w:sz w:val="20"/>
                <w:lang w:val="en-US" w:eastAsia="zh-CN"/>
              </w:rPr>
              <w:t>46.33</w:t>
            </w:r>
            <w:r>
              <w:rPr>
                <w:rFonts w:hint="eastAsia" w:ascii="楷体_GB2312" w:hAnsi="宋体" w:eastAsia="楷体_GB2312" w:cs="宋体"/>
                <w:kern w:val="0"/>
                <w:sz w:val="20"/>
              </w:rPr>
              <w:t>万元，其中：其中：基本支出</w:t>
            </w:r>
            <w:r>
              <w:rPr>
                <w:rFonts w:hint="eastAsia" w:ascii="楷体_GB2312" w:hAnsi="宋体" w:eastAsia="楷体_GB2312" w:cs="宋体"/>
                <w:kern w:val="0"/>
                <w:sz w:val="20"/>
                <w:lang w:val="en-US" w:eastAsia="zh-CN"/>
              </w:rPr>
              <w:t>35.03</w:t>
            </w:r>
            <w:r>
              <w:rPr>
                <w:rFonts w:hint="eastAsia" w:ascii="楷体_GB2312" w:hAnsi="宋体" w:eastAsia="楷体_GB2312" w:cs="宋体"/>
                <w:kern w:val="0"/>
                <w:sz w:val="20"/>
              </w:rPr>
              <w:t>万元，占</w:t>
            </w:r>
            <w:r>
              <w:rPr>
                <w:rFonts w:hint="eastAsia" w:ascii="楷体_GB2312" w:hAnsi="宋体" w:eastAsia="楷体_GB2312" w:cs="宋体"/>
                <w:kern w:val="0"/>
                <w:sz w:val="20"/>
                <w:lang w:val="en-US" w:eastAsia="zh-CN"/>
              </w:rPr>
              <w:t>75.6</w:t>
            </w:r>
            <w:r>
              <w:rPr>
                <w:rFonts w:hint="eastAsia" w:ascii="楷体_GB2312" w:hAnsi="宋体" w:eastAsia="楷体_GB2312" w:cs="宋体"/>
                <w:kern w:val="0"/>
                <w:sz w:val="20"/>
              </w:rPr>
              <w:t>%。，项目支出</w:t>
            </w:r>
            <w:r>
              <w:rPr>
                <w:rFonts w:hint="eastAsia" w:ascii="楷体_GB2312" w:hAnsi="宋体" w:eastAsia="楷体_GB2312" w:cs="宋体"/>
                <w:kern w:val="0"/>
                <w:sz w:val="20"/>
                <w:lang w:val="en-US" w:eastAsia="zh-CN"/>
              </w:rPr>
              <w:t>11.31</w:t>
            </w:r>
            <w:r>
              <w:rPr>
                <w:rFonts w:hint="eastAsia" w:ascii="楷体_GB2312" w:hAnsi="宋体" w:eastAsia="楷体_GB2312" w:cs="宋体"/>
                <w:kern w:val="0"/>
                <w:sz w:val="20"/>
              </w:rPr>
              <w:t>万元，占</w:t>
            </w:r>
            <w:r>
              <w:rPr>
                <w:rFonts w:hint="eastAsia" w:ascii="楷体_GB2312" w:hAnsi="宋体" w:eastAsia="楷体_GB2312" w:cs="宋体"/>
                <w:kern w:val="0"/>
                <w:sz w:val="20"/>
                <w:lang w:val="en-US" w:eastAsia="zh-CN"/>
              </w:rPr>
              <w:t>24.4</w:t>
            </w:r>
            <w:r>
              <w:rPr>
                <w:rFonts w:hint="eastAsia" w:ascii="楷体_GB2312" w:hAnsi="宋体" w:eastAsia="楷体_GB2312" w:cs="宋体"/>
                <w:kern w:val="0"/>
                <w:sz w:val="20"/>
              </w:rPr>
              <w:t>%。经营性支出0万元。</w:t>
            </w:r>
          </w:p>
        </w:tc>
      </w:tr>
      <w:tr>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noWrap w:val="0"/>
            <w:vAlign w:val="center"/>
          </w:tcPr>
          <w:p>
            <w:pPr>
              <w:widowControl/>
              <w:spacing w:line="240" w:lineRule="exact"/>
              <w:jc w:val="left"/>
              <w:rPr>
                <w:rFonts w:hint="eastAsia" w:ascii="仿宋_GB2312" w:hAnsi="宋体" w:eastAsia="仿宋_GB2312" w:cs="宋体"/>
                <w:kern w:val="0"/>
                <w:sz w:val="20"/>
                <w:lang w:eastAsia="zh-CN"/>
              </w:rPr>
            </w:pPr>
            <w:r>
              <w:rPr>
                <w:rFonts w:hint="eastAsia" w:ascii="仿宋_GB2312" w:hAnsi="宋体" w:eastAsia="仿宋_GB2312" w:cs="宋体"/>
                <w:kern w:val="0"/>
                <w:sz w:val="20"/>
                <w:lang w:eastAsia="zh-CN"/>
              </w:rPr>
              <w:t>一是加强政治思想引导，促进“两个健康”发展；二是围绕中心，做好非公有制经济服务工作；三是积极引导民营企业参与公益事业和脱贫攻坚。</w:t>
            </w:r>
          </w:p>
        </w:tc>
      </w:tr>
      <w:tr>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noWrap w:val="0"/>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noWrap w:val="0"/>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32</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noWrap w:val="0"/>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noWrap w:val="0"/>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2019年预算和决算数。三公经费“控制率=（“三公经费”实际支出数/“三公经费”预算安排数）×100%</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hint="eastAsia"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hint="eastAsia"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noWrap w:val="0"/>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noWrap w:val="0"/>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noWrap w:val="0"/>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noWrap w:val="0"/>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noWrap w:val="0"/>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noWrap w:val="0"/>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noWrap w:val="0"/>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noWrap w:val="0"/>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noWrap w:val="0"/>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noWrap w:val="0"/>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noWrap w:val="0"/>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noWrap w:val="0"/>
            <w:vAlign w:val="center"/>
          </w:tcPr>
          <w:p>
            <w:pPr>
              <w:widowControl/>
              <w:spacing w:line="200" w:lineRule="exact"/>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noWrap w:val="0"/>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noWrap w:val="0"/>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noWrap w:val="0"/>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noWrap w:val="0"/>
            <w:vAlign w:val="center"/>
          </w:tcPr>
          <w:p>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tblPrEx>
          <w:tblCellMar>
            <w:top w:w="0" w:type="dxa"/>
            <w:left w:w="108" w:type="dxa"/>
            <w:bottom w:w="0" w:type="dxa"/>
            <w:right w:w="108" w:type="dxa"/>
          </w:tblCellMar>
        </w:tblPrEx>
        <w:trPr>
          <w:trHeight w:val="198" w:hRule="atLeast"/>
        </w:trPr>
        <w:tc>
          <w:tcPr>
            <w:tcW w:w="541" w:type="dxa"/>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hint="eastAsia" w:ascii="楷体_GB2312" w:hAnsi="宋体" w:eastAsia="楷体_GB2312" w:cs="宋体"/>
                <w:kern w:val="0"/>
                <w:sz w:val="20"/>
              </w:rPr>
            </w:pPr>
            <w:r>
              <w:rPr>
                <w:rFonts w:hint="eastAsia" w:ascii="楷体_GB2312" w:hAnsi="宋体" w:eastAsia="楷体_GB2312" w:cs="宋体"/>
                <w:kern w:val="0"/>
                <w:sz w:val="20"/>
              </w:rPr>
              <w:t>合计</w:t>
            </w:r>
          </w:p>
        </w:tc>
        <w:tc>
          <w:tcPr>
            <w:tcW w:w="633" w:type="dxa"/>
            <w:tcBorders>
              <w:top w:val="nil"/>
              <w:left w:val="single" w:color="auto" w:sz="4" w:space="0"/>
              <w:bottom w:val="single" w:color="auto" w:sz="4" w:space="0"/>
              <w:right w:val="single" w:color="auto" w:sz="4" w:space="0"/>
            </w:tcBorders>
            <w:noWrap w:val="0"/>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楷体_GB2312" w:hAnsi="宋体" w:eastAsia="楷体_GB2312" w:cs="宋体"/>
                <w:kern w:val="0"/>
                <w:sz w:val="20"/>
              </w:rPr>
            </w:pPr>
          </w:p>
        </w:tc>
        <w:tc>
          <w:tcPr>
            <w:tcW w:w="36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楷体_GB2312" w:hAnsi="宋体" w:eastAsia="楷体_GB2312" w:cs="宋体"/>
                <w:kern w:val="0"/>
                <w:sz w:val="20"/>
              </w:rPr>
            </w:pPr>
          </w:p>
        </w:tc>
        <w:tc>
          <w:tcPr>
            <w:tcW w:w="3251" w:type="dxa"/>
            <w:tcBorders>
              <w:top w:val="nil"/>
              <w:left w:val="nil"/>
              <w:bottom w:val="single" w:color="auto" w:sz="4" w:space="0"/>
              <w:right w:val="single" w:color="auto" w:sz="4" w:space="0"/>
            </w:tcBorders>
            <w:noWrap w:val="0"/>
            <w:vAlign w:val="center"/>
          </w:tcPr>
          <w:p>
            <w:pPr>
              <w:widowControl/>
              <w:spacing w:line="200" w:lineRule="exact"/>
              <w:jc w:val="left"/>
              <w:rPr>
                <w:rFonts w:hint="eastAsia" w:ascii="楷体_GB2312" w:hAnsi="宋体" w:eastAsia="楷体_GB2312" w:cs="宋体"/>
                <w:kern w:val="0"/>
                <w:sz w:val="20"/>
              </w:rPr>
            </w:pPr>
          </w:p>
        </w:tc>
        <w:tc>
          <w:tcPr>
            <w:tcW w:w="3003" w:type="dxa"/>
            <w:gridSpan w:val="2"/>
            <w:tcBorders>
              <w:top w:val="nil"/>
              <w:left w:val="single" w:color="auto" w:sz="4" w:space="0"/>
              <w:bottom w:val="single" w:color="auto" w:sz="4" w:space="0"/>
              <w:right w:val="single" w:color="auto" w:sz="4" w:space="0"/>
            </w:tcBorders>
            <w:noWrap w:val="0"/>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hint="eastAsia" w:ascii="楷体_GB2312" w:hAnsi="宋体" w:eastAsia="楷体_GB2312" w:cs="宋体"/>
                <w:kern w:val="0"/>
                <w:sz w:val="20"/>
              </w:rPr>
            </w:pPr>
          </w:p>
        </w:tc>
        <w:tc>
          <w:tcPr>
            <w:tcW w:w="728"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hint="eastAsia" w:ascii="楷体_GB2312" w:hAnsi="宋体" w:eastAsia="楷体_GB2312" w:cs="宋体"/>
                <w:kern w:val="0"/>
                <w:sz w:val="20"/>
              </w:rPr>
            </w:pPr>
          </w:p>
        </w:tc>
        <w:tc>
          <w:tcPr>
            <w:tcW w:w="936" w:type="dxa"/>
            <w:gridSpan w:val="2"/>
            <w:tcBorders>
              <w:top w:val="nil"/>
              <w:left w:val="nil"/>
              <w:bottom w:val="single" w:color="auto" w:sz="4" w:space="0"/>
              <w:right w:val="single" w:color="auto" w:sz="4" w:space="0"/>
            </w:tcBorders>
            <w:noWrap w:val="0"/>
            <w:vAlign w:val="center"/>
          </w:tcPr>
          <w:p>
            <w:pPr>
              <w:widowControl/>
              <w:spacing w:line="200" w:lineRule="exact"/>
              <w:jc w:val="left"/>
              <w:rPr>
                <w:rFonts w:hint="eastAsia" w:ascii="楷体_GB2312" w:hAnsi="宋体" w:eastAsia="楷体_GB2312" w:cs="宋体"/>
                <w:kern w:val="0"/>
                <w:sz w:val="20"/>
              </w:rPr>
            </w:pPr>
          </w:p>
        </w:tc>
        <w:tc>
          <w:tcPr>
            <w:tcW w:w="757" w:type="dxa"/>
            <w:gridSpan w:val="2"/>
            <w:tcBorders>
              <w:top w:val="nil"/>
              <w:left w:val="nil"/>
              <w:bottom w:val="single" w:color="auto" w:sz="4" w:space="0"/>
              <w:right w:val="single" w:color="auto" w:sz="4" w:space="0"/>
            </w:tcBorders>
            <w:noWrap w:val="0"/>
            <w:vAlign w:val="center"/>
          </w:tcPr>
          <w:p>
            <w:pPr>
              <w:widowControl/>
              <w:spacing w:line="200" w:lineRule="exact"/>
              <w:jc w:val="center"/>
              <w:rPr>
                <w:rFonts w:hint="eastAsia" w:ascii="楷体_GB2312" w:hAnsi="宋体" w:eastAsia="楷体_GB2312" w:cs="宋体"/>
                <w:kern w:val="0"/>
                <w:sz w:val="20"/>
              </w:rPr>
            </w:pPr>
            <w:r>
              <w:rPr>
                <w:rFonts w:hint="eastAsia" w:ascii="楷体_GB2312" w:hAnsi="宋体" w:eastAsia="楷体_GB2312" w:cs="宋体"/>
                <w:kern w:val="0"/>
                <w:sz w:val="20"/>
              </w:rPr>
              <w:t>95</w:t>
            </w:r>
          </w:p>
        </w:tc>
        <w:tc>
          <w:tcPr>
            <w:tcW w:w="1246" w:type="dxa"/>
            <w:gridSpan w:val="2"/>
            <w:tcBorders>
              <w:top w:val="nil"/>
              <w:left w:val="nil"/>
              <w:bottom w:val="single" w:color="auto" w:sz="4" w:space="0"/>
              <w:right w:val="single" w:color="auto" w:sz="4" w:space="0"/>
            </w:tcBorders>
            <w:noWrap w:val="0"/>
            <w:vAlign w:val="center"/>
          </w:tcPr>
          <w:p>
            <w:pPr>
              <w:widowControl/>
              <w:jc w:val="center"/>
              <w:rPr>
                <w:rFonts w:hint="eastAsia" w:ascii="仿宋" w:hAnsi="仿宋" w:eastAsia="仿宋" w:cs="仿宋"/>
                <w:kern w:val="0"/>
                <w:sz w:val="20"/>
              </w:rPr>
            </w:pPr>
          </w:p>
        </w:tc>
        <w:tc>
          <w:tcPr>
            <w:tcW w:w="1540" w:type="dxa"/>
            <w:tcBorders>
              <w:top w:val="nil"/>
              <w:left w:val="nil"/>
              <w:bottom w:val="single" w:color="auto" w:sz="4" w:space="0"/>
              <w:right w:val="single" w:color="auto" w:sz="4" w:space="0"/>
            </w:tcBorders>
            <w:noWrap w:val="0"/>
            <w:vAlign w:val="center"/>
          </w:tcPr>
          <w:p>
            <w:pPr>
              <w:widowControl/>
              <w:spacing w:line="180" w:lineRule="exact"/>
              <w:jc w:val="left"/>
              <w:rPr>
                <w:rFonts w:hint="eastAsia" w:ascii="楷体_GB2312" w:hAnsi="宋体" w:eastAsia="楷体_GB2312" w:cs="宋体"/>
                <w:kern w:val="0"/>
                <w:sz w:val="20"/>
              </w:rPr>
            </w:pPr>
          </w:p>
        </w:tc>
      </w:tr>
      <w:tr>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noWrap w:val="0"/>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widowControl/>
        <w:jc w:val="left"/>
        <w:rPr>
          <w:rFonts w:ascii="仿宋_GB2312" w:hAnsi="仿宋_GB2312" w:eastAsia="仿宋_GB2312" w:cs="仿宋_GB2312"/>
          <w:kern w:val="0"/>
          <w:sz w:val="31"/>
          <w:szCs w:val="31"/>
        </w:rPr>
        <w:sectPr>
          <w:pgSz w:w="16838" w:h="11906" w:orient="landscape"/>
          <w:pgMar w:top="1701" w:right="1440" w:bottom="1418" w:left="1440" w:header="851" w:footer="992" w:gutter="0"/>
          <w:cols w:space="720" w:num="1"/>
          <w:docGrid w:type="linesAndChars" w:linePitch="312" w:charSpace="0"/>
        </w:sectPr>
      </w:pPr>
      <w:bookmarkStart w:id="0" w:name="_GoBack"/>
      <w:bookmarkEnd w:id="0"/>
    </w:p>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46.33</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lang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eastAsia="zh-CN"/>
        </w:rPr>
        <w:t>持平</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eastAsia="zh-CN"/>
        </w:rPr>
        <w:t>缩减开支</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r>
        <w:rPr>
          <w:rFonts w:hint="eastAsia" w:ascii="仿宋_GB2312" w:hAnsi="仿宋_GB2312" w:eastAsia="仿宋_GB2312" w:cs="仿宋_GB2312"/>
          <w:szCs w:val="32"/>
          <w:lang w:eastAsia="zh-CN"/>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3"/>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abstractNum w:abstractNumId="2">
    <w:nsid w:val="64F6933A"/>
    <w:multiLevelType w:val="singleLevel"/>
    <w:tmpl w:val="64F6933A"/>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347F25"/>
    <w:rsid w:val="00394C38"/>
    <w:rsid w:val="00430FBC"/>
    <w:rsid w:val="00592FDC"/>
    <w:rsid w:val="005971FB"/>
    <w:rsid w:val="00803916"/>
    <w:rsid w:val="008E5206"/>
    <w:rsid w:val="00926DEC"/>
    <w:rsid w:val="00A61B68"/>
    <w:rsid w:val="00A77A2C"/>
    <w:rsid w:val="00AF5C24"/>
    <w:rsid w:val="00B72C81"/>
    <w:rsid w:val="00B91CFD"/>
    <w:rsid w:val="00BC4A55"/>
    <w:rsid w:val="00C61D66"/>
    <w:rsid w:val="00CC6DD1"/>
    <w:rsid w:val="00D82BDF"/>
    <w:rsid w:val="00F11EB9"/>
    <w:rsid w:val="016F43E3"/>
    <w:rsid w:val="02722149"/>
    <w:rsid w:val="035536A8"/>
    <w:rsid w:val="086C1E64"/>
    <w:rsid w:val="08F45180"/>
    <w:rsid w:val="10C54A14"/>
    <w:rsid w:val="13E37BC6"/>
    <w:rsid w:val="194548B1"/>
    <w:rsid w:val="19A956A0"/>
    <w:rsid w:val="1A5559CE"/>
    <w:rsid w:val="1ABD0D22"/>
    <w:rsid w:val="1AF22409"/>
    <w:rsid w:val="1BE467BB"/>
    <w:rsid w:val="1D8B0C78"/>
    <w:rsid w:val="1F244F1C"/>
    <w:rsid w:val="1FAF6AFF"/>
    <w:rsid w:val="20B96E79"/>
    <w:rsid w:val="20E506C4"/>
    <w:rsid w:val="20FF75F3"/>
    <w:rsid w:val="28990846"/>
    <w:rsid w:val="2A793FBC"/>
    <w:rsid w:val="303C2FA6"/>
    <w:rsid w:val="30DF4759"/>
    <w:rsid w:val="315429E5"/>
    <w:rsid w:val="3669223E"/>
    <w:rsid w:val="372A2537"/>
    <w:rsid w:val="3D904069"/>
    <w:rsid w:val="3EA349C7"/>
    <w:rsid w:val="3EAE682D"/>
    <w:rsid w:val="3FCA23EC"/>
    <w:rsid w:val="4009017A"/>
    <w:rsid w:val="41E1646C"/>
    <w:rsid w:val="424D60E4"/>
    <w:rsid w:val="42AE4D0E"/>
    <w:rsid w:val="42FA4769"/>
    <w:rsid w:val="43BC1030"/>
    <w:rsid w:val="47964FBE"/>
    <w:rsid w:val="4A1752A2"/>
    <w:rsid w:val="4B18398F"/>
    <w:rsid w:val="4C486E13"/>
    <w:rsid w:val="4F7D44F3"/>
    <w:rsid w:val="52AC7AB3"/>
    <w:rsid w:val="53D22596"/>
    <w:rsid w:val="53F62E0D"/>
    <w:rsid w:val="54207C4C"/>
    <w:rsid w:val="57932127"/>
    <w:rsid w:val="596D661C"/>
    <w:rsid w:val="5AE30FF8"/>
    <w:rsid w:val="5CD4026D"/>
    <w:rsid w:val="61B6138E"/>
    <w:rsid w:val="62444DC6"/>
    <w:rsid w:val="62743A40"/>
    <w:rsid w:val="64EC6AAB"/>
    <w:rsid w:val="68FA5178"/>
    <w:rsid w:val="69A157A9"/>
    <w:rsid w:val="6B3B79EC"/>
    <w:rsid w:val="6CE520FD"/>
    <w:rsid w:val="6F094735"/>
    <w:rsid w:val="721639A2"/>
    <w:rsid w:val="73431FE5"/>
    <w:rsid w:val="778B0394"/>
    <w:rsid w:val="7B6D5E4A"/>
    <w:rsid w:val="7E5963E1"/>
    <w:rsid w:val="7E6D0EAC"/>
    <w:rsid w:val="7EA37EE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uiPriority w:val="0"/>
    <w:rPr>
      <w:rFonts w:ascii="宋体" w:hAnsi="Courier New" w:eastAsia="宋体"/>
      <w:sz w:val="21"/>
    </w:rPr>
  </w:style>
  <w:style w:type="paragraph" w:styleId="3">
    <w:name w:val="footer"/>
    <w:basedOn w:val="1"/>
    <w:link w:val="17"/>
    <w:qFormat/>
    <w:uiPriority w:val="0"/>
    <w:pPr>
      <w:tabs>
        <w:tab w:val="center" w:pos="4153"/>
        <w:tab w:val="right" w:pos="8306"/>
      </w:tabs>
      <w:snapToGrid w:val="0"/>
      <w:jc w:val="left"/>
    </w:pPr>
    <w:rPr>
      <w:sz w:val="18"/>
      <w:szCs w:val="18"/>
    </w:rPr>
  </w:style>
  <w:style w:type="paragraph" w:styleId="4">
    <w:name w:val="header"/>
    <w:basedOn w:val="1"/>
    <w:link w:val="16"/>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11"/>
    <w:basedOn w:val="8"/>
    <w:qFormat/>
    <w:uiPriority w:val="0"/>
    <w:rPr>
      <w:rFonts w:hint="eastAsia" w:ascii="宋体" w:hAnsi="宋体" w:eastAsia="宋体" w:cs="宋体"/>
      <w:b/>
      <w:color w:val="000000"/>
      <w:sz w:val="32"/>
      <w:szCs w:val="32"/>
      <w:u w:val="none"/>
    </w:rPr>
  </w:style>
  <w:style w:type="character" w:customStyle="1" w:styleId="10">
    <w:name w:val="font91"/>
    <w:basedOn w:val="8"/>
    <w:qFormat/>
    <w:uiPriority w:val="0"/>
    <w:rPr>
      <w:rFonts w:hint="eastAsia" w:ascii="宋体" w:hAnsi="宋体" w:eastAsia="宋体" w:cs="宋体"/>
      <w:color w:val="000000"/>
      <w:sz w:val="32"/>
      <w:szCs w:val="32"/>
      <w:u w:val="none"/>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101"/>
    <w:basedOn w:val="8"/>
    <w:qFormat/>
    <w:uiPriority w:val="0"/>
    <w:rPr>
      <w:rFonts w:hint="eastAsia" w:ascii="宋体" w:hAnsi="宋体" w:eastAsia="宋体" w:cs="宋体"/>
      <w:color w:val="000000"/>
      <w:sz w:val="20"/>
      <w:szCs w:val="20"/>
      <w:u w:val="none"/>
    </w:rPr>
  </w:style>
  <w:style w:type="character" w:customStyle="1" w:styleId="13">
    <w:name w:val="font21"/>
    <w:basedOn w:val="8"/>
    <w:qFormat/>
    <w:uiPriority w:val="0"/>
    <w:rPr>
      <w:rFonts w:hint="eastAsia" w:ascii="宋体" w:hAnsi="宋体" w:eastAsia="宋体" w:cs="宋体"/>
      <w:color w:val="000000"/>
      <w:sz w:val="18"/>
      <w:szCs w:val="18"/>
      <w:u w:val="none"/>
    </w:rPr>
  </w:style>
  <w:style w:type="character" w:customStyle="1" w:styleId="14">
    <w:name w:val="font112"/>
    <w:basedOn w:val="8"/>
    <w:qFormat/>
    <w:uiPriority w:val="0"/>
    <w:rPr>
      <w:rFonts w:hint="eastAsia" w:ascii="宋体" w:hAnsi="宋体" w:eastAsia="宋体" w:cs="宋体"/>
      <w:color w:val="000000"/>
      <w:sz w:val="20"/>
      <w:szCs w:val="20"/>
      <w:u w:val="none"/>
    </w:rPr>
  </w:style>
  <w:style w:type="character" w:customStyle="1" w:styleId="15">
    <w:name w:val="font61"/>
    <w:basedOn w:val="8"/>
    <w:uiPriority w:val="0"/>
    <w:rPr>
      <w:rFonts w:hint="eastAsia" w:ascii="宋体" w:hAnsi="宋体" w:eastAsia="宋体" w:cs="宋体"/>
      <w:color w:val="000000"/>
      <w:sz w:val="24"/>
      <w:szCs w:val="24"/>
      <w:u w:val="none"/>
    </w:rPr>
  </w:style>
  <w:style w:type="character" w:customStyle="1" w:styleId="16">
    <w:name w:val="页眉 Char"/>
    <w:basedOn w:val="8"/>
    <w:link w:val="4"/>
    <w:uiPriority w:val="0"/>
    <w:rPr>
      <w:rFonts w:ascii="Calibri" w:hAnsi="Calibri" w:eastAsia="方正仿宋简体"/>
      <w:kern w:val="2"/>
      <w:sz w:val="18"/>
      <w:szCs w:val="18"/>
    </w:rPr>
  </w:style>
  <w:style w:type="character" w:customStyle="1" w:styleId="17">
    <w:name w:val="页脚 Char"/>
    <w:basedOn w:val="8"/>
    <w:link w:val="3"/>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收入支出决算情况说明</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delete val="1"/>
          </c:dLbls>
          <c:cat>
            <c:strRef>
              <c:f>Sheet1!$A$2:$A$3</c:f>
              <c:strCache>
                <c:ptCount val="2"/>
                <c:pt idx="0">
                  <c:v>2018年决算收入数据</c:v>
                </c:pt>
                <c:pt idx="1">
                  <c:v>2019年决算收入数据</c:v>
                </c:pt>
              </c:strCache>
            </c:strRef>
          </c:cat>
          <c:val>
            <c:numRef>
              <c:f>Sheet1!$B$2:$B$3</c:f>
              <c:numCache>
                <c:formatCode>General</c:formatCode>
                <c:ptCount val="2"/>
                <c:pt idx="0">
                  <c:v>46.42</c:v>
                </c:pt>
                <c:pt idx="1">
                  <c:v>46.33</c:v>
                </c:pt>
              </c:numCache>
            </c:numRef>
          </c:val>
        </c:ser>
        <c:dLbls>
          <c:showLegendKey val="0"/>
          <c:showVal val="0"/>
          <c:showCatName val="0"/>
          <c:showSerName val="0"/>
          <c:showPercent val="0"/>
          <c:showBubbleSize val="0"/>
        </c:dLbls>
        <c:gapWidth val="219"/>
        <c:overlap val="-27"/>
        <c:axId val="679194167"/>
        <c:axId val="675085931"/>
      </c:barChart>
      <c:catAx>
        <c:axId val="6791941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5085931"/>
        <c:crosses val="autoZero"/>
        <c:auto val="1"/>
        <c:lblAlgn val="ctr"/>
        <c:lblOffset val="100"/>
        <c:noMultiLvlLbl val="0"/>
      </c:catAx>
      <c:valAx>
        <c:axId val="67508593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919416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delete val="1"/>
          </c:dLbls>
          <c:cat>
            <c:strRef>
              <c:f>Sheet1!$A$2:$A$3</c:f>
              <c:strCache>
                <c:ptCount val="2"/>
                <c:pt idx="0">
                  <c:v>2018年决算支出情况</c:v>
                </c:pt>
                <c:pt idx="1">
                  <c:v>2019年决算支出情况</c:v>
                </c:pt>
              </c:strCache>
            </c:strRef>
          </c:cat>
          <c:val>
            <c:numRef>
              <c:f>Sheet1!$B$2:$B$3</c:f>
              <c:numCache>
                <c:formatCode>General</c:formatCode>
                <c:ptCount val="2"/>
                <c:pt idx="0">
                  <c:v>46.42</c:v>
                </c:pt>
                <c:pt idx="1">
                  <c:v>46.33</c:v>
                </c:pt>
              </c:numCache>
            </c:numRef>
          </c:val>
        </c:ser>
        <c:dLbls>
          <c:showLegendKey val="0"/>
          <c:showVal val="0"/>
          <c:showCatName val="0"/>
          <c:showSerName val="0"/>
          <c:showPercent val="0"/>
          <c:showBubbleSize val="0"/>
        </c:dLbls>
        <c:gapWidth val="219"/>
        <c:overlap val="-27"/>
        <c:axId val="238932026"/>
        <c:axId val="22834817"/>
      </c:barChart>
      <c:catAx>
        <c:axId val="23893202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2834817"/>
        <c:crosses val="autoZero"/>
        <c:auto val="1"/>
        <c:lblAlgn val="ctr"/>
        <c:lblOffset val="100"/>
        <c:noMultiLvlLbl val="0"/>
      </c:catAx>
      <c:valAx>
        <c:axId val="22834817"/>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3893202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年度收入合计</a:t>
            </a:r>
            <a:endParaRPr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delete val="1"/>
          </c:dLbls>
          <c:cat>
            <c:strRef>
              <c:f>Sheet1!$A$2</c:f>
              <c:strCache>
                <c:ptCount val="1"/>
                <c:pt idx="0">
                  <c:v>2019年度收入合计</c:v>
                </c:pt>
              </c:strCache>
            </c:strRef>
          </c:cat>
          <c:val>
            <c:numRef>
              <c:f>Sheet1!$B$2</c:f>
              <c:numCache>
                <c:formatCode>General</c:formatCode>
                <c:ptCount val="1"/>
                <c:pt idx="0">
                  <c:v>46.33</c:v>
                </c:pt>
              </c:numCache>
            </c:numRef>
          </c:val>
        </c:ser>
        <c:ser>
          <c:idx val="1"/>
          <c:order val="1"/>
          <c:tx>
            <c:strRef>
              <c:f>Sheet1!$C$1</c:f>
              <c:strCache>
                <c:ptCount val="1"/>
                <c:pt idx="0">
                  <c:v>事业收入</c:v>
                </c:pt>
              </c:strCache>
            </c:strRef>
          </c:tx>
          <c:spPr>
            <a:solidFill>
              <a:schemeClr val="accent2"/>
            </a:solidFill>
            <a:ln>
              <a:noFill/>
            </a:ln>
            <a:effectLst/>
          </c:spPr>
          <c:invertIfNegative val="0"/>
          <c:dLbls>
            <c:delete val="1"/>
          </c:dLbls>
          <c:cat>
            <c:strRef>
              <c:f>Sheet1!$A$2</c:f>
              <c:strCache>
                <c:ptCount val="1"/>
                <c:pt idx="0">
                  <c:v>2019年度收入合计</c:v>
                </c:pt>
              </c:strCache>
            </c:strRef>
          </c:cat>
          <c:val>
            <c:numRef>
              <c:f>Sheet1!$C$2</c:f>
              <c:numCache>
                <c:formatCode>General</c:formatCode>
                <c:ptCount val="1"/>
                <c:pt idx="0">
                  <c:v>0</c:v>
                </c:pt>
              </c:numCache>
            </c:numRef>
          </c:val>
        </c:ser>
        <c:ser>
          <c:idx val="2"/>
          <c:order val="2"/>
          <c:tx>
            <c:strRef>
              <c:f>Sheet1!$D$1</c:f>
              <c:strCache>
                <c:ptCount val="1"/>
                <c:pt idx="0">
                  <c:v>经营收入</c:v>
                </c:pt>
              </c:strCache>
            </c:strRef>
          </c:tx>
          <c:spPr>
            <a:solidFill>
              <a:schemeClr val="accent3"/>
            </a:solidFill>
            <a:ln>
              <a:noFill/>
            </a:ln>
            <a:effectLst/>
          </c:spPr>
          <c:invertIfNegative val="0"/>
          <c:dLbls>
            <c:delete val="1"/>
          </c:dLbls>
          <c:cat>
            <c:strRef>
              <c:f>Sheet1!$A$2</c:f>
              <c:strCache>
                <c:ptCount val="1"/>
                <c:pt idx="0">
                  <c:v>2019年度收入合计</c:v>
                </c:pt>
              </c:strCache>
            </c:strRef>
          </c:cat>
          <c:val>
            <c:numRef>
              <c:f>Sheet1!$D$2</c:f>
              <c:numCache>
                <c:formatCode>General</c:formatCode>
                <c:ptCount val="1"/>
                <c:pt idx="0">
                  <c:v>0</c:v>
                </c:pt>
              </c:numCache>
            </c:numRef>
          </c:val>
        </c:ser>
        <c:dLbls>
          <c:showLegendKey val="0"/>
          <c:showVal val="0"/>
          <c:showCatName val="0"/>
          <c:showSerName val="0"/>
          <c:showPercent val="0"/>
          <c:showBubbleSize val="0"/>
        </c:dLbls>
        <c:gapWidth val="219"/>
        <c:overlap val="-27"/>
        <c:axId val="745430972"/>
        <c:axId val="990955901"/>
      </c:barChart>
      <c:catAx>
        <c:axId val="745430972"/>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90955901"/>
        <c:crosses val="autoZero"/>
        <c:auto val="1"/>
        <c:lblAlgn val="ctr"/>
        <c:lblOffset val="100"/>
        <c:noMultiLvlLbl val="0"/>
      </c:catAx>
      <c:valAx>
        <c:axId val="99095590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45430972"/>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en-US"/>
              <a:t>年度支出合计</a:t>
            </a:r>
            <a:endParaRPr altLang="en-US"/>
          </a:p>
        </c:rich>
      </c:tx>
      <c:layout>
        <c:manualLayout>
          <c:xMode val="edge"/>
          <c:yMode val="edge"/>
          <c:x val="0.376125"/>
          <c:y val="0.0225"/>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基本支出</c:v>
                </c:pt>
              </c:strCache>
            </c:strRef>
          </c:tx>
          <c:spPr>
            <a:solidFill>
              <a:schemeClr val="accent1"/>
            </a:solidFill>
            <a:ln>
              <a:noFill/>
            </a:ln>
            <a:effectLst/>
          </c:spPr>
          <c:invertIfNegative val="0"/>
          <c:dLbls>
            <c:delete val="1"/>
          </c:dLbls>
          <c:cat>
            <c:strRef>
              <c:f>Sheet1!$A$2</c:f>
              <c:strCache>
                <c:ptCount val="1"/>
                <c:pt idx="0">
                  <c:v>2019年度支出合计</c:v>
                </c:pt>
              </c:strCache>
            </c:strRef>
          </c:cat>
          <c:val>
            <c:numRef>
              <c:f>Sheet1!$B$2</c:f>
              <c:numCache>
                <c:formatCode>General</c:formatCode>
                <c:ptCount val="1"/>
                <c:pt idx="0">
                  <c:v>35.03</c:v>
                </c:pt>
              </c:numCache>
            </c:numRef>
          </c:val>
        </c:ser>
        <c:ser>
          <c:idx val="1"/>
          <c:order val="1"/>
          <c:tx>
            <c:strRef>
              <c:f>Sheet1!$C$1</c:f>
              <c:strCache>
                <c:ptCount val="1"/>
                <c:pt idx="0">
                  <c:v>项目支出</c:v>
                </c:pt>
              </c:strCache>
            </c:strRef>
          </c:tx>
          <c:spPr>
            <a:solidFill>
              <a:schemeClr val="accent2"/>
            </a:solidFill>
            <a:ln>
              <a:noFill/>
            </a:ln>
            <a:effectLst/>
          </c:spPr>
          <c:invertIfNegative val="0"/>
          <c:dLbls>
            <c:delete val="1"/>
          </c:dLbls>
          <c:cat>
            <c:strRef>
              <c:f>Sheet1!$A$2</c:f>
              <c:strCache>
                <c:ptCount val="1"/>
                <c:pt idx="0">
                  <c:v>2019年度支出合计</c:v>
                </c:pt>
              </c:strCache>
            </c:strRef>
          </c:cat>
          <c:val>
            <c:numRef>
              <c:f>Sheet1!$C$2</c:f>
              <c:numCache>
                <c:formatCode>General</c:formatCode>
                <c:ptCount val="1"/>
                <c:pt idx="0">
                  <c:v>11.31</c:v>
                </c:pt>
              </c:numCache>
            </c:numRef>
          </c:val>
        </c:ser>
        <c:dLbls>
          <c:showLegendKey val="0"/>
          <c:showVal val="0"/>
          <c:showCatName val="0"/>
          <c:showSerName val="0"/>
          <c:showPercent val="0"/>
          <c:showBubbleSize val="0"/>
        </c:dLbls>
        <c:gapWidth val="219"/>
        <c:overlap val="-27"/>
        <c:axId val="101414926"/>
        <c:axId val="700965824"/>
      </c:barChart>
      <c:catAx>
        <c:axId val="10141492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00965824"/>
        <c:crosses val="autoZero"/>
        <c:auto val="1"/>
        <c:lblAlgn val="ctr"/>
        <c:lblOffset val="100"/>
        <c:noMultiLvlLbl val="0"/>
      </c:catAx>
      <c:valAx>
        <c:axId val="700965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141492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财政拨款收入决算情况说明</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delete val="1"/>
          </c:dLbls>
          <c:cat>
            <c:strRef>
              <c:f>Sheet1!$A$2:$A$3</c:f>
              <c:strCache>
                <c:ptCount val="2"/>
                <c:pt idx="0">
                  <c:v>2018年财政拨款决算收入数据</c:v>
                </c:pt>
                <c:pt idx="1">
                  <c:v>2019年财政拨款决算收入数据</c:v>
                </c:pt>
              </c:strCache>
            </c:strRef>
          </c:cat>
          <c:val>
            <c:numRef>
              <c:f>Sheet1!$B$2:$B$3</c:f>
              <c:numCache>
                <c:formatCode>General</c:formatCode>
                <c:ptCount val="2"/>
                <c:pt idx="0">
                  <c:v>46.42</c:v>
                </c:pt>
                <c:pt idx="1">
                  <c:v>46.33</c:v>
                </c:pt>
              </c:numCache>
            </c:numRef>
          </c:val>
        </c:ser>
        <c:dLbls>
          <c:showLegendKey val="0"/>
          <c:showVal val="0"/>
          <c:showCatName val="0"/>
          <c:showSerName val="0"/>
          <c:showPercent val="0"/>
          <c:showBubbleSize val="0"/>
        </c:dLbls>
        <c:gapWidth val="219"/>
        <c:overlap val="-27"/>
        <c:axId val="679194167"/>
        <c:axId val="675085931"/>
      </c:barChart>
      <c:catAx>
        <c:axId val="6791941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5085931"/>
        <c:crosses val="autoZero"/>
        <c:auto val="1"/>
        <c:lblAlgn val="ctr"/>
        <c:lblOffset val="100"/>
        <c:noMultiLvlLbl val="0"/>
      </c:catAx>
      <c:valAx>
        <c:axId val="67508593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919416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财政拨款支出决算情况说明</a:t>
            </a: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
                </c:pt>
              </c:strCache>
            </c:strRef>
          </c:tx>
          <c:spPr>
            <a:solidFill>
              <a:schemeClr val="accent1"/>
            </a:solidFill>
            <a:ln>
              <a:noFill/>
            </a:ln>
            <a:effectLst/>
          </c:spPr>
          <c:invertIfNegative val="0"/>
          <c:dLbls>
            <c:delete val="1"/>
          </c:dLbls>
          <c:cat>
            <c:strRef>
              <c:f>Sheet1!$A$2:$A$3</c:f>
              <c:strCache>
                <c:ptCount val="2"/>
                <c:pt idx="0">
                  <c:v>2018年财政拨款收入支出数据</c:v>
                </c:pt>
                <c:pt idx="1">
                  <c:v>2019年财政拨款收入支出数据</c:v>
                </c:pt>
              </c:strCache>
            </c:strRef>
          </c:cat>
          <c:val>
            <c:numRef>
              <c:f>Sheet1!$B$2:$B$3</c:f>
              <c:numCache>
                <c:formatCode>General</c:formatCode>
                <c:ptCount val="2"/>
                <c:pt idx="0">
                  <c:v>46.42</c:v>
                </c:pt>
                <c:pt idx="1">
                  <c:v>46.33</c:v>
                </c:pt>
              </c:numCache>
            </c:numRef>
          </c:val>
        </c:ser>
        <c:dLbls>
          <c:showLegendKey val="0"/>
          <c:showVal val="0"/>
          <c:showCatName val="0"/>
          <c:showSerName val="0"/>
          <c:showPercent val="0"/>
          <c:showBubbleSize val="0"/>
        </c:dLbls>
        <c:gapWidth val="219"/>
        <c:overlap val="-27"/>
        <c:axId val="679194167"/>
        <c:axId val="675085931"/>
      </c:barChart>
      <c:catAx>
        <c:axId val="67919416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5085931"/>
        <c:crosses val="autoZero"/>
        <c:auto val="1"/>
        <c:lblAlgn val="ctr"/>
        <c:lblOffset val="100"/>
        <c:noMultiLvlLbl val="0"/>
      </c:catAx>
      <c:valAx>
        <c:axId val="67508593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9194167"/>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26</Pages>
  <Words>1302</Words>
  <Characters>7424</Characters>
  <Lines>61</Lines>
  <Paragraphs>17</Paragraphs>
  <TotalTime>1</TotalTime>
  <ScaleCrop>false</ScaleCrop>
  <LinksUpToDate>false</LinksUpToDate>
  <CharactersWithSpaces>8709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Administrator</cp:lastModifiedBy>
  <cp:lastPrinted>2020-09-17T02:30:00Z</cp:lastPrinted>
  <dcterms:modified xsi:type="dcterms:W3CDTF">2020-10-12T02:00:03Z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