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hint="eastAsia" w:ascii="宋体" w:hAnsi="宋体" w:eastAsia="宋体" w:cstheme="majorEastAsia"/>
          <w:b/>
          <w:bCs/>
          <w:sz w:val="48"/>
          <w:szCs w:val="48"/>
          <w:lang w:eastAsia="zh-CN"/>
        </w:rPr>
      </w:pPr>
      <w:r>
        <w:rPr>
          <w:rFonts w:hint="eastAsia" w:ascii="宋体" w:hAnsi="宋体" w:eastAsia="宋体" w:cstheme="majorEastAsia"/>
          <w:b/>
          <w:bCs/>
          <w:sz w:val="48"/>
          <w:szCs w:val="48"/>
        </w:rPr>
        <w:t>中共蓝田县委</w:t>
      </w:r>
      <w:r>
        <w:rPr>
          <w:rFonts w:hint="eastAsia" w:ascii="宋体" w:hAnsi="宋体" w:eastAsia="宋体" w:cstheme="majorEastAsia"/>
          <w:b/>
          <w:bCs/>
          <w:sz w:val="48"/>
          <w:szCs w:val="48"/>
          <w:lang w:val="en-US" w:eastAsia="zh-CN"/>
        </w:rPr>
        <w:t>统一战线工作部</w:t>
      </w:r>
    </w:p>
    <w:p>
      <w:pPr>
        <w:spacing w:line="560" w:lineRule="exact"/>
        <w:jc w:val="center"/>
        <w:rPr>
          <w:rFonts w:hint="eastAsia" w:ascii="宋体" w:hAnsi="宋体" w:eastAsia="宋体" w:cstheme="majorEastAsia"/>
          <w:b/>
          <w:bCs/>
          <w:sz w:val="48"/>
          <w:szCs w:val="48"/>
          <w:lang w:val="en-US" w:eastAsia="zh-CN"/>
        </w:rPr>
      </w:pPr>
      <w:r>
        <w:rPr>
          <w:rFonts w:hint="eastAsia" w:ascii="宋体" w:hAnsi="宋体" w:eastAsia="宋体" w:cstheme="majorEastAsia"/>
          <w:b/>
          <w:bCs/>
          <w:sz w:val="48"/>
          <w:szCs w:val="48"/>
        </w:rPr>
        <w:t>2019年度部门决算</w:t>
      </w:r>
      <w:r>
        <w:rPr>
          <w:rFonts w:hint="eastAsia" w:ascii="宋体" w:hAnsi="宋体" w:eastAsia="宋体" w:cstheme="majorEastAsia"/>
          <w:b/>
          <w:bCs/>
          <w:sz w:val="48"/>
          <w:szCs w:val="48"/>
          <w:lang w:val="en-US" w:eastAsia="zh-CN"/>
        </w:rPr>
        <w:t>说明</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pPr>
        <w:spacing w:line="400" w:lineRule="exact"/>
        <w:jc w:val="center"/>
        <w:rPr>
          <w:rFonts w:ascii="宋体" w:hAnsi="宋体" w:eastAsia="宋体" w:cstheme="minorEastAsia"/>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pPr>
      <w:r>
        <w:rPr>
          <w:rFonts w:hint="eastAsia" w:ascii="黑体" w:hAnsi="宋体" w:eastAsia="黑体"/>
          <w:color w:val="000000"/>
          <w:kern w:val="0"/>
          <w:szCs w:val="32"/>
        </w:rPr>
        <w:t>第一部分 部门概况</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pPr>
      <w:r>
        <w:rPr>
          <w:rFonts w:hint="eastAsia" w:ascii="黑体" w:hAnsi="宋体" w:eastAsia="黑体"/>
          <w:color w:val="000000"/>
          <w:kern w:val="0"/>
          <w:szCs w:val="32"/>
        </w:rPr>
        <w:t>第二部分  2019年度部门决算表</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keepNext w:val="0"/>
        <w:keepLines w:val="0"/>
        <w:pageBreakBefore w:val="0"/>
        <w:widowControl/>
        <w:kinsoku/>
        <w:wordWrap/>
        <w:overflowPunct/>
        <w:topLinePunct w:val="0"/>
        <w:autoSpaceDE/>
        <w:autoSpaceDN/>
        <w:bidi w:val="0"/>
        <w:adjustRightInd/>
        <w:snapToGrid/>
        <w:spacing w:line="560" w:lineRule="exact"/>
        <w:ind w:left="640" w:hanging="640" w:hangingChars="200"/>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pPr>
      <w:r>
        <w:rPr>
          <w:rFonts w:hint="eastAsia" w:ascii="黑体" w:hAnsi="宋体" w:eastAsia="黑体"/>
          <w:color w:val="000000"/>
          <w:kern w:val="0"/>
          <w:szCs w:val="32"/>
        </w:rPr>
        <w:t>第三部分 2019年度部门决算情况说明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楷体" w:hAnsi="楷体" w:eastAsia="楷体" w:cs="楷体"/>
        </w:rPr>
      </w:pPr>
      <w:r>
        <w:rPr>
          <w:rFonts w:hint="eastAsia" w:ascii="仿宋" w:hAnsi="仿宋" w:eastAsia="仿宋" w:cs="楷体"/>
          <w:color w:val="000000"/>
          <w:kern w:val="0"/>
          <w:szCs w:val="32"/>
        </w:rPr>
        <w:t>四、财政拨款收入支出决算总体情况说明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jc w:val="both"/>
        <w:rPr>
          <w:rFonts w:ascii="黑体" w:hAnsi="宋体" w:eastAsia="黑体"/>
          <w:color w:val="000000"/>
          <w:kern w:val="0"/>
          <w:sz w:val="44"/>
          <w:szCs w:val="44"/>
        </w:rPr>
      </w:pPr>
    </w:p>
    <w:p>
      <w:pPr>
        <w:jc w:val="both"/>
        <w:rPr>
          <w:rFonts w:ascii="黑体" w:hAnsi="宋体" w:eastAsia="黑体"/>
          <w:color w:val="000000"/>
          <w:kern w:val="0"/>
          <w:sz w:val="44"/>
          <w:szCs w:val="44"/>
        </w:rPr>
      </w:pPr>
    </w:p>
    <w:p>
      <w:pPr>
        <w:jc w:val="both"/>
        <w:rPr>
          <w:rFonts w:ascii="黑体" w:hAnsi="宋体" w:eastAsia="黑体"/>
          <w:color w:val="000000"/>
          <w:kern w:val="0"/>
          <w:sz w:val="44"/>
          <w:szCs w:val="44"/>
        </w:rPr>
      </w:pPr>
    </w:p>
    <w:p>
      <w:pPr>
        <w:jc w:val="both"/>
        <w:rPr>
          <w:rFonts w:ascii="黑体" w:hAnsi="宋体" w:eastAsia="黑体"/>
          <w:color w:val="000000"/>
          <w:kern w:val="0"/>
          <w:sz w:val="44"/>
          <w:szCs w:val="44"/>
        </w:rPr>
      </w:pPr>
    </w:p>
    <w:p>
      <w:pPr>
        <w:jc w:val="both"/>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cs="楷体" w:asciiTheme="majorEastAsia" w:hAnsiTheme="majorEastAsia" w:eastAsiaTheme="majorEastAsia"/>
          <w:b/>
          <w:bCs/>
          <w:color w:val="000000"/>
          <w:kern w:val="0"/>
          <w:szCs w:val="32"/>
        </w:rPr>
      </w:pPr>
      <w:r>
        <w:rPr>
          <w:rFonts w:hint="eastAsia" w:ascii="仿宋_GB2312" w:hAnsi="仿宋" w:eastAsia="仿宋_GB2312"/>
          <w:sz w:val="32"/>
          <w:szCs w:val="32"/>
        </w:rPr>
        <w:t>贯彻落实党的统战政策，协同和指导有关部门落实党的民族宗教、对</w:t>
      </w:r>
      <w:r>
        <w:rPr>
          <w:rFonts w:hint="eastAsia" w:ascii="仿宋_GB2312" w:hAnsi="仿宋" w:eastAsia="仿宋_GB2312"/>
          <w:sz w:val="32"/>
          <w:szCs w:val="32"/>
          <w:lang w:val="en-US" w:eastAsia="zh-CN"/>
        </w:rPr>
        <w:t>港澳台</w:t>
      </w:r>
      <w:r>
        <w:rPr>
          <w:rFonts w:hint="eastAsia" w:ascii="仿宋_GB2312" w:hAnsi="仿宋" w:eastAsia="仿宋_GB2312"/>
          <w:sz w:val="32"/>
          <w:szCs w:val="32"/>
          <w:lang w:eastAsia="zh-CN"/>
        </w:rPr>
        <w:t>、党外</w:t>
      </w:r>
      <w:r>
        <w:rPr>
          <w:rFonts w:hint="eastAsia" w:ascii="仿宋_GB2312" w:hAnsi="仿宋" w:eastAsia="仿宋_GB2312"/>
          <w:sz w:val="32"/>
          <w:szCs w:val="32"/>
        </w:rPr>
        <w:t>知识分子</w:t>
      </w:r>
      <w:r>
        <w:rPr>
          <w:rFonts w:hint="eastAsia" w:ascii="仿宋_GB2312" w:hAnsi="仿宋" w:eastAsia="仿宋_GB2312"/>
          <w:sz w:val="32"/>
          <w:szCs w:val="32"/>
          <w:lang w:eastAsia="zh-CN"/>
        </w:rPr>
        <w:t>和新的社会阶层人士</w:t>
      </w:r>
      <w:r>
        <w:rPr>
          <w:rFonts w:hint="eastAsia" w:ascii="仿宋_GB2312" w:hAnsi="仿宋" w:eastAsia="仿宋_GB2312"/>
          <w:sz w:val="32"/>
          <w:szCs w:val="32"/>
        </w:rPr>
        <w:t>政策；联系民主党派和无</w:t>
      </w:r>
      <w:r>
        <w:rPr>
          <w:rFonts w:hint="eastAsia" w:ascii="仿宋_GB2312" w:hAnsi="仿宋" w:eastAsia="仿宋_GB2312"/>
          <w:sz w:val="32"/>
          <w:szCs w:val="32"/>
          <w:lang w:eastAsia="zh-CN"/>
        </w:rPr>
        <w:t>党</w:t>
      </w:r>
      <w:r>
        <w:rPr>
          <w:rFonts w:hint="eastAsia" w:ascii="仿宋_GB2312" w:hAnsi="仿宋" w:eastAsia="仿宋_GB2312"/>
          <w:sz w:val="32"/>
          <w:szCs w:val="32"/>
        </w:rPr>
        <w:t>派人士，协助县委开展与各界人士的协商对话，帮助和支持民主</w:t>
      </w:r>
      <w:r>
        <w:rPr>
          <w:rFonts w:hint="eastAsia" w:ascii="仿宋_GB2312" w:hAnsi="仿宋" w:eastAsia="仿宋_GB2312"/>
          <w:sz w:val="32"/>
          <w:szCs w:val="32"/>
          <w:lang w:eastAsia="zh-CN"/>
        </w:rPr>
        <w:t>党</w:t>
      </w:r>
      <w:r>
        <w:rPr>
          <w:rFonts w:hint="eastAsia" w:ascii="仿宋_GB2312" w:hAnsi="仿宋" w:eastAsia="仿宋_GB2312"/>
          <w:sz w:val="32"/>
          <w:szCs w:val="32"/>
        </w:rPr>
        <w:t>派搞好自身建设；协助县委做好党外干部的考察、推荐和管理工作；开展经济领域统战工作；完成县委和上级机关交办的其它工作。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cs="楷体" w:asciiTheme="majorEastAsia" w:hAnsiTheme="majorEastAsia" w:eastAsiaTheme="majorEastAsia"/>
          <w:b/>
          <w:bCs/>
          <w:color w:val="000000"/>
          <w:kern w:val="0"/>
          <w:szCs w:val="32"/>
        </w:rPr>
      </w:pPr>
      <w:r>
        <w:rPr>
          <w:rFonts w:hint="eastAsia" w:cs="楷体" w:asciiTheme="majorEastAsia" w:hAnsiTheme="majorEastAsia" w:eastAsiaTheme="majorEastAsia"/>
          <w:b/>
          <w:bCs/>
          <w:color w:val="000000"/>
          <w:kern w:val="0"/>
          <w:szCs w:val="32"/>
        </w:rPr>
        <w:t>（二）内设机构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县委统战部办内设3个科室：综合科、统战科、民宗科。</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heme="majorEastAsia" w:hAnsiTheme="majorEastAsia" w:eastAsiaTheme="majorEastAsia"/>
          <w:szCs w:val="32"/>
        </w:rPr>
      </w:pPr>
      <w:r>
        <w:rPr>
          <w:rFonts w:hint="eastAsia" w:ascii="仿宋_GB2312" w:hAnsi="仿宋_GB2312" w:eastAsia="仿宋_GB2312" w:cs="仿宋_GB2312"/>
          <w:kern w:val="0"/>
          <w:sz w:val="32"/>
          <w:szCs w:val="32"/>
          <w:lang w:val="en-US" w:eastAsia="zh-CN" w:bidi="ar-SA"/>
        </w:rPr>
        <w:t>本单位无下属单位。</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cs="宋体" w:asciiTheme="majorEastAsia" w:hAnsiTheme="majorEastAsia" w:eastAsiaTheme="majorEastAsia"/>
          <w:b/>
          <w:szCs w:val="32"/>
        </w:rPr>
      </w:pPr>
      <w:r>
        <w:rPr>
          <w:rFonts w:hint="eastAsia" w:cs="宋体" w:asciiTheme="majorEastAsia" w:hAnsiTheme="majorEastAsia" w:eastAsiaTheme="majorEastAsia"/>
          <w:b/>
          <w:szCs w:val="32"/>
        </w:rPr>
        <w:t>二、部门决算单位构成</w:t>
      </w:r>
    </w:p>
    <w:p>
      <w:pPr>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rPr>
        <w:t>从决算单位构成看，部门决算包括</w:t>
      </w:r>
      <w:r>
        <w:rPr>
          <w:rFonts w:hint="eastAsia" w:ascii="仿宋_GB2312" w:hAnsi="仿宋" w:eastAsia="仿宋_GB2312"/>
          <w:sz w:val="32"/>
          <w:szCs w:val="32"/>
          <w:lang w:eastAsia="zh-CN"/>
        </w:rPr>
        <w:t>中共蓝田县委统战部</w:t>
      </w:r>
      <w:r>
        <w:rPr>
          <w:rFonts w:hint="eastAsia" w:ascii="仿宋_GB2312" w:hAnsi="仿宋" w:eastAsia="仿宋_GB2312"/>
          <w:sz w:val="32"/>
          <w:szCs w:val="32"/>
        </w:rPr>
        <w:t>本级（机关）决算</w:t>
      </w:r>
      <w:r>
        <w:rPr>
          <w:rFonts w:hint="eastAsia" w:ascii="仿宋_GB2312" w:hAnsi="仿宋" w:eastAsia="仿宋_GB2312"/>
          <w:sz w:val="32"/>
          <w:szCs w:val="32"/>
          <w:lang w:val="en-US" w:eastAsia="zh-CN"/>
        </w:rPr>
        <w:t>,本部门无下属单位，纳入本部门2019年度部门决算编制范围的决算单位共有1个，包括：</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7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74" w:type="dxa"/>
            <w:noWrap w:val="0"/>
            <w:vAlign w:val="top"/>
          </w:tcPr>
          <w:p>
            <w:pPr>
              <w:spacing w:line="360" w:lineRule="auto"/>
              <w:jc w:val="center"/>
              <w:rPr>
                <w:rFonts w:hint="eastAsia" w:ascii="仿宋_GB2312" w:hAnsi="仿宋" w:eastAsia="仿宋_GB2312"/>
                <w:sz w:val="32"/>
                <w:szCs w:val="32"/>
                <w:vertAlign w:val="baseline"/>
                <w:lang w:val="en-US" w:eastAsia="zh-CN"/>
              </w:rPr>
            </w:pPr>
            <w:r>
              <w:rPr>
                <w:rFonts w:hint="eastAsia" w:ascii="仿宋_GB2312" w:hAnsi="仿宋" w:eastAsia="仿宋_GB2312"/>
                <w:sz w:val="32"/>
                <w:szCs w:val="32"/>
                <w:vertAlign w:val="baseline"/>
                <w:lang w:val="en-US" w:eastAsia="zh-CN"/>
              </w:rPr>
              <w:t>序号</w:t>
            </w:r>
          </w:p>
        </w:tc>
        <w:tc>
          <w:tcPr>
            <w:tcW w:w="7148" w:type="dxa"/>
            <w:noWrap w:val="0"/>
            <w:vAlign w:val="top"/>
          </w:tcPr>
          <w:p>
            <w:pPr>
              <w:spacing w:line="360" w:lineRule="auto"/>
              <w:jc w:val="center"/>
              <w:rPr>
                <w:rFonts w:hint="eastAsia" w:ascii="仿宋_GB2312" w:hAnsi="仿宋" w:eastAsia="仿宋_GB2312"/>
                <w:sz w:val="32"/>
                <w:szCs w:val="32"/>
                <w:vertAlign w:val="baseline"/>
                <w:lang w:val="en-US" w:eastAsia="zh-CN"/>
              </w:rPr>
            </w:pPr>
            <w:r>
              <w:rPr>
                <w:rFonts w:hint="eastAsia" w:ascii="仿宋_GB2312" w:hAnsi="仿宋" w:eastAsia="仿宋_GB2312"/>
                <w:sz w:val="32"/>
                <w:szCs w:val="32"/>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74" w:type="dxa"/>
            <w:noWrap w:val="0"/>
            <w:vAlign w:val="top"/>
          </w:tcPr>
          <w:p>
            <w:pPr>
              <w:spacing w:line="360" w:lineRule="auto"/>
              <w:jc w:val="center"/>
              <w:rPr>
                <w:rFonts w:hint="eastAsia" w:ascii="仿宋_GB2312" w:hAnsi="仿宋" w:eastAsia="仿宋_GB2312"/>
                <w:sz w:val="32"/>
                <w:szCs w:val="32"/>
                <w:vertAlign w:val="baseline"/>
                <w:lang w:val="en-US" w:eastAsia="zh-CN"/>
              </w:rPr>
            </w:pPr>
            <w:r>
              <w:rPr>
                <w:rFonts w:hint="eastAsia" w:ascii="仿宋_GB2312" w:hAnsi="仿宋" w:eastAsia="仿宋_GB2312"/>
                <w:sz w:val="32"/>
                <w:szCs w:val="32"/>
                <w:vertAlign w:val="baseline"/>
                <w:lang w:val="en-US" w:eastAsia="zh-CN"/>
              </w:rPr>
              <w:t>1</w:t>
            </w:r>
          </w:p>
        </w:tc>
        <w:tc>
          <w:tcPr>
            <w:tcW w:w="7148" w:type="dxa"/>
            <w:noWrap w:val="0"/>
            <w:vAlign w:val="top"/>
          </w:tcPr>
          <w:p>
            <w:pPr>
              <w:spacing w:line="360" w:lineRule="auto"/>
              <w:rPr>
                <w:rFonts w:hint="eastAsia" w:ascii="仿宋_GB2312" w:hAnsi="仿宋" w:eastAsia="仿宋_GB2312"/>
                <w:sz w:val="32"/>
                <w:szCs w:val="32"/>
                <w:vertAlign w:val="baseline"/>
                <w:lang w:val="en-US" w:eastAsia="zh-CN"/>
              </w:rPr>
            </w:pPr>
            <w:r>
              <w:rPr>
                <w:rFonts w:hint="eastAsia" w:ascii="仿宋_GB2312" w:hAnsi="仿宋" w:eastAsia="仿宋_GB2312"/>
                <w:sz w:val="32"/>
                <w:szCs w:val="32"/>
                <w:vertAlign w:val="baseline"/>
                <w:lang w:val="en-US" w:eastAsia="zh-CN"/>
              </w:rPr>
              <w:t>统战部本级（机关）</w:t>
            </w:r>
          </w:p>
        </w:tc>
      </w:tr>
    </w:tbl>
    <w:p>
      <w:pPr>
        <w:keepNext w:val="0"/>
        <w:keepLines w:val="0"/>
        <w:pageBreakBefore w:val="0"/>
        <w:kinsoku/>
        <w:wordWrap/>
        <w:overflowPunct/>
        <w:topLinePunct w:val="0"/>
        <w:autoSpaceDE/>
        <w:autoSpaceDN/>
        <w:bidi w:val="0"/>
        <w:adjustRightInd/>
        <w:snapToGrid/>
        <w:spacing w:line="560" w:lineRule="exact"/>
        <w:textAlignment w:val="auto"/>
        <w:rPr>
          <w:rFonts w:hint="eastAsia" w:cs="宋体" w:asciiTheme="majorEastAsia" w:hAnsiTheme="majorEastAsia" w:eastAsiaTheme="majorEastAsia"/>
          <w:b/>
          <w:szCs w:val="32"/>
        </w:rPr>
      </w:pPr>
    </w:p>
    <w:p>
      <w:pPr>
        <w:keepNext w:val="0"/>
        <w:keepLines w:val="0"/>
        <w:pageBreakBefore w:val="0"/>
        <w:kinsoku/>
        <w:wordWrap/>
        <w:overflowPunct/>
        <w:topLinePunct w:val="0"/>
        <w:autoSpaceDE/>
        <w:autoSpaceDN/>
        <w:bidi w:val="0"/>
        <w:adjustRightInd/>
        <w:snapToGrid/>
        <w:spacing w:line="560" w:lineRule="exact"/>
        <w:ind w:firstLine="630" w:firstLineChars="196"/>
        <w:textAlignment w:val="auto"/>
        <w:rPr>
          <w:rFonts w:cs="宋体" w:asciiTheme="majorEastAsia" w:hAnsiTheme="majorEastAsia" w:eastAsiaTheme="majorEastAsia"/>
          <w:b/>
          <w:szCs w:val="32"/>
        </w:rPr>
      </w:pPr>
      <w:r>
        <w:rPr>
          <w:rFonts w:hint="eastAsia" w:cs="宋体" w:asciiTheme="majorEastAsia" w:hAnsiTheme="majorEastAsia" w:eastAsiaTheme="majorEastAsia"/>
          <w:b/>
          <w:szCs w:val="32"/>
        </w:rPr>
        <w:t>三、部门人员情况说明</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截止2019年底，本部门人员编制9人，其中行政编制9人，无事业编制；实有人员9人，其中行政人员9人，无事业人员。本单位无离退休人员。</w:t>
      </w:r>
    </w:p>
    <w:p>
      <w:pPr>
        <w:widowControl/>
        <w:rPr>
          <w:rFonts w:asciiTheme="majorEastAsia" w:hAnsiTheme="majorEastAsia" w:eastAsiaTheme="majorEastAsia"/>
          <w:color w:val="000000"/>
          <w:kern w:val="0"/>
          <w:sz w:val="44"/>
          <w:szCs w:val="44"/>
        </w:rPr>
      </w:pPr>
    </w:p>
    <w:p>
      <w:pPr>
        <w:widowControl/>
        <w:rPr>
          <w:rFonts w:hint="eastAsia" w:asciiTheme="majorEastAsia" w:hAnsiTheme="majorEastAsia" w:eastAsiaTheme="majorEastAsia"/>
          <w:color w:val="000000"/>
          <w:kern w:val="0"/>
          <w:sz w:val="44"/>
          <w:szCs w:val="44"/>
          <w:lang w:eastAsia="zh-CN"/>
        </w:rPr>
      </w:pPr>
      <w:r>
        <w:rPr>
          <w:rFonts w:hint="eastAsia" w:asciiTheme="majorEastAsia" w:hAnsiTheme="majorEastAsia" w:eastAsiaTheme="majorEastAsia"/>
          <w:color w:val="000000"/>
          <w:kern w:val="0"/>
          <w:sz w:val="44"/>
          <w:szCs w:val="44"/>
          <w:lang w:eastAsia="zh-CN"/>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center"/>
        <w:rPr>
          <w:rFonts w:asciiTheme="majorEastAsia" w:hAnsiTheme="majorEastAsia" w:eastAsiaTheme="majorEastAsia"/>
          <w:color w:val="000000"/>
          <w:kern w:val="0"/>
          <w:sz w:val="44"/>
          <w:szCs w:val="44"/>
        </w:rPr>
      </w:pPr>
    </w:p>
    <w:p>
      <w:pPr>
        <w:widowControl/>
        <w:jc w:val="both"/>
        <w:rPr>
          <w:rFonts w:asciiTheme="majorEastAsia" w:hAnsiTheme="majorEastAsia" w:eastAsiaTheme="majorEastAsia"/>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8"/>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Layout w:type="fixed"/>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Layout w:type="fixed"/>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无三公经费支出</w:t>
            </w:r>
          </w:p>
        </w:tc>
      </w:tr>
      <w:tr>
        <w:tblPrEx>
          <w:tblLayout w:type="fixed"/>
          <w:tblCellMar>
            <w:top w:w="0" w:type="dxa"/>
            <w:left w:w="0" w:type="dxa"/>
            <w:bottom w:w="0" w:type="dxa"/>
            <w:right w:w="0" w:type="dxa"/>
          </w:tblCellMar>
        </w:tblPrEx>
        <w:trPr>
          <w:trHeight w:val="1364"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无政府性基金预算财政拨款收入</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jc w:val="left"/>
        <w:rPr>
          <w:rFonts w:ascii="宋体" w:hAnsi="宋体" w:eastAsia="宋体" w:cs="宋体"/>
          <w:b/>
          <w:bCs/>
          <w:sz w:val="21"/>
          <w:szCs w:val="21"/>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金额单位：万元</w:t>
      </w:r>
    </w:p>
    <w:tbl>
      <w:tblPr>
        <w:tblStyle w:val="8"/>
        <w:tblW w:w="8884" w:type="dxa"/>
        <w:tblInd w:w="0" w:type="dxa"/>
        <w:tblLayout w:type="fixed"/>
        <w:tblCellMar>
          <w:top w:w="15" w:type="dxa"/>
          <w:left w:w="15" w:type="dxa"/>
          <w:bottom w:w="15" w:type="dxa"/>
          <w:right w:w="15" w:type="dxa"/>
        </w:tblCellMar>
      </w:tblPr>
      <w:tblGrid>
        <w:gridCol w:w="3388"/>
        <w:gridCol w:w="1080"/>
        <w:gridCol w:w="3090"/>
        <w:gridCol w:w="1326"/>
      </w:tblGrid>
      <w:tr>
        <w:tblPrEx>
          <w:tblLayout w:type="fixed"/>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支    出</w:t>
            </w:r>
          </w:p>
        </w:tc>
      </w:tr>
      <w:tr>
        <w:tblPrEx>
          <w:tblLayout w:type="fixed"/>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决算数</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172.19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165.16</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6、经营收入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5.04</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p>
        </w:tc>
        <w:tc>
          <w:tcPr>
            <w:tcW w:w="1080" w:type="dxa"/>
            <w:tcBorders>
              <w:top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1.27</w:t>
            </w:r>
          </w:p>
        </w:tc>
      </w:tr>
      <w:tr>
        <w:tblPrEx>
          <w:tblLayout w:type="fixed"/>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p>
        </w:tc>
        <w:tc>
          <w:tcPr>
            <w:tcW w:w="1080" w:type="dxa"/>
            <w:tcBorders>
              <w:top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p>
        </w:tc>
        <w:tc>
          <w:tcPr>
            <w:tcW w:w="1080" w:type="dxa"/>
            <w:tcBorders>
              <w:top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0.72</w:t>
            </w:r>
          </w:p>
        </w:tc>
      </w:tr>
      <w:tr>
        <w:tblPrEx>
          <w:tblLayout w:type="fixed"/>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27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180" w:firstLineChars="100"/>
              <w:jc w:val="lef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172.19</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本年支出合计</w:t>
            </w:r>
          </w:p>
        </w:tc>
        <w:tc>
          <w:tcPr>
            <w:tcW w:w="1326" w:type="dxa"/>
            <w:tcBorders>
              <w:top w:val="single" w:color="000000" w:sz="4" w:space="0"/>
              <w:left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lang w:val="en-US" w:eastAsia="zh-CN"/>
              </w:rPr>
              <w:t>172.19</w:t>
            </w:r>
          </w:p>
        </w:tc>
      </w:tr>
      <w:tr>
        <w:tblPrEx>
          <w:tblLayout w:type="fixed"/>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Cs/>
                <w:color w:val="000000"/>
                <w:sz w:val="18"/>
                <w:szCs w:val="18"/>
              </w:rPr>
            </w:pPr>
            <w:r>
              <w:rPr>
                <w:rFonts w:hint="eastAsia" w:asciiTheme="minorEastAsia" w:hAnsiTheme="minorEastAsia" w:eastAsiaTheme="minorEastAsia" w:cstheme="minorEastAsia"/>
                <w:bCs/>
                <w:color w:val="000000"/>
                <w:kern w:val="0"/>
                <w:sz w:val="18"/>
                <w:szCs w:val="18"/>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Cs/>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Cs/>
                <w:color w:val="000000"/>
                <w:sz w:val="18"/>
                <w:szCs w:val="18"/>
              </w:rPr>
            </w:pPr>
            <w:r>
              <w:rPr>
                <w:rFonts w:hint="eastAsia" w:asciiTheme="minorEastAsia" w:hAnsiTheme="minorEastAsia" w:eastAsiaTheme="minorEastAsia" w:cstheme="minorEastAsia"/>
                <w:bCs/>
                <w:color w:val="000000"/>
                <w:kern w:val="0"/>
                <w:sz w:val="18"/>
                <w:szCs w:val="18"/>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Cs/>
                <w:color w:val="000000"/>
                <w:sz w:val="18"/>
                <w:szCs w:val="18"/>
              </w:rPr>
            </w:pPr>
            <w:r>
              <w:rPr>
                <w:rFonts w:hint="eastAsia" w:asciiTheme="minorEastAsia" w:hAnsiTheme="minorEastAsia" w:eastAsiaTheme="minorEastAsia" w:cstheme="minorEastAsia"/>
                <w:bCs/>
                <w:color w:val="000000"/>
                <w:kern w:val="0"/>
                <w:sz w:val="18"/>
                <w:szCs w:val="18"/>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Cs/>
                <w:color w:val="000000"/>
                <w:sz w:val="18"/>
                <w:szCs w:val="18"/>
              </w:rPr>
            </w:pPr>
            <w:r>
              <w:rPr>
                <w:rFonts w:hint="eastAsia" w:asciiTheme="minorEastAsia" w:hAnsiTheme="minorEastAsia" w:eastAsiaTheme="minorEastAsia" w:cstheme="minorEastAsia"/>
                <w:color w:val="000000"/>
                <w:kern w:val="0"/>
                <w:sz w:val="18"/>
                <w:szCs w:val="18"/>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Cs/>
                <w:color w:val="000000"/>
                <w:sz w:val="18"/>
                <w:szCs w:val="18"/>
              </w:rPr>
            </w:pPr>
            <w:r>
              <w:rPr>
                <w:rFonts w:hint="eastAsia" w:asciiTheme="minorEastAsia" w:hAnsiTheme="minorEastAsia" w:eastAsiaTheme="minorEastAsia" w:cstheme="minorEastAsia"/>
                <w:bCs/>
                <w:color w:val="000000"/>
                <w:kern w:val="0"/>
                <w:sz w:val="18"/>
                <w:szCs w:val="18"/>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172.19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lang w:val="en-US" w:eastAsia="zh-CN"/>
              </w:rPr>
              <w:t>172.19</w:t>
            </w:r>
          </w:p>
        </w:tc>
      </w:tr>
    </w:tbl>
    <w:p>
      <w:pPr>
        <w:widowControl/>
        <w:ind w:left="420" w:hanging="420" w:hangingChars="200"/>
        <w:jc w:val="left"/>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公开02表</w:t>
      </w:r>
    </w:p>
    <w:p>
      <w:pPr>
        <w:jc w:val="left"/>
        <w:rPr>
          <w:rFonts w:ascii="宋体" w:hAnsi="宋体" w:eastAsia="宋体" w:cs="宋体"/>
          <w:b/>
          <w:bCs/>
          <w:sz w:val="48"/>
          <w:szCs w:val="48"/>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                                                 </w:t>
      </w:r>
    </w:p>
    <w:tbl>
      <w:tblPr>
        <w:tblStyle w:val="8"/>
        <w:tblW w:w="8867" w:type="dxa"/>
        <w:tblInd w:w="0" w:type="dxa"/>
        <w:tblLayout w:type="fixed"/>
        <w:tblCellMar>
          <w:top w:w="15" w:type="dxa"/>
          <w:left w:w="15" w:type="dxa"/>
          <w:bottom w:w="15" w:type="dxa"/>
          <w:right w:w="15" w:type="dxa"/>
        </w:tblCellMar>
      </w:tblPr>
      <w:tblGrid>
        <w:gridCol w:w="891"/>
        <w:gridCol w:w="1797"/>
        <w:gridCol w:w="818"/>
        <w:gridCol w:w="745"/>
        <w:gridCol w:w="555"/>
        <w:gridCol w:w="720"/>
        <w:gridCol w:w="791"/>
        <w:gridCol w:w="844"/>
        <w:gridCol w:w="896"/>
        <w:gridCol w:w="810"/>
      </w:tblGrid>
      <w:tr>
        <w:tblPrEx>
          <w:tblLayout w:type="fixed"/>
          <w:tblCellMar>
            <w:top w:w="15" w:type="dxa"/>
            <w:left w:w="15" w:type="dxa"/>
            <w:bottom w:w="15" w:type="dxa"/>
            <w:right w:w="15" w:type="dxa"/>
          </w:tblCellMar>
        </w:tblPrEx>
        <w:trPr>
          <w:trHeight w:val="439" w:hRule="atLeast"/>
        </w:trPr>
        <w:tc>
          <w:tcPr>
            <w:tcW w:w="268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51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84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89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Layout w:type="fixed"/>
          <w:tblCellMar>
            <w:top w:w="15" w:type="dxa"/>
            <w:left w:w="15" w:type="dxa"/>
            <w:bottom w:w="15" w:type="dxa"/>
            <w:right w:w="15" w:type="dxa"/>
          </w:tblCellMar>
        </w:tblPrEx>
        <w:trPr>
          <w:trHeight w:val="1125" w:hRule="atLeast"/>
        </w:trPr>
        <w:tc>
          <w:tcPr>
            <w:tcW w:w="89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79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其中：教育费</w:t>
            </w:r>
          </w:p>
        </w:tc>
        <w:tc>
          <w:tcPr>
            <w:tcW w:w="84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9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9" w:hRule="atLeast"/>
        </w:trPr>
        <w:tc>
          <w:tcPr>
            <w:tcW w:w="268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172.19</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172.19</w:t>
            </w:r>
          </w:p>
        </w:tc>
        <w:tc>
          <w:tcPr>
            <w:tcW w:w="5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9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一般公共服务支出</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165.15</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20134</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统战事务</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2013401</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49.79</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49.79</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2013402</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63.36</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63.36</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2013499</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其他统战事务支出</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52.00</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52.00</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208</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社会保障和就业支出</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5.04</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20805</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行政事业单位离退休</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2080505</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机关事业单位基本养老保险缴费支出</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5.04</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5.04</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1.28</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1.28</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21011</w:t>
            </w:r>
          </w:p>
        </w:tc>
        <w:tc>
          <w:tcPr>
            <w:tcW w:w="17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81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0.96</w:t>
            </w:r>
          </w:p>
        </w:tc>
        <w:tc>
          <w:tcPr>
            <w:tcW w:w="7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行政单位医疗</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0.86</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0.86</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2101103</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公务员医疗补助</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0.10</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0.10</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0.32</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2109901</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212</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城乡社区支出</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0.72</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21201</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城乡社区管理事务</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r>
      <w:tr>
        <w:tblPrEx>
          <w:tblLayout w:type="fixed"/>
          <w:tblCellMar>
            <w:top w:w="15" w:type="dxa"/>
            <w:left w:w="15" w:type="dxa"/>
            <w:bottom w:w="15" w:type="dxa"/>
            <w:right w:w="15" w:type="dxa"/>
          </w:tblCellMar>
        </w:tblPrEx>
        <w:trPr>
          <w:trHeight w:val="439" w:hRule="atLeast"/>
        </w:trPr>
        <w:tc>
          <w:tcPr>
            <w:tcW w:w="8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2120104</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城管执法</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7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55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7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c>
          <w:tcPr>
            <w:tcW w:w="84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9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0"/>
                <w:szCs w:val="20"/>
                <w:u w:val="none"/>
                <w:lang w:val="en-US" w:eastAsia="zh-CN" w:bidi="ar"/>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公开03表</w:t>
      </w:r>
    </w:p>
    <w:p>
      <w:pPr>
        <w:jc w:val="left"/>
        <w:rPr>
          <w:rFonts w:ascii="宋体" w:hAnsi="宋体" w:eastAsia="宋体" w:cs="宋体"/>
          <w:b/>
          <w:bCs/>
          <w:sz w:val="48"/>
          <w:szCs w:val="48"/>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金额单位：万元                                         </w:t>
      </w:r>
    </w:p>
    <w:tbl>
      <w:tblPr>
        <w:tblStyle w:val="8"/>
        <w:tblW w:w="8896" w:type="dxa"/>
        <w:tblInd w:w="0" w:type="dxa"/>
        <w:tblLayout w:type="fixed"/>
        <w:tblCellMar>
          <w:top w:w="15" w:type="dxa"/>
          <w:left w:w="15" w:type="dxa"/>
          <w:bottom w:w="15" w:type="dxa"/>
          <w:right w:w="15" w:type="dxa"/>
        </w:tblCellMar>
      </w:tblPr>
      <w:tblGrid>
        <w:gridCol w:w="914"/>
        <w:gridCol w:w="83"/>
        <w:gridCol w:w="1814"/>
        <w:gridCol w:w="845"/>
        <w:gridCol w:w="914"/>
        <w:gridCol w:w="964"/>
        <w:gridCol w:w="1109"/>
        <w:gridCol w:w="1104"/>
        <w:gridCol w:w="1149"/>
      </w:tblGrid>
      <w:tr>
        <w:tblPrEx>
          <w:tblLayout w:type="fixed"/>
          <w:tblCellMar>
            <w:top w:w="15" w:type="dxa"/>
            <w:left w:w="15" w:type="dxa"/>
            <w:bottom w:w="15" w:type="dxa"/>
            <w:right w:w="15" w:type="dxa"/>
          </w:tblCellMar>
        </w:tblPrEx>
        <w:trPr>
          <w:trHeight w:val="372" w:hRule="atLeast"/>
        </w:trPr>
        <w:tc>
          <w:tcPr>
            <w:tcW w:w="28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8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6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11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1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Layout w:type="fixed"/>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8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1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372" w:hRule="atLeast"/>
        </w:trPr>
        <w:tc>
          <w:tcPr>
            <w:tcW w:w="28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172.19</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56.83</w:t>
            </w:r>
          </w:p>
        </w:tc>
        <w:tc>
          <w:tcPr>
            <w:tcW w:w="96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115.36</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一般公共服务支出</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115.36</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统战事务</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115.36</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2013401</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49.79</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2013402</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63.36</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63.36</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2013499</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其他统战事务支出</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52.00</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52.00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社会保障和就业支出</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行政事业单位离退休</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机关事业单位基本养老保险缴费支出</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1.28</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1.28</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419"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8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0.96</w:t>
            </w:r>
          </w:p>
        </w:tc>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0.96</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2101101</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行政单位医疗</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0.86</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0.86</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2101103</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公务员医疗补助</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0.10</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0.10</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21099</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2109901</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65"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212</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城乡社区支出</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21201</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城乡社区管理事务</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2120104</w:t>
            </w:r>
          </w:p>
        </w:tc>
        <w:tc>
          <w:tcPr>
            <w:tcW w:w="189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城管执法</w:t>
            </w:r>
          </w:p>
        </w:tc>
        <w:tc>
          <w:tcPr>
            <w:tcW w:w="84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单位：万元</w:t>
      </w:r>
      <w:r>
        <w:rPr>
          <w:rFonts w:hint="eastAsia" w:ascii="宋体" w:hAnsi="宋体" w:eastAsia="宋体" w:cs="宋体"/>
          <w:b/>
          <w:bCs/>
          <w:sz w:val="21"/>
          <w:szCs w:val="21"/>
        </w:rPr>
        <w:t xml:space="preserve">                                                  </w:t>
      </w:r>
    </w:p>
    <w:tbl>
      <w:tblPr>
        <w:tblStyle w:val="8"/>
        <w:tblW w:w="8700" w:type="dxa"/>
        <w:tblInd w:w="0" w:type="dxa"/>
        <w:tblLayout w:type="fixed"/>
        <w:tblCellMar>
          <w:top w:w="15" w:type="dxa"/>
          <w:left w:w="15" w:type="dxa"/>
          <w:bottom w:w="15" w:type="dxa"/>
          <w:right w:w="15" w:type="dxa"/>
        </w:tblCellMar>
      </w:tblPr>
      <w:tblGrid>
        <w:gridCol w:w="2061"/>
        <w:gridCol w:w="714"/>
        <w:gridCol w:w="23"/>
        <w:gridCol w:w="2683"/>
        <w:gridCol w:w="1145"/>
        <w:gridCol w:w="1090"/>
        <w:gridCol w:w="984"/>
      </w:tblGrid>
      <w:tr>
        <w:tblPrEx>
          <w:tblLayout w:type="fixed"/>
          <w:tblCellMar>
            <w:top w:w="15" w:type="dxa"/>
            <w:left w:w="15" w:type="dxa"/>
            <w:bottom w:w="15" w:type="dxa"/>
            <w:right w:w="15" w:type="dxa"/>
          </w:tblCellMar>
        </w:tblPrEx>
        <w:trPr>
          <w:trHeight w:val="367" w:hRule="atLeast"/>
        </w:trPr>
        <w:tc>
          <w:tcPr>
            <w:tcW w:w="27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收入</w:t>
            </w:r>
          </w:p>
        </w:tc>
        <w:tc>
          <w:tcPr>
            <w:tcW w:w="5925"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支出</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项    目</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决算数</w:t>
            </w: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项目</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合计</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政府性基金预算财政拨款</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1、一般公共预算财政拨款</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172.19</w:t>
            </w: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1、一般公共服务支出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165.16</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165.16</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2、政府性基金预算财政拨款</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2、外交支出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3、国有资本经营预算收入</w:t>
            </w:r>
          </w:p>
        </w:tc>
        <w:tc>
          <w:tcPr>
            <w:tcW w:w="71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3、国防支出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4、公共安全支出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5、教育支出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6、科学技术支出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7、</w:t>
            </w:r>
            <w:r>
              <w:rPr>
                <w:rFonts w:hint="eastAsia" w:asciiTheme="minorEastAsia" w:hAnsiTheme="minorEastAsia" w:eastAsiaTheme="minorEastAsia" w:cstheme="minorEastAsia"/>
                <w:color w:val="000000"/>
                <w:spacing w:val="-11"/>
                <w:w w:val="98"/>
                <w:kern w:val="0"/>
                <w:sz w:val="18"/>
                <w:szCs w:val="18"/>
              </w:rPr>
              <w:t>文化旅游体育与传媒支出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8、社会保障和就业支出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5.04</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5.04</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9、卫生健康支出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lang w:val="en-US"/>
              </w:rPr>
            </w:pPr>
            <w:r>
              <w:rPr>
                <w:rFonts w:hint="eastAsia" w:asciiTheme="minorEastAsia" w:hAnsiTheme="minorEastAsia" w:eastAsiaTheme="minorEastAsia" w:cstheme="minorEastAsia"/>
                <w:color w:val="000000"/>
                <w:kern w:val="0"/>
                <w:sz w:val="18"/>
                <w:szCs w:val="18"/>
                <w:lang w:val="en-US" w:eastAsia="zh-CN"/>
              </w:rPr>
              <w:t>1.27</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1.27</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10、节能环保支出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11、城乡社区支出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rPr>
              <w:t>0.</w:t>
            </w:r>
            <w:r>
              <w:rPr>
                <w:rFonts w:hint="eastAsia" w:asciiTheme="minorEastAsia" w:hAnsiTheme="minorEastAsia" w:eastAsiaTheme="minorEastAsia" w:cstheme="minorEastAsia"/>
                <w:color w:val="000000"/>
                <w:kern w:val="0"/>
                <w:sz w:val="18"/>
                <w:szCs w:val="18"/>
                <w:lang w:val="en-US" w:eastAsia="zh-CN"/>
              </w:rPr>
              <w:t>72</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0.72</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12、农林水支出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13、交通运输支出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14、资源勘探信息等支出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15、商业服务业等支出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16、金融支出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17、援助其他地区支出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18、</w:t>
            </w:r>
            <w:r>
              <w:rPr>
                <w:rFonts w:hint="eastAsia" w:asciiTheme="minorEastAsia" w:hAnsiTheme="minorEastAsia" w:eastAsiaTheme="minorEastAsia" w:cstheme="minorEastAsia"/>
                <w:color w:val="000000"/>
                <w:spacing w:val="-11"/>
                <w:w w:val="98"/>
                <w:kern w:val="0"/>
                <w:sz w:val="18"/>
                <w:szCs w:val="18"/>
              </w:rPr>
              <w:t>自然资源海洋气象等支出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19、住房保障支出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20、粮油物资储备支出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21、灾害防治及应急管理支出</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6"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22、其他支出</w:t>
            </w:r>
          </w:p>
        </w:tc>
        <w:tc>
          <w:tcPr>
            <w:tcW w:w="1145"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本年收入合计</w:t>
            </w:r>
          </w:p>
        </w:tc>
        <w:tc>
          <w:tcPr>
            <w:tcW w:w="737"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172.19</w:t>
            </w:r>
          </w:p>
        </w:tc>
        <w:tc>
          <w:tcPr>
            <w:tcW w:w="2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本年支出合计</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lang w:val="en-US"/>
              </w:rPr>
            </w:pPr>
            <w:r>
              <w:rPr>
                <w:rFonts w:hint="eastAsia" w:asciiTheme="minorEastAsia" w:hAnsiTheme="minorEastAsia" w:eastAsiaTheme="minorEastAsia" w:cstheme="minorEastAsia"/>
                <w:color w:val="000000"/>
                <w:kern w:val="0"/>
                <w:sz w:val="18"/>
                <w:szCs w:val="18"/>
                <w:lang w:val="en-US" w:eastAsia="zh-CN"/>
              </w:rPr>
              <w:t>172.19</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b/>
                <w:color w:val="000000"/>
                <w:kern w:val="0"/>
                <w:sz w:val="18"/>
                <w:szCs w:val="18"/>
                <w:lang w:val="en-US" w:eastAsia="zh-CN"/>
              </w:rPr>
            </w:pPr>
            <w:r>
              <w:rPr>
                <w:rFonts w:hint="eastAsia" w:asciiTheme="minorEastAsia" w:hAnsiTheme="minorEastAsia" w:eastAsiaTheme="minorEastAsia" w:cstheme="minorEastAsia"/>
                <w:b/>
                <w:color w:val="000000"/>
                <w:kern w:val="0"/>
                <w:sz w:val="18"/>
                <w:szCs w:val="18"/>
                <w:lang w:val="en-US" w:eastAsia="zh-CN"/>
              </w:rPr>
              <w:t>172.19</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年初财政拨款结转结</w:t>
            </w:r>
          </w:p>
        </w:tc>
        <w:tc>
          <w:tcPr>
            <w:tcW w:w="737"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2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年末财政拨款结转和结余</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r>
      <w:tr>
        <w:tblPrEx>
          <w:tblLayout w:type="fixed"/>
          <w:tblCellMar>
            <w:top w:w="15" w:type="dxa"/>
            <w:left w:w="15" w:type="dxa"/>
            <w:bottom w:w="15" w:type="dxa"/>
            <w:right w:w="15" w:type="dxa"/>
          </w:tblCellMar>
        </w:tblPrEx>
        <w:trPr>
          <w:trHeight w:val="419"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一、一般公共预</w:t>
            </w:r>
          </w:p>
          <w:p>
            <w:pPr>
              <w:widowControl/>
              <w:ind w:firstLine="360" w:firstLineChars="200"/>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算财政拨款</w:t>
            </w:r>
          </w:p>
        </w:tc>
        <w:tc>
          <w:tcPr>
            <w:tcW w:w="737"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2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p>
        </w:tc>
        <w:tc>
          <w:tcPr>
            <w:tcW w:w="114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109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r>
      <w:tr>
        <w:tblPrEx>
          <w:tblLayout w:type="fixed"/>
          <w:tblCellMar>
            <w:top w:w="15" w:type="dxa"/>
            <w:left w:w="15" w:type="dxa"/>
            <w:bottom w:w="15" w:type="dxa"/>
            <w:right w:w="15" w:type="dxa"/>
          </w:tblCellMar>
        </w:tblPrEx>
        <w:trPr>
          <w:trHeight w:val="479"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二、政府性基金预</w:t>
            </w:r>
          </w:p>
          <w:p>
            <w:pPr>
              <w:widowControl/>
              <w:ind w:firstLine="360" w:firstLineChars="200"/>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算财政拨款</w:t>
            </w:r>
          </w:p>
        </w:tc>
        <w:tc>
          <w:tcPr>
            <w:tcW w:w="737"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2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p>
        </w:tc>
        <w:tc>
          <w:tcPr>
            <w:tcW w:w="114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109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r>
      <w:tr>
        <w:tblPrEx>
          <w:tblLayout w:type="fixed"/>
          <w:tblCellMar>
            <w:top w:w="15" w:type="dxa"/>
            <w:left w:w="15" w:type="dxa"/>
            <w:bottom w:w="15" w:type="dxa"/>
            <w:right w:w="15" w:type="dxa"/>
          </w:tblCellMar>
        </w:tblPrEx>
        <w:trPr>
          <w:trHeight w:val="57" w:hRule="atLeast"/>
        </w:trPr>
        <w:tc>
          <w:tcPr>
            <w:tcW w:w="2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收入总计</w:t>
            </w:r>
          </w:p>
        </w:tc>
        <w:tc>
          <w:tcPr>
            <w:tcW w:w="737"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b/>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172.19</w:t>
            </w:r>
          </w:p>
        </w:tc>
        <w:tc>
          <w:tcPr>
            <w:tcW w:w="2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支出总计</w:t>
            </w:r>
          </w:p>
        </w:tc>
        <w:tc>
          <w:tcPr>
            <w:tcW w:w="114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lang w:val="en-US"/>
              </w:rPr>
            </w:pPr>
            <w:r>
              <w:rPr>
                <w:rFonts w:hint="eastAsia" w:asciiTheme="minorEastAsia" w:hAnsiTheme="minorEastAsia" w:eastAsiaTheme="minorEastAsia" w:cstheme="minorEastAsia"/>
                <w:color w:val="000000"/>
                <w:kern w:val="0"/>
                <w:sz w:val="18"/>
                <w:szCs w:val="18"/>
                <w:lang w:val="en-US" w:eastAsia="zh-CN"/>
              </w:rPr>
              <w:t>172.19</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b/>
                <w:color w:val="000000"/>
                <w:kern w:val="0"/>
                <w:sz w:val="18"/>
                <w:szCs w:val="18"/>
                <w:lang w:val="en-US" w:eastAsia="zh-CN"/>
              </w:rPr>
            </w:pPr>
            <w:r>
              <w:rPr>
                <w:rFonts w:hint="eastAsia" w:asciiTheme="minorEastAsia" w:hAnsiTheme="minorEastAsia" w:eastAsiaTheme="minorEastAsia" w:cstheme="minorEastAsia"/>
                <w:b/>
                <w:color w:val="000000"/>
                <w:kern w:val="0"/>
                <w:sz w:val="18"/>
                <w:szCs w:val="18"/>
                <w:lang w:val="en-US" w:eastAsia="zh-CN"/>
              </w:rPr>
              <w:t>172.19</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r>
    </w:tbl>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jc w:val="left"/>
        <w:rPr>
          <w:rFonts w:ascii="宋体" w:hAnsi="宋体" w:eastAsia="宋体" w:cs="宋体"/>
          <w:b/>
          <w:bCs/>
          <w:sz w:val="21"/>
          <w:szCs w:val="21"/>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金额单位：万元                                                </w:t>
      </w:r>
    </w:p>
    <w:tbl>
      <w:tblPr>
        <w:tblStyle w:val="8"/>
        <w:tblW w:w="8777" w:type="dxa"/>
        <w:tblInd w:w="0" w:type="dxa"/>
        <w:tblLayout w:type="fixed"/>
        <w:tblCellMar>
          <w:top w:w="15" w:type="dxa"/>
          <w:left w:w="15" w:type="dxa"/>
          <w:bottom w:w="15" w:type="dxa"/>
          <w:right w:w="15" w:type="dxa"/>
        </w:tblCellMar>
      </w:tblPr>
      <w:tblGrid>
        <w:gridCol w:w="956"/>
        <w:gridCol w:w="1909"/>
        <w:gridCol w:w="848"/>
        <w:gridCol w:w="1020"/>
        <w:gridCol w:w="935"/>
        <w:gridCol w:w="1039"/>
        <w:gridCol w:w="1020"/>
        <w:gridCol w:w="1050"/>
      </w:tblGrid>
      <w:tr>
        <w:tblPrEx>
          <w:tblLayout w:type="fixed"/>
          <w:tblCellMar>
            <w:top w:w="15" w:type="dxa"/>
            <w:left w:w="15" w:type="dxa"/>
            <w:bottom w:w="15" w:type="dxa"/>
            <w:right w:w="15" w:type="dxa"/>
          </w:tblCellMar>
        </w:tblPrEx>
        <w:trPr>
          <w:trHeight w:val="414" w:hRule="atLeast"/>
        </w:trPr>
        <w:tc>
          <w:tcPr>
            <w:tcW w:w="286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84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781"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4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14" w:hRule="atLeast"/>
        </w:trPr>
        <w:tc>
          <w:tcPr>
            <w:tcW w:w="28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合计</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172.19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56.83</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51.56</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5.27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115.36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525"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一般公共服务支出</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44.52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115.36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51"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统战事务</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165.15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44.52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115.36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80"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2013401</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49.79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44.52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2013402</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63.36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63.36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2013499</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其他统战事务支出</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lang w:val="en-US"/>
              </w:rPr>
            </w:pPr>
            <w:r>
              <w:rPr>
                <w:rFonts w:hint="eastAsia" w:ascii="宋体" w:hAnsi="宋体" w:eastAsia="宋体" w:cs="宋体"/>
                <w:i w:val="0"/>
                <w:color w:val="000000"/>
                <w:kern w:val="0"/>
                <w:sz w:val="22"/>
                <w:szCs w:val="22"/>
                <w:u w:val="none"/>
                <w:lang w:val="en-US" w:eastAsia="zh-CN" w:bidi="ar"/>
              </w:rPr>
              <w:t>52.00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社会保障和就业支出</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行政事业单位离退休</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机关事业单位基本养老保险缴费支出</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1.28</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1.28</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90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84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0.96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0.96</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0.96</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2101101</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行政单位医疗</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0.86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0.86</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0.86</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2101103</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公务员医疗补助</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0.10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0.10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0.10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21099</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20"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2109901</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0.32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212</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城乡社区支出</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21201</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城乡社区管理事务</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14" w:hRule="atLeast"/>
        </w:trPr>
        <w:tc>
          <w:tcPr>
            <w:tcW w:w="95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2120104</w:t>
            </w:r>
          </w:p>
        </w:tc>
        <w:tc>
          <w:tcPr>
            <w:tcW w:w="190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val="en-US" w:eastAsia="zh-CN"/>
              </w:rPr>
              <w:t>城管执法</w:t>
            </w:r>
          </w:p>
        </w:tc>
        <w:tc>
          <w:tcPr>
            <w:tcW w:w="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0.72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公开06表</w:t>
      </w:r>
    </w:p>
    <w:p>
      <w:pPr>
        <w:jc w:val="left"/>
        <w:rPr>
          <w:rFonts w:ascii="宋体" w:hAnsi="宋体" w:eastAsia="宋体" w:cs="宋体"/>
          <w:b/>
          <w:bCs/>
          <w:sz w:val="21"/>
          <w:szCs w:val="21"/>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金额单位：万元                                       </w:t>
      </w:r>
    </w:p>
    <w:tbl>
      <w:tblPr>
        <w:tblStyle w:val="8"/>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Layout w:type="fixed"/>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合计</w:t>
            </w:r>
          </w:p>
        </w:tc>
        <w:tc>
          <w:tcPr>
            <w:tcW w:w="1659"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56.83</w:t>
            </w:r>
          </w:p>
        </w:tc>
        <w:tc>
          <w:tcPr>
            <w:tcW w:w="1437"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51.56</w:t>
            </w:r>
          </w:p>
        </w:tc>
        <w:tc>
          <w:tcPr>
            <w:tcW w:w="1363"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5.27</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51.13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51.13</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23.91</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23.91</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13.76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13.76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6.43</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6.43</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5.04</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5.04</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30109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职业年金缴费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0.72</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0.72</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0.86</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0.86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0.41</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0.41</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5.27</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5.27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1.50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1.50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3.77</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3.77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303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lang w:val="en-US"/>
              </w:rPr>
            </w:pPr>
            <w:r>
              <w:rPr>
                <w:rFonts w:hint="eastAsia" w:ascii="宋体" w:hAnsi="宋体" w:eastAsia="宋体" w:cs="宋体"/>
                <w:i w:val="0"/>
                <w:color w:val="000000"/>
                <w:kern w:val="0"/>
                <w:sz w:val="22"/>
                <w:szCs w:val="22"/>
                <w:u w:val="none"/>
                <w:lang w:val="en-US" w:eastAsia="zh-CN" w:bidi="ar"/>
              </w:rPr>
              <w:t>0.42</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0.42</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宋体" w:eastAsia="宋体" w:cs="宋体"/>
                <w:b w:val="0"/>
                <w:bCs/>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30399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0.42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0.42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公开07表</w:t>
      </w:r>
    </w:p>
    <w:p>
      <w:pPr>
        <w:jc w:val="left"/>
        <w:rPr>
          <w:rFonts w:ascii="宋体" w:hAnsi="宋体" w:eastAsia="宋体" w:cs="宋体"/>
          <w:b/>
          <w:bCs/>
          <w:sz w:val="21"/>
          <w:szCs w:val="21"/>
        </w:rPr>
      </w:pPr>
      <w:r>
        <w:rPr>
          <w:rFonts w:hint="eastAsia" w:ascii="宋体" w:hAnsi="宋体" w:eastAsia="宋体" w:cs="宋体"/>
          <w:b/>
          <w:bCs/>
          <w:sz w:val="21"/>
          <w:szCs w:val="21"/>
        </w:rPr>
        <w:t>编制部门： 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金额单位：万元                                         </w:t>
      </w:r>
    </w:p>
    <w:tbl>
      <w:tblPr>
        <w:tblStyle w:val="8"/>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Layout w:type="fixed"/>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Layout w:type="fixed"/>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17.31</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公开08表</w:t>
      </w:r>
    </w:p>
    <w:p>
      <w:pPr>
        <w:jc w:val="left"/>
        <w:rPr>
          <w:rFonts w:ascii="宋体" w:hAnsi="宋体" w:eastAsia="宋体" w:cs="宋体"/>
          <w:b/>
          <w:bCs/>
          <w:sz w:val="21"/>
          <w:szCs w:val="21"/>
        </w:rPr>
      </w:pPr>
      <w:r>
        <w:rPr>
          <w:rFonts w:hint="eastAsia" w:ascii="宋体" w:hAnsi="宋体" w:eastAsia="宋体" w:cs="宋体"/>
          <w:b/>
          <w:bCs/>
          <w:sz w:val="21"/>
          <w:szCs w:val="21"/>
        </w:rPr>
        <w:t>编制部门：中共蓝田县</w:t>
      </w:r>
      <w:r>
        <w:rPr>
          <w:rFonts w:hint="eastAsia" w:ascii="宋体" w:hAnsi="宋体" w:eastAsia="宋体" w:cs="宋体"/>
          <w:b/>
          <w:bCs/>
          <w:sz w:val="21"/>
          <w:szCs w:val="21"/>
          <w:lang w:val="en-US" w:eastAsia="zh-CN"/>
        </w:rPr>
        <w:t>委统一战线工作部</w:t>
      </w:r>
      <w:r>
        <w:rPr>
          <w:rFonts w:hint="eastAsia" w:ascii="宋体" w:hAnsi="宋体" w:eastAsia="宋体" w:cs="宋体"/>
          <w:b/>
          <w:bCs/>
          <w:sz w:val="21"/>
          <w:szCs w:val="21"/>
        </w:rPr>
        <w:t xml:space="preserve">           金额单位：万元                                        </w:t>
      </w:r>
    </w:p>
    <w:tbl>
      <w:tblPr>
        <w:tblStyle w:val="8"/>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Layout w:type="fixed"/>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Layout w:type="fixed"/>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Pr>
        <w:jc w:val="center"/>
        <w:rPr>
          <w:rFonts w:hint="eastAsia" w:ascii="黑体" w:hAnsi="宋体" w:eastAsia="黑体"/>
          <w:color w:val="000000"/>
          <w:kern w:val="0"/>
          <w:sz w:val="44"/>
          <w:szCs w:val="44"/>
        </w:rPr>
      </w:pPr>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2019年度收入为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万元，其中：财政拨款收入</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万元，本年支出为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万元，年末结余和结转为0万元，较上年增加</w:t>
      </w:r>
      <w:r>
        <w:rPr>
          <w:rFonts w:hint="eastAsia" w:ascii="仿宋_GB2312" w:hAnsi="仿宋_GB2312" w:eastAsia="仿宋_GB2312" w:cs="仿宋_GB2312"/>
          <w:szCs w:val="32"/>
          <w:lang w:val="en-US" w:eastAsia="zh-CN"/>
        </w:rPr>
        <w:t>53.89</w:t>
      </w:r>
      <w:r>
        <w:rPr>
          <w:rFonts w:hint="eastAsia" w:ascii="仿宋_GB2312" w:hAnsi="仿宋_GB2312" w:eastAsia="仿宋_GB2312" w:cs="仿宋_GB2312"/>
          <w:szCs w:val="32"/>
        </w:rPr>
        <w:t>万元，增加比率为</w:t>
      </w:r>
      <w:r>
        <w:rPr>
          <w:rFonts w:hint="eastAsia" w:ascii="仿宋_GB2312" w:hAnsi="仿宋_GB2312" w:eastAsia="仿宋_GB2312" w:cs="仿宋_GB2312"/>
          <w:szCs w:val="32"/>
          <w:lang w:val="en-US" w:eastAsia="zh-CN"/>
        </w:rPr>
        <w:t>46</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人，工资、社保各项支出增加。</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2019年度收入支出总体情况。2019年度收入为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万元，其中：财政拨款收入</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万元，本年支出为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万元，年末结余和结转为0万元，较上年增加</w:t>
      </w:r>
      <w:r>
        <w:rPr>
          <w:rFonts w:hint="eastAsia" w:ascii="仿宋_GB2312" w:hAnsi="仿宋_GB2312" w:eastAsia="仿宋_GB2312" w:cs="仿宋_GB2312"/>
          <w:szCs w:val="32"/>
          <w:lang w:val="en-US" w:eastAsia="zh-CN"/>
        </w:rPr>
        <w:t>53.89</w:t>
      </w:r>
      <w:r>
        <w:rPr>
          <w:rFonts w:hint="eastAsia" w:ascii="仿宋_GB2312" w:hAnsi="仿宋_GB2312" w:eastAsia="仿宋_GB2312" w:cs="仿宋_GB2312"/>
          <w:szCs w:val="32"/>
        </w:rPr>
        <w:t>万元，事业收入0万元；经营收入0万元；其他收入0万元，增加比率为</w:t>
      </w:r>
      <w:r>
        <w:rPr>
          <w:rFonts w:hint="eastAsia" w:ascii="仿宋_GB2312" w:hAnsi="仿宋_GB2312" w:eastAsia="仿宋_GB2312" w:cs="仿宋_GB2312"/>
          <w:szCs w:val="32"/>
          <w:lang w:val="en-US" w:eastAsia="zh-CN"/>
        </w:rPr>
        <w:t>46</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人，工资、社保费各项支出增加。</w:t>
      </w:r>
    </w:p>
    <w:p>
      <w:pPr>
        <w:pStyle w:val="6"/>
        <w:widowControl/>
        <w:shd w:val="clear" w:color="auto" w:fill="FFFFFF"/>
        <w:spacing w:before="0" w:beforeAutospacing="0" w:after="0" w:afterAutospacing="0"/>
        <w:ind w:firstLine="420"/>
        <w:jc w:val="center"/>
        <w:rPr>
          <w:rFonts w:ascii="仿宋_GB2312" w:hAnsi="仿宋" w:eastAsia="仿宋_GB2312"/>
          <w:kern w:val="2"/>
          <w:sz w:val="32"/>
          <w:szCs w:val="32"/>
        </w:rPr>
      </w:pPr>
      <w:r>
        <w:drawing>
          <wp:inline distT="0" distB="0" distL="114300" distR="114300">
            <wp:extent cx="3924300" cy="2362200"/>
            <wp:effectExtent l="4445" t="4445" r="14605" b="14605"/>
            <wp:docPr id="3"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2019年支出为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万元，其中：基本支出</w:t>
      </w:r>
      <w:r>
        <w:rPr>
          <w:rFonts w:hint="eastAsia" w:ascii="仿宋_GB2312" w:hAnsi="仿宋_GB2312" w:eastAsia="仿宋_GB2312" w:cs="仿宋_GB2312"/>
          <w:szCs w:val="32"/>
          <w:lang w:val="en-US" w:eastAsia="zh-CN"/>
        </w:rPr>
        <w:t>56.83</w:t>
      </w:r>
      <w:r>
        <w:rPr>
          <w:rFonts w:hint="eastAsia" w:ascii="仿宋_GB2312" w:hAnsi="仿宋_GB2312" w:eastAsia="仿宋_GB2312" w:cs="仿宋_GB2312"/>
          <w:szCs w:val="32"/>
        </w:rPr>
        <w:t>万元，占</w:t>
      </w:r>
      <w:r>
        <w:rPr>
          <w:rFonts w:hint="eastAsia" w:ascii="仿宋_GB2312" w:hAnsi="仿宋_GB2312" w:eastAsia="仿宋_GB2312" w:cs="仿宋_GB2312"/>
          <w:szCs w:val="32"/>
          <w:lang w:val="en-US" w:eastAsia="zh-CN"/>
        </w:rPr>
        <w:t>33</w:t>
      </w:r>
      <w:r>
        <w:rPr>
          <w:rFonts w:hint="eastAsia" w:ascii="仿宋_GB2312" w:hAnsi="仿宋_GB2312" w:eastAsia="仿宋_GB2312" w:cs="仿宋_GB2312"/>
          <w:szCs w:val="32"/>
        </w:rPr>
        <w:t>%。，项目支出</w:t>
      </w:r>
      <w:r>
        <w:rPr>
          <w:rFonts w:hint="eastAsia" w:ascii="仿宋_GB2312" w:hAnsi="仿宋_GB2312" w:eastAsia="仿宋_GB2312" w:cs="仿宋_GB2312"/>
          <w:szCs w:val="32"/>
          <w:lang w:val="en-US" w:eastAsia="zh-CN"/>
        </w:rPr>
        <w:t>115.36</w:t>
      </w:r>
      <w:r>
        <w:rPr>
          <w:rFonts w:hint="eastAsia" w:ascii="仿宋_GB2312" w:hAnsi="仿宋_GB2312" w:eastAsia="仿宋_GB2312" w:cs="仿宋_GB2312"/>
          <w:szCs w:val="32"/>
        </w:rPr>
        <w:t>万元，占</w:t>
      </w:r>
      <w:r>
        <w:rPr>
          <w:rFonts w:hint="eastAsia" w:ascii="仿宋_GB2312" w:hAnsi="仿宋_GB2312" w:eastAsia="仿宋_GB2312" w:cs="仿宋_GB2312"/>
          <w:szCs w:val="32"/>
          <w:lang w:val="en-US" w:eastAsia="zh-CN"/>
        </w:rPr>
        <w:t>67</w:t>
      </w:r>
      <w:r>
        <w:rPr>
          <w:rFonts w:hint="eastAsia" w:ascii="仿宋_GB2312" w:hAnsi="仿宋_GB2312" w:eastAsia="仿宋_GB2312" w:cs="仿宋_GB2312"/>
          <w:szCs w:val="32"/>
        </w:rPr>
        <w:t>%。经营性支出0万元。</w:t>
      </w:r>
    </w:p>
    <w:p>
      <w:pPr>
        <w:widowControl/>
        <w:ind w:firstLine="640" w:firstLineChars="200"/>
        <w:jc w:val="left"/>
        <w:rPr>
          <w:rFonts w:hint="eastAsia" w:eastAsia="方正仿宋简体"/>
          <w:lang w:eastAsia="zh-CN"/>
        </w:rPr>
      </w:pPr>
      <w:r>
        <w:rPr>
          <w:rFonts w:hint="eastAsia" w:eastAsia="方正仿宋简体"/>
          <w:lang w:eastAsia="zh-CN"/>
        </w:rPr>
        <w:drawing>
          <wp:inline distT="0" distB="0" distL="114300" distR="114300">
            <wp:extent cx="5080000" cy="3810000"/>
            <wp:effectExtent l="4445" t="4445" r="2095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2019年度财政拨款收入财政拨款收入</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万元，较上年增加</w:t>
      </w:r>
      <w:r>
        <w:rPr>
          <w:rFonts w:hint="eastAsia" w:ascii="仿宋_GB2312" w:hAnsi="仿宋_GB2312" w:eastAsia="仿宋_GB2312" w:cs="仿宋_GB2312"/>
          <w:szCs w:val="32"/>
          <w:lang w:val="en-US" w:eastAsia="zh-CN"/>
        </w:rPr>
        <w:t>53.89</w:t>
      </w:r>
      <w:r>
        <w:rPr>
          <w:rFonts w:hint="eastAsia" w:ascii="仿宋_GB2312" w:hAnsi="仿宋_GB2312" w:eastAsia="仿宋_GB2312" w:cs="仿宋_GB2312"/>
          <w:szCs w:val="32"/>
        </w:rPr>
        <w:t>万元，事业收入0万元；经营收入0万元；其他收入0万元，增加比率为</w:t>
      </w:r>
      <w:r>
        <w:rPr>
          <w:rFonts w:hint="eastAsia" w:ascii="仿宋_GB2312" w:hAnsi="仿宋_GB2312" w:eastAsia="仿宋_GB2312" w:cs="仿宋_GB2312"/>
          <w:szCs w:val="32"/>
          <w:lang w:val="en-US" w:eastAsia="zh-CN"/>
        </w:rPr>
        <w:t>46</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人，工资、社保费等各项收入增加。</w:t>
      </w:r>
    </w:p>
    <w:p>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2019年度财政拨款支出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万元，较上年增加</w:t>
      </w:r>
      <w:r>
        <w:rPr>
          <w:rFonts w:hint="eastAsia" w:ascii="仿宋_GB2312" w:hAnsi="仿宋_GB2312" w:eastAsia="仿宋_GB2312" w:cs="仿宋_GB2312"/>
          <w:szCs w:val="32"/>
          <w:lang w:val="en-US" w:eastAsia="zh-CN"/>
        </w:rPr>
        <w:t>53.89</w:t>
      </w:r>
      <w:r>
        <w:rPr>
          <w:rFonts w:hint="eastAsia" w:ascii="仿宋_GB2312" w:hAnsi="仿宋_GB2312" w:eastAsia="仿宋_GB2312" w:cs="仿宋_GB2312"/>
          <w:szCs w:val="32"/>
        </w:rPr>
        <w:t>万元，增加比率为</w:t>
      </w:r>
      <w:r>
        <w:rPr>
          <w:rFonts w:hint="eastAsia" w:ascii="仿宋_GB2312" w:hAnsi="仿宋_GB2312" w:eastAsia="仿宋_GB2312" w:cs="仿宋_GB2312"/>
          <w:szCs w:val="32"/>
          <w:lang w:val="en-US" w:eastAsia="zh-CN"/>
        </w:rPr>
        <w:t>46</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人，工资、社保费等各项支出增加。</w:t>
      </w:r>
    </w:p>
    <w:p>
      <w:pPr>
        <w:widowControl/>
        <w:ind w:firstLine="640" w:firstLineChars="200"/>
        <w:jc w:val="left"/>
        <w:rPr>
          <w:rFonts w:hint="eastAsia" w:ascii="黑体" w:hAnsi="黑体" w:eastAsia="黑体"/>
          <w:color w:val="000000"/>
          <w:kern w:val="0"/>
          <w:szCs w:val="32"/>
          <w:lang w:eastAsia="zh-CN"/>
        </w:rPr>
      </w:pPr>
      <w:r>
        <w:rPr>
          <w:rFonts w:hint="eastAsia" w:ascii="黑体" w:hAnsi="黑体" w:eastAsia="黑体"/>
          <w:color w:val="000000"/>
          <w:kern w:val="0"/>
          <w:szCs w:val="32"/>
          <w:lang w:eastAsia="zh-CN"/>
        </w:rPr>
        <w:drawing>
          <wp:inline distT="0" distB="0" distL="114300" distR="114300">
            <wp:extent cx="5080000" cy="3810000"/>
            <wp:effectExtent l="4445" t="4445" r="20955" b="146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jc w:val="left"/>
        <w:rPr>
          <w:rFonts w:hint="eastAsia" w:ascii="黑体" w:hAnsi="黑体" w:eastAsia="黑体"/>
          <w:color w:val="000000"/>
          <w:kern w:val="0"/>
          <w:szCs w:val="32"/>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spacing w:line="620" w:lineRule="exact"/>
        <w:ind w:firstLine="640" w:firstLineChars="200"/>
        <w:rPr>
          <w:rFonts w:asciiTheme="minorEastAsia" w:hAnsiTheme="minorEastAsia" w:eastAsiaTheme="minorEastAsia"/>
          <w:szCs w:val="32"/>
        </w:rPr>
      </w:pPr>
      <w:r>
        <w:rPr>
          <w:rFonts w:hint="eastAsia" w:ascii="仿宋_GB2312" w:hAnsi="仿宋_GB2312" w:eastAsia="仿宋_GB2312" w:cs="仿宋_GB2312"/>
          <w:szCs w:val="32"/>
        </w:rPr>
        <w:t>2019年度财政拨款支出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万元，较上年增加</w:t>
      </w:r>
      <w:r>
        <w:rPr>
          <w:rFonts w:hint="eastAsia" w:ascii="仿宋_GB2312" w:hAnsi="仿宋_GB2312" w:eastAsia="仿宋_GB2312" w:cs="仿宋_GB2312"/>
          <w:szCs w:val="32"/>
          <w:lang w:val="en-US" w:eastAsia="zh-CN"/>
        </w:rPr>
        <w:t>53.89</w:t>
      </w:r>
      <w:r>
        <w:rPr>
          <w:rFonts w:hint="eastAsia" w:ascii="仿宋_GB2312" w:hAnsi="仿宋_GB2312" w:eastAsia="仿宋_GB2312" w:cs="仿宋_GB2312"/>
          <w:szCs w:val="32"/>
        </w:rPr>
        <w:t>万元，增加比率为</w:t>
      </w:r>
      <w:r>
        <w:rPr>
          <w:rFonts w:hint="eastAsia" w:ascii="仿宋_GB2312" w:hAnsi="仿宋_GB2312" w:eastAsia="仿宋_GB2312" w:cs="仿宋_GB2312"/>
          <w:szCs w:val="32"/>
          <w:lang w:val="en-US" w:eastAsia="zh-CN"/>
        </w:rPr>
        <w:t>46</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人，工资、社保费等各项支出增加。</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spacing w:line="620" w:lineRule="exact"/>
        <w:ind w:firstLine="640" w:firstLineChars="200"/>
        <w:rPr>
          <w:rFonts w:asciiTheme="minorEastAsia" w:hAnsiTheme="minorEastAsia" w:eastAsiaTheme="minorEastAsia"/>
          <w:szCs w:val="32"/>
        </w:rPr>
      </w:pPr>
      <w:r>
        <w:rPr>
          <w:rFonts w:hint="eastAsia" w:ascii="仿宋_GB2312" w:hAnsi="仿宋_GB2312" w:eastAsia="仿宋_GB2312" w:cs="仿宋_GB2312"/>
          <w:szCs w:val="32"/>
        </w:rPr>
        <w:t>2019年度财政拨款支出年初预算为</w:t>
      </w:r>
      <w:r>
        <w:rPr>
          <w:rFonts w:hint="eastAsia" w:ascii="仿宋_GB2312" w:hAnsi="仿宋_GB2312" w:eastAsia="仿宋_GB2312" w:cs="仿宋_GB2312"/>
          <w:szCs w:val="32"/>
          <w:lang w:val="en-US" w:eastAsia="zh-CN"/>
        </w:rPr>
        <w:t>40.28</w:t>
      </w:r>
      <w:r>
        <w:rPr>
          <w:rFonts w:hint="eastAsia" w:ascii="仿宋_GB2312" w:hAnsi="仿宋_GB2312" w:eastAsia="仿宋_GB2312" w:cs="仿宋_GB2312"/>
          <w:szCs w:val="32"/>
        </w:rPr>
        <w:t>万元，支出决算为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万元，完成年初预算的</w:t>
      </w:r>
      <w:r>
        <w:rPr>
          <w:rFonts w:hint="eastAsia" w:ascii="仿宋_GB2312" w:hAnsi="仿宋_GB2312" w:eastAsia="仿宋_GB2312" w:cs="仿宋_GB2312"/>
          <w:szCs w:val="32"/>
          <w:lang w:val="en-US" w:eastAsia="zh-CN"/>
        </w:rPr>
        <w:t>327</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人，工资、社保费等各项支出增加</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一般公共服务支出增加</w:t>
      </w:r>
      <w:r>
        <w:rPr>
          <w:rFonts w:hint="eastAsia" w:ascii="仿宋_GB2312" w:hAnsi="仿宋_GB2312" w:eastAsia="仿宋_GB2312" w:cs="仿宋_GB2312"/>
          <w:szCs w:val="32"/>
        </w:rPr>
        <w:t>。</w:t>
      </w:r>
    </w:p>
    <w:p>
      <w:pPr>
        <w:spacing w:line="62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 xml:space="preserve">按照政府功能分类科目，其中： </w:t>
      </w:r>
    </w:p>
    <w:p>
      <w:pPr>
        <w:widowControl/>
        <w:ind w:firstLine="643" w:firstLineChars="200"/>
        <w:jc w:val="left"/>
      </w:pPr>
      <w:r>
        <w:rPr>
          <w:rFonts w:ascii="仿宋_GB2312" w:hAnsi="宋体" w:eastAsia="仿宋_GB2312" w:cs="仿宋_GB2312"/>
          <w:b/>
          <w:color w:val="000000"/>
          <w:kern w:val="0"/>
          <w:szCs w:val="32"/>
        </w:rPr>
        <w:t xml:space="preserve">1.一般公共服务支出（类）财政事务（款）行政运行（项）。 </w:t>
      </w:r>
    </w:p>
    <w:p>
      <w:pPr>
        <w:spacing w:line="620" w:lineRule="exact"/>
        <w:ind w:firstLine="640" w:firstLineChars="200"/>
        <w:rPr>
          <w:rFonts w:asciiTheme="minorEastAsia" w:hAnsiTheme="minorEastAsia" w:eastAsiaTheme="minorEastAsia"/>
          <w:szCs w:val="32"/>
        </w:rPr>
      </w:pPr>
      <w:r>
        <w:rPr>
          <w:rFonts w:hint="eastAsia" w:ascii="仿宋_GB2312" w:hAnsi="仿宋_GB2312" w:eastAsia="仿宋_GB2312" w:cs="仿宋_GB2312"/>
          <w:szCs w:val="32"/>
        </w:rPr>
        <w:t>年初预算为</w:t>
      </w:r>
      <w:r>
        <w:rPr>
          <w:rFonts w:hint="eastAsia" w:ascii="仿宋_GB2312" w:hAnsi="仿宋_GB2312" w:eastAsia="仿宋_GB2312" w:cs="仿宋_GB2312"/>
          <w:szCs w:val="32"/>
          <w:lang w:val="en-US" w:eastAsia="zh-CN"/>
        </w:rPr>
        <w:t>40.28万</w:t>
      </w:r>
      <w:r>
        <w:rPr>
          <w:rFonts w:hint="eastAsia" w:ascii="仿宋_GB2312" w:hAnsi="仿宋_GB2312" w:eastAsia="仿宋_GB2312" w:cs="仿宋_GB2312"/>
          <w:szCs w:val="32"/>
        </w:rPr>
        <w:t>元，支出决算为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万元，其中，</w:t>
      </w:r>
      <w:r>
        <w:rPr>
          <w:rFonts w:hint="eastAsia" w:ascii="仿宋_GB2312" w:hAnsi="仿宋_GB2312" w:eastAsia="仿宋_GB2312" w:cs="仿宋_GB2312"/>
          <w:szCs w:val="32"/>
          <w:lang w:val="en-US" w:eastAsia="zh-CN"/>
        </w:rPr>
        <w:t>统战</w:t>
      </w:r>
      <w:r>
        <w:rPr>
          <w:rFonts w:hint="eastAsia" w:ascii="仿宋_GB2312" w:hAnsi="仿宋_GB2312" w:eastAsia="仿宋_GB2312" w:cs="仿宋_GB2312"/>
          <w:szCs w:val="32"/>
        </w:rPr>
        <w:t>事务支出</w:t>
      </w:r>
      <w:r>
        <w:rPr>
          <w:rFonts w:hint="eastAsia" w:ascii="仿宋_GB2312" w:hAnsi="仿宋_GB2312" w:eastAsia="仿宋_GB2312" w:cs="仿宋_GB2312"/>
          <w:szCs w:val="32"/>
          <w:lang w:val="en-US" w:eastAsia="zh-CN"/>
        </w:rPr>
        <w:t>165.15</w:t>
      </w:r>
      <w:r>
        <w:rPr>
          <w:rFonts w:hint="eastAsia" w:ascii="仿宋_GB2312" w:hAnsi="仿宋_GB2312" w:eastAsia="仿宋_GB2312" w:cs="仿宋_GB2312"/>
          <w:szCs w:val="32"/>
        </w:rPr>
        <w:t>万元，</w:t>
      </w:r>
      <w:r>
        <w:rPr>
          <w:rFonts w:hint="eastAsia" w:ascii="仿宋_GB2312" w:hAnsi="仿宋_GB2312" w:eastAsia="仿宋_GB2312" w:cs="仿宋_GB2312"/>
          <w:szCs w:val="32"/>
          <w:lang w:val="en-US" w:eastAsia="zh-CN"/>
        </w:rPr>
        <w:t>社会保障和就业支出5.04</w:t>
      </w:r>
      <w:r>
        <w:rPr>
          <w:rFonts w:hint="eastAsia" w:ascii="仿宋_GB2312" w:hAnsi="仿宋_GB2312" w:eastAsia="仿宋_GB2312" w:cs="仿宋_GB2312"/>
          <w:szCs w:val="32"/>
        </w:rPr>
        <w:t>万元，</w:t>
      </w:r>
      <w:r>
        <w:rPr>
          <w:rFonts w:hint="eastAsia" w:ascii="仿宋_GB2312" w:hAnsi="仿宋_GB2312" w:eastAsia="仿宋_GB2312" w:cs="仿宋_GB2312"/>
          <w:szCs w:val="32"/>
          <w:lang w:val="en-US" w:eastAsia="zh-CN"/>
        </w:rPr>
        <w:t>卫生健康</w:t>
      </w:r>
      <w:r>
        <w:rPr>
          <w:rFonts w:hint="eastAsia" w:ascii="仿宋_GB2312" w:hAnsi="仿宋_GB2312" w:eastAsia="仿宋_GB2312" w:cs="仿宋_GB2312"/>
          <w:szCs w:val="32"/>
        </w:rPr>
        <w:t>支</w:t>
      </w:r>
      <w:r>
        <w:rPr>
          <w:rFonts w:hint="eastAsia" w:ascii="仿宋_GB2312" w:hAnsi="仿宋_GB2312" w:eastAsia="仿宋_GB2312" w:cs="仿宋_GB2312"/>
          <w:szCs w:val="32"/>
          <w:lang w:val="en-US" w:eastAsia="zh-CN"/>
        </w:rPr>
        <w:t>出1.28万元，</w:t>
      </w:r>
      <w:r>
        <w:rPr>
          <w:rFonts w:hint="eastAsia" w:ascii="仿宋_GB2312" w:hAnsi="仿宋_GB2312" w:eastAsia="仿宋_GB2312" w:cs="仿宋_GB2312"/>
          <w:szCs w:val="32"/>
        </w:rPr>
        <w:t>其中行政事业单位医疗支出</w:t>
      </w:r>
      <w:r>
        <w:rPr>
          <w:rFonts w:hint="eastAsia" w:ascii="仿宋_GB2312" w:hAnsi="仿宋_GB2312" w:eastAsia="仿宋_GB2312" w:cs="仿宋_GB2312"/>
          <w:szCs w:val="32"/>
          <w:lang w:val="en-US" w:eastAsia="zh-CN"/>
        </w:rPr>
        <w:t>0.96</w:t>
      </w:r>
      <w:r>
        <w:rPr>
          <w:rFonts w:hint="eastAsia" w:ascii="仿宋_GB2312" w:hAnsi="仿宋_GB2312" w:eastAsia="仿宋_GB2312" w:cs="仿宋_GB2312"/>
          <w:szCs w:val="32"/>
        </w:rPr>
        <w:t>万元，其他卫生健康支出</w:t>
      </w:r>
      <w:r>
        <w:rPr>
          <w:rFonts w:hint="eastAsia" w:ascii="仿宋_GB2312" w:hAnsi="仿宋_GB2312" w:eastAsia="仿宋_GB2312" w:cs="仿宋_GB2312"/>
          <w:szCs w:val="32"/>
          <w:lang w:val="en-US" w:eastAsia="zh-CN"/>
        </w:rPr>
        <w:t>0.32</w:t>
      </w:r>
      <w:r>
        <w:rPr>
          <w:rFonts w:hint="eastAsia" w:ascii="仿宋_GB2312" w:hAnsi="仿宋_GB2312" w:eastAsia="仿宋_GB2312" w:cs="仿宋_GB2312"/>
          <w:szCs w:val="32"/>
        </w:rPr>
        <w:t>万元</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城乡社区支出0.72万元</w:t>
      </w:r>
      <w:r>
        <w:rPr>
          <w:rFonts w:hint="eastAsia" w:ascii="仿宋_GB2312" w:hAnsi="仿宋_GB2312" w:eastAsia="仿宋_GB2312" w:cs="仿宋_GB2312"/>
          <w:szCs w:val="32"/>
        </w:rPr>
        <w:t>。完成年初预算的</w:t>
      </w:r>
      <w:r>
        <w:rPr>
          <w:rFonts w:hint="eastAsia" w:ascii="仿宋_GB2312" w:hAnsi="仿宋_GB2312" w:eastAsia="仿宋_GB2312" w:cs="仿宋_GB2312"/>
          <w:szCs w:val="32"/>
          <w:lang w:val="en-US" w:eastAsia="zh-CN"/>
        </w:rPr>
        <w:t>327</w:t>
      </w:r>
      <w:r>
        <w:rPr>
          <w:rFonts w:hint="eastAsia" w:ascii="仿宋_GB2312" w:hAnsi="仿宋_GB2312" w:eastAsia="仿宋_GB2312" w:cs="仿宋_GB2312"/>
          <w:szCs w:val="32"/>
        </w:rPr>
        <w:t>%。主要是本单位2019年增加人员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人，工资、社保费等各项支出增加</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一般公共服务支出增加</w:t>
      </w:r>
      <w:r>
        <w:rPr>
          <w:rFonts w:hint="eastAsia" w:ascii="仿宋_GB2312" w:hAnsi="仿宋_GB2312" w:eastAsia="仿宋_GB2312" w:cs="仿宋_GB2312"/>
          <w:szCs w:val="32"/>
        </w:rPr>
        <w:t>。</w:t>
      </w:r>
    </w:p>
    <w:p>
      <w:pPr>
        <w:spacing w:line="620" w:lineRule="exact"/>
        <w:ind w:firstLine="640" w:firstLineChars="200"/>
        <w:rPr>
          <w:rFonts w:asciiTheme="minorEastAsia" w:hAnsiTheme="minorEastAsia" w:eastAsiaTheme="minorEastAsia"/>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cs="仿宋_GB2312" w:asciiTheme="majorEastAsia" w:hAnsiTheme="majorEastAsia" w:eastAsiaTheme="majorEastAsia"/>
          <w:color w:val="000000"/>
          <w:kern w:val="0"/>
          <w:sz w:val="31"/>
          <w:szCs w:val="31"/>
        </w:rPr>
      </w:pPr>
      <w:r>
        <w:rPr>
          <w:rFonts w:hint="eastAsia" w:ascii="仿宋_GB2312" w:hAnsi="仿宋_GB2312" w:eastAsia="仿宋_GB2312" w:cs="仿宋_GB2312"/>
          <w:szCs w:val="32"/>
        </w:rPr>
        <w:t>2019年度一般公共预算财政拨款基本支出</w:t>
      </w:r>
      <w:r>
        <w:rPr>
          <w:rFonts w:hint="eastAsia" w:ascii="仿宋_GB2312" w:hAnsi="仿宋_GB2312" w:eastAsia="仿宋_GB2312" w:cs="仿宋_GB2312"/>
          <w:szCs w:val="32"/>
          <w:lang w:val="en-US" w:eastAsia="zh-CN"/>
        </w:rPr>
        <w:t>56.83</w:t>
      </w:r>
      <w:r>
        <w:rPr>
          <w:rFonts w:hint="eastAsia" w:ascii="仿宋_GB2312" w:hAnsi="仿宋_GB2312" w:eastAsia="仿宋_GB2312" w:cs="仿宋_GB2312"/>
          <w:szCs w:val="32"/>
        </w:rPr>
        <w:t>万元，包括：人员经费支出</w:t>
      </w:r>
      <w:r>
        <w:rPr>
          <w:rFonts w:hint="eastAsia" w:ascii="仿宋_GB2312" w:hAnsi="仿宋_GB2312" w:eastAsia="仿宋_GB2312" w:cs="仿宋_GB2312"/>
          <w:szCs w:val="32"/>
          <w:lang w:val="en-US" w:eastAsia="zh-CN"/>
        </w:rPr>
        <w:t>51.56</w:t>
      </w:r>
      <w:r>
        <w:rPr>
          <w:rFonts w:hint="eastAsia" w:ascii="仿宋_GB2312" w:hAnsi="仿宋_GB2312" w:eastAsia="仿宋_GB2312" w:cs="仿宋_GB2312"/>
          <w:szCs w:val="32"/>
        </w:rPr>
        <w:t>万元和公用经费支出</w:t>
      </w:r>
      <w:r>
        <w:rPr>
          <w:rFonts w:hint="eastAsia" w:ascii="仿宋_GB2312" w:hAnsi="仿宋_GB2312" w:eastAsia="仿宋_GB2312" w:cs="仿宋_GB2312"/>
          <w:szCs w:val="32"/>
          <w:lang w:val="en-US" w:eastAsia="zh-CN"/>
        </w:rPr>
        <w:t>5.27</w:t>
      </w:r>
      <w:r>
        <w:rPr>
          <w:rFonts w:hint="eastAsia" w:ascii="仿宋_GB2312" w:hAnsi="仿宋_GB2312" w:eastAsia="仿宋_GB2312" w:cs="仿宋_GB2312"/>
          <w:szCs w:val="32"/>
        </w:rPr>
        <w:t>万元</w:t>
      </w:r>
      <w:r>
        <w:rPr>
          <w:rFonts w:cs="仿宋_GB2312" w:asciiTheme="majorEastAsia" w:hAnsiTheme="majorEastAsia" w:eastAsiaTheme="majorEastAsia"/>
          <w:color w:val="000000"/>
          <w:kern w:val="0"/>
          <w:sz w:val="31"/>
          <w:szCs w:val="31"/>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Cs w:val="32"/>
          <w:lang w:eastAsia="zh-CN"/>
        </w:rPr>
      </w:pPr>
      <w:r>
        <w:rPr>
          <w:rFonts w:cs="仿宋_GB2312" w:asciiTheme="majorEastAsia" w:hAnsiTheme="majorEastAsia" w:eastAsiaTheme="majorEastAsia"/>
          <w:b/>
          <w:bCs/>
          <w:color w:val="000000"/>
          <w:kern w:val="0"/>
          <w:szCs w:val="32"/>
        </w:rPr>
        <w:t>人员经费</w:t>
      </w:r>
      <w:r>
        <w:rPr>
          <w:rFonts w:hint="eastAsia" w:ascii="仿宋_GB2312" w:hAnsi="仿宋_GB2312" w:eastAsia="仿宋_GB2312" w:cs="仿宋_GB2312"/>
          <w:szCs w:val="32"/>
          <w:lang w:val="en-US" w:eastAsia="zh-CN"/>
        </w:rPr>
        <w:t>51.56</w:t>
      </w:r>
      <w:r>
        <w:rPr>
          <w:rFonts w:hint="eastAsia" w:ascii="仿宋_GB2312" w:hAnsi="仿宋_GB2312" w:eastAsia="仿宋_GB2312" w:cs="仿宋_GB2312"/>
          <w:szCs w:val="32"/>
        </w:rPr>
        <w:t>万元，主要包括工资福利支出</w:t>
      </w:r>
      <w:r>
        <w:rPr>
          <w:rFonts w:hint="eastAsia" w:ascii="仿宋_GB2312" w:hAnsi="仿宋_GB2312" w:eastAsia="仿宋_GB2312" w:cs="仿宋_GB2312"/>
          <w:szCs w:val="32"/>
          <w:lang w:val="en-US" w:eastAsia="zh-CN"/>
        </w:rPr>
        <w:t>51.13</w:t>
      </w:r>
      <w:r>
        <w:rPr>
          <w:rFonts w:hint="eastAsia" w:ascii="仿宋_GB2312" w:hAnsi="仿宋_GB2312" w:eastAsia="仿宋_GB2312" w:cs="仿宋_GB2312"/>
          <w:szCs w:val="32"/>
        </w:rPr>
        <w:t>万元和</w:t>
      </w:r>
      <w:r>
        <w:rPr>
          <w:rFonts w:hint="eastAsia" w:ascii="仿宋_GB2312" w:hAnsi="仿宋_GB2312" w:eastAsia="仿宋_GB2312" w:cs="仿宋_GB2312"/>
          <w:szCs w:val="32"/>
          <w:lang w:val="en-US" w:eastAsia="zh-CN"/>
        </w:rPr>
        <w:t>对个人和家庭的补助</w:t>
      </w:r>
      <w:r>
        <w:rPr>
          <w:rFonts w:hint="eastAsia" w:ascii="仿宋_GB2312" w:hAnsi="仿宋_GB2312" w:eastAsia="仿宋_GB2312" w:cs="仿宋_GB2312"/>
          <w:szCs w:val="32"/>
        </w:rPr>
        <w:t>支出</w:t>
      </w:r>
      <w:r>
        <w:rPr>
          <w:rFonts w:hint="eastAsia" w:ascii="仿宋_GB2312" w:hAnsi="仿宋_GB2312" w:eastAsia="仿宋_GB2312" w:cs="仿宋_GB2312"/>
          <w:szCs w:val="32"/>
          <w:lang w:val="en-US" w:eastAsia="zh-CN"/>
        </w:rPr>
        <w:t>0.43</w:t>
      </w:r>
      <w:r>
        <w:rPr>
          <w:rFonts w:hint="eastAsia" w:ascii="仿宋_GB2312" w:hAnsi="仿宋_GB2312" w:eastAsia="仿宋_GB2312" w:cs="仿宋_GB2312"/>
          <w:szCs w:val="32"/>
        </w:rPr>
        <w:t>万元。基本工资</w:t>
      </w:r>
      <w:r>
        <w:rPr>
          <w:rFonts w:hint="eastAsia" w:ascii="仿宋_GB2312" w:hAnsi="仿宋_GB2312" w:eastAsia="仿宋_GB2312" w:cs="仿宋_GB2312"/>
          <w:szCs w:val="32"/>
          <w:lang w:val="en-US" w:eastAsia="zh-CN"/>
        </w:rPr>
        <w:t>23.91</w:t>
      </w:r>
      <w:r>
        <w:rPr>
          <w:rFonts w:hint="eastAsia" w:ascii="仿宋_GB2312" w:hAnsi="仿宋_GB2312" w:eastAsia="仿宋_GB2312" w:cs="仿宋_GB2312"/>
          <w:szCs w:val="32"/>
        </w:rPr>
        <w:t>万元，津贴补贴</w:t>
      </w:r>
      <w:r>
        <w:rPr>
          <w:rFonts w:hint="eastAsia" w:ascii="仿宋_GB2312" w:hAnsi="仿宋_GB2312" w:eastAsia="仿宋_GB2312" w:cs="仿宋_GB2312"/>
          <w:szCs w:val="32"/>
          <w:lang w:val="en-US" w:eastAsia="zh-CN"/>
        </w:rPr>
        <w:t>13.76</w:t>
      </w:r>
      <w:r>
        <w:rPr>
          <w:rFonts w:hint="eastAsia" w:ascii="仿宋_GB2312" w:hAnsi="仿宋_GB2312" w:eastAsia="仿宋_GB2312" w:cs="仿宋_GB2312"/>
          <w:szCs w:val="32"/>
        </w:rPr>
        <w:t>万元，奖金</w:t>
      </w:r>
      <w:r>
        <w:rPr>
          <w:rFonts w:hint="eastAsia" w:ascii="仿宋_GB2312" w:hAnsi="仿宋_GB2312" w:eastAsia="仿宋_GB2312" w:cs="仿宋_GB2312"/>
          <w:szCs w:val="32"/>
          <w:lang w:val="en-US" w:eastAsia="zh-CN"/>
        </w:rPr>
        <w:t>6.43</w:t>
      </w:r>
      <w:r>
        <w:rPr>
          <w:rFonts w:hint="eastAsia" w:ascii="仿宋_GB2312" w:hAnsi="仿宋_GB2312" w:eastAsia="仿宋_GB2312" w:cs="仿宋_GB2312"/>
          <w:szCs w:val="32"/>
        </w:rPr>
        <w:t>万元，机关事业单位基本养老保险缴费</w:t>
      </w:r>
      <w:r>
        <w:rPr>
          <w:rFonts w:hint="eastAsia" w:ascii="仿宋_GB2312" w:hAnsi="仿宋_GB2312" w:eastAsia="仿宋_GB2312" w:cs="仿宋_GB2312"/>
          <w:szCs w:val="32"/>
          <w:lang w:val="en-US" w:eastAsia="zh-CN"/>
        </w:rPr>
        <w:t>5.04</w:t>
      </w:r>
      <w:r>
        <w:rPr>
          <w:rFonts w:hint="eastAsia" w:ascii="仿宋_GB2312" w:hAnsi="仿宋_GB2312" w:eastAsia="仿宋_GB2312" w:cs="仿宋_GB2312"/>
          <w:szCs w:val="32"/>
        </w:rPr>
        <w:t>万元，</w:t>
      </w:r>
      <w:r>
        <w:rPr>
          <w:rFonts w:hint="eastAsia" w:ascii="仿宋_GB2312" w:hAnsi="仿宋_GB2312" w:eastAsia="仿宋_GB2312" w:cs="仿宋_GB2312"/>
          <w:szCs w:val="32"/>
          <w:lang w:val="en-US" w:eastAsia="zh-CN"/>
        </w:rPr>
        <w:t>职业年金缴费0.72万元，</w:t>
      </w:r>
      <w:r>
        <w:rPr>
          <w:rFonts w:hint="eastAsia" w:ascii="仿宋_GB2312" w:hAnsi="仿宋_GB2312" w:eastAsia="仿宋_GB2312" w:cs="仿宋_GB2312"/>
          <w:szCs w:val="32"/>
        </w:rPr>
        <w:t>职工基本医疗保险缴费</w:t>
      </w:r>
      <w:r>
        <w:rPr>
          <w:rFonts w:hint="eastAsia" w:ascii="仿宋_GB2312" w:hAnsi="仿宋_GB2312" w:eastAsia="仿宋_GB2312" w:cs="仿宋_GB2312"/>
          <w:szCs w:val="32"/>
          <w:lang w:val="en-US" w:eastAsia="zh-CN"/>
        </w:rPr>
        <w:t>0.86</w:t>
      </w:r>
      <w:r>
        <w:rPr>
          <w:rFonts w:hint="eastAsia" w:ascii="仿宋_GB2312" w:hAnsi="仿宋_GB2312" w:eastAsia="仿宋_GB2312" w:cs="仿宋_GB2312"/>
          <w:szCs w:val="32"/>
        </w:rPr>
        <w:t>万元，公务员医疗补助缴费0.</w:t>
      </w:r>
      <w:r>
        <w:rPr>
          <w:rFonts w:hint="eastAsia" w:ascii="仿宋_GB2312" w:hAnsi="仿宋_GB2312" w:eastAsia="仿宋_GB2312" w:cs="仿宋_GB2312"/>
          <w:szCs w:val="32"/>
          <w:lang w:val="en-US" w:eastAsia="zh-CN"/>
        </w:rPr>
        <w:t>41</w:t>
      </w:r>
      <w:r>
        <w:rPr>
          <w:rFonts w:hint="eastAsia" w:ascii="仿宋_GB2312" w:hAnsi="仿宋_GB2312" w:eastAsia="仿宋_GB2312" w:cs="仿宋_GB2312"/>
          <w:szCs w:val="32"/>
        </w:rPr>
        <w:t>万元</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lang w:val="en-US" w:eastAsia="zh-CN"/>
        </w:rPr>
        <w:t>对个人和家庭的补助</w:t>
      </w:r>
      <w:r>
        <w:rPr>
          <w:rFonts w:hint="eastAsia" w:ascii="仿宋_GB2312" w:hAnsi="仿宋_GB2312" w:eastAsia="仿宋_GB2312" w:cs="仿宋_GB2312"/>
          <w:szCs w:val="32"/>
        </w:rPr>
        <w:t>支出</w:t>
      </w:r>
      <w:r>
        <w:rPr>
          <w:rFonts w:hint="eastAsia" w:ascii="仿宋_GB2312" w:hAnsi="仿宋_GB2312" w:eastAsia="仿宋_GB2312" w:cs="仿宋_GB2312"/>
          <w:szCs w:val="32"/>
          <w:lang w:val="en-US" w:eastAsia="zh-CN"/>
        </w:rPr>
        <w:t>0.43</w:t>
      </w:r>
      <w:r>
        <w:rPr>
          <w:rFonts w:hint="eastAsia" w:ascii="仿宋_GB2312" w:hAnsi="仿宋_GB2312" w:eastAsia="仿宋_GB2312" w:cs="仿宋_GB2312"/>
          <w:szCs w:val="32"/>
        </w:rPr>
        <w:t>万元</w:t>
      </w:r>
      <w:r>
        <w:rPr>
          <w:rFonts w:hint="eastAsia" w:ascii="仿宋_GB2312" w:hAnsi="仿宋_GB2312" w:eastAsia="仿宋_GB2312" w:cs="仿宋_GB231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asciiTheme="majorEastAsia" w:hAnsiTheme="majorEastAsia" w:eastAsiaTheme="majorEastAsia"/>
        </w:rPr>
      </w:pPr>
      <w:r>
        <w:rPr>
          <w:rFonts w:cs="仿宋_GB2312" w:asciiTheme="majorEastAsia" w:hAnsiTheme="majorEastAsia" w:eastAsiaTheme="majorEastAsia"/>
          <w:b/>
          <w:bCs/>
          <w:color w:val="000000"/>
          <w:kern w:val="0"/>
          <w:szCs w:val="32"/>
        </w:rPr>
        <w:t>公用经费</w:t>
      </w:r>
      <w:r>
        <w:rPr>
          <w:rFonts w:hint="eastAsia" w:ascii="仿宋_GB2312" w:hAnsi="仿宋_GB2312" w:eastAsia="仿宋_GB2312" w:cs="仿宋_GB2312"/>
          <w:szCs w:val="32"/>
          <w:lang w:val="en-US" w:eastAsia="zh-CN"/>
        </w:rPr>
        <w:t>5.27</w:t>
      </w:r>
      <w:r>
        <w:rPr>
          <w:rFonts w:hint="eastAsia" w:ascii="仿宋_GB2312" w:hAnsi="仿宋_GB2312" w:eastAsia="仿宋_GB2312" w:cs="仿宋_GB2312"/>
          <w:szCs w:val="32"/>
        </w:rPr>
        <w:t>万元，主要为商品和服务支出，其中办公费</w:t>
      </w:r>
      <w:r>
        <w:rPr>
          <w:rFonts w:hint="eastAsia" w:ascii="仿宋_GB2312" w:hAnsi="仿宋_GB2312" w:eastAsia="仿宋_GB2312" w:cs="仿宋_GB2312"/>
          <w:szCs w:val="32"/>
          <w:lang w:val="en-US" w:eastAsia="zh-CN"/>
        </w:rPr>
        <w:t>1.50</w:t>
      </w:r>
      <w:r>
        <w:rPr>
          <w:rFonts w:hint="eastAsia" w:ascii="仿宋_GB2312" w:hAnsi="仿宋_GB2312" w:eastAsia="仿宋_GB2312" w:cs="仿宋_GB2312"/>
          <w:szCs w:val="32"/>
        </w:rPr>
        <w:t>万元，</w:t>
      </w:r>
      <w:r>
        <w:rPr>
          <w:rFonts w:hint="eastAsia" w:ascii="仿宋_GB2312" w:hAnsi="仿宋_GB2312" w:eastAsia="仿宋_GB2312" w:cs="仿宋_GB2312"/>
          <w:szCs w:val="32"/>
          <w:lang w:val="en-US" w:eastAsia="zh-CN"/>
        </w:rPr>
        <w:t>其他交通费用3.77</w:t>
      </w:r>
      <w:r>
        <w:rPr>
          <w:rFonts w:hint="eastAsia" w:ascii="仿宋_GB2312" w:hAnsi="仿宋_GB2312" w:eastAsia="仿宋_GB2312" w:cs="仿宋_GB2312"/>
          <w:szCs w:val="32"/>
        </w:rPr>
        <w:t>万元。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 xml:space="preserve">（一）“三公”经费财政拨款支出决算总体情况说明。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2019年度“三公”经费财政拨款支出预算为0万元，支出决算为0万元0。决算数和预算数相等。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（二）“三公”经费财政拨款支出决算具体情况说明。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2019年度“三公”经费财政拨款支出决算中，因公出国（境）费支出决算0万元；公务用车购置费支出0万元，占；公务用车运行维护费支出决算0万元；公务接待费支出决算0万元。具体情况如下：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1.因公出国（境）支出情况说明。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2019年度因公出国（境）团组0个，0人次，预算为0万元，支出决算为0万元，决算数和预算数相等。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2.公务用车购置费用支出情况说明。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2019年度购置车辆0台，预算为0万元，支出决算为0万元，决算数和预算数相等。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3.公务用车运行维护费用支出情况说明。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2019年度公务用车运行维护费预算为0万元，支出决算为0万元，决算数和预算数相等。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4.公务接待费支出情况说明。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2019年度公务接待0批次，0人次，预算为0万元，支出决算为0万元，决算数和预算数相等。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（三）培训费支出情况说明。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2019年度培训费预算为0万元，支出决算为0万元（决算数和预算数相等</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（四）会议费支出情况说明。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2019年度会议费预算为0万元，支出决算为0万元决算数和预算数相等。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olor w:val="000000"/>
          <w:kern w:val="0"/>
          <w:szCs w:val="32"/>
        </w:rPr>
      </w:pPr>
      <w:r>
        <w:rPr>
          <w:rFonts w:hint="eastAsia" w:ascii="黑体" w:hAnsi="黑体" w:eastAsia="黑体"/>
          <w:color w:val="000000"/>
          <w:kern w:val="0"/>
          <w:szCs w:val="32"/>
        </w:rPr>
        <w:t>十、预算绩效情况说明</w:t>
      </w:r>
    </w:p>
    <w:p>
      <w:pPr>
        <w:keepNext w:val="0"/>
        <w:keepLines w:val="0"/>
        <w:pageBreakBefore w:val="0"/>
        <w:widowControl/>
        <w:kinsoku/>
        <w:wordWrap/>
        <w:overflowPunct/>
        <w:topLinePunct w:val="0"/>
        <w:autoSpaceDE/>
        <w:autoSpaceDN/>
        <w:bidi w:val="0"/>
        <w:adjustRightInd/>
        <w:snapToGrid/>
        <w:spacing w:line="560" w:lineRule="exact"/>
        <w:ind w:left="1616" w:leftChars="304" w:hanging="643" w:hangingChars="200"/>
        <w:jc w:val="left"/>
        <w:textAlignment w:val="auto"/>
        <w:rPr>
          <w:rFonts w:cs="楷体_GB2312" w:asciiTheme="majorEastAsia" w:hAnsiTheme="majorEastAsia" w:eastAsiaTheme="majorEastAsia"/>
          <w:b/>
          <w:color w:val="000000"/>
          <w:kern w:val="0"/>
          <w:szCs w:val="32"/>
        </w:rPr>
      </w:pPr>
      <w:r>
        <w:rPr>
          <w:rFonts w:hint="eastAsia" w:ascii="楷体_GB2312" w:hAnsi="宋体" w:eastAsia="楷体_GB2312" w:cs="楷体_GB2312"/>
          <w:b/>
          <w:color w:val="000000"/>
          <w:kern w:val="0"/>
          <w:szCs w:val="32"/>
        </w:rPr>
        <w:t>（</w:t>
      </w:r>
      <w:r>
        <w:rPr>
          <w:rFonts w:hint="eastAsia" w:cs="楷体_GB2312" w:asciiTheme="majorEastAsia" w:hAnsiTheme="majorEastAsia" w:eastAsiaTheme="majorEastAsia"/>
          <w:b/>
          <w:color w:val="000000"/>
          <w:kern w:val="0"/>
          <w:szCs w:val="32"/>
        </w:rPr>
        <w:t>一）</w:t>
      </w:r>
      <w:r>
        <w:rPr>
          <w:rFonts w:cs="楷体_GB2312" w:asciiTheme="majorEastAsia" w:hAnsiTheme="majorEastAsia" w:eastAsiaTheme="majorEastAsia"/>
          <w:b/>
          <w:color w:val="000000"/>
          <w:kern w:val="0"/>
          <w:szCs w:val="32"/>
        </w:rPr>
        <w:t>预算绩效管理工作开展情况</w:t>
      </w:r>
      <w:r>
        <w:rPr>
          <w:rFonts w:hint="eastAsia" w:cs="楷体_GB2312" w:asciiTheme="majorEastAsia" w:hAnsiTheme="majorEastAsia" w:eastAsiaTheme="majorEastAsia"/>
          <w:b/>
          <w:color w:val="000000"/>
          <w:kern w:val="0"/>
          <w:szCs w:val="32"/>
        </w:rPr>
        <w:t>说明</w:t>
      </w:r>
      <w:r>
        <w:rPr>
          <w:rFonts w:cs="楷体_GB2312" w:asciiTheme="majorEastAsia" w:hAnsiTheme="majorEastAsia" w:eastAsiaTheme="majorEastAsia"/>
          <w:b/>
          <w:color w:val="000000"/>
          <w:kern w:val="0"/>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根据预算绩效管理要求，本部门组织对2019年一般公共预算</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个项目支出开展了绩效自评，其中，一级项目</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个，共涉及资金</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万元，占一般公共预算项目支出总额的</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本部门组织对2019年度部门整体进行了绩效自评，涉及资金</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（二）</w:t>
      </w:r>
      <w:r>
        <w:rPr>
          <w:rFonts w:cs="楷体_GB2312" w:asciiTheme="majorEastAsia" w:hAnsiTheme="majorEastAsia" w:eastAsiaTheme="majorEastAsia"/>
          <w:b/>
          <w:color w:val="000000"/>
          <w:kern w:val="0"/>
          <w:szCs w:val="32"/>
        </w:rPr>
        <w:t>部门决算中项目绩效自评结果。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本单位不牵扯部门决算中项目绩效自评结果。</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（三）部门决算中整体支出绩效自评结果。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cs="仿宋_GB2312" w:asciiTheme="majorEastAsia" w:hAnsiTheme="majorEastAsia" w:eastAsiaTheme="majorEastAsia"/>
          <w:color w:val="000000"/>
          <w:kern w:val="0"/>
          <w:sz w:val="31"/>
          <w:szCs w:val="31"/>
        </w:rPr>
      </w:pPr>
      <w:r>
        <w:rPr>
          <w:rFonts w:hint="eastAsia" w:ascii="仿宋_GB2312" w:hAnsi="仿宋_GB2312" w:eastAsia="仿宋_GB2312" w:cs="仿宋_GB2312"/>
          <w:szCs w:val="32"/>
        </w:rPr>
        <w:t>根据年初设定的绩效目标，本部门整体（或部门机关本级，或所属二级单位）2019年度整体自评得分</w:t>
      </w:r>
      <w:r>
        <w:rPr>
          <w:rFonts w:hint="eastAsia" w:ascii="仿宋_GB2312" w:hAnsi="仿宋_GB2312" w:eastAsia="仿宋_GB2312" w:cs="仿宋_GB2312"/>
          <w:szCs w:val="32"/>
          <w:lang w:val="en-US" w:eastAsia="zh-CN"/>
        </w:rPr>
        <w:t>85</w:t>
      </w:r>
      <w:r>
        <w:rPr>
          <w:rFonts w:hint="eastAsia" w:ascii="仿宋_GB2312" w:hAnsi="仿宋_GB2312" w:eastAsia="仿宋_GB2312" w:cs="仿宋_GB2312"/>
          <w:szCs w:val="32"/>
        </w:rPr>
        <w:t>分。全年预算数为</w:t>
      </w:r>
      <w:r>
        <w:rPr>
          <w:rFonts w:hint="eastAsia" w:ascii="仿宋_GB2312" w:hAnsi="仿宋_GB2312" w:eastAsia="仿宋_GB2312" w:cs="仿宋_GB2312"/>
          <w:szCs w:val="32"/>
          <w:lang w:val="en-US" w:eastAsia="zh-CN"/>
        </w:rPr>
        <w:t>40.28</w:t>
      </w:r>
      <w:r>
        <w:rPr>
          <w:rFonts w:hint="eastAsia" w:ascii="仿宋_GB2312" w:hAnsi="仿宋_GB2312" w:eastAsia="仿宋_GB2312" w:cs="仿宋_GB2312"/>
          <w:szCs w:val="32"/>
        </w:rPr>
        <w:t>万元，支出决算为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万元，完成年初预算的</w:t>
      </w:r>
      <w:r>
        <w:rPr>
          <w:rFonts w:hint="eastAsia" w:ascii="仿宋_GB2312" w:hAnsi="仿宋_GB2312" w:eastAsia="仿宋_GB2312" w:cs="仿宋_GB2312"/>
          <w:szCs w:val="32"/>
          <w:lang w:val="en-US" w:eastAsia="zh-CN"/>
        </w:rPr>
        <w:t>327</w:t>
      </w:r>
      <w:r>
        <w:rPr>
          <w:rFonts w:hint="eastAsia" w:ascii="仿宋_GB2312" w:hAnsi="仿宋_GB2312" w:eastAsia="仿宋_GB2312" w:cs="仿宋_GB2312"/>
          <w:szCs w:val="32"/>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仿宋_GB2312" w:eastAsia="仿宋_GB2312" w:cs="仿宋_GB2312"/>
          <w:color w:val="000000"/>
          <w:kern w:val="0"/>
          <w:sz w:val="31"/>
          <w:szCs w:val="31"/>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kern w:val="0"/>
          <w:sz w:val="31"/>
          <w:szCs w:val="31"/>
        </w:rPr>
        <w:object>
          <v:shape id="_x0000_i1025" o:spt="75" alt="" type="#_x0000_t75" style="height:592.8pt;width:468pt;" o:ole="t" filled="f" o:preferrelative="t" stroked="f" coordsize="21600,21600">
            <v:path/>
            <v:fill on="f" focussize="0,0"/>
            <v:stroke on="f"/>
            <v:imagedata r:id="rId10" o:title=""/>
            <o:lock v:ext="edit" aspectratio="f"/>
            <w10:wrap type="none"/>
            <w10:anchorlock/>
          </v:shape>
          <o:OLEObject Type="Embed" ProgID="Excel.Sheet.12" ShapeID="_x0000_i1025" DrawAspect="Content" ObjectID="_1468075725" r:id="rId9">
            <o:LockedField>false</o:LockedField>
          </o:OLEObject>
        </w:object>
      </w:r>
    </w:p>
    <w:tbl>
      <w:tblPr>
        <w:tblStyle w:val="8"/>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Layout w:type="fixed"/>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Layout w:type="fixed"/>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pPr>
              <w:widowControl/>
              <w:jc w:val="left"/>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填报单位:中共蓝田县</w:t>
            </w:r>
            <w:r>
              <w:rPr>
                <w:rFonts w:hint="eastAsia" w:ascii="仿宋_GB2312" w:hAnsi="宋体" w:eastAsia="仿宋_GB2312" w:cs="宋体"/>
                <w:kern w:val="0"/>
                <w:sz w:val="24"/>
                <w:szCs w:val="24"/>
                <w:lang w:val="en-US" w:eastAsia="zh-CN"/>
              </w:rPr>
              <w:t>委统一战线工作部</w:t>
            </w:r>
          </w:p>
        </w:tc>
        <w:tc>
          <w:tcPr>
            <w:tcW w:w="2579" w:type="dxa"/>
            <w:tcBorders>
              <w:top w:val="nil"/>
              <w:left w:val="nil"/>
              <w:bottom w:val="nil"/>
              <w:right w:val="nil"/>
            </w:tcBorders>
            <w:shd w:val="clear" w:color="auto" w:fill="auto"/>
            <w:vAlign w:val="center"/>
          </w:tcPr>
          <w:p>
            <w:pPr>
              <w:widowControl/>
              <w:jc w:val="center"/>
              <w:rPr>
                <w:rFonts w:hint="eastAsia" w:ascii="仿宋_GB2312" w:hAnsi="宋体" w:eastAsia="仿宋_GB2312" w:cs="宋体"/>
                <w:kern w:val="0"/>
                <w:sz w:val="24"/>
                <w:szCs w:val="24"/>
                <w:lang w:eastAsia="zh-CN"/>
              </w:rPr>
            </w:pPr>
            <w:r>
              <w:rPr>
                <w:rFonts w:hint="eastAsia" w:ascii="仿宋_GB2312" w:hAnsi="宋体" w:eastAsia="仿宋_GB2312" w:cs="宋体"/>
                <w:kern w:val="0"/>
                <w:sz w:val="24"/>
                <w:szCs w:val="24"/>
              </w:rPr>
              <w:t>自评得分：9</w:t>
            </w:r>
            <w:r>
              <w:rPr>
                <w:rFonts w:hint="eastAsia" w:ascii="仿宋_GB2312" w:hAnsi="宋体" w:eastAsia="仿宋_GB2312" w:cs="宋体"/>
                <w:kern w:val="0"/>
                <w:sz w:val="24"/>
                <w:szCs w:val="24"/>
                <w:lang w:val="en-US" w:eastAsia="zh-CN"/>
              </w:rPr>
              <w:t>5</w:t>
            </w:r>
          </w:p>
        </w:tc>
        <w:tc>
          <w:tcPr>
            <w:tcW w:w="109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负责</w:t>
            </w:r>
            <w:r>
              <w:rPr>
                <w:rFonts w:hint="eastAsia" w:ascii="仿宋_GB2312" w:hAnsi="宋体" w:eastAsia="仿宋_GB2312" w:cs="宋体"/>
                <w:kern w:val="0"/>
                <w:sz w:val="20"/>
                <w:lang w:val="en-US" w:eastAsia="zh-CN"/>
              </w:rPr>
              <w:t>组织实施全县统战工作</w:t>
            </w:r>
            <w:r>
              <w:rPr>
                <w:rFonts w:hint="eastAsia" w:ascii="仿宋_GB2312" w:hAnsi="宋体" w:eastAsia="仿宋_GB2312" w:cs="宋体"/>
                <w:kern w:val="0"/>
                <w:sz w:val="20"/>
              </w:rPr>
              <w:t>。</w:t>
            </w:r>
          </w:p>
        </w:tc>
      </w:tr>
      <w:tr>
        <w:tblPrEx>
          <w:tblLayout w:type="fixed"/>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w:t>
            </w:r>
            <w:r>
              <w:rPr>
                <w:rFonts w:hint="eastAsia" w:ascii="仿宋_GB2312" w:hAnsi="宋体" w:eastAsia="仿宋_GB2312" w:cs="宋体"/>
                <w:kern w:val="0"/>
                <w:sz w:val="20"/>
                <w:lang w:val="en-US" w:eastAsia="zh-CN"/>
              </w:rPr>
              <w:t>172.19</w:t>
            </w:r>
            <w:r>
              <w:rPr>
                <w:rFonts w:hint="eastAsia" w:ascii="仿宋_GB2312" w:hAnsi="宋体" w:eastAsia="仿宋_GB2312" w:cs="宋体"/>
                <w:kern w:val="0"/>
                <w:sz w:val="20"/>
              </w:rPr>
              <w:t>万元，其中：其中：基本支出</w:t>
            </w:r>
            <w:r>
              <w:rPr>
                <w:rFonts w:hint="eastAsia" w:ascii="仿宋_GB2312" w:hAnsi="宋体" w:eastAsia="仿宋_GB2312" w:cs="宋体"/>
                <w:kern w:val="0"/>
                <w:sz w:val="20"/>
                <w:lang w:val="en-US" w:eastAsia="zh-CN"/>
              </w:rPr>
              <w:t>56.83</w:t>
            </w:r>
            <w:r>
              <w:rPr>
                <w:rFonts w:hint="eastAsia" w:ascii="仿宋_GB2312" w:hAnsi="宋体" w:eastAsia="仿宋_GB2312" w:cs="宋体"/>
                <w:kern w:val="0"/>
                <w:sz w:val="20"/>
              </w:rPr>
              <w:t>万元，占</w:t>
            </w:r>
            <w:r>
              <w:rPr>
                <w:rFonts w:hint="eastAsia" w:ascii="仿宋_GB2312" w:hAnsi="宋体" w:eastAsia="仿宋_GB2312" w:cs="宋体"/>
                <w:kern w:val="0"/>
                <w:sz w:val="20"/>
                <w:lang w:val="en-US" w:eastAsia="zh-CN"/>
              </w:rPr>
              <w:t>33</w:t>
            </w:r>
            <w:r>
              <w:rPr>
                <w:rFonts w:hint="eastAsia" w:ascii="仿宋_GB2312" w:hAnsi="宋体" w:eastAsia="仿宋_GB2312" w:cs="宋体"/>
                <w:kern w:val="0"/>
                <w:sz w:val="20"/>
              </w:rPr>
              <w:t>%；项目支出</w:t>
            </w:r>
            <w:r>
              <w:rPr>
                <w:rFonts w:hint="eastAsia" w:ascii="仿宋_GB2312" w:hAnsi="宋体" w:eastAsia="仿宋_GB2312" w:cs="宋体"/>
                <w:kern w:val="0"/>
                <w:sz w:val="20"/>
                <w:lang w:val="en-US" w:eastAsia="zh-CN"/>
              </w:rPr>
              <w:t>115.36</w:t>
            </w:r>
            <w:r>
              <w:rPr>
                <w:rFonts w:hint="eastAsia" w:ascii="仿宋_GB2312" w:hAnsi="宋体" w:eastAsia="仿宋_GB2312" w:cs="宋体"/>
                <w:kern w:val="0"/>
                <w:sz w:val="20"/>
              </w:rPr>
              <w:t>万元，占</w:t>
            </w:r>
            <w:r>
              <w:rPr>
                <w:rFonts w:hint="eastAsia" w:ascii="仿宋_GB2312" w:hAnsi="宋体" w:eastAsia="仿宋_GB2312" w:cs="宋体"/>
                <w:kern w:val="0"/>
                <w:sz w:val="20"/>
                <w:lang w:val="en-US" w:eastAsia="zh-CN"/>
              </w:rPr>
              <w:t>67</w:t>
            </w:r>
            <w:r>
              <w:rPr>
                <w:rFonts w:hint="eastAsia" w:ascii="仿宋_GB2312" w:hAnsi="宋体" w:eastAsia="仿宋_GB2312" w:cs="宋体"/>
                <w:kern w:val="0"/>
                <w:sz w:val="20"/>
              </w:rPr>
              <w:t>%。</w:t>
            </w:r>
          </w:p>
        </w:tc>
      </w:tr>
      <w:tr>
        <w:tblPrEx>
          <w:tblLayout w:type="fixed"/>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w:t>
            </w:r>
            <w:r>
              <w:rPr>
                <w:rFonts w:hint="eastAsia" w:ascii="仿宋_GB2312" w:hAnsi="宋体" w:eastAsia="仿宋_GB2312" w:cs="宋体"/>
                <w:kern w:val="0"/>
                <w:sz w:val="20"/>
                <w:lang w:val="en-US" w:eastAsia="zh-CN"/>
              </w:rPr>
              <w:t>前</w:t>
            </w:r>
            <w:r>
              <w:rPr>
                <w:rFonts w:hint="eastAsia" w:ascii="仿宋_GB2312" w:hAnsi="宋体" w:eastAsia="仿宋_GB2312" w:cs="宋体"/>
                <w:kern w:val="0"/>
                <w:sz w:val="20"/>
              </w:rPr>
              <w:t>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pPr>
              <w:widowControl/>
              <w:spacing w:line="240" w:lineRule="exact"/>
              <w:jc w:val="left"/>
              <w:rPr>
                <w:rFonts w:hint="eastAsia" w:ascii="仿宋_GB2312" w:hAnsi="宋体" w:eastAsia="仿宋_GB2312" w:cs="宋体"/>
                <w:kern w:val="0"/>
                <w:sz w:val="20"/>
                <w:lang w:eastAsia="zh-CN"/>
              </w:rPr>
            </w:pPr>
            <w:r>
              <w:rPr>
                <w:rFonts w:hint="eastAsia" w:ascii="仿宋_GB2312" w:hAnsi="宋体" w:eastAsia="仿宋_GB2312" w:cs="宋体"/>
                <w:kern w:val="0"/>
                <w:sz w:val="20"/>
                <w:lang w:eastAsia="zh-CN"/>
              </w:rPr>
              <w:t>一、持续做好统战人士对党外人士的思想引导工作；二、开展蓝田县首届非公有制经济人士优秀中国特色社会主义事业建设者评选表彰工作；三、持续做好宗教场所行政监察工作；四、筹划成立“同心律师服务团”、“同心财税服务团”。</w:t>
            </w:r>
          </w:p>
        </w:tc>
      </w:tr>
      <w:tr>
        <w:tblPrEx>
          <w:tblLayout w:type="fixed"/>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Layout w:type="fixed"/>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33</w:t>
            </w:r>
            <w:bookmarkStart w:id="0" w:name="_GoBack"/>
            <w:bookmarkEnd w:id="0"/>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tblPrEx>
          <w:tblLayout w:type="fixed"/>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Layout w:type="fixed"/>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100</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仿宋_GB2312" w:hAnsi="宋体" w:eastAsia="仿宋_GB2312" w:cs="宋体"/>
                <w:kern w:val="0"/>
                <w:sz w:val="20"/>
                <w:lang w:val="en-US" w:eastAsia="zh-CN"/>
              </w:rPr>
            </w:pPr>
            <w:r>
              <w:rPr>
                <w:rFonts w:hint="eastAsia" w:ascii="仿宋_GB2312" w:hAnsi="宋体" w:eastAsia="仿宋_GB2312" w:cs="宋体"/>
                <w:kern w:val="0"/>
                <w:sz w:val="20"/>
                <w:lang w:val="en-US" w:eastAsia="zh-CN"/>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Layout w:type="fixed"/>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Layout w:type="fixed"/>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pPr>
              <w:widowControl/>
              <w:spacing w:line="200" w:lineRule="exact"/>
              <w:jc w:val="left"/>
              <w:rPr>
                <w:rFonts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Layout w:type="fixed"/>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tblPrEx>
          <w:tblLayout w:type="fixed"/>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Layout w:type="fixed"/>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Layout w:type="fixed"/>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jc w:val="left"/>
        <w:rPr>
          <w:rFonts w:ascii="仿宋_GB2312" w:hAnsi="仿宋_GB2312" w:eastAsia="仿宋_GB2312" w:cs="仿宋_GB2312"/>
          <w:color w:val="000000"/>
          <w:kern w:val="0"/>
          <w:sz w:val="31"/>
          <w:szCs w:val="31"/>
        </w:rPr>
        <w:sectPr>
          <w:pgSz w:w="16838" w:h="11906" w:orient="landscape"/>
          <w:pgMar w:top="1701" w:right="1440" w:bottom="1418" w:left="1440" w:header="851" w:footer="992" w:gutter="0"/>
          <w:cols w:space="425" w:num="1"/>
          <w:docGrid w:type="linesAndChar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rPr>
          <w:rFonts w:asciiTheme="minorEastAsia" w:hAnsiTheme="minorEastAsia" w:eastAsiaTheme="minorEastAsia"/>
        </w:rPr>
      </w:pPr>
      <w:r>
        <w:rPr>
          <w:rFonts w:cs="楷体_GB2312" w:asciiTheme="minorEastAsia" w:hAnsiTheme="minorEastAsia" w:eastAsiaTheme="minorEastAsia"/>
          <w:b/>
          <w:color w:val="000000"/>
          <w:kern w:val="0"/>
          <w:szCs w:val="32"/>
        </w:rPr>
        <w:t>（一）机关运行经费支出情况</w:t>
      </w:r>
      <w:r>
        <w:rPr>
          <w:rFonts w:hint="eastAsia" w:cs="楷体_GB2312" w:asciiTheme="minorEastAsia" w:hAnsiTheme="minorEastAsia" w:eastAsiaTheme="minorEastAsia"/>
          <w:b/>
          <w:color w:val="000000"/>
          <w:kern w:val="0"/>
          <w:szCs w:val="32"/>
        </w:rPr>
        <w:t>说明</w:t>
      </w:r>
      <w:r>
        <w:rPr>
          <w:rFonts w:cs="楷体_GB2312" w:asciiTheme="minorEastAsia" w:hAnsiTheme="minorEastAsia" w:eastAsiaTheme="minorEastAsia"/>
          <w:b/>
          <w:color w:val="000000"/>
          <w:kern w:val="0"/>
          <w:szCs w:val="32"/>
        </w:rPr>
        <w:t xml:space="preserve">。 </w:t>
      </w:r>
    </w:p>
    <w:p>
      <w:pPr>
        <w:widowControl/>
        <w:ind w:firstLine="640" w:firstLineChars="200"/>
        <w:jc w:val="left"/>
        <w:rPr>
          <w:rFonts w:cs="仿宋_GB2312" w:asciiTheme="minorEastAsia" w:hAnsiTheme="minorEastAsia" w:eastAsiaTheme="minorEastAsia"/>
          <w:color w:val="000000"/>
          <w:kern w:val="0"/>
          <w:szCs w:val="32"/>
        </w:rPr>
      </w:pPr>
      <w:r>
        <w:rPr>
          <w:rFonts w:hint="eastAsia" w:ascii="仿宋_GB2312" w:hAnsi="仿宋_GB2312" w:eastAsia="仿宋_GB2312" w:cs="仿宋_GB2312"/>
          <w:szCs w:val="32"/>
        </w:rPr>
        <w:t>2019年度机关运行经费预算为</w:t>
      </w:r>
      <w:r>
        <w:rPr>
          <w:rFonts w:hint="eastAsia" w:ascii="仿宋_GB2312" w:hAnsi="仿宋_GB2312" w:eastAsia="仿宋_GB2312" w:cs="仿宋_GB2312"/>
          <w:szCs w:val="32"/>
          <w:lang w:val="en-US" w:eastAsia="zh-CN"/>
        </w:rPr>
        <w:t>40.28</w:t>
      </w:r>
      <w:r>
        <w:rPr>
          <w:rFonts w:hint="eastAsia" w:ascii="仿宋_GB2312" w:hAnsi="仿宋_GB2312" w:eastAsia="仿宋_GB2312" w:cs="仿宋_GB2312"/>
          <w:szCs w:val="32"/>
        </w:rPr>
        <w:t>万元，支出决算为</w:t>
      </w:r>
      <w:r>
        <w:rPr>
          <w:rFonts w:hint="eastAsia" w:ascii="仿宋_GB2312" w:hAnsi="仿宋_GB2312" w:eastAsia="仿宋_GB2312" w:cs="仿宋_GB2312"/>
          <w:szCs w:val="32"/>
          <w:lang w:val="en-US" w:eastAsia="zh-CN"/>
        </w:rPr>
        <w:t>172.19</w:t>
      </w:r>
      <w:r>
        <w:rPr>
          <w:rFonts w:hint="eastAsia" w:ascii="仿宋_GB2312" w:hAnsi="仿宋_GB2312" w:eastAsia="仿宋_GB2312" w:cs="仿宋_GB2312"/>
          <w:szCs w:val="32"/>
        </w:rPr>
        <w:t>万元，完成预算的</w:t>
      </w:r>
      <w:r>
        <w:rPr>
          <w:rFonts w:hint="eastAsia" w:ascii="仿宋_GB2312" w:hAnsi="仿宋_GB2312" w:eastAsia="仿宋_GB2312" w:cs="仿宋_GB2312"/>
          <w:szCs w:val="32"/>
          <w:lang w:val="en-US" w:eastAsia="zh-CN"/>
        </w:rPr>
        <w:t>327</w:t>
      </w:r>
      <w:r>
        <w:rPr>
          <w:rFonts w:hint="eastAsia" w:ascii="仿宋_GB2312" w:hAnsi="仿宋_GB2312" w:eastAsia="仿宋_GB2312" w:cs="仿宋_GB2312"/>
          <w:szCs w:val="32"/>
        </w:rPr>
        <w:t>%。决算数</w:t>
      </w:r>
      <w:r>
        <w:rPr>
          <w:rFonts w:hint="eastAsia" w:ascii="仿宋_GB2312" w:hAnsi="仿宋_GB2312" w:eastAsia="仿宋_GB2312" w:cs="仿宋_GB2312"/>
          <w:szCs w:val="32"/>
          <w:lang w:val="en-US" w:eastAsia="zh-CN"/>
        </w:rPr>
        <w:t>高于</w:t>
      </w:r>
      <w:r>
        <w:rPr>
          <w:rFonts w:hint="eastAsia" w:ascii="仿宋_GB2312" w:hAnsi="仿宋_GB2312" w:eastAsia="仿宋_GB2312" w:cs="仿宋_GB2312"/>
          <w:szCs w:val="32"/>
        </w:rPr>
        <w:t>预算数。</w:t>
      </w:r>
    </w:p>
    <w:p>
      <w:pPr>
        <w:widowControl/>
        <w:ind w:firstLine="643" w:firstLineChars="200"/>
        <w:jc w:val="left"/>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（二）政府采购支出情况说明。</w:t>
      </w:r>
    </w:p>
    <w:p>
      <w:pPr>
        <w:ind w:firstLine="640"/>
        <w:rPr>
          <w:rFonts w:cs="仿宋_GB2312" w:asciiTheme="majorEastAsia" w:hAnsiTheme="majorEastAsia" w:eastAsiaTheme="majorEastAsia"/>
          <w:szCs w:val="32"/>
        </w:rPr>
      </w:pPr>
      <w:r>
        <w:rPr>
          <w:rFonts w:hint="eastAsia" w:ascii="仿宋_GB2312" w:hAnsi="仿宋_GB2312" w:eastAsia="仿宋_GB2312" w:cs="仿宋_GB2312"/>
          <w:szCs w:val="32"/>
        </w:rPr>
        <w:t>本部门2019年度无政府采购支出</w:t>
      </w:r>
    </w:p>
    <w:p>
      <w:pPr>
        <w:widowControl/>
        <w:ind w:firstLine="643" w:firstLineChars="200"/>
        <w:jc w:val="left"/>
        <w:rPr>
          <w:rFonts w:cs="楷体_GB2312" w:asciiTheme="minorEastAsia" w:hAnsiTheme="minorEastAsia" w:eastAsiaTheme="minorEastAsia"/>
          <w:b/>
          <w:color w:val="000000"/>
          <w:kern w:val="0"/>
          <w:szCs w:val="32"/>
        </w:rPr>
      </w:pPr>
      <w:r>
        <w:rPr>
          <w:rFonts w:hint="eastAsia" w:cs="楷体_GB2312" w:asciiTheme="minorEastAsia" w:hAnsiTheme="minorEastAsia" w:eastAsiaTheme="minorEastAsia"/>
          <w:b/>
          <w:color w:val="000000"/>
          <w:kern w:val="0"/>
          <w:szCs w:val="32"/>
        </w:rPr>
        <w:t>（三）国有资产占用及购置情况说明。</w:t>
      </w:r>
    </w:p>
    <w:p>
      <w:pPr>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0辆；单价50万元以上的通用设备0台（套）；单价100万元以上的专用设备0台（套）。2019年当年购置车辆0辆；购置单价50万元以上的通用设备0台（套）；购置单价100万元以上的专用设备0台（套）。</w:t>
      </w:r>
    </w:p>
    <w:p>
      <w:pPr>
        <w:ind w:firstLine="640"/>
        <w:rPr>
          <w:rFonts w:cs="仿宋_GB2312" w:asciiTheme="minorEastAsia" w:hAnsiTheme="minorEastAsia" w:eastAsiaTheme="minorEastAsia"/>
          <w:szCs w:val="32"/>
        </w:rPr>
      </w:pP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方正仿宋简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02611A"/>
    <w:rsid w:val="00347F25"/>
    <w:rsid w:val="00394C38"/>
    <w:rsid w:val="00430FBC"/>
    <w:rsid w:val="00481105"/>
    <w:rsid w:val="00533410"/>
    <w:rsid w:val="00592FDC"/>
    <w:rsid w:val="005971FB"/>
    <w:rsid w:val="006F3FC9"/>
    <w:rsid w:val="00743CC6"/>
    <w:rsid w:val="007A5463"/>
    <w:rsid w:val="00803916"/>
    <w:rsid w:val="008E5206"/>
    <w:rsid w:val="00926DEC"/>
    <w:rsid w:val="00951911"/>
    <w:rsid w:val="00A61B68"/>
    <w:rsid w:val="00A77A2C"/>
    <w:rsid w:val="00AF5C24"/>
    <w:rsid w:val="00B72C81"/>
    <w:rsid w:val="00B91CFD"/>
    <w:rsid w:val="00BC4A55"/>
    <w:rsid w:val="00C61D66"/>
    <w:rsid w:val="00CC6DD1"/>
    <w:rsid w:val="00D82BDF"/>
    <w:rsid w:val="00F11EB9"/>
    <w:rsid w:val="01555551"/>
    <w:rsid w:val="017258CA"/>
    <w:rsid w:val="0203521D"/>
    <w:rsid w:val="02434A2E"/>
    <w:rsid w:val="02DC40B7"/>
    <w:rsid w:val="06033193"/>
    <w:rsid w:val="07E115C5"/>
    <w:rsid w:val="086C1E64"/>
    <w:rsid w:val="08EC3888"/>
    <w:rsid w:val="0A033A90"/>
    <w:rsid w:val="0A4A6D13"/>
    <w:rsid w:val="0AD53D4E"/>
    <w:rsid w:val="0B1E30C7"/>
    <w:rsid w:val="0D7D4A72"/>
    <w:rsid w:val="0DA939F9"/>
    <w:rsid w:val="0F133727"/>
    <w:rsid w:val="100E0225"/>
    <w:rsid w:val="104C2FEB"/>
    <w:rsid w:val="10532125"/>
    <w:rsid w:val="107F086D"/>
    <w:rsid w:val="115B61D1"/>
    <w:rsid w:val="11B80959"/>
    <w:rsid w:val="11C96F81"/>
    <w:rsid w:val="139D27E8"/>
    <w:rsid w:val="15165E9E"/>
    <w:rsid w:val="159D46BF"/>
    <w:rsid w:val="15D7573B"/>
    <w:rsid w:val="16557587"/>
    <w:rsid w:val="16B313E5"/>
    <w:rsid w:val="181468A7"/>
    <w:rsid w:val="18621418"/>
    <w:rsid w:val="19F80DB0"/>
    <w:rsid w:val="1A9A2721"/>
    <w:rsid w:val="1AF22409"/>
    <w:rsid w:val="1B165F7F"/>
    <w:rsid w:val="1D4451B3"/>
    <w:rsid w:val="1D8B0C78"/>
    <w:rsid w:val="1DE65AEE"/>
    <w:rsid w:val="201F16D7"/>
    <w:rsid w:val="20261909"/>
    <w:rsid w:val="20B96E79"/>
    <w:rsid w:val="20E506C4"/>
    <w:rsid w:val="20E90E60"/>
    <w:rsid w:val="21C35A7A"/>
    <w:rsid w:val="233D395C"/>
    <w:rsid w:val="23A62EDA"/>
    <w:rsid w:val="23DF6EBF"/>
    <w:rsid w:val="26666E6C"/>
    <w:rsid w:val="26FC7A72"/>
    <w:rsid w:val="271F1794"/>
    <w:rsid w:val="274A2676"/>
    <w:rsid w:val="28157EE3"/>
    <w:rsid w:val="281C6BC0"/>
    <w:rsid w:val="29054F4F"/>
    <w:rsid w:val="29637F48"/>
    <w:rsid w:val="297F1BE3"/>
    <w:rsid w:val="29B14181"/>
    <w:rsid w:val="2A474B47"/>
    <w:rsid w:val="2B33736B"/>
    <w:rsid w:val="2BDE3320"/>
    <w:rsid w:val="2C034CF6"/>
    <w:rsid w:val="2CB843D1"/>
    <w:rsid w:val="3056629A"/>
    <w:rsid w:val="305F2D57"/>
    <w:rsid w:val="30DF4759"/>
    <w:rsid w:val="30ED02FE"/>
    <w:rsid w:val="31786399"/>
    <w:rsid w:val="32EE6AB9"/>
    <w:rsid w:val="345D0EC0"/>
    <w:rsid w:val="34E76CF4"/>
    <w:rsid w:val="351A3BB7"/>
    <w:rsid w:val="3669223E"/>
    <w:rsid w:val="369D1F3E"/>
    <w:rsid w:val="378C5D8D"/>
    <w:rsid w:val="3795155E"/>
    <w:rsid w:val="382D4367"/>
    <w:rsid w:val="39110AC8"/>
    <w:rsid w:val="394B0CB4"/>
    <w:rsid w:val="3D320DD2"/>
    <w:rsid w:val="3D904069"/>
    <w:rsid w:val="3DFC55E9"/>
    <w:rsid w:val="3F666EF6"/>
    <w:rsid w:val="3F7623A4"/>
    <w:rsid w:val="3FCA23EC"/>
    <w:rsid w:val="40A02B7C"/>
    <w:rsid w:val="41FE4A07"/>
    <w:rsid w:val="424D60E4"/>
    <w:rsid w:val="42FA4769"/>
    <w:rsid w:val="43BC1030"/>
    <w:rsid w:val="44777428"/>
    <w:rsid w:val="447F65AC"/>
    <w:rsid w:val="44A25E25"/>
    <w:rsid w:val="44CA3AF5"/>
    <w:rsid w:val="460350B7"/>
    <w:rsid w:val="46653312"/>
    <w:rsid w:val="47964FBE"/>
    <w:rsid w:val="4A1752A2"/>
    <w:rsid w:val="4ADF554C"/>
    <w:rsid w:val="4B0B6A13"/>
    <w:rsid w:val="4B18398F"/>
    <w:rsid w:val="4BF868BA"/>
    <w:rsid w:val="4BFC1F45"/>
    <w:rsid w:val="4C4E408A"/>
    <w:rsid w:val="4CB316C8"/>
    <w:rsid w:val="4CEB1A07"/>
    <w:rsid w:val="4D0003F2"/>
    <w:rsid w:val="4D962FA7"/>
    <w:rsid w:val="4E6A2D2F"/>
    <w:rsid w:val="515B58C1"/>
    <w:rsid w:val="51B6654C"/>
    <w:rsid w:val="528A28E2"/>
    <w:rsid w:val="52AC7AB3"/>
    <w:rsid w:val="52CD02A6"/>
    <w:rsid w:val="52E12320"/>
    <w:rsid w:val="53354959"/>
    <w:rsid w:val="54207C4C"/>
    <w:rsid w:val="54D4443D"/>
    <w:rsid w:val="55112A1B"/>
    <w:rsid w:val="55560C85"/>
    <w:rsid w:val="55BE02C0"/>
    <w:rsid w:val="56FC6F42"/>
    <w:rsid w:val="57FD20FD"/>
    <w:rsid w:val="5849438A"/>
    <w:rsid w:val="588577BA"/>
    <w:rsid w:val="596D661C"/>
    <w:rsid w:val="597F1898"/>
    <w:rsid w:val="599A3C1D"/>
    <w:rsid w:val="59F225B4"/>
    <w:rsid w:val="5A182912"/>
    <w:rsid w:val="5ADB6987"/>
    <w:rsid w:val="5B0A6BA3"/>
    <w:rsid w:val="5C4F7939"/>
    <w:rsid w:val="5C917CF5"/>
    <w:rsid w:val="5E6C24B2"/>
    <w:rsid w:val="5E843F90"/>
    <w:rsid w:val="5FB83789"/>
    <w:rsid w:val="61334018"/>
    <w:rsid w:val="622419F2"/>
    <w:rsid w:val="62A457D6"/>
    <w:rsid w:val="631D0BEB"/>
    <w:rsid w:val="642360AA"/>
    <w:rsid w:val="64471D8E"/>
    <w:rsid w:val="64F93D8F"/>
    <w:rsid w:val="67832AFD"/>
    <w:rsid w:val="678D244E"/>
    <w:rsid w:val="69A157A9"/>
    <w:rsid w:val="6B3B79EC"/>
    <w:rsid w:val="6CE40C0A"/>
    <w:rsid w:val="6DBF6672"/>
    <w:rsid w:val="6F094735"/>
    <w:rsid w:val="70812635"/>
    <w:rsid w:val="72897D61"/>
    <w:rsid w:val="73431FE5"/>
    <w:rsid w:val="73546F60"/>
    <w:rsid w:val="73FA70EF"/>
    <w:rsid w:val="75546F04"/>
    <w:rsid w:val="7728572E"/>
    <w:rsid w:val="775F7D2B"/>
    <w:rsid w:val="778B0394"/>
    <w:rsid w:val="77FB7840"/>
    <w:rsid w:val="78307A38"/>
    <w:rsid w:val="78DE4C3D"/>
    <w:rsid w:val="79A90CD9"/>
    <w:rsid w:val="7B6D5E4A"/>
    <w:rsid w:val="7C0802C9"/>
    <w:rsid w:val="7F131965"/>
    <w:rsid w:val="7F250E42"/>
    <w:rsid w:val="7FB863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Balloon Text"/>
    <w:basedOn w:val="1"/>
    <w:link w:val="19"/>
    <w:uiPriority w:val="0"/>
    <w:rPr>
      <w:sz w:val="18"/>
      <w:szCs w:val="18"/>
    </w:rPr>
  </w:style>
  <w:style w:type="paragraph" w:styleId="4">
    <w:name w:val="footer"/>
    <w:basedOn w:val="1"/>
    <w:link w:val="18"/>
    <w:qFormat/>
    <w:uiPriority w:val="0"/>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Theme="minorHAnsi" w:hAnsiTheme="minorHAnsi" w:eastAsiaTheme="minorEastAsia"/>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font11"/>
    <w:basedOn w:val="7"/>
    <w:qFormat/>
    <w:uiPriority w:val="0"/>
    <w:rPr>
      <w:rFonts w:hint="eastAsia" w:ascii="宋体" w:hAnsi="宋体" w:eastAsia="宋体" w:cs="宋体"/>
      <w:b/>
      <w:color w:val="000000"/>
      <w:sz w:val="32"/>
      <w:szCs w:val="32"/>
      <w:u w:val="none"/>
    </w:rPr>
  </w:style>
  <w:style w:type="character" w:customStyle="1" w:styleId="11">
    <w:name w:val="font91"/>
    <w:basedOn w:val="7"/>
    <w:qFormat/>
    <w:uiPriority w:val="0"/>
    <w:rPr>
      <w:rFonts w:hint="eastAsia" w:ascii="宋体" w:hAnsi="宋体" w:eastAsia="宋体" w:cs="宋体"/>
      <w:color w:val="000000"/>
      <w:sz w:val="32"/>
      <w:szCs w:val="32"/>
      <w:u w:val="none"/>
    </w:rPr>
  </w:style>
  <w:style w:type="character" w:customStyle="1" w:styleId="12">
    <w:name w:val="font51"/>
    <w:basedOn w:val="7"/>
    <w:qFormat/>
    <w:uiPriority w:val="0"/>
    <w:rPr>
      <w:rFonts w:hint="eastAsia" w:ascii="宋体" w:hAnsi="宋体" w:eastAsia="宋体" w:cs="宋体"/>
      <w:color w:val="000000"/>
      <w:sz w:val="20"/>
      <w:szCs w:val="20"/>
      <w:u w:val="none"/>
    </w:rPr>
  </w:style>
  <w:style w:type="character" w:customStyle="1" w:styleId="13">
    <w:name w:val="font101"/>
    <w:basedOn w:val="7"/>
    <w:qFormat/>
    <w:uiPriority w:val="0"/>
    <w:rPr>
      <w:rFonts w:hint="eastAsia" w:ascii="宋体" w:hAnsi="宋体" w:eastAsia="宋体" w:cs="宋体"/>
      <w:color w:val="000000"/>
      <w:sz w:val="20"/>
      <w:szCs w:val="20"/>
      <w:u w:val="none"/>
    </w:rPr>
  </w:style>
  <w:style w:type="character" w:customStyle="1" w:styleId="14">
    <w:name w:val="font21"/>
    <w:basedOn w:val="7"/>
    <w:qFormat/>
    <w:uiPriority w:val="0"/>
    <w:rPr>
      <w:rFonts w:hint="eastAsia" w:ascii="宋体" w:hAnsi="宋体" w:eastAsia="宋体" w:cs="宋体"/>
      <w:color w:val="000000"/>
      <w:sz w:val="18"/>
      <w:szCs w:val="18"/>
      <w:u w:val="none"/>
    </w:rPr>
  </w:style>
  <w:style w:type="character" w:customStyle="1" w:styleId="15">
    <w:name w:val="font112"/>
    <w:basedOn w:val="7"/>
    <w:qFormat/>
    <w:uiPriority w:val="0"/>
    <w:rPr>
      <w:rFonts w:hint="eastAsia" w:ascii="宋体" w:hAnsi="宋体" w:eastAsia="宋体" w:cs="宋体"/>
      <w:color w:val="000000"/>
      <w:sz w:val="20"/>
      <w:szCs w:val="20"/>
      <w:u w:val="none"/>
    </w:rPr>
  </w:style>
  <w:style w:type="character" w:customStyle="1" w:styleId="16">
    <w:name w:val="font61"/>
    <w:basedOn w:val="7"/>
    <w:qFormat/>
    <w:uiPriority w:val="0"/>
    <w:rPr>
      <w:rFonts w:hint="eastAsia" w:ascii="宋体" w:hAnsi="宋体" w:eastAsia="宋体" w:cs="宋体"/>
      <w:color w:val="000000"/>
      <w:sz w:val="24"/>
      <w:szCs w:val="24"/>
      <w:u w:val="none"/>
    </w:rPr>
  </w:style>
  <w:style w:type="character" w:customStyle="1" w:styleId="17">
    <w:name w:val="页眉 Char"/>
    <w:basedOn w:val="7"/>
    <w:link w:val="5"/>
    <w:qFormat/>
    <w:uiPriority w:val="0"/>
    <w:rPr>
      <w:rFonts w:ascii="Calibri" w:hAnsi="Calibri" w:eastAsia="方正仿宋简体"/>
      <w:kern w:val="2"/>
      <w:sz w:val="18"/>
      <w:szCs w:val="18"/>
    </w:rPr>
  </w:style>
  <w:style w:type="character" w:customStyle="1" w:styleId="18">
    <w:name w:val="页脚 Char"/>
    <w:basedOn w:val="7"/>
    <w:link w:val="4"/>
    <w:qFormat/>
    <w:uiPriority w:val="0"/>
    <w:rPr>
      <w:rFonts w:ascii="Calibri" w:hAnsi="Calibri" w:eastAsia="方正仿宋简体"/>
      <w:kern w:val="2"/>
      <w:sz w:val="18"/>
      <w:szCs w:val="18"/>
    </w:rPr>
  </w:style>
  <w:style w:type="character" w:customStyle="1" w:styleId="19">
    <w:name w:val="批注框文本 Char"/>
    <w:basedOn w:val="7"/>
    <w:link w:val="3"/>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人数</c:v>
                </c:pt>
              </c:strCache>
            </c:strRef>
          </c:tx>
          <c:spPr>
            <a:solidFill>
              <a:schemeClr val="accent1"/>
            </a:solidFill>
            <a:ln>
              <a:noFill/>
            </a:ln>
            <a:effectLst/>
          </c:spPr>
          <c:invertIfNegative val="0"/>
          <c:dLbls>
            <c:delete val="1"/>
          </c:dLbls>
          <c:cat>
            <c:strRef>
              <c:f>Sheet1!$A$2:$A$3</c:f>
              <c:strCache>
                <c:ptCount val="2"/>
                <c:pt idx="0">
                  <c:v>2019年行政编制人员</c:v>
                </c:pt>
                <c:pt idx="1">
                  <c:v>2019年实有人员</c:v>
                </c:pt>
              </c:strCache>
            </c:strRef>
          </c:cat>
          <c:val>
            <c:numRef>
              <c:f>Sheet1!$B$2:$B$3</c:f>
              <c:numCache>
                <c:formatCode>General</c:formatCode>
                <c:ptCount val="2"/>
                <c:pt idx="0">
                  <c:v>9</c:v>
                </c:pt>
                <c:pt idx="1">
                  <c:v>9</c:v>
                </c:pt>
              </c:numCache>
            </c:numRef>
          </c:val>
        </c:ser>
        <c:dLbls>
          <c:showLegendKey val="0"/>
          <c:showVal val="0"/>
          <c:showCatName val="0"/>
          <c:showSerName val="0"/>
          <c:showPercent val="0"/>
          <c:showBubbleSize val="0"/>
        </c:dLbls>
        <c:gapWidth val="219"/>
        <c:overlap val="-27"/>
        <c:axId val="995205501"/>
        <c:axId val="722912578"/>
      </c:barChart>
      <c:catAx>
        <c:axId val="99520550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2912578"/>
        <c:crosses val="autoZero"/>
        <c:auto val="1"/>
        <c:lblAlgn val="ctr"/>
        <c:lblOffset val="100"/>
        <c:noMultiLvlLbl val="0"/>
      </c:catAx>
      <c:valAx>
        <c:axId val="72291257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520550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layout/>
      <c:overlay val="0"/>
      <c:spPr>
        <a:noFill/>
        <a:ln>
          <a:noFill/>
        </a:ln>
        <a:effectLst/>
      </c:spPr>
    </c:title>
    <c:autoTitleDeleted val="0"/>
    <c:plotArea>
      <c:layout>
        <c:manualLayout>
          <c:layoutTarget val="inner"/>
          <c:xMode val="edge"/>
          <c:yMode val="edge"/>
          <c:x val="0.310760517799353"/>
          <c:y val="0.201075268817204"/>
          <c:w val="0.369741100323625"/>
          <c:h val="0.614247311827957"/>
        </c:manualLayout>
      </c:layout>
      <c:pieChart>
        <c:varyColors val="1"/>
        <c:ser>
          <c:idx val="0"/>
          <c:order val="0"/>
          <c:tx>
            <c:strRef>
              <c:f>[工作簿1]Sheet1!$A$35</c:f>
              <c:strCache>
                <c:ptCount val="1"/>
                <c:pt idx="0">
                  <c:v>财政拨款收入</c:v>
                </c:pt>
              </c:strCache>
            </c:strRef>
          </c:tx>
          <c:explosion val="0"/>
          <c:dPt>
            <c:idx val="0"/>
            <c:bubble3D val="0"/>
            <c:spPr>
              <a:solidFill>
                <a:srgbClr val="4F81BD"/>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1"/>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LegendKey val="0"/>
          <c:showVal val="0"/>
          <c:showCatName val="0"/>
          <c:showSerName val="1"/>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en-US"/>
              <a:t>年支出总额</a:t>
            </a:r>
            <a:endParaRPr lang="en-US" altLang="zh-CN"/>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Sheet1!$A$2:$A$3</c:f>
              <c:strCache>
                <c:ptCount val="2"/>
                <c:pt idx="0">
                  <c:v>项目支出</c:v>
                </c:pt>
                <c:pt idx="1">
                  <c:v>基本支出</c:v>
                </c:pt>
              </c:strCache>
            </c:strRef>
          </c:cat>
          <c:val>
            <c:numRef>
              <c:f>Sheet1!$B$2:$B$3</c:f>
              <c:numCache>
                <c:formatCode>General</c:formatCode>
                <c:ptCount val="2"/>
                <c:pt idx="0">
                  <c:v>115.36</c:v>
                </c:pt>
                <c:pt idx="1">
                  <c:v>56.83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2018年</c:v>
                </c:pt>
              </c:strCache>
            </c:strRef>
          </c:tx>
          <c:spPr>
            <a:solidFill>
              <a:schemeClr val="accent1"/>
            </a:solidFill>
            <a:ln>
              <a:noFill/>
            </a:ln>
            <a:effectLst/>
          </c:spPr>
          <c:invertIfNegative val="0"/>
          <c:dLbls>
            <c:delete val="1"/>
          </c:dLbls>
          <c:cat>
            <c:strRef>
              <c:f>Sheet1!$A$2:$A$3</c:f>
              <c:strCache>
                <c:ptCount val="2"/>
                <c:pt idx="0">
                  <c:v>财政拨款收入</c:v>
                </c:pt>
                <c:pt idx="1">
                  <c:v>财政拨款支出</c:v>
                </c:pt>
              </c:strCache>
            </c:strRef>
          </c:cat>
          <c:val>
            <c:numRef>
              <c:f>Sheet1!$B$2:$B$3</c:f>
              <c:numCache>
                <c:formatCode>General</c:formatCode>
                <c:ptCount val="2"/>
                <c:pt idx="0">
                  <c:v>118.3</c:v>
                </c:pt>
                <c:pt idx="1">
                  <c:v>118.3</c:v>
                </c:pt>
              </c:numCache>
            </c:numRef>
          </c:val>
        </c:ser>
        <c:ser>
          <c:idx val="1"/>
          <c:order val="1"/>
          <c:tx>
            <c:strRef>
              <c:f>Sheet1!$C$1</c:f>
              <c:strCache>
                <c:ptCount val="1"/>
                <c:pt idx="0">
                  <c:v>2019年</c:v>
                </c:pt>
              </c:strCache>
            </c:strRef>
          </c:tx>
          <c:spPr>
            <a:solidFill>
              <a:schemeClr val="accent2"/>
            </a:solidFill>
            <a:ln>
              <a:noFill/>
            </a:ln>
            <a:effectLst/>
          </c:spPr>
          <c:invertIfNegative val="0"/>
          <c:dLbls>
            <c:delete val="1"/>
          </c:dLbls>
          <c:cat>
            <c:strRef>
              <c:f>Sheet1!$A$2:$A$3</c:f>
              <c:strCache>
                <c:ptCount val="2"/>
                <c:pt idx="0">
                  <c:v>财政拨款收入</c:v>
                </c:pt>
                <c:pt idx="1">
                  <c:v>财政拨款支出</c:v>
                </c:pt>
              </c:strCache>
            </c:strRef>
          </c:cat>
          <c:val>
            <c:numRef>
              <c:f>Sheet1!$C$2:$C$3</c:f>
              <c:numCache>
                <c:formatCode>General</c:formatCode>
                <c:ptCount val="2"/>
                <c:pt idx="0">
                  <c:v>172.19</c:v>
                </c:pt>
                <c:pt idx="1">
                  <c:v>172.19</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财政拨款收入</c:v>
                </c:pt>
                <c:pt idx="1">
                  <c:v>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85241476"/>
        <c:axId val="730219293"/>
      </c:barChart>
      <c:catAx>
        <c:axId val="18524147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30219293"/>
        <c:crosses val="autoZero"/>
        <c:auto val="1"/>
        <c:lblAlgn val="ctr"/>
        <c:lblOffset val="100"/>
        <c:noMultiLvlLbl val="0"/>
      </c:catAx>
      <c:valAx>
        <c:axId val="73021929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5241476"/>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30</Pages>
  <Words>10994</Words>
  <Characters>5433</Characters>
  <Lines>339</Lines>
  <Paragraphs>513</Paragraphs>
  <TotalTime>156</TotalTime>
  <ScaleCrop>false</ScaleCrop>
  <LinksUpToDate>false</LinksUpToDate>
  <CharactersWithSpaces>15914</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2020-09-18T10:30:00Z</dcterms:created>
  <dc:creator>lenovo</dc:creator>
  <cp:lastModifiedBy>Administrator</cp:lastModifiedBy>
  <cp:lastPrinted>2020-10-12T03:14:43Z</cp:lastPrinted>
  <dcterms:modified xsi:type="dcterms:W3CDTF">2020-10-12T06:38:40Z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