
<file path=[Content_Types].xml><?xml version="1.0" encoding="utf-8"?>
<Types xmlns="http://schemas.openxmlformats.org/package/2006/content-types">
  <Default Extension="xml" ContentType="application/xml"/>
  <Default Extension="wmf" ContentType="image/x-wmf"/>
  <Default Extension="xlsx" ContentType="application/vnd.openxmlformats-officedocument.spreadsheetml.sheet"/>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rPr>
          <w:rFonts w:ascii="宋体" w:hAnsi="宋体" w:eastAsia="宋体"/>
          <w:szCs w:val="32"/>
        </w:rPr>
      </w:pPr>
      <w:r>
        <w:rPr>
          <w:rFonts w:hint="eastAsia" w:ascii="宋体" w:hAnsi="宋体" w:eastAsia="宋体"/>
          <w:szCs w:val="32"/>
        </w:rPr>
        <w:t>附件</w:t>
      </w:r>
    </w:p>
    <w:p>
      <w:pPr>
        <w:jc w:val="center"/>
        <w:rPr>
          <w:rFonts w:ascii="宋体" w:hAnsi="宋体" w:eastAsia="宋体" w:cs="宋体"/>
          <w:b/>
          <w:bCs/>
          <w:sz w:val="44"/>
          <w:szCs w:val="44"/>
        </w:rPr>
      </w:pPr>
    </w:p>
    <w:p>
      <w:pPr>
        <w:spacing w:line="440" w:lineRule="exact"/>
        <w:jc w:val="center"/>
        <w:rPr>
          <w:rFonts w:ascii="宋体" w:hAnsi="宋体" w:eastAsia="宋体" w:cs="宋体"/>
          <w:b/>
          <w:bCs/>
          <w:sz w:val="44"/>
          <w:szCs w:val="44"/>
        </w:rPr>
      </w:pPr>
    </w:p>
    <w:p>
      <w:pPr>
        <w:spacing w:line="560" w:lineRule="exact"/>
        <w:jc w:val="center"/>
        <w:rPr>
          <w:rFonts w:hint="eastAsia" w:ascii="宋体" w:hAnsi="宋体" w:eastAsia="宋体" w:cstheme="majorEastAsia"/>
          <w:b/>
          <w:bCs/>
          <w:sz w:val="48"/>
          <w:szCs w:val="48"/>
          <w:lang w:eastAsia="zh-CN"/>
        </w:rPr>
      </w:pPr>
      <w:r>
        <w:rPr>
          <w:rFonts w:hint="eastAsia" w:ascii="宋体" w:hAnsi="宋体" w:eastAsia="宋体" w:cstheme="majorEastAsia"/>
          <w:b/>
          <w:bCs/>
          <w:sz w:val="48"/>
          <w:szCs w:val="48"/>
          <w:lang w:eastAsia="zh-CN"/>
        </w:rPr>
        <w:t>蓝田县科学技术协会</w:t>
      </w:r>
    </w:p>
    <w:p>
      <w:pPr>
        <w:spacing w:line="560" w:lineRule="exact"/>
        <w:jc w:val="center"/>
        <w:rPr>
          <w:rFonts w:ascii="宋体" w:hAnsi="宋体" w:eastAsia="宋体" w:cstheme="majorEastAsia"/>
          <w:b/>
          <w:bCs/>
          <w:sz w:val="48"/>
          <w:szCs w:val="48"/>
        </w:rPr>
      </w:pPr>
      <w:r>
        <w:rPr>
          <w:rFonts w:hint="eastAsia" w:ascii="宋体" w:hAnsi="宋体" w:eastAsia="宋体" w:cstheme="majorEastAsia"/>
          <w:b/>
          <w:bCs/>
          <w:sz w:val="48"/>
          <w:szCs w:val="48"/>
        </w:rPr>
        <w:t>2019年度</w:t>
      </w:r>
      <w:bookmarkStart w:id="0" w:name="_GoBack"/>
      <w:bookmarkEnd w:id="0"/>
      <w:r>
        <w:rPr>
          <w:rFonts w:hint="eastAsia" w:ascii="宋体" w:hAnsi="宋体" w:eastAsia="宋体" w:cstheme="majorEastAsia"/>
          <w:b/>
          <w:bCs/>
          <w:sz w:val="48"/>
          <w:szCs w:val="48"/>
        </w:rPr>
        <w:t>部门决算</w:t>
      </w:r>
    </w:p>
    <w:p>
      <w:pPr>
        <w:spacing w:line="560" w:lineRule="exact"/>
        <w:jc w:val="center"/>
        <w:rPr>
          <w:rFonts w:asciiTheme="majorEastAsia" w:hAnsiTheme="majorEastAsia" w:eastAsiaTheme="majorEastAsia" w:cstheme="majorEastAsia"/>
          <w:b/>
          <w:bCs/>
          <w:sz w:val="44"/>
          <w:szCs w:val="44"/>
        </w:rPr>
      </w:pPr>
    </w:p>
    <w:p>
      <w:pPr>
        <w:spacing w:line="560" w:lineRule="exact"/>
        <w:jc w:val="center"/>
        <w:rPr>
          <w:rFonts w:asciiTheme="majorEastAsia" w:hAnsiTheme="majorEastAsia" w:eastAsiaTheme="majorEastAsia" w:cstheme="majorEastAsia"/>
          <w:b/>
          <w:bCs/>
          <w:sz w:val="44"/>
          <w:szCs w:val="44"/>
        </w:rPr>
      </w:pPr>
    </w:p>
    <w:p>
      <w:pPr>
        <w:spacing w:line="560" w:lineRule="exact"/>
        <w:jc w:val="center"/>
        <w:rPr>
          <w:rFonts w:asciiTheme="majorEastAsia" w:hAnsiTheme="majorEastAsia" w:eastAsiaTheme="majorEastAsia" w:cstheme="majorEastAsia"/>
          <w:b/>
          <w:bCs/>
          <w:sz w:val="44"/>
          <w:szCs w:val="44"/>
        </w:rPr>
      </w:pPr>
    </w:p>
    <w:p>
      <w:pPr>
        <w:spacing w:line="560" w:lineRule="exact"/>
        <w:jc w:val="center"/>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400" w:lineRule="exact"/>
        <w:ind w:firstLine="2570" w:firstLineChars="800"/>
        <w:rPr>
          <w:rFonts w:asciiTheme="majorEastAsia" w:hAnsiTheme="majorEastAsia" w:eastAsiaTheme="majorEastAsia" w:cstheme="majorEastAsia"/>
          <w:b/>
          <w:bCs/>
          <w:szCs w:val="32"/>
        </w:rPr>
      </w:pPr>
    </w:p>
    <w:p>
      <w:pPr>
        <w:spacing w:line="400" w:lineRule="exact"/>
        <w:ind w:firstLine="2570" w:firstLineChars="800"/>
        <w:rPr>
          <w:rFonts w:asciiTheme="majorEastAsia" w:hAnsiTheme="majorEastAsia" w:eastAsiaTheme="majorEastAsia" w:cstheme="majorEastAsia"/>
          <w:b/>
          <w:bCs/>
          <w:szCs w:val="32"/>
        </w:rPr>
      </w:pPr>
    </w:p>
    <w:p>
      <w:pPr>
        <w:spacing w:line="400" w:lineRule="exact"/>
        <w:ind w:firstLine="2088" w:firstLineChars="650"/>
        <w:rPr>
          <w:rFonts w:ascii="宋体" w:hAnsi="宋体" w:eastAsia="宋体" w:cstheme="minorEastAsia"/>
          <w:b/>
          <w:bCs/>
          <w:szCs w:val="32"/>
        </w:rPr>
      </w:pPr>
      <w:r>
        <w:rPr>
          <w:rFonts w:hint="eastAsia" w:ascii="宋体" w:hAnsi="宋体" w:eastAsia="宋体" w:cstheme="minorEastAsia"/>
          <w:b/>
          <w:bCs/>
          <w:szCs w:val="32"/>
        </w:rPr>
        <w:t>保密审查情况：已审查</w:t>
      </w:r>
    </w:p>
    <w:p>
      <w:pPr>
        <w:spacing w:line="400" w:lineRule="exact"/>
        <w:jc w:val="center"/>
        <w:rPr>
          <w:rFonts w:ascii="宋体" w:hAnsi="宋体" w:eastAsia="宋体" w:cstheme="minorEastAsia"/>
          <w:b/>
          <w:bCs/>
          <w:szCs w:val="32"/>
        </w:rPr>
      </w:pPr>
    </w:p>
    <w:p>
      <w:pPr>
        <w:spacing w:line="400" w:lineRule="exact"/>
        <w:ind w:firstLine="2088" w:firstLineChars="650"/>
        <w:rPr>
          <w:rFonts w:ascii="宋体" w:hAnsi="宋体" w:eastAsia="宋体" w:cs="宋体"/>
          <w:b/>
          <w:bCs/>
          <w:szCs w:val="32"/>
        </w:rPr>
      </w:pPr>
      <w:r>
        <w:rPr>
          <w:rFonts w:hint="eastAsia" w:ascii="宋体" w:hAnsi="宋体" w:eastAsia="宋体" w:cstheme="minorEastAsia"/>
          <w:b/>
          <w:bCs/>
          <w:szCs w:val="32"/>
        </w:rPr>
        <w:t>部门主要负责人审签情况：已审签</w:t>
      </w:r>
    </w:p>
    <w:p>
      <w:pPr>
        <w:spacing w:line="400" w:lineRule="exact"/>
        <w:rPr>
          <w:rFonts w:ascii="宋体" w:hAnsi="宋体" w:cs="宋体"/>
          <w:b/>
          <w:bCs/>
          <w:szCs w:val="32"/>
        </w:rPr>
      </w:pPr>
    </w:p>
    <w:p>
      <w:pPr>
        <w:spacing w:line="400" w:lineRule="exact"/>
        <w:rPr>
          <w:rFonts w:ascii="宋体" w:hAnsi="宋体" w:cs="宋体"/>
          <w:b/>
          <w:bCs/>
          <w:szCs w:val="32"/>
        </w:rPr>
      </w:pPr>
    </w:p>
    <w:p>
      <w:pPr>
        <w:rPr>
          <w:rFonts w:ascii="黑体" w:hAnsi="宋体" w:eastAsia="黑体"/>
          <w:b/>
          <w:color w:val="000000"/>
          <w:kern w:val="0"/>
          <w:sz w:val="56"/>
          <w:szCs w:val="56"/>
        </w:rPr>
      </w:pPr>
    </w:p>
    <w:p>
      <w:pPr>
        <w:jc w:val="center"/>
        <w:rPr>
          <w:rFonts w:ascii="黑体" w:hAnsi="宋体" w:eastAsia="黑体"/>
          <w:bCs/>
          <w:color w:val="000000"/>
          <w:kern w:val="0"/>
          <w:sz w:val="36"/>
          <w:szCs w:val="36"/>
        </w:rPr>
      </w:pPr>
      <w:r>
        <w:rPr>
          <w:rFonts w:ascii="黑体" w:hAnsi="宋体" w:eastAsia="黑体"/>
          <w:bCs/>
          <w:color w:val="000000"/>
          <w:kern w:val="0"/>
          <w:sz w:val="36"/>
          <w:szCs w:val="36"/>
        </w:rPr>
        <w:t>目录</w:t>
      </w:r>
    </w:p>
    <w:p>
      <w:pPr>
        <w:jc w:val="center"/>
        <w:rPr>
          <w:rFonts w:ascii="黑体" w:hAnsi="宋体" w:eastAsia="黑体"/>
          <w:bCs/>
          <w:color w:val="000000"/>
          <w:kern w:val="0"/>
          <w:sz w:val="36"/>
          <w:szCs w:val="36"/>
        </w:rPr>
      </w:pPr>
    </w:p>
    <w:p>
      <w:pPr>
        <w:widowControl/>
        <w:jc w:val="center"/>
      </w:pPr>
      <w:r>
        <w:rPr>
          <w:rFonts w:hint="eastAsia" w:ascii="黑体" w:hAnsi="宋体" w:eastAsia="黑体"/>
          <w:color w:val="000000"/>
          <w:kern w:val="0"/>
          <w:szCs w:val="32"/>
        </w:rPr>
        <w:t>第一部分 部门概况</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一、部门主要职责及内设机构</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二、部门决算单位构成</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三、部门人员情况</w:t>
      </w:r>
    </w:p>
    <w:p>
      <w:pPr>
        <w:widowControl/>
        <w:jc w:val="center"/>
      </w:pPr>
      <w:r>
        <w:rPr>
          <w:rFonts w:hint="eastAsia" w:ascii="黑体" w:hAnsi="宋体" w:eastAsia="黑体"/>
          <w:color w:val="000000"/>
          <w:kern w:val="0"/>
          <w:szCs w:val="32"/>
        </w:rPr>
        <w:t>第二部分  2019年度部门决算表</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一、收入支出决算总表     </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二、收入决算总表     </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三、支出决算总表    </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四、财政拨款收入支出决算总表    </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五、一般公共预算财政拨款支出决算表  </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六、一般公共预算财政拨款基本支出决算表    </w:t>
      </w:r>
    </w:p>
    <w:p>
      <w:pPr>
        <w:widowControl/>
        <w:ind w:left="640" w:hanging="640" w:hangingChars="200"/>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七、一般公共预算财政拨款“三公”经费及会议费、培训费支出决算表    </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八、政府性基金预算财政拨款收入支出决算表</w:t>
      </w:r>
    </w:p>
    <w:p>
      <w:pPr>
        <w:widowControl/>
        <w:jc w:val="center"/>
      </w:pPr>
      <w:r>
        <w:rPr>
          <w:rFonts w:hint="eastAsia" w:ascii="黑体" w:hAnsi="宋体" w:eastAsia="黑体"/>
          <w:color w:val="000000"/>
          <w:kern w:val="0"/>
          <w:szCs w:val="32"/>
        </w:rPr>
        <w:t>第三部分 2019年度部门决算情况说明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一、收入支出决算总体情况说明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二、收入决算情况说明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三、支出决算情况说明</w:t>
      </w:r>
    </w:p>
    <w:p>
      <w:pPr>
        <w:widowControl/>
        <w:jc w:val="left"/>
        <w:rPr>
          <w:rFonts w:ascii="楷体" w:hAnsi="楷体" w:eastAsia="楷体" w:cs="楷体"/>
        </w:rPr>
      </w:pPr>
      <w:r>
        <w:rPr>
          <w:rFonts w:hint="eastAsia" w:ascii="仿宋" w:hAnsi="仿宋" w:eastAsia="仿宋" w:cs="楷体"/>
          <w:color w:val="000000"/>
          <w:kern w:val="0"/>
          <w:szCs w:val="32"/>
        </w:rPr>
        <w:t>四、财政拨款收入支出决算总体情况说明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五、一般公共预算财政拨款支出决算情况说明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（一）财政拨款支出决算总体情况说明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（二）财政拨款支出决算具体情况说明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六、一般公共预算财政拨款基本支出决算情况说明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七、一般公共预算财政拨款“三公”经费及会议费、培训费支出决算情况说明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（一）“三公”经费财政拨款支出决算总体情况说明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（二）“三公”经费财政拨款支出决算具体情况说明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（三）培训费支出情况说明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（四）会议费支出情况说明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八、政府性基金预算财政拨款收入支出情况说明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九、国有资本经营财政拨款收入支出情况说明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十、预算绩效情况说明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（一）预算绩效管理工作开展情况说明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（二）部门决算中项目绩效自评结果</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（三）部门决算中整体支出绩效自评结果</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 十一、其他重要事项说明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（一）机关运行经费支出情况说明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（二）政府采购支出情况说明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（三）国有资产占用及购置情况说明</w:t>
      </w:r>
    </w:p>
    <w:p>
      <w:pPr>
        <w:jc w:val="center"/>
        <w:rPr>
          <w:rFonts w:ascii="黑体" w:hAnsi="宋体" w:eastAsia="黑体"/>
          <w:color w:val="000000"/>
          <w:kern w:val="0"/>
          <w:szCs w:val="32"/>
        </w:rPr>
      </w:pPr>
      <w:r>
        <w:rPr>
          <w:rFonts w:hint="eastAsia" w:ascii="黑体" w:hAnsi="宋体" w:eastAsia="黑体"/>
          <w:color w:val="000000"/>
          <w:kern w:val="0"/>
          <w:szCs w:val="32"/>
        </w:rPr>
        <w:t>第四部分 专业名词解释</w:t>
      </w:r>
    </w:p>
    <w:p>
      <w:pPr>
        <w:rPr>
          <w:rFonts w:ascii="黑体" w:hAnsi="宋体" w:eastAsia="黑体"/>
          <w:color w:val="000000"/>
          <w:kern w:val="0"/>
          <w:szCs w:val="32"/>
        </w:rPr>
      </w:pPr>
    </w:p>
    <w:p>
      <w:pPr>
        <w:jc w:val="center"/>
        <w:rPr>
          <w:rFonts w:ascii="黑体" w:hAnsi="宋体" w:eastAsia="黑体"/>
          <w:color w:val="000000"/>
          <w:kern w:val="0"/>
          <w:sz w:val="44"/>
          <w:szCs w:val="44"/>
        </w:rPr>
      </w:pPr>
    </w:p>
    <w:p>
      <w:pPr>
        <w:numPr>
          <w:ilvl w:val="0"/>
          <w:numId w:val="1"/>
        </w:numPr>
        <w:jc w:val="center"/>
        <w:rPr>
          <w:rFonts w:ascii="黑体" w:hAnsi="宋体" w:eastAsia="黑体"/>
          <w:color w:val="000000"/>
          <w:kern w:val="0"/>
          <w:sz w:val="44"/>
          <w:szCs w:val="44"/>
        </w:rPr>
      </w:pPr>
      <w:r>
        <w:rPr>
          <w:rFonts w:hint="eastAsia" w:ascii="黑体" w:hAnsi="宋体" w:eastAsia="黑体"/>
          <w:color w:val="000000"/>
          <w:kern w:val="0"/>
          <w:sz w:val="44"/>
          <w:szCs w:val="44"/>
        </w:rPr>
        <w:t>部门</w:t>
      </w:r>
      <w:r>
        <w:rPr>
          <w:rFonts w:ascii="黑体" w:hAnsi="宋体" w:eastAsia="黑体"/>
          <w:color w:val="000000"/>
          <w:kern w:val="0"/>
          <w:sz w:val="44"/>
          <w:szCs w:val="44"/>
        </w:rPr>
        <w:t>概况</w:t>
      </w:r>
    </w:p>
    <w:p>
      <w:pPr>
        <w:rPr>
          <w:rFonts w:ascii="黑体" w:hAnsi="宋体" w:eastAsia="黑体"/>
          <w:color w:val="000000"/>
          <w:kern w:val="0"/>
          <w:sz w:val="44"/>
          <w:szCs w:val="44"/>
        </w:rPr>
      </w:pPr>
    </w:p>
    <w:p>
      <w:pPr>
        <w:widowControl/>
        <w:ind w:firstLine="640" w:firstLineChars="200"/>
        <w:jc w:val="left"/>
        <w:rPr>
          <w:rFonts w:hint="eastAsia" w:ascii="黑体" w:hAnsi="宋体" w:eastAsia="黑体"/>
          <w:color w:val="000000"/>
          <w:kern w:val="0"/>
          <w:szCs w:val="32"/>
          <w:lang w:eastAsia="zh-CN"/>
        </w:rPr>
      </w:pPr>
      <w:r>
        <w:rPr>
          <w:rFonts w:hint="eastAsia" w:ascii="黑体" w:hAnsi="宋体" w:eastAsia="黑体"/>
          <w:color w:val="000000"/>
          <w:kern w:val="0"/>
          <w:szCs w:val="32"/>
        </w:rPr>
        <w:t>一、部门主要职责及内设机构</w:t>
      </w:r>
    </w:p>
    <w:p>
      <w:pPr>
        <w:widowControl/>
        <w:ind w:firstLine="643" w:firstLineChars="200"/>
        <w:jc w:val="left"/>
        <w:rPr>
          <w:rFonts w:ascii="楷体" w:hAnsi="楷体" w:eastAsia="楷体" w:cs="楷体"/>
          <w:b/>
          <w:bCs/>
          <w:color w:val="000000"/>
          <w:kern w:val="0"/>
          <w:szCs w:val="32"/>
        </w:rPr>
      </w:pPr>
      <w:r>
        <w:rPr>
          <w:rFonts w:hint="eastAsia" w:ascii="楷体" w:hAnsi="楷体" w:eastAsia="楷体" w:cs="楷体"/>
          <w:b/>
          <w:bCs/>
          <w:color w:val="000000"/>
          <w:kern w:val="0"/>
          <w:szCs w:val="32"/>
        </w:rPr>
        <w:t>（一）主要职责</w:t>
      </w:r>
    </w:p>
    <w:p>
      <w:pPr>
        <w:spacing w:line="360" w:lineRule="auto"/>
        <w:ind w:firstLine="640" w:firstLineChars="200"/>
        <w:rPr>
          <w:rFonts w:hint="eastAsia" w:ascii="仿宋" w:hAnsi="仿宋" w:eastAsia="仿宋" w:cs="宋体"/>
          <w:szCs w:val="32"/>
          <w:lang w:eastAsia="zh-CN"/>
        </w:rPr>
      </w:pPr>
      <w:r>
        <w:rPr>
          <w:rFonts w:hint="eastAsia" w:ascii="仿宋" w:hAnsi="仿宋" w:eastAsia="仿宋" w:cs="宋体"/>
          <w:szCs w:val="32"/>
        </w:rPr>
        <w:t>⑴、贯彻</w:t>
      </w:r>
      <w:r>
        <w:rPr>
          <w:rFonts w:hint="eastAsia" w:ascii="仿宋" w:hAnsi="仿宋" w:eastAsia="仿宋" w:cs="宋体"/>
          <w:szCs w:val="32"/>
          <w:lang w:eastAsia="zh-CN"/>
        </w:rPr>
        <w:t>党的科技方针、政策，团结和动员全县广大科技工作参与、推动科教兴县、人才强县和可持续发展战略的实施，促进科技进步、经济发展和社会繁荣。</w:t>
      </w:r>
    </w:p>
    <w:p>
      <w:pPr>
        <w:spacing w:line="360" w:lineRule="auto"/>
        <w:ind w:firstLine="646"/>
        <w:jc w:val="left"/>
        <w:rPr>
          <w:rFonts w:hint="eastAsia" w:ascii="仿宋" w:hAnsi="仿宋" w:eastAsia="仿宋" w:cs="宋体"/>
          <w:szCs w:val="32"/>
          <w:lang w:eastAsia="zh-CN"/>
        </w:rPr>
      </w:pPr>
      <w:r>
        <w:rPr>
          <w:rFonts w:hint="eastAsia" w:ascii="仿宋" w:hAnsi="仿宋" w:eastAsia="仿宋" w:cs="宋体"/>
          <w:szCs w:val="32"/>
        </w:rPr>
        <w:t>⑵、</w:t>
      </w:r>
      <w:r>
        <w:rPr>
          <w:rFonts w:hint="eastAsia" w:ascii="仿宋" w:hAnsi="仿宋" w:eastAsia="仿宋" w:cs="宋体"/>
          <w:szCs w:val="32"/>
          <w:lang w:eastAsia="zh-CN"/>
        </w:rPr>
        <w:t>负责开展科学技术交流和学术活动，活跃学术思想，促进学科发展，推动自主创新；监督管理主管的学术团体，促进科学道德建设和学风建设。</w:t>
      </w:r>
    </w:p>
    <w:p>
      <w:pPr>
        <w:spacing w:line="360" w:lineRule="auto"/>
        <w:ind w:firstLine="646"/>
        <w:jc w:val="left"/>
        <w:rPr>
          <w:rFonts w:hint="eastAsia" w:ascii="仿宋" w:hAnsi="仿宋" w:eastAsia="仿宋" w:cs="宋体"/>
          <w:szCs w:val="32"/>
        </w:rPr>
      </w:pPr>
      <w:r>
        <w:rPr>
          <w:rFonts w:hint="eastAsia" w:ascii="仿宋" w:hAnsi="仿宋" w:eastAsia="仿宋" w:cs="宋体"/>
          <w:szCs w:val="32"/>
        </w:rPr>
        <w:t>⑶、</w:t>
      </w:r>
      <w:r>
        <w:rPr>
          <w:rFonts w:hint="eastAsia" w:ascii="仿宋" w:hAnsi="仿宋" w:eastAsia="仿宋" w:cs="宋体"/>
          <w:szCs w:val="32"/>
          <w:lang w:eastAsia="zh-CN"/>
        </w:rPr>
        <w:t>制定科普工作规划，组织动员社会各方面力量，广泛开展科学普及工作；指导科普示范基地等科普设施和场所的建设和管理；负责科普工作者队伍建设</w:t>
      </w:r>
      <w:r>
        <w:rPr>
          <w:rFonts w:hint="eastAsia" w:ascii="仿宋" w:hAnsi="仿宋" w:eastAsia="仿宋" w:cs="宋体"/>
          <w:szCs w:val="32"/>
        </w:rPr>
        <w:t>。</w:t>
      </w:r>
    </w:p>
    <w:p>
      <w:pPr>
        <w:spacing w:line="360" w:lineRule="auto"/>
        <w:ind w:firstLine="646"/>
        <w:jc w:val="left"/>
        <w:rPr>
          <w:rFonts w:hint="eastAsia" w:ascii="仿宋" w:hAnsi="仿宋" w:eastAsia="仿宋" w:cs="宋体"/>
          <w:szCs w:val="32"/>
        </w:rPr>
      </w:pPr>
      <w:r>
        <w:rPr>
          <w:rFonts w:hint="eastAsia" w:ascii="仿宋" w:hAnsi="仿宋" w:eastAsia="仿宋" w:cs="宋体"/>
          <w:szCs w:val="32"/>
        </w:rPr>
        <w:t>⑷、</w:t>
      </w:r>
      <w:r>
        <w:rPr>
          <w:rFonts w:hint="eastAsia" w:ascii="仿宋" w:hAnsi="仿宋" w:eastAsia="仿宋" w:cs="宋体"/>
          <w:szCs w:val="32"/>
          <w:lang w:eastAsia="zh-CN"/>
        </w:rPr>
        <w:t>弘扬科学精神、普及科学知识、传播科学思想、推广科学方法，开展青少年科技教育活动，提高公众科学素质</w:t>
      </w:r>
      <w:r>
        <w:rPr>
          <w:rFonts w:hint="eastAsia" w:ascii="仿宋" w:hAnsi="仿宋" w:eastAsia="仿宋" w:cs="宋体"/>
          <w:szCs w:val="32"/>
        </w:rPr>
        <w:t>。</w:t>
      </w:r>
    </w:p>
    <w:p>
      <w:pPr>
        <w:spacing w:line="360" w:lineRule="auto"/>
        <w:ind w:firstLine="645"/>
        <w:jc w:val="left"/>
        <w:rPr>
          <w:rFonts w:hint="eastAsia" w:ascii="仿宋" w:hAnsi="仿宋" w:eastAsia="仿宋" w:cs="宋体"/>
          <w:szCs w:val="32"/>
        </w:rPr>
      </w:pPr>
      <w:r>
        <w:rPr>
          <w:rFonts w:hint="eastAsia" w:ascii="仿宋" w:hAnsi="仿宋" w:eastAsia="仿宋" w:cs="宋体"/>
          <w:szCs w:val="32"/>
        </w:rPr>
        <w:t>⑸、</w:t>
      </w:r>
      <w:r>
        <w:rPr>
          <w:rFonts w:hint="eastAsia" w:ascii="仿宋" w:hAnsi="仿宋" w:eastAsia="仿宋" w:cs="宋体"/>
          <w:szCs w:val="32"/>
          <w:lang w:eastAsia="zh-CN"/>
        </w:rPr>
        <w:t>开展调查研究，反映科技工作者的意见和建议，维护科技工作者的合法权益；组织科技工作者参与全县科技政策、制度的制定及政治协商、科学决策、民主监督</w:t>
      </w:r>
      <w:r>
        <w:rPr>
          <w:rFonts w:hint="eastAsia" w:ascii="仿宋" w:hAnsi="仿宋" w:eastAsia="仿宋" w:cs="宋体"/>
          <w:szCs w:val="32"/>
        </w:rPr>
        <w:t>。</w:t>
      </w:r>
    </w:p>
    <w:p>
      <w:pPr>
        <w:spacing w:line="360" w:lineRule="auto"/>
        <w:ind w:firstLine="645"/>
        <w:jc w:val="left"/>
        <w:rPr>
          <w:rFonts w:hint="eastAsia" w:ascii="仿宋" w:hAnsi="仿宋" w:eastAsia="仿宋" w:cs="宋体"/>
          <w:szCs w:val="32"/>
        </w:rPr>
      </w:pPr>
      <w:r>
        <w:rPr>
          <w:rFonts w:hint="eastAsia" w:ascii="仿宋" w:hAnsi="仿宋" w:eastAsia="仿宋" w:cs="宋体"/>
          <w:szCs w:val="32"/>
        </w:rPr>
        <w:t>⑹、</w:t>
      </w:r>
      <w:r>
        <w:rPr>
          <w:rFonts w:hint="eastAsia" w:ascii="仿宋" w:hAnsi="仿宋" w:eastAsia="仿宋" w:cs="宋体"/>
          <w:szCs w:val="32"/>
          <w:lang w:eastAsia="zh-CN"/>
        </w:rPr>
        <w:t>举荐、宣传、表彰优秀科技工作者，发挥学术团体举荐科技人才的作用；组织科技工作者开展面向社会的继续教育工作</w:t>
      </w:r>
      <w:r>
        <w:rPr>
          <w:rFonts w:hint="eastAsia" w:ascii="仿宋" w:hAnsi="仿宋" w:eastAsia="仿宋" w:cs="宋体"/>
          <w:szCs w:val="32"/>
        </w:rPr>
        <w:t>。</w:t>
      </w:r>
    </w:p>
    <w:p>
      <w:pPr>
        <w:spacing w:line="360" w:lineRule="auto"/>
        <w:ind w:firstLine="645"/>
        <w:jc w:val="left"/>
        <w:rPr>
          <w:rFonts w:hint="eastAsia" w:ascii="仿宋" w:hAnsi="仿宋" w:eastAsia="仿宋" w:cs="宋体"/>
          <w:szCs w:val="32"/>
        </w:rPr>
      </w:pPr>
      <w:r>
        <w:rPr>
          <w:rFonts w:hint="eastAsia" w:ascii="仿宋" w:hAnsi="仿宋" w:eastAsia="仿宋" w:cs="宋体"/>
          <w:szCs w:val="32"/>
        </w:rPr>
        <w:t>⑺、</w:t>
      </w:r>
      <w:r>
        <w:rPr>
          <w:rFonts w:hint="eastAsia" w:ascii="仿宋" w:hAnsi="仿宋" w:eastAsia="仿宋" w:cs="宋体"/>
          <w:szCs w:val="32"/>
          <w:lang w:eastAsia="zh-CN"/>
        </w:rPr>
        <w:t>制定企事业科协工作规程，推动企事业科协组织建设；指导和组织企事业科协开展技术咨询、技术服务、成果转化等工作，促进以企业为主体的技术创新体系的建立</w:t>
      </w:r>
      <w:r>
        <w:rPr>
          <w:rFonts w:hint="eastAsia" w:ascii="仿宋" w:hAnsi="仿宋" w:eastAsia="仿宋" w:cs="宋体"/>
          <w:szCs w:val="32"/>
        </w:rPr>
        <w:t>。</w:t>
      </w:r>
    </w:p>
    <w:p>
      <w:pPr>
        <w:spacing w:line="360" w:lineRule="auto"/>
        <w:ind w:firstLine="640" w:firstLineChars="200"/>
        <w:rPr>
          <w:rFonts w:hint="eastAsia" w:ascii="仿宋" w:hAnsi="仿宋" w:eastAsia="仿宋" w:cs="宋体"/>
          <w:szCs w:val="32"/>
        </w:rPr>
      </w:pPr>
      <w:r>
        <w:rPr>
          <w:rFonts w:hint="eastAsia" w:ascii="仿宋" w:hAnsi="仿宋" w:eastAsia="仿宋" w:cs="宋体"/>
          <w:szCs w:val="32"/>
        </w:rPr>
        <w:t>⑻、</w:t>
      </w:r>
      <w:r>
        <w:rPr>
          <w:rFonts w:hint="eastAsia" w:ascii="仿宋" w:hAnsi="仿宋" w:eastAsia="仿宋" w:cs="宋体"/>
          <w:szCs w:val="32"/>
          <w:lang w:eastAsia="zh-CN"/>
        </w:rPr>
        <w:t>开展民间科技交流，促进国际科技合作，发展同国内外科技团体、科技工作者的友好交往</w:t>
      </w:r>
      <w:r>
        <w:rPr>
          <w:rFonts w:hint="eastAsia" w:ascii="仿宋" w:hAnsi="仿宋" w:eastAsia="仿宋" w:cs="宋体"/>
          <w:szCs w:val="32"/>
        </w:rPr>
        <w:t>。</w:t>
      </w:r>
    </w:p>
    <w:p>
      <w:pPr>
        <w:spacing w:line="360" w:lineRule="auto"/>
        <w:ind w:firstLine="640" w:firstLineChars="200"/>
        <w:rPr>
          <w:rFonts w:hint="eastAsia" w:ascii="仿宋" w:hAnsi="仿宋" w:eastAsia="仿宋" w:cs="宋体"/>
          <w:szCs w:val="32"/>
        </w:rPr>
      </w:pPr>
      <w:r>
        <w:rPr>
          <w:rFonts w:hint="eastAsia" w:ascii="仿宋" w:hAnsi="仿宋" w:eastAsia="仿宋" w:cs="宋体"/>
          <w:szCs w:val="32"/>
        </w:rPr>
        <w:t>⑼、</w:t>
      </w:r>
      <w:r>
        <w:rPr>
          <w:rFonts w:hint="eastAsia" w:ascii="仿宋" w:hAnsi="仿宋" w:eastAsia="仿宋" w:cs="宋体"/>
          <w:szCs w:val="32"/>
          <w:lang w:eastAsia="zh-CN"/>
        </w:rPr>
        <w:t>发挥科技社团优势，有序承接政府转移职能</w:t>
      </w:r>
      <w:r>
        <w:rPr>
          <w:rFonts w:hint="eastAsia" w:ascii="仿宋" w:hAnsi="仿宋" w:eastAsia="仿宋" w:cs="宋体"/>
          <w:szCs w:val="32"/>
        </w:rPr>
        <w:t>。</w:t>
      </w:r>
    </w:p>
    <w:p>
      <w:pPr>
        <w:spacing w:line="360" w:lineRule="auto"/>
        <w:ind w:firstLine="640" w:firstLineChars="200"/>
        <w:rPr>
          <w:rFonts w:hint="eastAsia" w:ascii="仿宋" w:hAnsi="仿宋" w:eastAsia="仿宋" w:cs="宋体"/>
          <w:szCs w:val="32"/>
        </w:rPr>
      </w:pPr>
      <w:r>
        <w:rPr>
          <w:rFonts w:hint="eastAsia" w:ascii="仿宋" w:hAnsi="仿宋" w:eastAsia="仿宋" w:cs="宋体"/>
          <w:szCs w:val="32"/>
        </w:rPr>
        <w:t>⑽、</w:t>
      </w:r>
      <w:r>
        <w:rPr>
          <w:rFonts w:hint="eastAsia" w:ascii="仿宋" w:hAnsi="仿宋" w:eastAsia="仿宋" w:cs="宋体"/>
          <w:szCs w:val="32"/>
          <w:lang w:eastAsia="zh-CN"/>
        </w:rPr>
        <w:t>承办县委、县政府交办的其他事项</w:t>
      </w:r>
      <w:r>
        <w:rPr>
          <w:rFonts w:hint="eastAsia" w:ascii="仿宋" w:hAnsi="仿宋" w:eastAsia="仿宋" w:cs="宋体"/>
          <w:szCs w:val="32"/>
        </w:rPr>
        <w:t>。</w:t>
      </w:r>
    </w:p>
    <w:p>
      <w:pPr>
        <w:spacing w:line="360" w:lineRule="auto"/>
        <w:ind w:firstLine="640" w:firstLineChars="200"/>
        <w:rPr>
          <w:rFonts w:hint="eastAsia" w:ascii="仿宋" w:hAnsi="仿宋" w:eastAsia="仿宋" w:cs="宋体"/>
          <w:szCs w:val="32"/>
          <w:lang w:eastAsia="zh-CN"/>
        </w:rPr>
      </w:pPr>
      <w:r>
        <w:rPr>
          <w:rFonts w:hint="eastAsia" w:ascii="仿宋" w:hAnsi="仿宋" w:eastAsia="仿宋" w:cs="宋体"/>
          <w:szCs w:val="32"/>
          <w:lang w:eastAsia="zh-CN"/>
        </w:rPr>
        <w:t>机关党的机构按照党章规定设置。</w:t>
      </w:r>
    </w:p>
    <w:p>
      <w:pPr>
        <w:spacing w:line="360" w:lineRule="auto"/>
        <w:ind w:firstLine="640" w:firstLineChars="200"/>
        <w:rPr>
          <w:rFonts w:hint="eastAsia" w:ascii="仿宋" w:hAnsi="仿宋" w:eastAsia="仿宋" w:cs="宋体"/>
          <w:szCs w:val="32"/>
          <w:lang w:eastAsia="zh-CN"/>
        </w:rPr>
      </w:pPr>
      <w:r>
        <w:rPr>
          <w:rFonts w:hint="eastAsia" w:ascii="仿宋" w:hAnsi="仿宋" w:eastAsia="仿宋" w:cs="宋体"/>
          <w:szCs w:val="32"/>
          <w:lang w:eastAsia="zh-CN"/>
        </w:rPr>
        <w:t>纪检机构按照有关规定设置。</w:t>
      </w:r>
    </w:p>
    <w:p>
      <w:pPr>
        <w:widowControl/>
        <w:ind w:firstLine="640" w:firstLineChars="200"/>
        <w:jc w:val="left"/>
        <w:rPr>
          <w:rFonts w:hint="eastAsia" w:ascii="楷体" w:hAnsi="楷体" w:eastAsia="楷体" w:cs="楷体"/>
          <w:b/>
          <w:bCs/>
          <w:color w:val="000000"/>
          <w:kern w:val="0"/>
          <w:szCs w:val="32"/>
        </w:rPr>
      </w:pPr>
      <w:r>
        <w:rPr>
          <w:rFonts w:hint="eastAsia" w:ascii="仿宋_GB2312" w:hAnsi="仿宋_GB2312" w:eastAsia="仿宋_GB2312" w:cs="仿宋_GB2312"/>
          <w:szCs w:val="32"/>
        </w:rPr>
        <w:t xml:space="preserve"> </w:t>
      </w:r>
      <w:r>
        <w:rPr>
          <w:rFonts w:hint="eastAsia" w:ascii="楷体" w:hAnsi="楷体" w:eastAsia="楷体" w:cs="楷体"/>
          <w:b/>
          <w:bCs/>
          <w:color w:val="000000"/>
          <w:kern w:val="0"/>
          <w:szCs w:val="32"/>
        </w:rPr>
        <w:t>（二）内设机构</w:t>
      </w:r>
    </w:p>
    <w:p>
      <w:pPr>
        <w:pBdr>
          <w:bottom w:val="single" w:color="FFFFFF" w:sz="4" w:space="31"/>
        </w:pBdr>
        <w:adjustRightInd w:val="0"/>
        <w:snapToGrid w:val="0"/>
        <w:spacing w:line="360" w:lineRule="auto"/>
        <w:ind w:firstLine="640" w:firstLineChars="200"/>
        <w:rPr>
          <w:rFonts w:ascii="仿宋" w:hAnsi="仿宋" w:eastAsia="仿宋" w:cs="宋体"/>
          <w:szCs w:val="32"/>
        </w:rPr>
      </w:pPr>
      <w:r>
        <w:rPr>
          <w:rFonts w:hint="eastAsia" w:ascii="仿宋" w:hAnsi="仿宋" w:eastAsia="仿宋" w:cs="宋体"/>
          <w:szCs w:val="32"/>
          <w:lang w:eastAsia="zh-CN"/>
        </w:rPr>
        <w:t>根据上述职责，县科学技术协会不设置内设机构</w:t>
      </w:r>
      <w:r>
        <w:rPr>
          <w:rFonts w:hint="eastAsia" w:ascii="仿宋" w:hAnsi="仿宋" w:eastAsia="仿宋" w:cs="宋体"/>
          <w:szCs w:val="32"/>
        </w:rPr>
        <w:t>。</w:t>
      </w:r>
    </w:p>
    <w:p>
      <w:pPr>
        <w:pBdr>
          <w:bottom w:val="single" w:color="FFFFFF" w:sz="4" w:space="31"/>
        </w:pBdr>
        <w:adjustRightInd w:val="0"/>
        <w:snapToGrid w:val="0"/>
        <w:spacing w:line="360" w:lineRule="auto"/>
        <w:ind w:firstLine="640" w:firstLineChars="200"/>
        <w:rPr>
          <w:rFonts w:hint="eastAsia" w:ascii="黑体" w:hAnsi="宋体" w:eastAsia="黑体"/>
          <w:color w:val="000000"/>
          <w:kern w:val="0"/>
          <w:szCs w:val="32"/>
        </w:rPr>
      </w:pPr>
      <w:r>
        <w:rPr>
          <w:rFonts w:ascii="黑体" w:hAnsi="宋体" w:eastAsia="黑体"/>
          <w:color w:val="000000"/>
          <w:kern w:val="0"/>
          <w:szCs w:val="32"/>
        </w:rPr>
        <w:t>二、</w:t>
      </w:r>
      <w:r>
        <w:rPr>
          <w:rFonts w:hint="eastAsia" w:ascii="黑体" w:hAnsi="宋体" w:eastAsia="黑体"/>
          <w:color w:val="000000"/>
          <w:kern w:val="0"/>
          <w:szCs w:val="32"/>
        </w:rPr>
        <w:t>部门决算单位构成</w:t>
      </w:r>
    </w:p>
    <w:p>
      <w:pPr>
        <w:pBdr>
          <w:bottom w:val="single" w:color="FFFFFF" w:sz="4" w:space="31"/>
        </w:pBdr>
        <w:adjustRightInd w:val="0"/>
        <w:snapToGrid w:val="0"/>
        <w:spacing w:line="360" w:lineRule="auto"/>
        <w:ind w:firstLine="640" w:firstLineChars="200"/>
        <w:rPr>
          <w:rFonts w:ascii="仿宋_GB2312" w:hAnsi="仿宋_GB2312" w:eastAsia="仿宋_GB2312" w:cs="仿宋_GB2312"/>
          <w:szCs w:val="32"/>
        </w:rPr>
      </w:pPr>
      <w:r>
        <w:rPr>
          <w:rFonts w:hint="eastAsia" w:ascii="仿宋_GB2312" w:hAnsi="仿宋_GB2312" w:eastAsia="仿宋_GB2312" w:cs="仿宋_GB2312"/>
          <w:szCs w:val="32"/>
        </w:rPr>
        <w:t>纳入2019年度本部门决算编制范围的单位共1个，包括</w:t>
      </w:r>
      <w:r>
        <w:rPr>
          <w:rFonts w:hint="eastAsia" w:ascii="仿宋_GB2312" w:hAnsi="仿宋_GB2312" w:eastAsia="仿宋_GB2312" w:cs="仿宋_GB2312"/>
          <w:szCs w:val="32"/>
          <w:lang w:eastAsia="zh-CN"/>
        </w:rPr>
        <w:t>蓝田县科学技术协会</w:t>
      </w:r>
      <w:r>
        <w:rPr>
          <w:rFonts w:hint="eastAsia" w:ascii="仿宋_GB2312" w:hAnsi="仿宋_GB2312" w:eastAsia="仿宋_GB2312" w:cs="仿宋_GB2312"/>
          <w:szCs w:val="32"/>
        </w:rPr>
        <w:t>本级及所属0个</w:t>
      </w:r>
      <w:r>
        <w:rPr>
          <w:rFonts w:ascii="仿宋_GB2312" w:hAnsi="仿宋_GB2312" w:eastAsia="仿宋_GB2312" w:cs="仿宋_GB2312"/>
          <w:color w:val="000000"/>
          <w:kern w:val="0"/>
          <w:sz w:val="31"/>
          <w:szCs w:val="31"/>
        </w:rPr>
        <w:t>二级预算</w:t>
      </w:r>
      <w:r>
        <w:rPr>
          <w:rFonts w:hint="eastAsia" w:ascii="仿宋_GB2312" w:hAnsi="仿宋_GB2312" w:eastAsia="仿宋_GB2312" w:cs="仿宋_GB2312"/>
          <w:szCs w:val="32"/>
        </w:rPr>
        <w:t>单位：</w:t>
      </w:r>
    </w:p>
    <w:tbl>
      <w:tblPr>
        <w:tblStyle w:val="7"/>
        <w:tblW w:w="89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1"/>
        <w:gridCol w:w="72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trPr>
        <w:tc>
          <w:tcPr>
            <w:tcW w:w="1681" w:type="dxa"/>
            <w:vAlign w:val="center"/>
          </w:tcPr>
          <w:p>
            <w:pPr>
              <w:jc w:val="center"/>
              <w:rPr>
                <w:rFonts w:ascii="黑体" w:hAnsi="黑体" w:eastAsia="黑体"/>
                <w:szCs w:val="32"/>
              </w:rPr>
            </w:pPr>
            <w:r>
              <w:rPr>
                <w:rFonts w:hint="eastAsia" w:ascii="黑体" w:hAnsi="黑体" w:eastAsia="黑体"/>
                <w:szCs w:val="32"/>
              </w:rPr>
              <w:t>序号</w:t>
            </w:r>
          </w:p>
        </w:tc>
        <w:tc>
          <w:tcPr>
            <w:tcW w:w="7278" w:type="dxa"/>
            <w:vAlign w:val="center"/>
          </w:tcPr>
          <w:p>
            <w:pPr>
              <w:jc w:val="center"/>
              <w:rPr>
                <w:rFonts w:ascii="黑体" w:hAnsi="黑体" w:eastAsia="黑体"/>
                <w:szCs w:val="32"/>
              </w:rPr>
            </w:pPr>
            <w:r>
              <w:rPr>
                <w:rFonts w:hint="eastAsia" w:ascii="黑体" w:hAnsi="黑体" w:eastAsia="黑体"/>
                <w:szCs w:val="32"/>
              </w:rPr>
              <w:t>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trPr>
        <w:tc>
          <w:tcPr>
            <w:tcW w:w="1681" w:type="dxa"/>
            <w:vAlign w:val="center"/>
          </w:tcPr>
          <w:p>
            <w:pPr>
              <w:jc w:val="center"/>
              <w:rPr>
                <w:rFonts w:ascii="仿宋_GB2312" w:hAnsi="仿宋_GB2312" w:eastAsia="仿宋_GB2312" w:cs="仿宋_GB2312"/>
                <w:szCs w:val="32"/>
              </w:rPr>
            </w:pPr>
            <w:r>
              <w:rPr>
                <w:rFonts w:hint="eastAsia" w:ascii="仿宋_GB2312" w:hAnsi="仿宋_GB2312" w:eastAsia="仿宋_GB2312" w:cs="仿宋_GB2312"/>
                <w:szCs w:val="32"/>
              </w:rPr>
              <w:t>1</w:t>
            </w:r>
          </w:p>
        </w:tc>
        <w:tc>
          <w:tcPr>
            <w:tcW w:w="7278" w:type="dxa"/>
            <w:vAlign w:val="center"/>
          </w:tcPr>
          <w:p>
            <w:pPr>
              <w:jc w:val="center"/>
              <w:rPr>
                <w:rFonts w:ascii="仿宋_GB2312" w:hAnsi="仿宋_GB2312" w:eastAsia="仿宋_GB2312" w:cs="仿宋_GB2312"/>
                <w:szCs w:val="32"/>
              </w:rPr>
            </w:pPr>
            <w:r>
              <w:rPr>
                <w:rFonts w:hint="eastAsia" w:ascii="仿宋_GB2312" w:hAnsi="仿宋_GB2312" w:eastAsia="仿宋_GB2312" w:cs="仿宋_GB2312"/>
                <w:szCs w:val="32"/>
                <w:lang w:eastAsia="zh-CN"/>
              </w:rPr>
              <w:t>蓝田县科学技术协会</w:t>
            </w:r>
            <w:r>
              <w:rPr>
                <w:rFonts w:hint="eastAsia" w:ascii="仿宋_GB2312" w:hAnsi="仿宋_GB2312" w:eastAsia="仿宋_GB2312" w:cs="仿宋_GB2312"/>
                <w:szCs w:val="32"/>
              </w:rPr>
              <w:t>部门本级（机关）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trPr>
        <w:tc>
          <w:tcPr>
            <w:tcW w:w="1681" w:type="dxa"/>
            <w:vAlign w:val="center"/>
          </w:tcPr>
          <w:p>
            <w:pPr>
              <w:jc w:val="center"/>
              <w:rPr>
                <w:rFonts w:ascii="仿宋_GB2312" w:hAnsi="仿宋_GB2312" w:eastAsia="仿宋_GB2312" w:cs="仿宋_GB2312"/>
                <w:szCs w:val="32"/>
              </w:rPr>
            </w:pPr>
            <w:r>
              <w:rPr>
                <w:rFonts w:hint="eastAsia" w:ascii="仿宋_GB2312" w:hAnsi="仿宋_GB2312" w:eastAsia="仿宋_GB2312" w:cs="仿宋_GB2312"/>
                <w:szCs w:val="32"/>
              </w:rPr>
              <w:t>……</w:t>
            </w:r>
          </w:p>
        </w:tc>
        <w:tc>
          <w:tcPr>
            <w:tcW w:w="7278" w:type="dxa"/>
            <w:vAlign w:val="center"/>
          </w:tcPr>
          <w:p>
            <w:pPr>
              <w:jc w:val="center"/>
              <w:rPr>
                <w:rFonts w:ascii="仿宋_GB2312" w:hAnsi="仿宋_GB2312" w:eastAsia="仿宋_GB2312" w:cs="仿宋_GB2312"/>
                <w:szCs w:val="32"/>
              </w:rPr>
            </w:pPr>
            <w:r>
              <w:rPr>
                <w:rFonts w:hint="eastAsia" w:ascii="仿宋_GB2312" w:hAnsi="仿宋_GB2312" w:eastAsia="仿宋_GB2312" w:cs="仿宋_GB2312"/>
                <w:szCs w:val="32"/>
              </w:rPr>
              <w:t>……</w:t>
            </w:r>
          </w:p>
        </w:tc>
      </w:tr>
    </w:tbl>
    <w:p>
      <w:pPr>
        <w:ind w:firstLine="640"/>
        <w:rPr>
          <w:rFonts w:ascii="黑体" w:hAnsi="黑体" w:eastAsia="黑体"/>
          <w:b/>
          <w:bCs/>
          <w:szCs w:val="32"/>
        </w:rPr>
      </w:pPr>
      <w:r>
        <w:rPr>
          <w:rFonts w:hint="eastAsia" w:ascii="黑体" w:hAnsi="黑体" w:eastAsia="黑体"/>
          <w:b/>
          <w:bCs/>
          <w:szCs w:val="32"/>
        </w:rPr>
        <w:t>三、部门人员情况</w:t>
      </w:r>
    </w:p>
    <w:p>
      <w:pPr>
        <w:ind w:firstLine="640"/>
        <w:rPr>
          <w:rFonts w:hint="default" w:ascii="仿宋_GB2312" w:hAnsi="仿宋_GB2312" w:eastAsia="仿宋_GB2312" w:cs="仿宋_GB2312"/>
          <w:szCs w:val="32"/>
          <w:lang w:val="en-US" w:eastAsia="zh-CN"/>
        </w:rPr>
      </w:pPr>
      <w:r>
        <w:rPr>
          <w:rFonts w:hint="eastAsia" w:ascii="仿宋_GB2312" w:hAnsi="仿宋_GB2312" w:eastAsia="仿宋_GB2312" w:cs="仿宋_GB2312"/>
          <w:szCs w:val="32"/>
        </w:rPr>
        <w:t>截止2019年底，本部门人员编制</w:t>
      </w:r>
      <w:r>
        <w:rPr>
          <w:rFonts w:hint="eastAsia" w:ascii="仿宋_GB2312" w:hAnsi="仿宋_GB2312" w:eastAsia="仿宋_GB2312" w:cs="仿宋_GB2312"/>
          <w:szCs w:val="32"/>
          <w:lang w:val="en-US" w:eastAsia="zh-CN"/>
        </w:rPr>
        <w:t>3</w:t>
      </w:r>
      <w:r>
        <w:rPr>
          <w:rFonts w:hint="eastAsia" w:ascii="仿宋_GB2312" w:hAnsi="仿宋_GB2312" w:eastAsia="仿宋_GB2312" w:cs="仿宋_GB2312"/>
          <w:szCs w:val="32"/>
        </w:rPr>
        <w:t>人，其中行政编制</w:t>
      </w:r>
      <w:r>
        <w:rPr>
          <w:rFonts w:hint="eastAsia" w:ascii="仿宋_GB2312" w:hAnsi="仿宋_GB2312" w:eastAsia="仿宋_GB2312" w:cs="仿宋_GB2312"/>
          <w:szCs w:val="32"/>
          <w:lang w:val="en-US" w:eastAsia="zh-CN"/>
        </w:rPr>
        <w:t>3</w:t>
      </w:r>
      <w:r>
        <w:rPr>
          <w:rFonts w:hint="eastAsia" w:ascii="仿宋_GB2312" w:hAnsi="仿宋_GB2312" w:eastAsia="仿宋_GB2312" w:cs="仿宋_GB2312"/>
          <w:szCs w:val="32"/>
        </w:rPr>
        <w:t>人、事业编制</w:t>
      </w:r>
      <w:r>
        <w:rPr>
          <w:rFonts w:hint="eastAsia" w:ascii="仿宋_GB2312" w:hAnsi="仿宋_GB2312" w:eastAsia="仿宋_GB2312" w:cs="仿宋_GB2312"/>
          <w:szCs w:val="32"/>
          <w:lang w:val="en-US" w:eastAsia="zh-CN"/>
        </w:rPr>
        <w:t>0</w:t>
      </w:r>
      <w:r>
        <w:rPr>
          <w:rFonts w:hint="eastAsia" w:ascii="仿宋_GB2312" w:hAnsi="仿宋_GB2312" w:eastAsia="仿宋_GB2312" w:cs="仿宋_GB2312"/>
          <w:szCs w:val="32"/>
        </w:rPr>
        <w:t>人；实有人员</w:t>
      </w:r>
      <w:r>
        <w:rPr>
          <w:rFonts w:hint="eastAsia" w:ascii="仿宋_GB2312" w:hAnsi="仿宋_GB2312" w:eastAsia="仿宋_GB2312" w:cs="仿宋_GB2312"/>
          <w:szCs w:val="32"/>
          <w:lang w:val="en-US" w:eastAsia="zh-CN"/>
        </w:rPr>
        <w:t>2</w:t>
      </w:r>
      <w:r>
        <w:rPr>
          <w:rFonts w:hint="eastAsia" w:ascii="仿宋_GB2312" w:hAnsi="仿宋_GB2312" w:eastAsia="仿宋_GB2312" w:cs="仿宋_GB2312"/>
          <w:szCs w:val="32"/>
        </w:rPr>
        <w:t>人，其中行政</w:t>
      </w:r>
      <w:r>
        <w:rPr>
          <w:rFonts w:hint="eastAsia" w:ascii="仿宋_GB2312" w:hAnsi="仿宋_GB2312" w:eastAsia="仿宋_GB2312" w:cs="仿宋_GB2312"/>
          <w:szCs w:val="32"/>
          <w:lang w:val="en-US" w:eastAsia="zh-CN"/>
        </w:rPr>
        <w:t>2</w:t>
      </w:r>
      <w:r>
        <w:rPr>
          <w:rFonts w:hint="eastAsia" w:ascii="仿宋_GB2312" w:hAnsi="仿宋_GB2312" w:eastAsia="仿宋_GB2312" w:cs="仿宋_GB2312"/>
          <w:szCs w:val="32"/>
        </w:rPr>
        <w:t>人、</w:t>
      </w:r>
      <w:r>
        <w:rPr>
          <w:rFonts w:hint="eastAsia" w:ascii="仿宋_GB2312" w:hAnsi="仿宋_GB2312" w:eastAsia="仿宋_GB2312" w:cs="仿宋_GB2312"/>
          <w:szCs w:val="32"/>
          <w:lang w:eastAsia="zh-CN"/>
        </w:rPr>
        <w:t>事业</w:t>
      </w:r>
      <w:r>
        <w:rPr>
          <w:rFonts w:hint="eastAsia" w:ascii="仿宋_GB2312" w:hAnsi="仿宋_GB2312" w:eastAsia="仿宋_GB2312" w:cs="仿宋_GB2312"/>
          <w:szCs w:val="32"/>
          <w:lang w:val="en-US" w:eastAsia="zh-CN"/>
        </w:rPr>
        <w:t>0人。</w:t>
      </w:r>
    </w:p>
    <w:p>
      <w:pPr>
        <w:widowControl/>
        <w:jc w:val="center"/>
        <w:rPr>
          <w:rFonts w:hint="eastAsia" w:ascii="黑体" w:hAnsi="宋体" w:eastAsia="黑体"/>
          <w:color w:val="000000"/>
          <w:kern w:val="0"/>
          <w:sz w:val="44"/>
          <w:szCs w:val="44"/>
        </w:rPr>
      </w:pPr>
      <w:r>
        <w:rPr>
          <w:rFonts w:hint="eastAsia" w:ascii="黑体" w:hAnsi="宋体" w:eastAsia="黑体"/>
          <w:color w:val="000000"/>
          <w:kern w:val="0"/>
          <w:sz w:val="44"/>
          <w:szCs w:val="44"/>
        </w:rPr>
        <w:drawing>
          <wp:inline distT="0" distB="0" distL="0" distR="0">
            <wp:extent cx="5272405" cy="2501265"/>
            <wp:effectExtent l="19050" t="0" r="23303" b="0"/>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4"/>
              </a:graphicData>
            </a:graphic>
          </wp:inline>
        </w:drawing>
      </w:r>
    </w:p>
    <w:p>
      <w:pPr>
        <w:widowControl/>
        <w:jc w:val="center"/>
        <w:rPr>
          <w:rFonts w:hint="eastAsia" w:ascii="黑体" w:hAnsi="宋体" w:eastAsia="黑体"/>
          <w:color w:val="000000"/>
          <w:kern w:val="0"/>
          <w:sz w:val="44"/>
          <w:szCs w:val="44"/>
        </w:rPr>
      </w:pPr>
    </w:p>
    <w:p>
      <w:pPr>
        <w:widowControl/>
        <w:jc w:val="center"/>
        <w:rPr>
          <w:rFonts w:hint="eastAsia" w:ascii="黑体" w:hAnsi="宋体" w:eastAsia="黑体"/>
          <w:color w:val="000000"/>
          <w:kern w:val="0"/>
          <w:sz w:val="44"/>
          <w:szCs w:val="44"/>
        </w:rPr>
      </w:pPr>
    </w:p>
    <w:p>
      <w:pPr>
        <w:widowControl/>
        <w:jc w:val="center"/>
        <w:rPr>
          <w:rFonts w:hint="eastAsia" w:ascii="黑体" w:hAnsi="宋体" w:eastAsia="黑体"/>
          <w:color w:val="000000"/>
          <w:kern w:val="0"/>
          <w:sz w:val="44"/>
          <w:szCs w:val="44"/>
        </w:rPr>
      </w:pPr>
    </w:p>
    <w:p>
      <w:pPr>
        <w:widowControl/>
        <w:jc w:val="center"/>
        <w:rPr>
          <w:rFonts w:hint="eastAsia" w:ascii="黑体" w:hAnsi="宋体" w:eastAsia="黑体"/>
          <w:color w:val="000000"/>
          <w:kern w:val="0"/>
          <w:sz w:val="44"/>
          <w:szCs w:val="44"/>
        </w:rPr>
      </w:pPr>
    </w:p>
    <w:p>
      <w:pPr>
        <w:widowControl/>
        <w:jc w:val="center"/>
        <w:rPr>
          <w:rFonts w:ascii="黑体" w:hAnsi="宋体" w:eastAsia="黑体"/>
          <w:color w:val="000000"/>
          <w:kern w:val="0"/>
          <w:sz w:val="44"/>
          <w:szCs w:val="44"/>
        </w:rPr>
      </w:pPr>
    </w:p>
    <w:p>
      <w:pPr>
        <w:widowControl/>
        <w:jc w:val="center"/>
        <w:rPr>
          <w:sz w:val="44"/>
          <w:szCs w:val="44"/>
        </w:rPr>
      </w:pPr>
      <w:r>
        <w:rPr>
          <w:rFonts w:ascii="黑体" w:hAnsi="宋体" w:eastAsia="黑体"/>
          <w:color w:val="000000"/>
          <w:kern w:val="0"/>
          <w:sz w:val="44"/>
          <w:szCs w:val="44"/>
        </w:rPr>
        <w:t>第二部分 2019年度部门决算表</w:t>
      </w:r>
    </w:p>
    <w:tbl>
      <w:tblPr>
        <w:tblStyle w:val="6"/>
        <w:tblpPr w:leftFromText="180" w:rightFromText="180" w:vertAnchor="text" w:horzAnchor="page" w:tblpX="1508" w:tblpY="1123"/>
        <w:tblOverlap w:val="never"/>
        <w:tblW w:w="9471" w:type="dxa"/>
        <w:tblInd w:w="0" w:type="dxa"/>
        <w:tblLayout w:type="fixed"/>
        <w:tblCellMar>
          <w:top w:w="0" w:type="dxa"/>
          <w:left w:w="0" w:type="dxa"/>
          <w:bottom w:w="0" w:type="dxa"/>
          <w:right w:w="0" w:type="dxa"/>
        </w:tblCellMar>
      </w:tblPr>
      <w:tblGrid>
        <w:gridCol w:w="570"/>
        <w:gridCol w:w="6240"/>
        <w:gridCol w:w="660"/>
        <w:gridCol w:w="2001"/>
      </w:tblGrid>
      <w:tr>
        <w:tblPrEx>
          <w:tblCellMar>
            <w:top w:w="0" w:type="dxa"/>
            <w:left w:w="0" w:type="dxa"/>
            <w:bottom w:w="0" w:type="dxa"/>
            <w:right w:w="0" w:type="dxa"/>
          </w:tblCellMar>
        </w:tblPrEx>
        <w:trPr>
          <w:trHeight w:val="645" w:hRule="atLeas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黑体" w:hAnsi="宋体" w:eastAsia="黑体"/>
                <w:color w:val="000000"/>
                <w:sz w:val="24"/>
              </w:rPr>
            </w:pPr>
            <w:r>
              <w:rPr>
                <w:rFonts w:hint="eastAsia" w:ascii="黑体" w:hAnsi="宋体" w:eastAsia="黑体"/>
                <w:color w:val="000000"/>
                <w:kern w:val="0"/>
                <w:sz w:val="24"/>
              </w:rPr>
              <w:t>序号</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黑体" w:hAnsi="宋体" w:eastAsia="黑体"/>
                <w:color w:val="000000"/>
                <w:sz w:val="24"/>
              </w:rPr>
            </w:pPr>
            <w:r>
              <w:rPr>
                <w:rFonts w:hint="eastAsia" w:ascii="黑体" w:hAnsi="宋体" w:eastAsia="黑体"/>
                <w:color w:val="000000"/>
                <w:kern w:val="0"/>
                <w:sz w:val="24"/>
              </w:rPr>
              <w:t>内容</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黑体" w:hAnsi="宋体" w:eastAsia="黑体"/>
                <w:color w:val="000000"/>
                <w:kern w:val="0"/>
                <w:sz w:val="24"/>
              </w:rPr>
            </w:pPr>
            <w:r>
              <w:rPr>
                <w:rFonts w:hint="eastAsia" w:ascii="黑体" w:hAnsi="宋体" w:eastAsia="黑体"/>
                <w:color w:val="000000"/>
                <w:kern w:val="0"/>
                <w:sz w:val="24"/>
              </w:rPr>
              <w:t>是否</w:t>
            </w:r>
          </w:p>
          <w:p>
            <w:pPr>
              <w:widowControl/>
              <w:jc w:val="center"/>
              <w:textAlignment w:val="center"/>
              <w:rPr>
                <w:rFonts w:ascii="黑体" w:hAnsi="宋体" w:eastAsia="黑体"/>
                <w:color w:val="000000"/>
                <w:sz w:val="24"/>
              </w:rPr>
            </w:pPr>
            <w:r>
              <w:rPr>
                <w:rFonts w:hint="eastAsia" w:ascii="黑体" w:hAnsi="宋体" w:eastAsia="黑体"/>
                <w:color w:val="000000"/>
                <w:kern w:val="0"/>
                <w:sz w:val="24"/>
              </w:rPr>
              <w:t>空表</w:t>
            </w:r>
          </w:p>
        </w:tc>
        <w:tc>
          <w:tcPr>
            <w:tcW w:w="20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黑体" w:hAnsi="宋体" w:eastAsia="黑体"/>
                <w:color w:val="000000"/>
                <w:sz w:val="24"/>
              </w:rPr>
            </w:pPr>
            <w:r>
              <w:rPr>
                <w:rFonts w:hint="eastAsia" w:ascii="黑体" w:hAnsi="宋体" w:eastAsia="黑体"/>
                <w:color w:val="000000"/>
                <w:kern w:val="0"/>
                <w:sz w:val="24"/>
              </w:rPr>
              <w:t>表格为空的理由</w:t>
            </w:r>
          </w:p>
        </w:tc>
      </w:tr>
      <w:tr>
        <w:tblPrEx>
          <w:tblCellMar>
            <w:top w:w="0" w:type="dxa"/>
            <w:left w:w="0" w:type="dxa"/>
            <w:bottom w:w="0" w:type="dxa"/>
            <w:right w:w="0" w:type="dxa"/>
          </w:tblCellMar>
        </w:tblPrEx>
        <w:trPr>
          <w:trHeight w:val="737" w:hRule="exac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表1</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rPr>
                <w:rFonts w:ascii="宋体" w:hAnsi="宋体" w:cs="宋体"/>
                <w:color w:val="000000"/>
                <w:kern w:val="0"/>
                <w:sz w:val="21"/>
                <w:szCs w:val="21"/>
              </w:rPr>
            </w:pPr>
            <w:r>
              <w:rPr>
                <w:rFonts w:hint="eastAsia" w:ascii="宋体" w:hAnsi="宋体" w:cs="宋体"/>
                <w:color w:val="000000"/>
                <w:kern w:val="0"/>
                <w:sz w:val="21"/>
                <w:szCs w:val="21"/>
              </w:rPr>
              <w:t>收入支出决算总表</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r>
              <w:rPr>
                <w:rFonts w:hint="eastAsia" w:ascii="宋体" w:hAnsi="宋体" w:cs="宋体"/>
                <w:color w:val="000000"/>
                <w:sz w:val="24"/>
              </w:rPr>
              <w:t>否</w:t>
            </w:r>
          </w:p>
        </w:tc>
        <w:tc>
          <w:tcPr>
            <w:tcW w:w="20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p>
        </w:tc>
      </w:tr>
      <w:tr>
        <w:tblPrEx>
          <w:tblCellMar>
            <w:top w:w="0" w:type="dxa"/>
            <w:left w:w="0" w:type="dxa"/>
            <w:bottom w:w="0" w:type="dxa"/>
            <w:right w:w="0" w:type="dxa"/>
          </w:tblCellMar>
        </w:tblPrEx>
        <w:trPr>
          <w:trHeight w:val="629" w:hRule="exac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表2</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rPr>
                <w:rFonts w:ascii="宋体" w:hAnsi="宋体" w:cs="宋体"/>
                <w:color w:val="000000"/>
                <w:kern w:val="0"/>
                <w:sz w:val="21"/>
                <w:szCs w:val="21"/>
              </w:rPr>
            </w:pPr>
            <w:r>
              <w:rPr>
                <w:rFonts w:hint="eastAsia" w:ascii="宋体" w:hAnsi="宋体" w:cs="宋体"/>
                <w:color w:val="000000"/>
                <w:kern w:val="0"/>
                <w:sz w:val="21"/>
                <w:szCs w:val="21"/>
              </w:rPr>
              <w:t>收入决算表</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r>
              <w:rPr>
                <w:rFonts w:hint="eastAsia" w:ascii="宋体" w:hAnsi="宋体" w:cs="宋体"/>
                <w:color w:val="000000"/>
                <w:sz w:val="24"/>
              </w:rPr>
              <w:t>否</w:t>
            </w:r>
          </w:p>
        </w:tc>
        <w:tc>
          <w:tcPr>
            <w:tcW w:w="20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p>
        </w:tc>
      </w:tr>
      <w:tr>
        <w:tblPrEx>
          <w:tblCellMar>
            <w:top w:w="0" w:type="dxa"/>
            <w:left w:w="0" w:type="dxa"/>
            <w:bottom w:w="0" w:type="dxa"/>
            <w:right w:w="0" w:type="dxa"/>
          </w:tblCellMar>
        </w:tblPrEx>
        <w:trPr>
          <w:trHeight w:val="737" w:hRule="exac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表3</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rPr>
                <w:rFonts w:ascii="宋体" w:hAnsi="宋体" w:cs="宋体"/>
                <w:color w:val="000000"/>
                <w:kern w:val="0"/>
                <w:sz w:val="21"/>
                <w:szCs w:val="21"/>
              </w:rPr>
            </w:pPr>
            <w:r>
              <w:rPr>
                <w:rFonts w:hint="eastAsia" w:ascii="宋体" w:hAnsi="宋体" w:cs="宋体"/>
                <w:color w:val="000000"/>
                <w:kern w:val="0"/>
                <w:sz w:val="21"/>
                <w:szCs w:val="21"/>
              </w:rPr>
              <w:t>支出决算表</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r>
              <w:rPr>
                <w:rFonts w:hint="eastAsia" w:ascii="宋体" w:hAnsi="宋体" w:cs="宋体"/>
                <w:color w:val="000000"/>
                <w:sz w:val="24"/>
              </w:rPr>
              <w:t>否</w:t>
            </w:r>
          </w:p>
        </w:tc>
        <w:tc>
          <w:tcPr>
            <w:tcW w:w="20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p>
        </w:tc>
      </w:tr>
      <w:tr>
        <w:tblPrEx>
          <w:tblCellMar>
            <w:top w:w="0" w:type="dxa"/>
            <w:left w:w="0" w:type="dxa"/>
            <w:bottom w:w="0" w:type="dxa"/>
            <w:right w:w="0" w:type="dxa"/>
          </w:tblCellMar>
        </w:tblPrEx>
        <w:trPr>
          <w:trHeight w:val="737" w:hRule="exac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表4</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rPr>
                <w:rFonts w:ascii="宋体" w:hAnsi="宋体" w:cs="宋体"/>
                <w:color w:val="000000"/>
                <w:kern w:val="0"/>
                <w:sz w:val="21"/>
                <w:szCs w:val="21"/>
              </w:rPr>
            </w:pPr>
            <w:r>
              <w:rPr>
                <w:rFonts w:hint="eastAsia" w:ascii="宋体" w:hAnsi="宋体" w:cs="宋体"/>
                <w:color w:val="000000"/>
                <w:kern w:val="0"/>
                <w:sz w:val="21"/>
                <w:szCs w:val="21"/>
              </w:rPr>
              <w:t>财政拨款收入支出决算总表</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r>
              <w:rPr>
                <w:rFonts w:hint="eastAsia" w:ascii="宋体" w:hAnsi="宋体" w:cs="宋体"/>
                <w:color w:val="000000"/>
                <w:sz w:val="24"/>
              </w:rPr>
              <w:t>否</w:t>
            </w:r>
          </w:p>
        </w:tc>
        <w:tc>
          <w:tcPr>
            <w:tcW w:w="20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p>
        </w:tc>
      </w:tr>
      <w:tr>
        <w:tblPrEx>
          <w:tblCellMar>
            <w:top w:w="0" w:type="dxa"/>
            <w:left w:w="0" w:type="dxa"/>
            <w:bottom w:w="0" w:type="dxa"/>
            <w:right w:w="0" w:type="dxa"/>
          </w:tblCellMar>
        </w:tblPrEx>
        <w:trPr>
          <w:trHeight w:val="851" w:hRule="exac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表5</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rPr>
                <w:rFonts w:ascii="宋体" w:hAnsi="宋体" w:cs="宋体"/>
                <w:color w:val="000000"/>
                <w:kern w:val="0"/>
                <w:sz w:val="21"/>
                <w:szCs w:val="21"/>
              </w:rPr>
            </w:pPr>
            <w:r>
              <w:rPr>
                <w:rFonts w:hint="eastAsia" w:ascii="宋体" w:hAnsi="宋体" w:cs="宋体"/>
                <w:color w:val="000000"/>
                <w:kern w:val="0"/>
                <w:sz w:val="21"/>
                <w:szCs w:val="21"/>
              </w:rPr>
              <w:t>一般公共预算财政拨款支出决算表（按功能分类科目）</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r>
              <w:rPr>
                <w:rFonts w:hint="eastAsia" w:ascii="宋体" w:hAnsi="宋体" w:cs="宋体"/>
                <w:color w:val="000000"/>
                <w:sz w:val="24"/>
              </w:rPr>
              <w:t>否</w:t>
            </w:r>
          </w:p>
        </w:tc>
        <w:tc>
          <w:tcPr>
            <w:tcW w:w="20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p>
        </w:tc>
      </w:tr>
      <w:tr>
        <w:tblPrEx>
          <w:tblCellMar>
            <w:top w:w="0" w:type="dxa"/>
            <w:left w:w="0" w:type="dxa"/>
            <w:bottom w:w="0" w:type="dxa"/>
            <w:right w:w="0" w:type="dxa"/>
          </w:tblCellMar>
        </w:tblPrEx>
        <w:trPr>
          <w:trHeight w:val="851" w:hRule="exac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表6</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rPr>
                <w:rFonts w:ascii="宋体" w:hAnsi="宋体" w:cs="宋体"/>
                <w:color w:val="000000"/>
                <w:kern w:val="0"/>
                <w:sz w:val="21"/>
                <w:szCs w:val="21"/>
              </w:rPr>
            </w:pPr>
            <w:r>
              <w:rPr>
                <w:rFonts w:hint="eastAsia" w:ascii="宋体" w:hAnsi="宋体" w:cs="宋体"/>
                <w:color w:val="000000"/>
                <w:kern w:val="0"/>
                <w:sz w:val="21"/>
                <w:szCs w:val="21"/>
              </w:rPr>
              <w:t>一般公共预算财政拨款基本支出决算表 （按经济分类科目）</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r>
              <w:rPr>
                <w:rFonts w:hint="eastAsia" w:ascii="宋体" w:hAnsi="宋体" w:cs="宋体"/>
                <w:color w:val="000000"/>
                <w:sz w:val="24"/>
              </w:rPr>
              <w:t>否</w:t>
            </w:r>
          </w:p>
        </w:tc>
        <w:tc>
          <w:tcPr>
            <w:tcW w:w="20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p>
        </w:tc>
      </w:tr>
      <w:tr>
        <w:tblPrEx>
          <w:tblCellMar>
            <w:top w:w="0" w:type="dxa"/>
            <w:left w:w="0" w:type="dxa"/>
            <w:bottom w:w="0" w:type="dxa"/>
            <w:right w:w="0" w:type="dxa"/>
          </w:tblCellMar>
        </w:tblPrEx>
        <w:trPr>
          <w:trHeight w:val="786" w:hRule="exact"/>
        </w:trPr>
        <w:tc>
          <w:tcPr>
            <w:tcW w:w="570"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表7</w:t>
            </w:r>
          </w:p>
        </w:tc>
        <w:tc>
          <w:tcPr>
            <w:tcW w:w="6240"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1"/>
                <w:szCs w:val="21"/>
              </w:rPr>
            </w:pPr>
            <w:r>
              <w:rPr>
                <w:rFonts w:hint="eastAsia" w:ascii="宋体" w:hAnsi="宋体" w:cs="宋体"/>
                <w:color w:val="000000"/>
                <w:kern w:val="0"/>
                <w:sz w:val="21"/>
                <w:szCs w:val="21"/>
              </w:rPr>
              <w:t>一般公共预算财政拨款“三公”经费及会议费、培训费支出决算表</w:t>
            </w:r>
          </w:p>
        </w:tc>
        <w:tc>
          <w:tcPr>
            <w:tcW w:w="660"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r>
              <w:rPr>
                <w:rFonts w:hint="eastAsia" w:ascii="宋体" w:hAnsi="宋体" w:cs="宋体"/>
                <w:color w:val="000000"/>
                <w:sz w:val="24"/>
              </w:rPr>
              <w:t>否</w:t>
            </w:r>
          </w:p>
        </w:tc>
        <w:tc>
          <w:tcPr>
            <w:tcW w:w="2001"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p>
        </w:tc>
      </w:tr>
      <w:tr>
        <w:tblPrEx>
          <w:tblCellMar>
            <w:top w:w="0" w:type="dxa"/>
            <w:left w:w="0" w:type="dxa"/>
            <w:bottom w:w="0" w:type="dxa"/>
            <w:right w:w="0" w:type="dxa"/>
          </w:tblCellMar>
        </w:tblPrEx>
        <w:trPr>
          <w:trHeight w:val="736" w:hRule="exac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表8</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rPr>
                <w:rFonts w:ascii="宋体" w:hAnsi="宋体" w:cs="宋体"/>
                <w:color w:val="000000"/>
                <w:kern w:val="0"/>
                <w:sz w:val="21"/>
                <w:szCs w:val="21"/>
              </w:rPr>
            </w:pPr>
            <w:r>
              <w:rPr>
                <w:rFonts w:hint="eastAsia" w:ascii="宋体" w:hAnsi="宋体" w:cs="宋体"/>
                <w:color w:val="000000"/>
                <w:kern w:val="0"/>
                <w:sz w:val="21"/>
                <w:szCs w:val="21"/>
              </w:rPr>
              <w:t>政府性基金预算财政拨款收入支出</w:t>
            </w:r>
          </w:p>
          <w:p>
            <w:pPr>
              <w:widowControl/>
              <w:jc w:val="left"/>
              <w:rPr>
                <w:rFonts w:ascii="宋体" w:hAnsi="宋体" w:cs="宋体"/>
                <w:color w:val="000000"/>
                <w:sz w:val="21"/>
                <w:szCs w:val="21"/>
              </w:rPr>
            </w:pPr>
            <w:r>
              <w:rPr>
                <w:rFonts w:hint="eastAsia" w:ascii="宋体" w:hAnsi="宋体" w:cs="宋体"/>
                <w:color w:val="000000"/>
                <w:kern w:val="0"/>
                <w:sz w:val="21"/>
                <w:szCs w:val="21"/>
              </w:rPr>
              <w:t>决算表</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r>
              <w:rPr>
                <w:rFonts w:hint="eastAsia" w:ascii="宋体" w:hAnsi="宋体" w:cs="宋体"/>
                <w:color w:val="000000"/>
                <w:sz w:val="24"/>
              </w:rPr>
              <w:t>是</w:t>
            </w:r>
          </w:p>
        </w:tc>
        <w:tc>
          <w:tcPr>
            <w:tcW w:w="20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r>
              <w:rPr>
                <w:rFonts w:hint="eastAsia" w:ascii="宋体" w:hAnsi="宋体" w:cs="宋体"/>
                <w:color w:val="000000"/>
                <w:sz w:val="24"/>
              </w:rPr>
              <w:t>本单位无此项收入</w:t>
            </w:r>
          </w:p>
        </w:tc>
      </w:tr>
    </w:tbl>
    <w:p>
      <w:pPr>
        <w:widowControl/>
        <w:rPr>
          <w:rFonts w:ascii="黑体" w:hAnsi="宋体" w:eastAsia="黑体"/>
          <w:color w:val="000000"/>
          <w:kern w:val="0"/>
          <w:sz w:val="44"/>
          <w:szCs w:val="44"/>
        </w:rPr>
      </w:pPr>
    </w:p>
    <w:p>
      <w:pPr>
        <w:widowControl/>
        <w:rPr>
          <w:rFonts w:ascii="黑体" w:hAnsi="宋体" w:eastAsia="黑体"/>
          <w:color w:val="000000"/>
          <w:kern w:val="0"/>
          <w:sz w:val="44"/>
          <w:szCs w:val="44"/>
        </w:rPr>
      </w:pPr>
    </w:p>
    <w:p>
      <w:pPr>
        <w:widowControl/>
        <w:jc w:val="center"/>
        <w:textAlignment w:val="center"/>
        <w:rPr>
          <w:rFonts w:ascii="宋体" w:hAnsi="宋体" w:cs="宋体"/>
          <w:b/>
          <w:color w:val="000000"/>
          <w:kern w:val="0"/>
          <w:sz w:val="40"/>
          <w:szCs w:val="40"/>
        </w:rPr>
      </w:pPr>
      <w:r>
        <w:rPr>
          <w:rFonts w:hint="eastAsia" w:ascii="宋体" w:hAnsi="宋体" w:cs="宋体"/>
          <w:b/>
          <w:color w:val="000000"/>
          <w:kern w:val="0"/>
          <w:sz w:val="40"/>
          <w:szCs w:val="40"/>
        </w:rPr>
        <w:br w:type="page"/>
      </w:r>
    </w:p>
    <w:p>
      <w:pPr>
        <w:jc w:val="center"/>
        <w:rPr>
          <w:rFonts w:ascii="宋体" w:hAnsi="宋体" w:eastAsia="宋体" w:cs="宋体"/>
          <w:b/>
          <w:bCs/>
          <w:szCs w:val="32"/>
        </w:rPr>
      </w:pPr>
      <w:r>
        <w:rPr>
          <w:rFonts w:hint="eastAsia" w:ascii="宋体" w:hAnsi="宋体" w:eastAsia="宋体" w:cs="宋体"/>
          <w:b/>
          <w:bCs/>
          <w:szCs w:val="32"/>
        </w:rPr>
        <w:t>收入支出决算总表</w:t>
      </w:r>
    </w:p>
    <w:p>
      <w:pPr>
        <w:jc w:val="right"/>
        <w:rPr>
          <w:rFonts w:ascii="宋体" w:hAnsi="宋体" w:eastAsia="宋体" w:cs="宋体"/>
          <w:b/>
          <w:bCs/>
          <w:sz w:val="21"/>
          <w:szCs w:val="21"/>
        </w:rPr>
      </w:pPr>
      <w:r>
        <w:rPr>
          <w:rFonts w:hint="eastAsia" w:ascii="宋体" w:hAnsi="宋体" w:eastAsia="宋体" w:cs="宋体"/>
          <w:b/>
          <w:bCs/>
          <w:sz w:val="21"/>
          <w:szCs w:val="21"/>
        </w:rPr>
        <w:t>公开01表</w:t>
      </w:r>
    </w:p>
    <w:p>
      <w:pPr>
        <w:rPr>
          <w:rFonts w:ascii="宋体" w:hAnsi="宋体" w:eastAsia="宋体" w:cs="宋体"/>
          <w:b/>
          <w:bCs/>
          <w:sz w:val="21"/>
          <w:szCs w:val="21"/>
        </w:rPr>
      </w:pPr>
      <w:r>
        <w:rPr>
          <w:rFonts w:hint="eastAsia" w:ascii="宋体" w:hAnsi="宋体" w:eastAsia="宋体" w:cs="宋体"/>
          <w:b/>
          <w:bCs/>
          <w:sz w:val="21"/>
          <w:szCs w:val="21"/>
        </w:rPr>
        <w:t>编制部门： 西安市蓝田县</w:t>
      </w:r>
      <w:r>
        <w:rPr>
          <w:rFonts w:hint="eastAsia" w:ascii="宋体" w:hAnsi="宋体" w:eastAsia="宋体" w:cs="宋体"/>
          <w:b/>
          <w:bCs/>
          <w:sz w:val="21"/>
          <w:szCs w:val="21"/>
          <w:lang w:eastAsia="zh-CN"/>
        </w:rPr>
        <w:t>科学技术协会</w:t>
      </w:r>
      <w:r>
        <w:rPr>
          <w:rFonts w:hint="eastAsia" w:ascii="宋体" w:hAnsi="宋体" w:eastAsia="宋体" w:cs="宋体"/>
          <w:b/>
          <w:bCs/>
          <w:sz w:val="21"/>
          <w:szCs w:val="21"/>
        </w:rPr>
        <w:t xml:space="preserve">                            金额单位：万元</w:t>
      </w:r>
    </w:p>
    <w:tbl>
      <w:tblPr>
        <w:tblStyle w:val="6"/>
        <w:tblW w:w="8884" w:type="dxa"/>
        <w:tblInd w:w="0" w:type="dxa"/>
        <w:tblLayout w:type="fixed"/>
        <w:tblCellMar>
          <w:top w:w="15" w:type="dxa"/>
          <w:left w:w="15" w:type="dxa"/>
          <w:bottom w:w="15" w:type="dxa"/>
          <w:right w:w="15" w:type="dxa"/>
        </w:tblCellMar>
      </w:tblPr>
      <w:tblGrid>
        <w:gridCol w:w="3388"/>
        <w:gridCol w:w="1080"/>
        <w:gridCol w:w="3090"/>
        <w:gridCol w:w="1326"/>
      </w:tblGrid>
      <w:tr>
        <w:tblPrEx>
          <w:tblCellMar>
            <w:top w:w="15" w:type="dxa"/>
            <w:left w:w="15" w:type="dxa"/>
            <w:bottom w:w="15" w:type="dxa"/>
            <w:right w:w="15" w:type="dxa"/>
          </w:tblCellMar>
        </w:tblPrEx>
        <w:trPr>
          <w:trHeight w:val="426" w:hRule="atLeast"/>
        </w:trPr>
        <w:tc>
          <w:tcPr>
            <w:tcW w:w="4468"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收    入</w:t>
            </w:r>
          </w:p>
        </w:tc>
        <w:tc>
          <w:tcPr>
            <w:tcW w:w="441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支    出</w:t>
            </w:r>
          </w:p>
        </w:tc>
      </w:tr>
      <w:tr>
        <w:tblPrEx>
          <w:tblCellMar>
            <w:top w:w="15" w:type="dxa"/>
            <w:left w:w="15" w:type="dxa"/>
            <w:bottom w:w="15" w:type="dxa"/>
            <w:right w:w="15" w:type="dxa"/>
          </w:tblCellMar>
        </w:tblPrEx>
        <w:trPr>
          <w:trHeight w:val="378"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    目</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决算数</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w:t>
            </w:r>
          </w:p>
        </w:tc>
        <w:tc>
          <w:tcPr>
            <w:tcW w:w="132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决算数</w:t>
            </w: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1、一般公共预算财政拨款</w:t>
            </w:r>
          </w:p>
        </w:tc>
        <w:tc>
          <w:tcPr>
            <w:tcW w:w="1080"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46.45</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1、一般公共服务支出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w:t>
            </w: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2、政府性基金预算财政拨款</w:t>
            </w: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2、外交支出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 xml:space="preserve">3、国有资本经营预算财政拨款 </w:t>
            </w: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3、国防支出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4、上级补助收入</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4、公共安全支出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5、事业收入</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5、教育支出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6、经营收入</w:t>
            </w:r>
          </w:p>
        </w:tc>
        <w:tc>
          <w:tcPr>
            <w:tcW w:w="1080" w:type="dxa"/>
            <w:tcBorders>
              <w:top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6、科学技术支出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44.83</w:t>
            </w: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7、附属单位上缴收入</w:t>
            </w:r>
          </w:p>
        </w:tc>
        <w:tc>
          <w:tcPr>
            <w:tcW w:w="1080" w:type="dxa"/>
            <w:tcBorders>
              <w:top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7、文化旅游体育与传媒支出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8、其他收入</w:t>
            </w:r>
          </w:p>
        </w:tc>
        <w:tc>
          <w:tcPr>
            <w:tcW w:w="1080" w:type="dxa"/>
            <w:tcBorders>
              <w:top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8、社会保障和就业支出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1.31</w:t>
            </w: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080" w:type="dxa"/>
            <w:tcBorders>
              <w:top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9、卫生健康支出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0.31</w:t>
            </w:r>
          </w:p>
        </w:tc>
      </w:tr>
      <w:tr>
        <w:tblPrEx>
          <w:tblCellMar>
            <w:top w:w="15" w:type="dxa"/>
            <w:left w:w="15" w:type="dxa"/>
            <w:bottom w:w="15" w:type="dxa"/>
            <w:right w:w="15" w:type="dxa"/>
          </w:tblCellMar>
        </w:tblPrEx>
        <w:trPr>
          <w:trHeight w:val="249"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080" w:type="dxa"/>
            <w:tcBorders>
              <w:top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10、节能环保支出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r>
      <w:tr>
        <w:tblPrEx>
          <w:tblCellMar>
            <w:top w:w="15" w:type="dxa"/>
            <w:left w:w="15" w:type="dxa"/>
            <w:bottom w:w="15" w:type="dxa"/>
            <w:right w:w="15" w:type="dxa"/>
          </w:tblCellMar>
        </w:tblPrEx>
        <w:trPr>
          <w:trHeight w:val="33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080" w:type="dxa"/>
            <w:tcBorders>
              <w:top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11、城乡社区支出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12、农林水支出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r>
      <w:tr>
        <w:tblPrEx>
          <w:tblCellMar>
            <w:top w:w="15" w:type="dxa"/>
            <w:left w:w="15" w:type="dxa"/>
            <w:bottom w:w="15" w:type="dxa"/>
            <w:right w:w="15" w:type="dxa"/>
          </w:tblCellMar>
        </w:tblPrEx>
        <w:trPr>
          <w:trHeight w:val="317"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13、交通运输支出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r>
      <w:tr>
        <w:tblPrEx>
          <w:tblCellMar>
            <w:top w:w="15" w:type="dxa"/>
            <w:left w:w="15" w:type="dxa"/>
            <w:bottom w:w="15" w:type="dxa"/>
            <w:right w:w="15" w:type="dxa"/>
          </w:tblCellMar>
        </w:tblPrEx>
        <w:trPr>
          <w:trHeight w:val="312"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14、资源勘探信息等支出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r>
      <w:tr>
        <w:tblPrEx>
          <w:tblCellMar>
            <w:top w:w="15" w:type="dxa"/>
            <w:left w:w="15" w:type="dxa"/>
            <w:bottom w:w="15" w:type="dxa"/>
            <w:right w:w="15" w:type="dxa"/>
          </w:tblCellMar>
        </w:tblPrEx>
        <w:trPr>
          <w:trHeight w:val="312"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15、商业服务业等支出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298"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16、金融支出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15"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17、援助其他地区支出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281"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18、自然资源海洋气象等支出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45"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19、住房保障支出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12"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20、粮油物资储备支出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287"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21、灾害防治及应急管理支出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287"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ind w:firstLine="210" w:firstLineChars="100"/>
              <w:jc w:val="left"/>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22、其他支出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5" w:hRule="atLeast"/>
        </w:trPr>
        <w:tc>
          <w:tcPr>
            <w:tcW w:w="3388" w:type="dxa"/>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本年收入合计</w:t>
            </w:r>
          </w:p>
        </w:tc>
        <w:tc>
          <w:tcPr>
            <w:tcW w:w="1080" w:type="dxa"/>
            <w:tcBorders>
              <w:top w:val="single" w:color="000000" w:sz="4" w:space="0"/>
              <w:left w:val="single" w:color="000000" w:sz="4" w:space="0"/>
              <w:right w:val="single" w:color="000000" w:sz="4" w:space="0"/>
            </w:tcBorders>
            <w:vAlign w:val="center"/>
          </w:tcPr>
          <w:p>
            <w:pPr>
              <w:widowControl/>
              <w:jc w:val="center"/>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46.45</w:t>
            </w:r>
          </w:p>
        </w:tc>
        <w:tc>
          <w:tcPr>
            <w:tcW w:w="3090" w:type="dxa"/>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本年支出合计</w:t>
            </w:r>
          </w:p>
        </w:tc>
        <w:tc>
          <w:tcPr>
            <w:tcW w:w="1326" w:type="dxa"/>
            <w:tcBorders>
              <w:top w:val="single" w:color="000000" w:sz="4" w:space="0"/>
              <w:left w:val="single" w:color="000000" w:sz="4" w:space="0"/>
              <w:right w:val="single" w:color="000000" w:sz="4" w:space="0"/>
            </w:tcBorders>
            <w:vAlign w:val="center"/>
          </w:tcPr>
          <w:p>
            <w:pPr>
              <w:jc w:val="center"/>
              <w:rPr>
                <w:rFonts w:hint="default" w:ascii="宋体" w:hAnsi="宋体" w:eastAsia="宋体" w:cs="宋体"/>
                <w:b/>
                <w:color w:val="000000"/>
                <w:sz w:val="21"/>
                <w:szCs w:val="21"/>
                <w:lang w:val="en-US" w:eastAsia="zh-CN"/>
              </w:rPr>
            </w:pPr>
            <w:r>
              <w:rPr>
                <w:rFonts w:hint="eastAsia" w:ascii="宋体" w:hAnsi="宋体" w:eastAsia="宋体" w:cs="宋体"/>
                <w:b/>
                <w:color w:val="000000"/>
                <w:sz w:val="21"/>
                <w:szCs w:val="21"/>
                <w:lang w:val="en-US" w:eastAsia="zh-CN"/>
              </w:rPr>
              <w:t>46.45</w:t>
            </w:r>
          </w:p>
        </w:tc>
      </w:tr>
      <w:tr>
        <w:tblPrEx>
          <w:tblCellMar>
            <w:top w:w="15" w:type="dxa"/>
            <w:left w:w="15" w:type="dxa"/>
            <w:bottom w:w="15" w:type="dxa"/>
            <w:right w:w="15" w:type="dxa"/>
          </w:tblCellMar>
        </w:tblPrEx>
        <w:trPr>
          <w:trHeight w:val="355"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用事业基金弥补收支差额</w:t>
            </w: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bCs/>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 xml:space="preserve">结余分配 </w:t>
            </w:r>
          </w:p>
        </w:tc>
        <w:tc>
          <w:tcPr>
            <w:tcW w:w="1326"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b/>
                <w:color w:val="000000"/>
                <w:sz w:val="21"/>
                <w:szCs w:val="21"/>
              </w:rPr>
            </w:pPr>
          </w:p>
        </w:tc>
      </w:tr>
      <w:tr>
        <w:tblPrEx>
          <w:tblCellMar>
            <w:top w:w="15" w:type="dxa"/>
            <w:left w:w="15" w:type="dxa"/>
            <w:bottom w:w="15" w:type="dxa"/>
            <w:right w:w="15" w:type="dxa"/>
          </w:tblCellMar>
        </w:tblPrEx>
        <w:trPr>
          <w:trHeight w:val="371"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年初结转和结余</w:t>
            </w: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bCs/>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年末结转和结余</w:t>
            </w:r>
          </w:p>
        </w:tc>
        <w:tc>
          <w:tcPr>
            <w:tcW w:w="1326"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b/>
                <w:color w:val="000000"/>
                <w:sz w:val="21"/>
                <w:szCs w:val="21"/>
              </w:rPr>
            </w:pPr>
          </w:p>
        </w:tc>
      </w:tr>
      <w:tr>
        <w:tblPrEx>
          <w:tblCellMar>
            <w:top w:w="15" w:type="dxa"/>
            <w:left w:w="15" w:type="dxa"/>
            <w:bottom w:w="15" w:type="dxa"/>
            <w:right w:w="15" w:type="dxa"/>
          </w:tblCellMar>
        </w:tblPrEx>
        <w:trPr>
          <w:trHeight w:val="382"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收入总计</w:t>
            </w: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支出总计</w:t>
            </w:r>
          </w:p>
        </w:tc>
        <w:tc>
          <w:tcPr>
            <w:tcW w:w="1326"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b/>
                <w:color w:val="000000"/>
                <w:sz w:val="21"/>
                <w:szCs w:val="21"/>
              </w:rPr>
            </w:pPr>
          </w:p>
        </w:tc>
      </w:tr>
    </w:tbl>
    <w:p>
      <w:pPr>
        <w:widowControl/>
        <w:ind w:left="420" w:hanging="420" w:hangingChars="200"/>
        <w:jc w:val="left"/>
        <w:rPr>
          <w:rFonts w:ascii="宋体" w:hAnsi="宋体" w:eastAsia="宋体" w:cs="宋体"/>
          <w:sz w:val="48"/>
          <w:szCs w:val="48"/>
        </w:rPr>
      </w:pPr>
      <w:r>
        <w:rPr>
          <w:rFonts w:hint="eastAsia" w:ascii="宋体" w:hAnsi="宋体" w:eastAsia="宋体" w:cs="宋体"/>
          <w:color w:val="000000"/>
          <w:kern w:val="0"/>
          <w:sz w:val="21"/>
          <w:szCs w:val="21"/>
        </w:rPr>
        <w:t>注：本表反映部门本年度的总收支和年末结转结余情况。本表金额转换为万元时，因四舍五入可能存在尾差。</w:t>
      </w:r>
    </w:p>
    <w:p/>
    <w:p/>
    <w:p>
      <w:pPr>
        <w:jc w:val="center"/>
        <w:rPr>
          <w:rFonts w:ascii="宋体" w:hAnsi="宋体" w:eastAsia="宋体" w:cs="宋体"/>
          <w:b/>
          <w:bCs/>
          <w:szCs w:val="32"/>
        </w:rPr>
      </w:pPr>
      <w:r>
        <w:rPr>
          <w:rFonts w:hint="eastAsia" w:ascii="宋体" w:hAnsi="宋体" w:eastAsia="宋体" w:cs="宋体"/>
          <w:b/>
          <w:bCs/>
          <w:szCs w:val="32"/>
        </w:rPr>
        <w:t>收入决算表</w:t>
      </w:r>
    </w:p>
    <w:p>
      <w:pPr>
        <w:rPr>
          <w:rFonts w:ascii="宋体" w:hAnsi="宋体" w:eastAsia="宋体" w:cs="宋体"/>
          <w:b/>
          <w:bCs/>
          <w:sz w:val="21"/>
          <w:szCs w:val="21"/>
        </w:rPr>
      </w:pPr>
      <w:r>
        <w:rPr>
          <w:rFonts w:hint="eastAsia" w:ascii="宋体" w:hAnsi="宋体" w:eastAsia="宋体" w:cs="宋体"/>
          <w:b/>
          <w:bCs/>
          <w:sz w:val="21"/>
          <w:szCs w:val="21"/>
        </w:rPr>
        <w:t>公开02表</w:t>
      </w:r>
    </w:p>
    <w:p>
      <w:pPr>
        <w:rPr>
          <w:rFonts w:ascii="宋体" w:hAnsi="宋体" w:eastAsia="宋体" w:cs="宋体"/>
          <w:b/>
          <w:bCs/>
          <w:sz w:val="48"/>
          <w:szCs w:val="48"/>
        </w:rPr>
      </w:pPr>
      <w:r>
        <w:rPr>
          <w:rFonts w:hint="eastAsia" w:ascii="宋体" w:hAnsi="宋体" w:eastAsia="宋体" w:cs="宋体"/>
          <w:b/>
          <w:bCs/>
          <w:sz w:val="21"/>
          <w:szCs w:val="21"/>
        </w:rPr>
        <w:t>编制部门：西安市</w:t>
      </w:r>
      <w:r>
        <w:rPr>
          <w:rFonts w:hint="eastAsia" w:ascii="宋体" w:hAnsi="宋体" w:eastAsia="宋体" w:cs="宋体"/>
          <w:b/>
          <w:bCs/>
          <w:sz w:val="21"/>
          <w:szCs w:val="21"/>
          <w:lang w:eastAsia="zh-CN"/>
        </w:rPr>
        <w:t>蓝田县科学技术协会</w:t>
      </w:r>
      <w:r>
        <w:rPr>
          <w:rFonts w:hint="eastAsia" w:ascii="宋体" w:hAnsi="宋体" w:eastAsia="宋体" w:cs="宋体"/>
          <w:b/>
          <w:bCs/>
          <w:sz w:val="21"/>
          <w:szCs w:val="21"/>
        </w:rPr>
        <w:t xml:space="preserve">                       金额单位：万元</w:t>
      </w:r>
    </w:p>
    <w:tbl>
      <w:tblPr>
        <w:tblStyle w:val="6"/>
        <w:tblW w:w="8867" w:type="dxa"/>
        <w:tblInd w:w="0" w:type="dxa"/>
        <w:tblLayout w:type="fixed"/>
        <w:tblCellMar>
          <w:top w:w="15" w:type="dxa"/>
          <w:left w:w="15" w:type="dxa"/>
          <w:bottom w:w="15" w:type="dxa"/>
          <w:right w:w="15" w:type="dxa"/>
        </w:tblCellMar>
      </w:tblPr>
      <w:tblGrid>
        <w:gridCol w:w="927"/>
        <w:gridCol w:w="1924"/>
        <w:gridCol w:w="982"/>
        <w:gridCol w:w="995"/>
        <w:gridCol w:w="709"/>
        <w:gridCol w:w="491"/>
        <w:gridCol w:w="655"/>
        <w:gridCol w:w="641"/>
        <w:gridCol w:w="733"/>
        <w:gridCol w:w="810"/>
      </w:tblGrid>
      <w:tr>
        <w:tblPrEx>
          <w:tblCellMar>
            <w:top w:w="15" w:type="dxa"/>
            <w:left w:w="15" w:type="dxa"/>
            <w:bottom w:w="15" w:type="dxa"/>
            <w:right w:w="15" w:type="dxa"/>
          </w:tblCellMar>
        </w:tblPrEx>
        <w:trPr>
          <w:trHeight w:val="439" w:hRule="atLeast"/>
        </w:trPr>
        <w:tc>
          <w:tcPr>
            <w:tcW w:w="2851"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项目</w:t>
            </w:r>
          </w:p>
        </w:tc>
        <w:tc>
          <w:tcPr>
            <w:tcW w:w="982"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本年收入合计</w:t>
            </w:r>
          </w:p>
        </w:tc>
        <w:tc>
          <w:tcPr>
            <w:tcW w:w="99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财政拨款收入</w:t>
            </w:r>
          </w:p>
        </w:tc>
        <w:tc>
          <w:tcPr>
            <w:tcW w:w="70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上级补助收入</w:t>
            </w:r>
          </w:p>
        </w:tc>
        <w:tc>
          <w:tcPr>
            <w:tcW w:w="114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kern w:val="0"/>
                <w:sz w:val="21"/>
                <w:szCs w:val="21"/>
              </w:rPr>
            </w:pPr>
            <w:r>
              <w:rPr>
                <w:rFonts w:hint="eastAsia" w:ascii="宋体" w:hAnsi="宋体" w:eastAsia="宋体" w:cs="宋体"/>
                <w:b/>
                <w:bCs/>
                <w:color w:val="000000"/>
                <w:kern w:val="0"/>
                <w:sz w:val="21"/>
                <w:szCs w:val="21"/>
              </w:rPr>
              <w:t>事业收入</w:t>
            </w:r>
          </w:p>
        </w:tc>
        <w:tc>
          <w:tcPr>
            <w:tcW w:w="64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kern w:val="0"/>
                <w:sz w:val="21"/>
                <w:szCs w:val="21"/>
              </w:rPr>
            </w:pPr>
            <w:r>
              <w:rPr>
                <w:rFonts w:hint="eastAsia" w:ascii="宋体" w:hAnsi="宋体" w:eastAsia="宋体" w:cs="宋体"/>
                <w:b/>
                <w:bCs/>
                <w:color w:val="000000"/>
                <w:kern w:val="0"/>
                <w:sz w:val="21"/>
                <w:szCs w:val="21"/>
              </w:rPr>
              <w:t>经营</w:t>
            </w:r>
          </w:p>
          <w:p>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收入</w:t>
            </w:r>
          </w:p>
        </w:tc>
        <w:tc>
          <w:tcPr>
            <w:tcW w:w="73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附属单位上缴收入</w:t>
            </w:r>
          </w:p>
        </w:tc>
        <w:tc>
          <w:tcPr>
            <w:tcW w:w="81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kern w:val="0"/>
                <w:sz w:val="21"/>
                <w:szCs w:val="21"/>
              </w:rPr>
            </w:pPr>
            <w:r>
              <w:rPr>
                <w:rFonts w:hint="eastAsia" w:ascii="宋体" w:hAnsi="宋体" w:eastAsia="宋体" w:cs="宋体"/>
                <w:b/>
                <w:bCs/>
                <w:color w:val="000000"/>
                <w:kern w:val="0"/>
                <w:sz w:val="21"/>
                <w:szCs w:val="21"/>
              </w:rPr>
              <w:t>其他</w:t>
            </w:r>
          </w:p>
          <w:p>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收入</w:t>
            </w:r>
          </w:p>
        </w:tc>
      </w:tr>
      <w:tr>
        <w:tblPrEx>
          <w:tblCellMar>
            <w:top w:w="15" w:type="dxa"/>
            <w:left w:w="15" w:type="dxa"/>
            <w:bottom w:w="15" w:type="dxa"/>
            <w:right w:w="15" w:type="dxa"/>
          </w:tblCellMar>
        </w:tblPrEx>
        <w:trPr>
          <w:trHeight w:val="1125" w:hRule="atLeast"/>
        </w:trPr>
        <w:tc>
          <w:tcPr>
            <w:tcW w:w="927" w:type="dxa"/>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功能分类科目编码</w:t>
            </w:r>
          </w:p>
        </w:tc>
        <w:tc>
          <w:tcPr>
            <w:tcW w:w="1924" w:type="dxa"/>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科目</w:t>
            </w:r>
          </w:p>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名称</w:t>
            </w:r>
          </w:p>
        </w:tc>
        <w:tc>
          <w:tcPr>
            <w:tcW w:w="98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9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70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49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r>
              <w:rPr>
                <w:rFonts w:hint="eastAsia" w:ascii="宋体" w:hAnsi="宋体" w:eastAsia="宋体" w:cs="宋体"/>
                <w:b/>
                <w:color w:val="000000"/>
                <w:sz w:val="21"/>
                <w:szCs w:val="21"/>
              </w:rPr>
              <w:t>小计</w:t>
            </w:r>
          </w:p>
        </w:tc>
        <w:tc>
          <w:tcPr>
            <w:tcW w:w="65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r>
              <w:rPr>
                <w:rFonts w:hint="eastAsia" w:ascii="宋体" w:hAnsi="宋体" w:eastAsia="宋体" w:cs="宋体"/>
                <w:b/>
                <w:color w:val="000000"/>
                <w:sz w:val="21"/>
                <w:szCs w:val="21"/>
              </w:rPr>
              <w:t>其中：教育收费</w:t>
            </w:r>
          </w:p>
        </w:tc>
        <w:tc>
          <w:tcPr>
            <w:tcW w:w="64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73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81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CellMar>
            <w:top w:w="15" w:type="dxa"/>
            <w:left w:w="15" w:type="dxa"/>
            <w:bottom w:w="15" w:type="dxa"/>
            <w:right w:w="15" w:type="dxa"/>
          </w:tblCellMar>
        </w:tblPrEx>
        <w:trPr>
          <w:trHeight w:val="439" w:hRule="atLeast"/>
        </w:trPr>
        <w:tc>
          <w:tcPr>
            <w:tcW w:w="2851"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1"/>
                <w:szCs w:val="21"/>
              </w:rPr>
            </w:pPr>
            <w:r>
              <w:rPr>
                <w:rFonts w:hint="eastAsia" w:ascii="宋体" w:hAnsi="宋体" w:eastAsia="宋体" w:cs="宋体"/>
                <w:b/>
                <w:bCs/>
                <w:color w:val="000000"/>
                <w:kern w:val="0"/>
                <w:sz w:val="21"/>
                <w:szCs w:val="21"/>
              </w:rPr>
              <w:t>合计</w:t>
            </w:r>
          </w:p>
        </w:tc>
        <w:tc>
          <w:tcPr>
            <w:tcW w:w="982"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b/>
                <w:bCs/>
                <w:color w:val="000000"/>
                <w:sz w:val="21"/>
                <w:szCs w:val="21"/>
                <w:lang w:val="en-US" w:eastAsia="zh-CN"/>
              </w:rPr>
            </w:pPr>
            <w:r>
              <w:rPr>
                <w:rFonts w:hint="eastAsia" w:ascii="宋体" w:hAnsi="宋体" w:eastAsia="宋体" w:cs="宋体"/>
                <w:b/>
                <w:bCs/>
                <w:color w:val="000000"/>
                <w:sz w:val="21"/>
                <w:szCs w:val="21"/>
                <w:lang w:val="en-US" w:eastAsia="zh-CN"/>
              </w:rPr>
              <w:t>46.45</w:t>
            </w:r>
          </w:p>
        </w:tc>
        <w:tc>
          <w:tcPr>
            <w:tcW w:w="995"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b/>
                <w:bCs/>
                <w:color w:val="000000"/>
                <w:sz w:val="21"/>
                <w:szCs w:val="21"/>
                <w:lang w:val="en-US" w:eastAsia="zh-CN"/>
              </w:rPr>
            </w:pPr>
            <w:r>
              <w:rPr>
                <w:rFonts w:hint="eastAsia" w:ascii="宋体" w:hAnsi="宋体" w:eastAsia="宋体" w:cs="宋体"/>
                <w:b/>
                <w:bCs/>
                <w:color w:val="000000"/>
                <w:sz w:val="21"/>
                <w:szCs w:val="21"/>
                <w:lang w:val="en-US" w:eastAsia="zh-CN"/>
              </w:rPr>
              <w:t>46.45</w:t>
            </w: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49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3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jc w:val="lef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206</w:t>
            </w:r>
          </w:p>
        </w:tc>
        <w:tc>
          <w:tcPr>
            <w:tcW w:w="1924"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科学技术支出</w:t>
            </w:r>
          </w:p>
        </w:tc>
        <w:tc>
          <w:tcPr>
            <w:tcW w:w="982"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44.83</w:t>
            </w:r>
          </w:p>
        </w:tc>
        <w:tc>
          <w:tcPr>
            <w:tcW w:w="995"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44.83</w:t>
            </w: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49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3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jc w:val="lef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2060101</w:t>
            </w:r>
          </w:p>
        </w:tc>
        <w:tc>
          <w:tcPr>
            <w:tcW w:w="1924"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行政运行</w:t>
            </w:r>
          </w:p>
        </w:tc>
        <w:tc>
          <w:tcPr>
            <w:tcW w:w="982"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8.83</w:t>
            </w:r>
          </w:p>
        </w:tc>
        <w:tc>
          <w:tcPr>
            <w:tcW w:w="995"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8.83</w:t>
            </w: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49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3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jc w:val="lef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20607</w:t>
            </w:r>
          </w:p>
        </w:tc>
        <w:tc>
          <w:tcPr>
            <w:tcW w:w="1924"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科学技术普及</w:t>
            </w:r>
          </w:p>
        </w:tc>
        <w:tc>
          <w:tcPr>
            <w:tcW w:w="982"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36</w:t>
            </w:r>
          </w:p>
        </w:tc>
        <w:tc>
          <w:tcPr>
            <w:tcW w:w="995"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36</w:t>
            </w: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49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3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jc w:val="lef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2060702</w:t>
            </w:r>
          </w:p>
        </w:tc>
        <w:tc>
          <w:tcPr>
            <w:tcW w:w="1924"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科普活动</w:t>
            </w:r>
          </w:p>
        </w:tc>
        <w:tc>
          <w:tcPr>
            <w:tcW w:w="982"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31</w:t>
            </w:r>
          </w:p>
        </w:tc>
        <w:tc>
          <w:tcPr>
            <w:tcW w:w="995"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31</w:t>
            </w: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49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3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jc w:val="lef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2060799</w:t>
            </w:r>
          </w:p>
        </w:tc>
        <w:tc>
          <w:tcPr>
            <w:tcW w:w="1924"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其它科学技术普及支出</w:t>
            </w:r>
          </w:p>
        </w:tc>
        <w:tc>
          <w:tcPr>
            <w:tcW w:w="982"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val="en-US" w:eastAsia="zh-CN"/>
              </w:rPr>
              <w:t>5</w:t>
            </w:r>
          </w:p>
        </w:tc>
        <w:tc>
          <w:tcPr>
            <w:tcW w:w="99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val="en-US" w:eastAsia="zh-CN"/>
              </w:rPr>
              <w:t>5</w:t>
            </w: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49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3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jc w:val="lef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2080505</w:t>
            </w:r>
          </w:p>
        </w:tc>
        <w:tc>
          <w:tcPr>
            <w:tcW w:w="1924"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机关事业单位基本养老保险缴费支出</w:t>
            </w:r>
          </w:p>
        </w:tc>
        <w:tc>
          <w:tcPr>
            <w:tcW w:w="982"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1.31</w:t>
            </w:r>
          </w:p>
        </w:tc>
        <w:tc>
          <w:tcPr>
            <w:tcW w:w="995"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1.31</w:t>
            </w: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49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3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jc w:val="lef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210</w:t>
            </w:r>
          </w:p>
        </w:tc>
        <w:tc>
          <w:tcPr>
            <w:tcW w:w="1924"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卫生健康支出</w:t>
            </w:r>
          </w:p>
        </w:tc>
        <w:tc>
          <w:tcPr>
            <w:tcW w:w="982"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0.31</w:t>
            </w:r>
          </w:p>
        </w:tc>
        <w:tc>
          <w:tcPr>
            <w:tcW w:w="995"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0.31</w:t>
            </w: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49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3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jc w:val="lef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21011</w:t>
            </w:r>
          </w:p>
        </w:tc>
        <w:tc>
          <w:tcPr>
            <w:tcW w:w="1924"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行政事业单位医疗</w:t>
            </w:r>
          </w:p>
        </w:tc>
        <w:tc>
          <w:tcPr>
            <w:tcW w:w="982"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0.28</w:t>
            </w:r>
          </w:p>
        </w:tc>
        <w:tc>
          <w:tcPr>
            <w:tcW w:w="995"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0.28</w:t>
            </w: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49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3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jc w:val="lef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2101101</w:t>
            </w:r>
          </w:p>
        </w:tc>
        <w:tc>
          <w:tcPr>
            <w:tcW w:w="1924"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行政单位医疗</w:t>
            </w:r>
          </w:p>
        </w:tc>
        <w:tc>
          <w:tcPr>
            <w:tcW w:w="982"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0.27</w:t>
            </w:r>
          </w:p>
        </w:tc>
        <w:tc>
          <w:tcPr>
            <w:tcW w:w="995"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0.27</w:t>
            </w: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49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3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jc w:val="lef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2101103</w:t>
            </w:r>
          </w:p>
        </w:tc>
        <w:tc>
          <w:tcPr>
            <w:tcW w:w="1924"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公务员医疗补助</w:t>
            </w:r>
          </w:p>
        </w:tc>
        <w:tc>
          <w:tcPr>
            <w:tcW w:w="982"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0.01</w:t>
            </w:r>
          </w:p>
        </w:tc>
        <w:tc>
          <w:tcPr>
            <w:tcW w:w="995"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0.01</w:t>
            </w: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49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3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jc w:val="lef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21099</w:t>
            </w:r>
          </w:p>
        </w:tc>
        <w:tc>
          <w:tcPr>
            <w:tcW w:w="1924"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eastAsia="zh-CN"/>
              </w:rPr>
              <w:t>其它卫生健康支出</w:t>
            </w:r>
          </w:p>
        </w:tc>
        <w:tc>
          <w:tcPr>
            <w:tcW w:w="982"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0.03</w:t>
            </w:r>
          </w:p>
        </w:tc>
        <w:tc>
          <w:tcPr>
            <w:tcW w:w="99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0.03</w:t>
            </w: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49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3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jc w:val="lef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2109901</w:t>
            </w:r>
          </w:p>
        </w:tc>
        <w:tc>
          <w:tcPr>
            <w:tcW w:w="1924"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其它卫生健康支出</w:t>
            </w:r>
          </w:p>
        </w:tc>
        <w:tc>
          <w:tcPr>
            <w:tcW w:w="982"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0.03</w:t>
            </w:r>
          </w:p>
        </w:tc>
        <w:tc>
          <w:tcPr>
            <w:tcW w:w="995"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0.03</w:t>
            </w:r>
          </w:p>
        </w:tc>
        <w:tc>
          <w:tcPr>
            <w:tcW w:w="7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49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3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bl>
    <w:p>
      <w:pPr>
        <w:widowControl/>
        <w:ind w:left="420" w:hanging="420" w:hangingChars="200"/>
        <w:jc w:val="left"/>
        <w:rPr>
          <w:rFonts w:eastAsia="宋体" w:cs="黑体"/>
          <w:sz w:val="21"/>
          <w:szCs w:val="24"/>
        </w:rPr>
      </w:pPr>
      <w:r>
        <w:rPr>
          <w:rFonts w:hint="eastAsia" w:ascii="宋体" w:hAnsi="宋体" w:eastAsia="宋体" w:cs="宋体"/>
          <w:sz w:val="21"/>
          <w:szCs w:val="21"/>
        </w:rPr>
        <w:t>注：本表反映部门本年度取得的各项收入情况。</w:t>
      </w:r>
      <w:r>
        <w:rPr>
          <w:rFonts w:hint="eastAsia" w:ascii="宋体" w:hAnsi="宋体" w:eastAsia="宋体" w:cs="宋体"/>
          <w:color w:val="000000"/>
          <w:kern w:val="0"/>
          <w:sz w:val="21"/>
          <w:szCs w:val="21"/>
        </w:rPr>
        <w:t>本表金额转换为万元时，因四舍五入可能存在尾差。</w:t>
      </w:r>
    </w:p>
    <w:p/>
    <w:p/>
    <w:p>
      <w:pPr>
        <w:jc w:val="center"/>
        <w:rPr>
          <w:rFonts w:ascii="宋体" w:hAnsi="宋体" w:eastAsia="宋体" w:cs="宋体"/>
          <w:b/>
          <w:bCs/>
          <w:szCs w:val="32"/>
        </w:rPr>
      </w:pPr>
      <w:r>
        <w:rPr>
          <w:rFonts w:hint="eastAsia" w:ascii="宋体" w:hAnsi="宋体" w:eastAsia="宋体" w:cs="宋体"/>
          <w:b/>
          <w:bCs/>
          <w:szCs w:val="32"/>
        </w:rPr>
        <w:t>支出决算表</w:t>
      </w:r>
    </w:p>
    <w:p>
      <w:pPr>
        <w:rPr>
          <w:rFonts w:ascii="宋体" w:hAnsi="宋体" w:eastAsia="宋体" w:cs="宋体"/>
          <w:b/>
          <w:bCs/>
          <w:sz w:val="21"/>
          <w:szCs w:val="21"/>
        </w:rPr>
      </w:pPr>
      <w:r>
        <w:rPr>
          <w:rFonts w:hint="eastAsia" w:ascii="宋体" w:hAnsi="宋体" w:eastAsia="宋体" w:cs="宋体"/>
          <w:b/>
          <w:bCs/>
          <w:sz w:val="21"/>
          <w:szCs w:val="21"/>
        </w:rPr>
        <w:t xml:space="preserve">                                          公开03表</w:t>
      </w:r>
    </w:p>
    <w:p>
      <w:pPr>
        <w:rPr>
          <w:rFonts w:ascii="宋体" w:hAnsi="宋体" w:eastAsia="宋体" w:cs="宋体"/>
          <w:b/>
          <w:bCs/>
          <w:sz w:val="48"/>
          <w:szCs w:val="48"/>
        </w:rPr>
      </w:pPr>
      <w:r>
        <w:rPr>
          <w:rFonts w:hint="eastAsia" w:ascii="宋体" w:hAnsi="宋体" w:eastAsia="宋体" w:cs="宋体"/>
          <w:b/>
          <w:bCs/>
          <w:sz w:val="21"/>
          <w:szCs w:val="21"/>
        </w:rPr>
        <w:t>编制部门： 西安市</w:t>
      </w:r>
      <w:r>
        <w:rPr>
          <w:rFonts w:hint="eastAsia" w:ascii="宋体" w:hAnsi="宋体" w:eastAsia="宋体" w:cs="宋体"/>
          <w:b/>
          <w:bCs/>
          <w:sz w:val="21"/>
          <w:szCs w:val="21"/>
          <w:lang w:eastAsia="zh-CN"/>
        </w:rPr>
        <w:t>蓝田县科学技术协会</w:t>
      </w:r>
      <w:r>
        <w:rPr>
          <w:rFonts w:hint="eastAsia" w:ascii="宋体" w:hAnsi="宋体" w:eastAsia="宋体" w:cs="宋体"/>
          <w:b/>
          <w:bCs/>
          <w:sz w:val="21"/>
          <w:szCs w:val="21"/>
        </w:rPr>
        <w:t xml:space="preserve">                              金额单位：万元</w:t>
      </w:r>
    </w:p>
    <w:tbl>
      <w:tblPr>
        <w:tblStyle w:val="6"/>
        <w:tblW w:w="8896" w:type="dxa"/>
        <w:tblInd w:w="0" w:type="dxa"/>
        <w:tblLayout w:type="fixed"/>
        <w:tblCellMar>
          <w:top w:w="15" w:type="dxa"/>
          <w:left w:w="15" w:type="dxa"/>
          <w:bottom w:w="15" w:type="dxa"/>
          <w:right w:w="15" w:type="dxa"/>
        </w:tblCellMar>
      </w:tblPr>
      <w:tblGrid>
        <w:gridCol w:w="1298"/>
        <w:gridCol w:w="1991"/>
        <w:gridCol w:w="1159"/>
        <w:gridCol w:w="1077"/>
        <w:gridCol w:w="887"/>
        <w:gridCol w:w="832"/>
        <w:gridCol w:w="545"/>
        <w:gridCol w:w="1107"/>
      </w:tblGrid>
      <w:tr>
        <w:tblPrEx>
          <w:tblCellMar>
            <w:top w:w="15" w:type="dxa"/>
            <w:left w:w="15" w:type="dxa"/>
            <w:bottom w:w="15" w:type="dxa"/>
            <w:right w:w="15" w:type="dxa"/>
          </w:tblCellMar>
        </w:tblPrEx>
        <w:trPr>
          <w:trHeight w:val="372" w:hRule="atLeast"/>
        </w:trPr>
        <w:tc>
          <w:tcPr>
            <w:tcW w:w="3289"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w:t>
            </w:r>
          </w:p>
        </w:tc>
        <w:tc>
          <w:tcPr>
            <w:tcW w:w="115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合计</w:t>
            </w:r>
          </w:p>
        </w:tc>
        <w:tc>
          <w:tcPr>
            <w:tcW w:w="107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基本支出</w:t>
            </w:r>
          </w:p>
        </w:tc>
        <w:tc>
          <w:tcPr>
            <w:tcW w:w="88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项目支出</w:t>
            </w:r>
          </w:p>
        </w:tc>
        <w:tc>
          <w:tcPr>
            <w:tcW w:w="832"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上缴上</w:t>
            </w:r>
          </w:p>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级支出</w:t>
            </w:r>
          </w:p>
        </w:tc>
        <w:tc>
          <w:tcPr>
            <w:tcW w:w="54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经营支出</w:t>
            </w:r>
          </w:p>
        </w:tc>
        <w:tc>
          <w:tcPr>
            <w:tcW w:w="110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对附属单位</w:t>
            </w:r>
          </w:p>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补助支出</w:t>
            </w:r>
          </w:p>
        </w:tc>
      </w:tr>
      <w:tr>
        <w:tblPrEx>
          <w:tblCellMar>
            <w:top w:w="15" w:type="dxa"/>
            <w:left w:w="15" w:type="dxa"/>
            <w:bottom w:w="15" w:type="dxa"/>
            <w:right w:w="15" w:type="dxa"/>
          </w:tblCellMar>
        </w:tblPrEx>
        <w:trPr>
          <w:trHeight w:val="702" w:hRule="atLeast"/>
        </w:trPr>
        <w:tc>
          <w:tcPr>
            <w:tcW w:w="129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功能分类科目编码</w:t>
            </w:r>
          </w:p>
        </w:tc>
        <w:tc>
          <w:tcPr>
            <w:tcW w:w="199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科目名称</w:t>
            </w:r>
          </w:p>
        </w:tc>
        <w:tc>
          <w:tcPr>
            <w:tcW w:w="115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07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88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83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54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10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CellMar>
            <w:top w:w="15" w:type="dxa"/>
            <w:left w:w="15" w:type="dxa"/>
            <w:bottom w:w="15" w:type="dxa"/>
            <w:right w:w="15" w:type="dxa"/>
          </w:tblCellMar>
        </w:tblPrEx>
        <w:trPr>
          <w:trHeight w:val="372" w:hRule="atLeast"/>
        </w:trPr>
        <w:tc>
          <w:tcPr>
            <w:tcW w:w="3289"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合计</w:t>
            </w:r>
          </w:p>
        </w:tc>
        <w:tc>
          <w:tcPr>
            <w:tcW w:w="1159"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b/>
                <w:bCs/>
                <w:color w:val="000000"/>
                <w:sz w:val="21"/>
                <w:szCs w:val="21"/>
                <w:lang w:val="en-US" w:eastAsia="zh-CN"/>
              </w:rPr>
            </w:pPr>
            <w:r>
              <w:rPr>
                <w:rFonts w:hint="eastAsia" w:ascii="宋体" w:hAnsi="宋体" w:eastAsia="宋体" w:cs="宋体"/>
                <w:b/>
                <w:bCs/>
                <w:color w:val="000000"/>
                <w:sz w:val="21"/>
                <w:szCs w:val="21"/>
                <w:lang w:val="en-US" w:eastAsia="zh-CN"/>
              </w:rPr>
              <w:t>46.45</w:t>
            </w:r>
          </w:p>
        </w:tc>
        <w:tc>
          <w:tcPr>
            <w:tcW w:w="1077"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b/>
                <w:bCs/>
                <w:color w:val="000000"/>
                <w:sz w:val="21"/>
                <w:szCs w:val="21"/>
                <w:lang w:val="en-US" w:eastAsia="zh-CN"/>
              </w:rPr>
            </w:pPr>
            <w:r>
              <w:rPr>
                <w:rFonts w:hint="eastAsia" w:ascii="宋体" w:hAnsi="宋体" w:eastAsia="宋体" w:cs="宋体"/>
                <w:b/>
                <w:bCs/>
                <w:color w:val="000000"/>
                <w:sz w:val="21"/>
                <w:szCs w:val="21"/>
                <w:lang w:val="en-US" w:eastAsia="zh-CN"/>
              </w:rPr>
              <w:t>31.55</w:t>
            </w:r>
          </w:p>
        </w:tc>
        <w:tc>
          <w:tcPr>
            <w:tcW w:w="887"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b/>
                <w:bCs/>
                <w:color w:val="000000"/>
                <w:sz w:val="21"/>
                <w:szCs w:val="21"/>
                <w:lang w:val="en-US" w:eastAsia="zh-CN"/>
              </w:rPr>
            </w:pPr>
            <w:r>
              <w:rPr>
                <w:rFonts w:hint="eastAsia" w:ascii="宋体" w:hAnsi="宋体" w:eastAsia="宋体" w:cs="宋体"/>
                <w:b/>
                <w:bCs/>
                <w:color w:val="000000"/>
                <w:sz w:val="21"/>
                <w:szCs w:val="21"/>
                <w:lang w:val="en-US" w:eastAsia="zh-CN"/>
              </w:rPr>
              <w:t>14.90</w:t>
            </w:r>
          </w:p>
        </w:tc>
        <w:tc>
          <w:tcPr>
            <w:tcW w:w="83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b/>
                <w:bCs/>
                <w:color w:val="000000"/>
                <w:sz w:val="21"/>
                <w:szCs w:val="21"/>
              </w:rPr>
            </w:pPr>
          </w:p>
        </w:tc>
        <w:tc>
          <w:tcPr>
            <w:tcW w:w="5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0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129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0"/>
                <w:sz w:val="21"/>
                <w:szCs w:val="21"/>
              </w:rPr>
              <w:t>20</w:t>
            </w:r>
            <w:r>
              <w:rPr>
                <w:rFonts w:hint="eastAsia" w:ascii="宋体" w:hAnsi="宋体" w:eastAsia="宋体" w:cs="宋体"/>
                <w:color w:val="000000"/>
                <w:kern w:val="0"/>
                <w:sz w:val="21"/>
                <w:szCs w:val="21"/>
                <w:lang w:val="en-US" w:eastAsia="zh-CN"/>
              </w:rPr>
              <w:t>6</w:t>
            </w:r>
          </w:p>
        </w:tc>
        <w:tc>
          <w:tcPr>
            <w:tcW w:w="199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0"/>
                <w:sz w:val="21"/>
                <w:szCs w:val="21"/>
                <w:lang w:eastAsia="zh-CN"/>
              </w:rPr>
              <w:t>科学技术支出</w:t>
            </w:r>
          </w:p>
        </w:tc>
        <w:tc>
          <w:tcPr>
            <w:tcW w:w="1159"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44.83</w:t>
            </w:r>
          </w:p>
        </w:tc>
        <w:tc>
          <w:tcPr>
            <w:tcW w:w="1077"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29.93</w:t>
            </w:r>
          </w:p>
        </w:tc>
        <w:tc>
          <w:tcPr>
            <w:tcW w:w="887"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14.90</w:t>
            </w:r>
          </w:p>
        </w:tc>
        <w:tc>
          <w:tcPr>
            <w:tcW w:w="83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0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129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宋体" w:hAnsi="宋体" w:eastAsia="宋体" w:cs="宋体"/>
                <w:color w:val="000000"/>
                <w:kern w:val="2"/>
                <w:sz w:val="21"/>
                <w:szCs w:val="21"/>
                <w:lang w:val="en-US" w:eastAsia="zh-CN" w:bidi="ar-SA"/>
              </w:rPr>
            </w:pPr>
            <w:r>
              <w:rPr>
                <w:rFonts w:hint="eastAsia" w:ascii="宋体" w:hAnsi="宋体" w:eastAsia="宋体" w:cs="宋体"/>
                <w:color w:val="000000"/>
                <w:kern w:val="0"/>
                <w:sz w:val="21"/>
                <w:szCs w:val="21"/>
              </w:rPr>
              <w:t xml:space="preserve"> 20</w:t>
            </w:r>
            <w:r>
              <w:rPr>
                <w:rFonts w:hint="eastAsia" w:ascii="宋体" w:hAnsi="宋体" w:eastAsia="宋体" w:cs="宋体"/>
                <w:color w:val="000000"/>
                <w:kern w:val="0"/>
                <w:sz w:val="21"/>
                <w:szCs w:val="21"/>
                <w:lang w:val="en-US" w:eastAsia="zh-CN"/>
              </w:rPr>
              <w:t>601</w:t>
            </w:r>
          </w:p>
        </w:tc>
        <w:tc>
          <w:tcPr>
            <w:tcW w:w="199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0"/>
                <w:sz w:val="21"/>
                <w:szCs w:val="21"/>
                <w:lang w:eastAsia="zh-CN"/>
              </w:rPr>
              <w:t>科学技术管理事务</w:t>
            </w:r>
          </w:p>
        </w:tc>
        <w:tc>
          <w:tcPr>
            <w:tcW w:w="1159"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8.83</w:t>
            </w:r>
          </w:p>
        </w:tc>
        <w:tc>
          <w:tcPr>
            <w:tcW w:w="1077"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8.83</w:t>
            </w:r>
          </w:p>
        </w:tc>
        <w:tc>
          <w:tcPr>
            <w:tcW w:w="887"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color w:val="000000"/>
                <w:sz w:val="21"/>
                <w:szCs w:val="21"/>
                <w:lang w:val="en-US" w:eastAsia="zh-CN"/>
              </w:rPr>
            </w:pPr>
          </w:p>
        </w:tc>
        <w:tc>
          <w:tcPr>
            <w:tcW w:w="83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0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1298" w:type="dxa"/>
            <w:tcBorders>
              <w:top w:val="single" w:color="000000" w:sz="4" w:space="0"/>
              <w:left w:val="single" w:color="000000" w:sz="4" w:space="0"/>
              <w:bottom w:val="single" w:color="000000" w:sz="4" w:space="0"/>
              <w:right w:val="single" w:color="000000" w:sz="4" w:space="0"/>
            </w:tcBorders>
            <w:vAlign w:val="center"/>
          </w:tcPr>
          <w:p>
            <w:pPr>
              <w:ind w:firstLine="210" w:firstLineChars="100"/>
              <w:jc w:val="lef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rPr>
              <w:t>20</w:t>
            </w:r>
            <w:r>
              <w:rPr>
                <w:rFonts w:hint="eastAsia" w:ascii="宋体" w:hAnsi="宋体" w:eastAsia="宋体" w:cs="宋体"/>
                <w:color w:val="000000"/>
                <w:sz w:val="21"/>
                <w:szCs w:val="21"/>
                <w:lang w:val="en-US" w:eastAsia="zh-CN"/>
              </w:rPr>
              <w:t>60101</w:t>
            </w:r>
          </w:p>
        </w:tc>
        <w:tc>
          <w:tcPr>
            <w:tcW w:w="1991"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行政运行</w:t>
            </w:r>
          </w:p>
        </w:tc>
        <w:tc>
          <w:tcPr>
            <w:tcW w:w="1159"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8.83</w:t>
            </w:r>
          </w:p>
        </w:tc>
        <w:tc>
          <w:tcPr>
            <w:tcW w:w="1077"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8.83</w:t>
            </w:r>
          </w:p>
        </w:tc>
        <w:tc>
          <w:tcPr>
            <w:tcW w:w="88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83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0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1298" w:type="dxa"/>
            <w:tcBorders>
              <w:top w:val="single" w:color="000000" w:sz="4" w:space="0"/>
              <w:left w:val="single" w:color="000000" w:sz="4" w:space="0"/>
              <w:bottom w:val="single" w:color="000000" w:sz="4" w:space="0"/>
              <w:right w:val="single" w:color="000000" w:sz="4" w:space="0"/>
            </w:tcBorders>
            <w:vAlign w:val="center"/>
          </w:tcPr>
          <w:p>
            <w:pPr>
              <w:jc w:val="left"/>
              <w:rPr>
                <w:rFonts w:hint="default" w:ascii="宋体" w:hAnsi="宋体" w:eastAsia="宋体" w:cs="宋体"/>
                <w:color w:val="000000"/>
                <w:sz w:val="21"/>
                <w:szCs w:val="21"/>
                <w:lang w:val="en-US" w:eastAsia="zh-CN"/>
              </w:rPr>
            </w:pPr>
            <w:r>
              <w:rPr>
                <w:rFonts w:hint="eastAsia" w:ascii="宋体" w:hAnsi="宋体" w:eastAsia="宋体" w:cs="宋体"/>
                <w:color w:val="000000"/>
                <w:kern w:val="0"/>
                <w:sz w:val="21"/>
                <w:szCs w:val="21"/>
              </w:rPr>
              <w:t xml:space="preserve"> </w:t>
            </w:r>
            <w:r>
              <w:rPr>
                <w:rFonts w:hint="eastAsia" w:ascii="宋体" w:hAnsi="宋体" w:eastAsia="宋体" w:cs="宋体"/>
                <w:color w:val="000000"/>
                <w:sz w:val="21"/>
                <w:szCs w:val="21"/>
                <w:lang w:val="en-US" w:eastAsia="zh-CN"/>
              </w:rPr>
              <w:t>20607</w:t>
            </w:r>
          </w:p>
        </w:tc>
        <w:tc>
          <w:tcPr>
            <w:tcW w:w="1991"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科学技术普及</w:t>
            </w:r>
          </w:p>
        </w:tc>
        <w:tc>
          <w:tcPr>
            <w:tcW w:w="1159"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36.00</w:t>
            </w:r>
          </w:p>
        </w:tc>
        <w:tc>
          <w:tcPr>
            <w:tcW w:w="1077"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21.10</w:t>
            </w:r>
          </w:p>
        </w:tc>
        <w:tc>
          <w:tcPr>
            <w:tcW w:w="887"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14.90</w:t>
            </w:r>
          </w:p>
        </w:tc>
        <w:tc>
          <w:tcPr>
            <w:tcW w:w="83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0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1298" w:type="dxa"/>
            <w:tcBorders>
              <w:top w:val="single" w:color="000000" w:sz="4" w:space="0"/>
              <w:left w:val="single" w:color="000000" w:sz="4" w:space="0"/>
              <w:bottom w:val="single" w:color="000000" w:sz="4" w:space="0"/>
              <w:right w:val="single" w:color="000000" w:sz="4" w:space="0"/>
            </w:tcBorders>
            <w:vAlign w:val="center"/>
          </w:tcPr>
          <w:p>
            <w:pPr>
              <w:ind w:firstLine="210" w:firstLineChars="100"/>
              <w:jc w:val="lef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rPr>
              <w:t>20</w:t>
            </w:r>
            <w:r>
              <w:rPr>
                <w:rFonts w:hint="eastAsia" w:ascii="宋体" w:hAnsi="宋体" w:eastAsia="宋体" w:cs="宋体"/>
                <w:color w:val="000000"/>
                <w:sz w:val="21"/>
                <w:szCs w:val="21"/>
                <w:lang w:val="en-US" w:eastAsia="zh-CN"/>
              </w:rPr>
              <w:t>60702</w:t>
            </w:r>
          </w:p>
        </w:tc>
        <w:tc>
          <w:tcPr>
            <w:tcW w:w="1991"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科普活动</w:t>
            </w:r>
          </w:p>
        </w:tc>
        <w:tc>
          <w:tcPr>
            <w:tcW w:w="1159"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31.00</w:t>
            </w:r>
          </w:p>
        </w:tc>
        <w:tc>
          <w:tcPr>
            <w:tcW w:w="1077"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21.10</w:t>
            </w:r>
          </w:p>
        </w:tc>
        <w:tc>
          <w:tcPr>
            <w:tcW w:w="887"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9.90</w:t>
            </w:r>
          </w:p>
        </w:tc>
        <w:tc>
          <w:tcPr>
            <w:tcW w:w="83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0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1298" w:type="dxa"/>
            <w:tcBorders>
              <w:top w:val="single" w:color="000000" w:sz="4" w:space="0"/>
              <w:left w:val="single" w:color="000000" w:sz="4" w:space="0"/>
              <w:bottom w:val="single" w:color="000000" w:sz="4" w:space="0"/>
              <w:right w:val="single" w:color="000000" w:sz="4" w:space="0"/>
            </w:tcBorders>
            <w:vAlign w:val="center"/>
          </w:tcPr>
          <w:p>
            <w:pPr>
              <w:ind w:firstLine="210" w:firstLineChars="100"/>
              <w:jc w:val="left"/>
              <w:rPr>
                <w:rFonts w:ascii="宋体" w:hAnsi="宋体" w:eastAsia="宋体" w:cs="宋体"/>
                <w:color w:val="000000"/>
                <w:sz w:val="21"/>
                <w:szCs w:val="21"/>
              </w:rPr>
            </w:pPr>
            <w:r>
              <w:rPr>
                <w:rFonts w:hint="eastAsia" w:ascii="宋体" w:hAnsi="宋体" w:eastAsia="宋体" w:cs="宋体"/>
                <w:color w:val="000000"/>
                <w:sz w:val="21"/>
                <w:szCs w:val="21"/>
              </w:rPr>
              <w:t>20</w:t>
            </w:r>
            <w:r>
              <w:rPr>
                <w:rFonts w:hint="eastAsia" w:ascii="宋体" w:hAnsi="宋体" w:eastAsia="宋体" w:cs="宋体"/>
                <w:color w:val="000000"/>
                <w:sz w:val="21"/>
                <w:szCs w:val="21"/>
                <w:lang w:val="en-US" w:eastAsia="zh-CN"/>
              </w:rPr>
              <w:t>6079</w:t>
            </w:r>
            <w:r>
              <w:rPr>
                <w:rFonts w:hint="eastAsia" w:ascii="宋体" w:hAnsi="宋体" w:eastAsia="宋体" w:cs="宋体"/>
                <w:color w:val="000000"/>
                <w:sz w:val="21"/>
                <w:szCs w:val="21"/>
              </w:rPr>
              <w:t>9</w:t>
            </w:r>
          </w:p>
        </w:tc>
        <w:tc>
          <w:tcPr>
            <w:tcW w:w="1991"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其它科学技术普及支出</w:t>
            </w:r>
          </w:p>
        </w:tc>
        <w:tc>
          <w:tcPr>
            <w:tcW w:w="1159"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5.00</w:t>
            </w:r>
          </w:p>
        </w:tc>
        <w:tc>
          <w:tcPr>
            <w:tcW w:w="107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887"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5.00</w:t>
            </w:r>
          </w:p>
        </w:tc>
        <w:tc>
          <w:tcPr>
            <w:tcW w:w="83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0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129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kern w:val="0"/>
                <w:sz w:val="21"/>
                <w:szCs w:val="21"/>
              </w:rPr>
              <w:t>208</w:t>
            </w:r>
          </w:p>
        </w:tc>
        <w:tc>
          <w:tcPr>
            <w:tcW w:w="1991"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社会保障和就业支出</w:t>
            </w:r>
          </w:p>
        </w:tc>
        <w:tc>
          <w:tcPr>
            <w:tcW w:w="1159"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1.31</w:t>
            </w:r>
          </w:p>
        </w:tc>
        <w:tc>
          <w:tcPr>
            <w:tcW w:w="1077"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1.31</w:t>
            </w:r>
          </w:p>
        </w:tc>
        <w:tc>
          <w:tcPr>
            <w:tcW w:w="887"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color w:val="000000"/>
                <w:sz w:val="21"/>
                <w:szCs w:val="21"/>
              </w:rPr>
            </w:pPr>
          </w:p>
        </w:tc>
        <w:tc>
          <w:tcPr>
            <w:tcW w:w="83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0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1298" w:type="dxa"/>
            <w:tcBorders>
              <w:top w:val="single" w:color="000000" w:sz="4" w:space="0"/>
              <w:left w:val="single" w:color="000000" w:sz="4" w:space="0"/>
              <w:bottom w:val="single" w:color="000000" w:sz="4" w:space="0"/>
              <w:right w:val="single" w:color="000000" w:sz="4" w:space="0"/>
            </w:tcBorders>
            <w:vAlign w:val="center"/>
          </w:tcPr>
          <w:p>
            <w:pPr>
              <w:ind w:firstLine="210" w:firstLineChars="100"/>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2080</w:t>
            </w:r>
            <w:r>
              <w:rPr>
                <w:rFonts w:hint="eastAsia" w:ascii="宋体" w:hAnsi="宋体" w:eastAsia="宋体" w:cs="宋体"/>
                <w:color w:val="000000"/>
                <w:sz w:val="21"/>
                <w:szCs w:val="21"/>
                <w:lang w:val="en-US" w:eastAsia="zh-CN"/>
              </w:rPr>
              <w:t>5</w:t>
            </w:r>
          </w:p>
        </w:tc>
        <w:tc>
          <w:tcPr>
            <w:tcW w:w="1991"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eastAsia="zh-CN"/>
              </w:rPr>
              <w:t>行政事业单位离退休</w:t>
            </w:r>
          </w:p>
        </w:tc>
        <w:tc>
          <w:tcPr>
            <w:tcW w:w="1159"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1.31</w:t>
            </w:r>
          </w:p>
        </w:tc>
        <w:tc>
          <w:tcPr>
            <w:tcW w:w="1077"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1.31</w:t>
            </w:r>
          </w:p>
        </w:tc>
        <w:tc>
          <w:tcPr>
            <w:tcW w:w="887"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color w:val="000000"/>
                <w:sz w:val="21"/>
                <w:szCs w:val="21"/>
              </w:rPr>
            </w:pPr>
          </w:p>
        </w:tc>
        <w:tc>
          <w:tcPr>
            <w:tcW w:w="83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0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1298" w:type="dxa"/>
            <w:tcBorders>
              <w:top w:val="single" w:color="000000" w:sz="4" w:space="0"/>
              <w:left w:val="single" w:color="000000" w:sz="4" w:space="0"/>
              <w:bottom w:val="single" w:color="000000" w:sz="4" w:space="0"/>
              <w:right w:val="single" w:color="000000" w:sz="4" w:space="0"/>
            </w:tcBorders>
            <w:vAlign w:val="center"/>
          </w:tcPr>
          <w:p>
            <w:pPr>
              <w:ind w:firstLine="210" w:firstLineChars="100"/>
              <w:jc w:val="center"/>
              <w:rPr>
                <w:rFonts w:hint="default"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208</w:t>
            </w:r>
            <w:r>
              <w:rPr>
                <w:rFonts w:hint="eastAsia" w:ascii="宋体" w:hAnsi="宋体" w:eastAsia="宋体" w:cs="宋体"/>
                <w:color w:val="000000"/>
                <w:sz w:val="21"/>
                <w:szCs w:val="21"/>
                <w:lang w:val="en-US" w:eastAsia="zh-CN"/>
              </w:rPr>
              <w:t>0505</w:t>
            </w:r>
          </w:p>
        </w:tc>
        <w:tc>
          <w:tcPr>
            <w:tcW w:w="1991"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eastAsia="zh-CN"/>
              </w:rPr>
              <w:t>机关事业单位基本养老保险缴费支出</w:t>
            </w:r>
          </w:p>
        </w:tc>
        <w:tc>
          <w:tcPr>
            <w:tcW w:w="1159"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1.31</w:t>
            </w:r>
          </w:p>
        </w:tc>
        <w:tc>
          <w:tcPr>
            <w:tcW w:w="1077"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1.31</w:t>
            </w:r>
          </w:p>
        </w:tc>
        <w:tc>
          <w:tcPr>
            <w:tcW w:w="88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83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0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1298" w:type="dxa"/>
            <w:tcBorders>
              <w:top w:val="single" w:color="000000" w:sz="4" w:space="0"/>
              <w:left w:val="single" w:color="000000" w:sz="4" w:space="0"/>
              <w:bottom w:val="single" w:color="000000" w:sz="4" w:space="0"/>
              <w:right w:val="single" w:color="000000" w:sz="4" w:space="0"/>
            </w:tcBorders>
            <w:vAlign w:val="center"/>
          </w:tcPr>
          <w:p>
            <w:pPr>
              <w:jc w:val="left"/>
              <w:rPr>
                <w:rFonts w:hint="default"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210</w:t>
            </w:r>
          </w:p>
        </w:tc>
        <w:tc>
          <w:tcPr>
            <w:tcW w:w="1991"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卫生健康支出</w:t>
            </w:r>
          </w:p>
        </w:tc>
        <w:tc>
          <w:tcPr>
            <w:tcW w:w="1159"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0.31</w:t>
            </w:r>
          </w:p>
        </w:tc>
        <w:tc>
          <w:tcPr>
            <w:tcW w:w="1077"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0.31</w:t>
            </w:r>
          </w:p>
        </w:tc>
        <w:tc>
          <w:tcPr>
            <w:tcW w:w="88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83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0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1298" w:type="dxa"/>
            <w:tcBorders>
              <w:top w:val="single" w:color="000000" w:sz="4" w:space="0"/>
              <w:left w:val="single" w:color="000000" w:sz="4" w:space="0"/>
              <w:bottom w:val="single" w:color="000000" w:sz="4" w:space="0"/>
              <w:right w:val="single" w:color="000000" w:sz="4" w:space="0"/>
            </w:tcBorders>
            <w:vAlign w:val="center"/>
          </w:tcPr>
          <w:p>
            <w:pPr>
              <w:ind w:firstLine="210" w:firstLineChars="100"/>
              <w:jc w:val="left"/>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21011</w:t>
            </w:r>
          </w:p>
        </w:tc>
        <w:tc>
          <w:tcPr>
            <w:tcW w:w="1991"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行政事业单位医疗</w:t>
            </w:r>
          </w:p>
        </w:tc>
        <w:tc>
          <w:tcPr>
            <w:tcW w:w="1159"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0.28</w:t>
            </w:r>
          </w:p>
        </w:tc>
        <w:tc>
          <w:tcPr>
            <w:tcW w:w="1077"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0.28</w:t>
            </w:r>
          </w:p>
        </w:tc>
        <w:tc>
          <w:tcPr>
            <w:tcW w:w="88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83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0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1298" w:type="dxa"/>
            <w:tcBorders>
              <w:top w:val="single" w:color="000000" w:sz="4" w:space="0"/>
              <w:left w:val="single" w:color="000000" w:sz="4" w:space="0"/>
              <w:bottom w:val="single" w:color="000000" w:sz="4" w:space="0"/>
              <w:right w:val="single" w:color="000000" w:sz="4" w:space="0"/>
            </w:tcBorders>
            <w:vAlign w:val="center"/>
          </w:tcPr>
          <w:p>
            <w:pPr>
              <w:ind w:firstLine="210" w:firstLineChars="100"/>
              <w:jc w:val="center"/>
              <w:rPr>
                <w:rFonts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2101101</w:t>
            </w:r>
          </w:p>
        </w:tc>
        <w:tc>
          <w:tcPr>
            <w:tcW w:w="1991"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行政单位医疗</w:t>
            </w:r>
          </w:p>
        </w:tc>
        <w:tc>
          <w:tcPr>
            <w:tcW w:w="1159"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0.27</w:t>
            </w:r>
          </w:p>
        </w:tc>
        <w:tc>
          <w:tcPr>
            <w:tcW w:w="1077"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0.27</w:t>
            </w:r>
          </w:p>
        </w:tc>
        <w:tc>
          <w:tcPr>
            <w:tcW w:w="88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83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0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1298" w:type="dxa"/>
            <w:tcBorders>
              <w:top w:val="single" w:color="000000" w:sz="4" w:space="0"/>
              <w:left w:val="single" w:color="000000" w:sz="4" w:space="0"/>
              <w:bottom w:val="single" w:color="000000" w:sz="4" w:space="0"/>
              <w:right w:val="single" w:color="000000" w:sz="4" w:space="0"/>
            </w:tcBorders>
            <w:vAlign w:val="center"/>
          </w:tcPr>
          <w:p>
            <w:pPr>
              <w:ind w:firstLine="210" w:firstLineChars="100"/>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2101103</w:t>
            </w:r>
          </w:p>
        </w:tc>
        <w:tc>
          <w:tcPr>
            <w:tcW w:w="1991"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公务员医疗补助</w:t>
            </w:r>
          </w:p>
        </w:tc>
        <w:tc>
          <w:tcPr>
            <w:tcW w:w="1159"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0.01</w:t>
            </w:r>
          </w:p>
        </w:tc>
        <w:tc>
          <w:tcPr>
            <w:tcW w:w="1077"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0.01</w:t>
            </w:r>
          </w:p>
        </w:tc>
        <w:tc>
          <w:tcPr>
            <w:tcW w:w="88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83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0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1298" w:type="dxa"/>
            <w:tcBorders>
              <w:top w:val="single" w:color="000000" w:sz="4" w:space="0"/>
              <w:left w:val="single" w:color="000000" w:sz="4" w:space="0"/>
              <w:bottom w:val="single" w:color="000000" w:sz="4" w:space="0"/>
              <w:right w:val="single" w:color="000000" w:sz="4" w:space="0"/>
            </w:tcBorders>
            <w:vAlign w:val="center"/>
          </w:tcPr>
          <w:p>
            <w:pPr>
              <w:ind w:firstLine="210" w:firstLineChars="100"/>
              <w:jc w:val="left"/>
              <w:rPr>
                <w:rFonts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21099</w:t>
            </w:r>
          </w:p>
        </w:tc>
        <w:tc>
          <w:tcPr>
            <w:tcW w:w="1991"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其他卫生健康支出</w:t>
            </w:r>
          </w:p>
        </w:tc>
        <w:tc>
          <w:tcPr>
            <w:tcW w:w="1159"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0.</w:t>
            </w:r>
            <w:r>
              <w:rPr>
                <w:rFonts w:hint="eastAsia" w:ascii="宋体" w:hAnsi="宋体" w:eastAsia="宋体" w:cs="宋体"/>
                <w:color w:val="000000"/>
                <w:sz w:val="21"/>
                <w:szCs w:val="21"/>
                <w:lang w:val="en-US" w:eastAsia="zh-CN"/>
              </w:rPr>
              <w:t>03</w:t>
            </w:r>
          </w:p>
        </w:tc>
        <w:tc>
          <w:tcPr>
            <w:tcW w:w="1077"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0.03</w:t>
            </w:r>
          </w:p>
        </w:tc>
        <w:tc>
          <w:tcPr>
            <w:tcW w:w="88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83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0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1298" w:type="dxa"/>
            <w:tcBorders>
              <w:top w:val="single" w:color="000000" w:sz="4" w:space="0"/>
              <w:left w:val="single" w:color="000000" w:sz="4" w:space="0"/>
              <w:bottom w:val="single" w:color="000000" w:sz="4" w:space="0"/>
              <w:right w:val="single" w:color="000000" w:sz="4" w:space="0"/>
            </w:tcBorders>
            <w:vAlign w:val="center"/>
          </w:tcPr>
          <w:p>
            <w:pPr>
              <w:ind w:firstLine="210" w:firstLineChars="100"/>
              <w:jc w:val="center"/>
              <w:rPr>
                <w:rFonts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2109901</w:t>
            </w:r>
          </w:p>
        </w:tc>
        <w:tc>
          <w:tcPr>
            <w:tcW w:w="1991"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其他卫生健康支出</w:t>
            </w:r>
          </w:p>
        </w:tc>
        <w:tc>
          <w:tcPr>
            <w:tcW w:w="1159"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rPr>
              <w:t>0.</w:t>
            </w:r>
            <w:r>
              <w:rPr>
                <w:rFonts w:hint="eastAsia" w:ascii="宋体" w:hAnsi="宋体" w:eastAsia="宋体" w:cs="宋体"/>
                <w:color w:val="000000"/>
                <w:sz w:val="21"/>
                <w:szCs w:val="21"/>
                <w:lang w:val="en-US" w:eastAsia="zh-CN"/>
              </w:rPr>
              <w:t>03</w:t>
            </w:r>
          </w:p>
        </w:tc>
        <w:tc>
          <w:tcPr>
            <w:tcW w:w="1077"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rPr>
              <w:t>0.</w:t>
            </w:r>
            <w:r>
              <w:rPr>
                <w:rFonts w:hint="eastAsia" w:ascii="宋体" w:hAnsi="宋体" w:eastAsia="宋体" w:cs="宋体"/>
                <w:color w:val="000000"/>
                <w:sz w:val="21"/>
                <w:szCs w:val="21"/>
                <w:lang w:val="en-US" w:eastAsia="zh-CN"/>
              </w:rPr>
              <w:t>03</w:t>
            </w:r>
          </w:p>
        </w:tc>
        <w:tc>
          <w:tcPr>
            <w:tcW w:w="88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83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0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83" w:hRule="atLeast"/>
        </w:trPr>
        <w:tc>
          <w:tcPr>
            <w:tcW w:w="1298"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991"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15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7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8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3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5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0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bl>
    <w:p>
      <w:pPr>
        <w:widowControl/>
        <w:jc w:val="left"/>
        <w:rPr>
          <w:rFonts w:eastAsia="宋体" w:cs="黑体"/>
          <w:sz w:val="21"/>
          <w:szCs w:val="24"/>
        </w:rPr>
      </w:pPr>
      <w:r>
        <w:rPr>
          <w:rFonts w:hint="eastAsia" w:ascii="宋体" w:hAnsi="宋体" w:eastAsia="宋体" w:cs="宋体"/>
          <w:sz w:val="21"/>
          <w:szCs w:val="21"/>
        </w:rPr>
        <w:t>注：本表反映部门本年度各项支出情况。</w:t>
      </w:r>
      <w:r>
        <w:rPr>
          <w:rFonts w:hint="eastAsia" w:ascii="宋体" w:hAnsi="宋体" w:eastAsia="宋体" w:cs="宋体"/>
          <w:color w:val="000000"/>
          <w:kern w:val="0"/>
          <w:sz w:val="21"/>
          <w:szCs w:val="21"/>
        </w:rPr>
        <w:t>本表金额转换为万元时，因四舍五入可能存在尾差。</w:t>
      </w:r>
    </w:p>
    <w:p/>
    <w:p/>
    <w:p/>
    <w:p>
      <w:pPr>
        <w:jc w:val="center"/>
        <w:rPr>
          <w:rFonts w:ascii="宋体" w:hAnsi="宋体" w:eastAsia="宋体" w:cs="宋体"/>
          <w:b/>
          <w:bCs/>
          <w:szCs w:val="32"/>
        </w:rPr>
      </w:pPr>
      <w:r>
        <w:rPr>
          <w:rFonts w:hint="eastAsia" w:ascii="宋体" w:hAnsi="宋体" w:eastAsia="宋体" w:cs="宋体"/>
          <w:b/>
          <w:bCs/>
          <w:szCs w:val="32"/>
        </w:rPr>
        <w:t>财政拨款收入支出决算总表</w:t>
      </w:r>
    </w:p>
    <w:p>
      <w:pPr>
        <w:rPr>
          <w:rFonts w:ascii="宋体" w:hAnsi="宋体" w:eastAsia="宋体" w:cs="宋体"/>
          <w:b/>
          <w:bCs/>
          <w:sz w:val="21"/>
          <w:szCs w:val="21"/>
        </w:rPr>
      </w:pPr>
      <w:r>
        <w:rPr>
          <w:rFonts w:hint="eastAsia" w:ascii="宋体" w:hAnsi="宋体" w:eastAsia="宋体" w:cs="宋体"/>
          <w:b/>
          <w:bCs/>
          <w:sz w:val="21"/>
          <w:szCs w:val="21"/>
        </w:rPr>
        <w:t>公开04表</w:t>
      </w:r>
    </w:p>
    <w:p>
      <w:pPr>
        <w:rPr>
          <w:rFonts w:ascii="宋体" w:hAnsi="宋体" w:eastAsia="宋体" w:cs="宋体"/>
          <w:b/>
          <w:bCs/>
          <w:sz w:val="21"/>
          <w:szCs w:val="21"/>
        </w:rPr>
      </w:pPr>
      <w:r>
        <w:rPr>
          <w:rFonts w:hint="eastAsia" w:ascii="宋体" w:hAnsi="宋体" w:eastAsia="宋体" w:cs="宋体"/>
          <w:b/>
          <w:bCs/>
          <w:sz w:val="21"/>
          <w:szCs w:val="21"/>
        </w:rPr>
        <w:t>编制部门：西安市</w:t>
      </w:r>
      <w:r>
        <w:rPr>
          <w:rFonts w:hint="eastAsia" w:ascii="宋体" w:hAnsi="宋体" w:eastAsia="宋体" w:cs="宋体"/>
          <w:b/>
          <w:bCs/>
          <w:sz w:val="21"/>
          <w:szCs w:val="21"/>
          <w:lang w:eastAsia="zh-CN"/>
        </w:rPr>
        <w:t>蓝田县科学技术协会</w:t>
      </w:r>
      <w:r>
        <w:rPr>
          <w:rFonts w:hint="eastAsia" w:ascii="宋体" w:hAnsi="宋体" w:eastAsia="宋体" w:cs="宋体"/>
          <w:b/>
          <w:bCs/>
          <w:sz w:val="21"/>
          <w:szCs w:val="21"/>
        </w:rPr>
        <w:t xml:space="preserve">                       金额单位：万元</w:t>
      </w:r>
    </w:p>
    <w:tbl>
      <w:tblPr>
        <w:tblStyle w:val="6"/>
        <w:tblW w:w="8700" w:type="dxa"/>
        <w:tblInd w:w="0" w:type="dxa"/>
        <w:tblLayout w:type="fixed"/>
        <w:tblCellMar>
          <w:top w:w="15" w:type="dxa"/>
          <w:left w:w="15" w:type="dxa"/>
          <w:bottom w:w="15" w:type="dxa"/>
          <w:right w:w="15" w:type="dxa"/>
        </w:tblCellMar>
      </w:tblPr>
      <w:tblGrid>
        <w:gridCol w:w="1705"/>
        <w:gridCol w:w="1072"/>
        <w:gridCol w:w="2703"/>
        <w:gridCol w:w="1134"/>
        <w:gridCol w:w="1102"/>
        <w:gridCol w:w="984"/>
      </w:tblGrid>
      <w:tr>
        <w:tblPrEx>
          <w:tblCellMar>
            <w:top w:w="15" w:type="dxa"/>
            <w:left w:w="15" w:type="dxa"/>
            <w:bottom w:w="15" w:type="dxa"/>
            <w:right w:w="15" w:type="dxa"/>
          </w:tblCellMar>
        </w:tblPrEx>
        <w:trPr>
          <w:trHeight w:val="367" w:hRule="atLeast"/>
        </w:trPr>
        <w:tc>
          <w:tcPr>
            <w:tcW w:w="277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sz w:val="21"/>
                <w:szCs w:val="21"/>
              </w:rPr>
              <w:t>收入</w:t>
            </w:r>
          </w:p>
        </w:tc>
        <w:tc>
          <w:tcPr>
            <w:tcW w:w="5923" w:type="dxa"/>
            <w:gridSpan w:val="4"/>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sz w:val="21"/>
                <w:szCs w:val="21"/>
              </w:rPr>
              <w:t>支出</w:t>
            </w:r>
          </w:p>
        </w:tc>
      </w:tr>
      <w:tr>
        <w:tblPrEx>
          <w:tblCellMar>
            <w:top w:w="15" w:type="dxa"/>
            <w:left w:w="15" w:type="dxa"/>
            <w:bottom w:w="15" w:type="dxa"/>
            <w:right w:w="15" w:type="dxa"/>
          </w:tblCellMar>
        </w:tblPrEx>
        <w:trPr>
          <w:trHeight w:val="1020"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项    目</w:t>
            </w:r>
          </w:p>
        </w:tc>
        <w:tc>
          <w:tcPr>
            <w:tcW w:w="107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决算数</w:t>
            </w: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项目</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合计</w:t>
            </w:r>
          </w:p>
        </w:tc>
        <w:tc>
          <w:tcPr>
            <w:tcW w:w="110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一般公共预算财政拨款</w:t>
            </w:r>
          </w:p>
        </w:tc>
        <w:tc>
          <w:tcPr>
            <w:tcW w:w="9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政府性基金预算财政拨款</w:t>
            </w:r>
          </w:p>
        </w:tc>
      </w:tr>
      <w:tr>
        <w:tblPrEx>
          <w:tblCellMar>
            <w:top w:w="15" w:type="dxa"/>
            <w:left w:w="15" w:type="dxa"/>
            <w:bottom w:w="15" w:type="dxa"/>
            <w:right w:w="15" w:type="dxa"/>
          </w:tblCellMar>
        </w:tblPrEx>
        <w:trPr>
          <w:trHeight w:val="693"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1、一般公共预算财政拨款</w:t>
            </w:r>
          </w:p>
        </w:tc>
        <w:tc>
          <w:tcPr>
            <w:tcW w:w="1072"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46.45</w:t>
            </w: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1、一般公共服务支出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693"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2、政府性基金预算财政拨款</w:t>
            </w: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2、外交支出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693"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sz w:val="21"/>
                <w:szCs w:val="21"/>
              </w:rPr>
              <w:t>3、国有资本经营预算收入</w:t>
            </w: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3、国防支出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4、公共安全支出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5、教育支出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6、科学技术支出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44.83</w:t>
            </w:r>
          </w:p>
        </w:tc>
        <w:tc>
          <w:tcPr>
            <w:tcW w:w="110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44.83</w:t>
            </w: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7、</w:t>
            </w:r>
            <w:r>
              <w:rPr>
                <w:rFonts w:hint="eastAsia" w:ascii="宋体" w:hAnsi="宋体" w:eastAsia="宋体" w:cs="宋体"/>
                <w:color w:val="000000"/>
                <w:spacing w:val="-11"/>
                <w:w w:val="98"/>
                <w:kern w:val="0"/>
                <w:sz w:val="21"/>
                <w:szCs w:val="21"/>
              </w:rPr>
              <w:t>文化旅游体育与传媒支出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8、社会保障和就业支出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1.31</w:t>
            </w:r>
          </w:p>
        </w:tc>
        <w:tc>
          <w:tcPr>
            <w:tcW w:w="110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1.31</w:t>
            </w: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9、卫生健康支出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0.31</w:t>
            </w:r>
          </w:p>
        </w:tc>
        <w:tc>
          <w:tcPr>
            <w:tcW w:w="110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0.31</w:t>
            </w: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10、节能环保支出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11、城乡社区支出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12、农林水支出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13、交通运输支出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14、资源勘探信息等支出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15、商业服务业等支出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16、金融支出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17、援助其他地区支出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18、</w:t>
            </w:r>
            <w:r>
              <w:rPr>
                <w:rFonts w:hint="eastAsia" w:ascii="宋体" w:hAnsi="宋体" w:eastAsia="宋体" w:cs="宋体"/>
                <w:color w:val="000000"/>
                <w:spacing w:val="-11"/>
                <w:w w:val="98"/>
                <w:kern w:val="0"/>
                <w:sz w:val="21"/>
                <w:szCs w:val="21"/>
              </w:rPr>
              <w:t>自然资源海洋气象等支出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19、住房保障支出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20、粮油物资储备支出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21、灾害防治及应急管理支出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8"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22、其他支出</w:t>
            </w:r>
          </w:p>
        </w:tc>
        <w:tc>
          <w:tcPr>
            <w:tcW w:w="1134" w:type="dxa"/>
            <w:tcBorders>
              <w:top w:val="single" w:color="000000" w:sz="4" w:space="0"/>
              <w:bottom w:val="single" w:color="000000" w:sz="4" w:space="0"/>
              <w:right w:val="single" w:color="000000" w:sz="4" w:space="0"/>
            </w:tcBorders>
            <w:vAlign w:val="center"/>
          </w:tcPr>
          <w:p>
            <w:pPr>
              <w:widowControl/>
              <w:ind w:firstLine="210" w:firstLineChars="100"/>
              <w:jc w:val="left"/>
              <w:textAlignment w:val="center"/>
              <w:rPr>
                <w:rFonts w:ascii="宋体" w:hAnsi="宋体" w:eastAsia="宋体" w:cs="宋体"/>
                <w:color w:val="000000"/>
                <w:kern w:val="0"/>
                <w:sz w:val="21"/>
                <w:szCs w:val="21"/>
              </w:rPr>
            </w:pPr>
          </w:p>
        </w:tc>
        <w:tc>
          <w:tcPr>
            <w:tcW w:w="1102" w:type="dxa"/>
            <w:tcBorders>
              <w:top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84" w:type="dxa"/>
            <w:tcBorders>
              <w:top w:val="single" w:color="000000" w:sz="4" w:space="0"/>
              <w:bottom w:val="single" w:color="000000" w:sz="4" w:space="0"/>
              <w:right w:val="single" w:color="000000" w:sz="4" w:space="0"/>
            </w:tcBorders>
            <w:vAlign w:val="center"/>
          </w:tcPr>
          <w:p>
            <w:pPr>
              <w:rPr>
                <w:rFonts w:ascii="宋体" w:hAnsi="宋体" w:eastAsia="宋体" w:cs="宋体"/>
                <w:b/>
                <w:color w:val="000000"/>
                <w:sz w:val="21"/>
                <w:szCs w:val="21"/>
              </w:rPr>
            </w:pPr>
          </w:p>
        </w:tc>
      </w:tr>
    </w:tbl>
    <w:p/>
    <w:p/>
    <w:p>
      <w:pPr>
        <w:jc w:val="center"/>
        <w:rPr>
          <w:rFonts w:ascii="宋体" w:hAnsi="宋体" w:eastAsia="宋体" w:cs="宋体"/>
          <w:b/>
          <w:bCs/>
          <w:szCs w:val="32"/>
        </w:rPr>
      </w:pPr>
      <w:r>
        <w:rPr>
          <w:rFonts w:hint="eastAsia" w:ascii="宋体" w:hAnsi="宋体" w:eastAsia="宋体" w:cs="宋体"/>
          <w:b/>
          <w:bCs/>
          <w:szCs w:val="32"/>
        </w:rPr>
        <w:t xml:space="preserve">财政拨款收入支出决算总表 </w:t>
      </w:r>
    </w:p>
    <w:p>
      <w:pPr>
        <w:rPr>
          <w:rFonts w:ascii="宋体" w:hAnsi="宋体" w:eastAsia="宋体" w:cs="宋体"/>
          <w:b/>
          <w:bCs/>
          <w:sz w:val="21"/>
          <w:szCs w:val="21"/>
        </w:rPr>
      </w:pPr>
      <w:r>
        <w:rPr>
          <w:rFonts w:hint="eastAsia" w:ascii="宋体" w:hAnsi="宋体" w:eastAsia="宋体" w:cs="宋体"/>
          <w:b/>
          <w:bCs/>
          <w:sz w:val="21"/>
          <w:szCs w:val="21"/>
        </w:rPr>
        <w:t xml:space="preserve"> 公开04表</w:t>
      </w:r>
    </w:p>
    <w:p>
      <w:pPr>
        <w:rPr>
          <w:rFonts w:ascii="宋体" w:hAnsi="宋体" w:eastAsia="宋体" w:cs="宋体"/>
          <w:b/>
          <w:bCs/>
          <w:sz w:val="21"/>
          <w:szCs w:val="21"/>
        </w:rPr>
      </w:pPr>
      <w:r>
        <w:rPr>
          <w:rFonts w:hint="eastAsia" w:ascii="宋体" w:hAnsi="宋体" w:eastAsia="宋体" w:cs="宋体"/>
          <w:b/>
          <w:bCs/>
          <w:sz w:val="21"/>
          <w:szCs w:val="21"/>
        </w:rPr>
        <w:t>编制部门： 西安市</w:t>
      </w:r>
      <w:r>
        <w:rPr>
          <w:rFonts w:hint="eastAsia" w:ascii="宋体" w:hAnsi="宋体" w:eastAsia="宋体" w:cs="宋体"/>
          <w:b/>
          <w:bCs/>
          <w:sz w:val="21"/>
          <w:szCs w:val="21"/>
          <w:lang w:eastAsia="zh-CN"/>
        </w:rPr>
        <w:t>蓝田县科学技术协会</w:t>
      </w:r>
      <w:r>
        <w:rPr>
          <w:rFonts w:hint="eastAsia" w:ascii="宋体" w:hAnsi="宋体" w:eastAsia="宋体" w:cs="宋体"/>
          <w:b/>
          <w:bCs/>
          <w:sz w:val="21"/>
          <w:szCs w:val="21"/>
        </w:rPr>
        <w:t xml:space="preserve">                             金额单位：万元</w:t>
      </w:r>
    </w:p>
    <w:tbl>
      <w:tblPr>
        <w:tblStyle w:val="6"/>
        <w:tblW w:w="8860" w:type="dxa"/>
        <w:tblInd w:w="0" w:type="dxa"/>
        <w:tblLayout w:type="fixed"/>
        <w:tblCellMar>
          <w:top w:w="15" w:type="dxa"/>
          <w:left w:w="15" w:type="dxa"/>
          <w:bottom w:w="15" w:type="dxa"/>
          <w:right w:w="15" w:type="dxa"/>
        </w:tblCellMar>
      </w:tblPr>
      <w:tblGrid>
        <w:gridCol w:w="2003"/>
        <w:gridCol w:w="1554"/>
        <w:gridCol w:w="1815"/>
        <w:gridCol w:w="1230"/>
        <w:gridCol w:w="1061"/>
        <w:gridCol w:w="1197"/>
      </w:tblGrid>
      <w:tr>
        <w:tblPrEx>
          <w:tblCellMar>
            <w:top w:w="15" w:type="dxa"/>
            <w:left w:w="15" w:type="dxa"/>
            <w:bottom w:w="15" w:type="dxa"/>
            <w:right w:w="15" w:type="dxa"/>
          </w:tblCellMar>
        </w:tblPrEx>
        <w:trPr>
          <w:trHeight w:val="578" w:hRule="atLeast"/>
        </w:trPr>
        <w:tc>
          <w:tcPr>
            <w:tcW w:w="355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sz w:val="21"/>
                <w:szCs w:val="21"/>
              </w:rPr>
              <w:t>收入</w:t>
            </w:r>
          </w:p>
        </w:tc>
        <w:tc>
          <w:tcPr>
            <w:tcW w:w="5303" w:type="dxa"/>
            <w:gridSpan w:val="4"/>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sz w:val="21"/>
                <w:szCs w:val="21"/>
              </w:rPr>
              <w:t>支出</w:t>
            </w:r>
          </w:p>
        </w:tc>
      </w:tr>
      <w:tr>
        <w:tblPrEx>
          <w:tblCellMar>
            <w:top w:w="15" w:type="dxa"/>
            <w:left w:w="15" w:type="dxa"/>
            <w:bottom w:w="15" w:type="dxa"/>
            <w:right w:w="15" w:type="dxa"/>
          </w:tblCellMar>
        </w:tblPrEx>
        <w:trPr>
          <w:trHeight w:val="999" w:hRule="atLeast"/>
        </w:trPr>
        <w:tc>
          <w:tcPr>
            <w:tcW w:w="200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项    目</w:t>
            </w:r>
          </w:p>
        </w:tc>
        <w:tc>
          <w:tcPr>
            <w:tcW w:w="155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决算数</w:t>
            </w:r>
          </w:p>
        </w:tc>
        <w:tc>
          <w:tcPr>
            <w:tcW w:w="18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项目</w:t>
            </w: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合计</w:t>
            </w:r>
          </w:p>
        </w:tc>
        <w:tc>
          <w:tcPr>
            <w:tcW w:w="10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一般公共预算财政拨款</w:t>
            </w:r>
          </w:p>
        </w:tc>
        <w:tc>
          <w:tcPr>
            <w:tcW w:w="119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政府性基金预算财政拨款</w:t>
            </w:r>
          </w:p>
        </w:tc>
      </w:tr>
      <w:tr>
        <w:tblPrEx>
          <w:tblCellMar>
            <w:top w:w="15" w:type="dxa"/>
            <w:left w:w="15" w:type="dxa"/>
            <w:bottom w:w="15" w:type="dxa"/>
            <w:right w:w="15" w:type="dxa"/>
          </w:tblCellMar>
        </w:tblPrEx>
        <w:trPr>
          <w:trHeight w:val="771" w:hRule="atLeast"/>
        </w:trPr>
        <w:tc>
          <w:tcPr>
            <w:tcW w:w="200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本年收入合计</w:t>
            </w:r>
          </w:p>
        </w:tc>
        <w:tc>
          <w:tcPr>
            <w:tcW w:w="155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宋体" w:hAnsi="宋体" w:eastAsia="宋体" w:cs="宋体"/>
                <w:color w:val="000000"/>
                <w:sz w:val="21"/>
                <w:szCs w:val="21"/>
                <w:lang w:val="en-US" w:eastAsia="zh-CN"/>
              </w:rPr>
            </w:pPr>
            <w:r>
              <w:rPr>
                <w:rFonts w:hint="eastAsia" w:ascii="宋体" w:hAnsi="宋体" w:eastAsia="宋体" w:cs="宋体"/>
                <w:b/>
                <w:bCs/>
                <w:color w:val="000000"/>
                <w:sz w:val="21"/>
                <w:szCs w:val="21"/>
                <w:lang w:val="en-US" w:eastAsia="zh-CN"/>
              </w:rPr>
              <w:t>46.45</w:t>
            </w:r>
          </w:p>
        </w:tc>
        <w:tc>
          <w:tcPr>
            <w:tcW w:w="18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本年支出合计</w:t>
            </w: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宋体" w:hAnsi="宋体" w:eastAsia="宋体" w:cs="宋体"/>
                <w:b/>
                <w:color w:val="000000"/>
                <w:kern w:val="0"/>
                <w:sz w:val="21"/>
                <w:szCs w:val="21"/>
                <w:lang w:val="en-US" w:eastAsia="zh-CN"/>
              </w:rPr>
            </w:pPr>
            <w:r>
              <w:rPr>
                <w:rFonts w:hint="eastAsia" w:ascii="宋体" w:hAnsi="宋体" w:eastAsia="宋体" w:cs="宋体"/>
                <w:b/>
                <w:color w:val="000000"/>
                <w:kern w:val="0"/>
                <w:sz w:val="21"/>
                <w:szCs w:val="21"/>
                <w:lang w:val="en-US" w:eastAsia="zh-CN"/>
              </w:rPr>
              <w:t>46.45</w:t>
            </w:r>
          </w:p>
        </w:tc>
        <w:tc>
          <w:tcPr>
            <w:tcW w:w="10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宋体" w:hAnsi="宋体" w:eastAsia="宋体" w:cs="宋体"/>
                <w:b/>
                <w:color w:val="000000"/>
                <w:kern w:val="0"/>
                <w:sz w:val="21"/>
                <w:szCs w:val="21"/>
                <w:lang w:val="en-US" w:eastAsia="zh-CN"/>
              </w:rPr>
            </w:pPr>
            <w:r>
              <w:rPr>
                <w:rFonts w:hint="eastAsia" w:ascii="宋体" w:hAnsi="宋体" w:eastAsia="宋体" w:cs="宋体"/>
                <w:b/>
                <w:color w:val="000000"/>
                <w:kern w:val="0"/>
                <w:sz w:val="21"/>
                <w:szCs w:val="21"/>
                <w:lang w:val="en-US" w:eastAsia="zh-CN"/>
              </w:rPr>
              <w:t>46.45</w:t>
            </w:r>
          </w:p>
        </w:tc>
        <w:tc>
          <w:tcPr>
            <w:tcW w:w="119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r>
      <w:tr>
        <w:tblPrEx>
          <w:tblCellMar>
            <w:top w:w="15" w:type="dxa"/>
            <w:left w:w="15" w:type="dxa"/>
            <w:bottom w:w="15" w:type="dxa"/>
            <w:right w:w="15" w:type="dxa"/>
          </w:tblCellMar>
        </w:tblPrEx>
        <w:trPr>
          <w:trHeight w:val="771" w:hRule="atLeast"/>
        </w:trPr>
        <w:tc>
          <w:tcPr>
            <w:tcW w:w="200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年初财政拨款结转和结余</w:t>
            </w:r>
          </w:p>
        </w:tc>
        <w:tc>
          <w:tcPr>
            <w:tcW w:w="155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kern w:val="0"/>
                <w:sz w:val="21"/>
                <w:szCs w:val="21"/>
              </w:rPr>
            </w:pPr>
          </w:p>
        </w:tc>
        <w:tc>
          <w:tcPr>
            <w:tcW w:w="18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年末财政拨款</w:t>
            </w:r>
          </w:p>
          <w:p>
            <w:pPr>
              <w:widowControl/>
              <w:jc w:val="center"/>
              <w:textAlignment w:val="center"/>
              <w:rPr>
                <w:rFonts w:ascii="宋体" w:hAnsi="宋体" w:eastAsia="宋体" w:cs="宋体"/>
                <w:b/>
                <w:color w:val="000000"/>
                <w:kern w:val="0"/>
                <w:sz w:val="21"/>
                <w:szCs w:val="21"/>
              </w:rPr>
            </w:pPr>
            <w:r>
              <w:rPr>
                <w:rFonts w:hint="eastAsia" w:ascii="宋体" w:hAnsi="宋体" w:eastAsia="宋体" w:cs="宋体"/>
                <w:color w:val="000000"/>
                <w:kern w:val="0"/>
                <w:sz w:val="21"/>
                <w:szCs w:val="21"/>
              </w:rPr>
              <w:t>结转和结余</w:t>
            </w: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c>
          <w:tcPr>
            <w:tcW w:w="10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c>
          <w:tcPr>
            <w:tcW w:w="119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r>
      <w:tr>
        <w:tblPrEx>
          <w:tblCellMar>
            <w:top w:w="15" w:type="dxa"/>
            <w:left w:w="15" w:type="dxa"/>
            <w:bottom w:w="15" w:type="dxa"/>
            <w:right w:w="15" w:type="dxa"/>
          </w:tblCellMar>
        </w:tblPrEx>
        <w:trPr>
          <w:trHeight w:val="771" w:hRule="atLeast"/>
        </w:trPr>
        <w:tc>
          <w:tcPr>
            <w:tcW w:w="20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一、一般公共预</w:t>
            </w:r>
          </w:p>
          <w:p>
            <w:pPr>
              <w:widowControl/>
              <w:ind w:firstLine="420" w:firstLineChars="200"/>
              <w:textAlignment w:val="center"/>
              <w:rPr>
                <w:rFonts w:ascii="宋体" w:hAnsi="宋体" w:eastAsia="宋体" w:cs="宋体"/>
                <w:b/>
                <w:color w:val="000000"/>
                <w:kern w:val="0"/>
                <w:sz w:val="21"/>
                <w:szCs w:val="21"/>
              </w:rPr>
            </w:pPr>
            <w:r>
              <w:rPr>
                <w:rFonts w:hint="eastAsia" w:ascii="宋体" w:hAnsi="宋体" w:eastAsia="宋体" w:cs="宋体"/>
                <w:color w:val="000000"/>
                <w:kern w:val="0"/>
                <w:sz w:val="21"/>
                <w:szCs w:val="21"/>
              </w:rPr>
              <w:t>算财政拨款</w:t>
            </w:r>
          </w:p>
        </w:tc>
        <w:tc>
          <w:tcPr>
            <w:tcW w:w="155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c>
          <w:tcPr>
            <w:tcW w:w="18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c>
          <w:tcPr>
            <w:tcW w:w="10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c>
          <w:tcPr>
            <w:tcW w:w="119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r>
      <w:tr>
        <w:tblPrEx>
          <w:tblCellMar>
            <w:top w:w="15" w:type="dxa"/>
            <w:left w:w="15" w:type="dxa"/>
            <w:bottom w:w="15" w:type="dxa"/>
            <w:right w:w="15" w:type="dxa"/>
          </w:tblCellMar>
        </w:tblPrEx>
        <w:trPr>
          <w:trHeight w:val="771" w:hRule="atLeast"/>
        </w:trPr>
        <w:tc>
          <w:tcPr>
            <w:tcW w:w="20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二、政府性基金预</w:t>
            </w:r>
          </w:p>
          <w:p>
            <w:pPr>
              <w:widowControl/>
              <w:ind w:firstLine="420" w:firstLineChars="200"/>
              <w:textAlignment w:val="center"/>
              <w:rPr>
                <w:rFonts w:ascii="宋体" w:hAnsi="宋体" w:eastAsia="宋体" w:cs="宋体"/>
                <w:b/>
                <w:color w:val="000000"/>
                <w:kern w:val="0"/>
                <w:sz w:val="21"/>
                <w:szCs w:val="21"/>
              </w:rPr>
            </w:pPr>
            <w:r>
              <w:rPr>
                <w:rFonts w:hint="eastAsia" w:ascii="宋体" w:hAnsi="宋体" w:eastAsia="宋体" w:cs="宋体"/>
                <w:color w:val="000000"/>
                <w:kern w:val="0"/>
                <w:sz w:val="21"/>
                <w:szCs w:val="21"/>
              </w:rPr>
              <w:t>算财政拨款</w:t>
            </w:r>
          </w:p>
        </w:tc>
        <w:tc>
          <w:tcPr>
            <w:tcW w:w="155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c>
          <w:tcPr>
            <w:tcW w:w="18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c>
          <w:tcPr>
            <w:tcW w:w="10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c>
          <w:tcPr>
            <w:tcW w:w="119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r>
      <w:tr>
        <w:tblPrEx>
          <w:tblCellMar>
            <w:top w:w="15" w:type="dxa"/>
            <w:left w:w="15" w:type="dxa"/>
            <w:bottom w:w="15" w:type="dxa"/>
            <w:right w:w="15" w:type="dxa"/>
          </w:tblCellMar>
        </w:tblPrEx>
        <w:trPr>
          <w:trHeight w:val="562" w:hRule="atLeast"/>
        </w:trPr>
        <w:tc>
          <w:tcPr>
            <w:tcW w:w="200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收入总计</w:t>
            </w:r>
          </w:p>
        </w:tc>
        <w:tc>
          <w:tcPr>
            <w:tcW w:w="1554"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b/>
                <w:color w:val="000000"/>
                <w:kern w:val="0"/>
                <w:sz w:val="21"/>
                <w:szCs w:val="21"/>
                <w:lang w:val="en-US" w:eastAsia="zh-CN"/>
              </w:rPr>
            </w:pPr>
            <w:r>
              <w:rPr>
                <w:rFonts w:hint="eastAsia" w:ascii="宋体" w:hAnsi="宋体" w:eastAsia="宋体" w:cs="宋体"/>
                <w:b/>
                <w:color w:val="000000"/>
                <w:kern w:val="0"/>
                <w:sz w:val="21"/>
                <w:szCs w:val="21"/>
                <w:lang w:val="en-US" w:eastAsia="zh-CN"/>
              </w:rPr>
              <w:t>46.45</w:t>
            </w:r>
          </w:p>
        </w:tc>
        <w:tc>
          <w:tcPr>
            <w:tcW w:w="18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支出总计</w:t>
            </w: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宋体" w:hAnsi="宋体" w:eastAsia="宋体" w:cs="宋体"/>
                <w:b/>
                <w:color w:val="000000"/>
                <w:kern w:val="0"/>
                <w:sz w:val="21"/>
                <w:szCs w:val="21"/>
                <w:lang w:val="en-US" w:eastAsia="zh-CN"/>
              </w:rPr>
            </w:pPr>
            <w:r>
              <w:rPr>
                <w:rFonts w:hint="eastAsia" w:ascii="宋体" w:hAnsi="宋体" w:eastAsia="宋体" w:cs="宋体"/>
                <w:b/>
                <w:color w:val="000000"/>
                <w:kern w:val="0"/>
                <w:sz w:val="21"/>
                <w:szCs w:val="21"/>
                <w:lang w:val="en-US" w:eastAsia="zh-CN"/>
              </w:rPr>
              <w:t>46.45</w:t>
            </w:r>
          </w:p>
        </w:tc>
        <w:tc>
          <w:tcPr>
            <w:tcW w:w="10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宋体" w:hAnsi="宋体" w:eastAsia="宋体" w:cs="宋体"/>
                <w:b/>
                <w:color w:val="000000"/>
                <w:kern w:val="0"/>
                <w:sz w:val="21"/>
                <w:szCs w:val="21"/>
                <w:lang w:val="en-US" w:eastAsia="zh-CN"/>
              </w:rPr>
            </w:pPr>
            <w:r>
              <w:rPr>
                <w:rFonts w:hint="eastAsia" w:ascii="宋体" w:hAnsi="宋体" w:eastAsia="宋体" w:cs="宋体"/>
                <w:b/>
                <w:color w:val="000000"/>
                <w:kern w:val="0"/>
                <w:sz w:val="21"/>
                <w:szCs w:val="21"/>
                <w:lang w:val="en-US" w:eastAsia="zh-CN"/>
              </w:rPr>
              <w:t>46.45</w:t>
            </w:r>
          </w:p>
        </w:tc>
        <w:tc>
          <w:tcPr>
            <w:tcW w:w="119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r>
    </w:tbl>
    <w:p>
      <w:pPr>
        <w:rPr>
          <w:rFonts w:ascii="宋体" w:hAnsi="宋体" w:eastAsia="宋体" w:cs="宋体"/>
          <w:sz w:val="21"/>
          <w:szCs w:val="21"/>
        </w:rPr>
      </w:pPr>
    </w:p>
    <w:p>
      <w:pPr>
        <w:widowControl/>
        <w:ind w:left="210" w:hanging="210" w:hangingChars="100"/>
        <w:jc w:val="left"/>
        <w:rPr>
          <w:rFonts w:eastAsia="宋体" w:cs="黑体"/>
          <w:sz w:val="21"/>
          <w:szCs w:val="24"/>
        </w:rPr>
      </w:pPr>
      <w:r>
        <w:rPr>
          <w:rFonts w:hint="eastAsia" w:ascii="宋体" w:hAnsi="宋体" w:eastAsia="宋体" w:cs="宋体"/>
          <w:sz w:val="21"/>
          <w:szCs w:val="21"/>
        </w:rPr>
        <w:t>注：本表反映部门本年度一般公共预算财政拨款和政府性基金预算财政拨款的总收支和年末结转结余情况。</w:t>
      </w:r>
      <w:r>
        <w:rPr>
          <w:rFonts w:hint="eastAsia" w:ascii="宋体" w:hAnsi="宋体" w:eastAsia="宋体" w:cs="宋体"/>
          <w:color w:val="000000"/>
          <w:kern w:val="0"/>
          <w:sz w:val="21"/>
          <w:szCs w:val="21"/>
        </w:rPr>
        <w:t>本表金额转换为万元时，因四舍五入可能存在尾差。</w:t>
      </w:r>
    </w:p>
    <w:p>
      <w:pPr>
        <w:rPr>
          <w:rFonts w:ascii="仿宋_GB2312" w:hAnsi="仿宋_GB2312" w:eastAsia="仿宋_GB2312" w:cs="仿宋_GB2312"/>
          <w:szCs w:val="32"/>
        </w:rPr>
      </w:pPr>
    </w:p>
    <w:p/>
    <w:p/>
    <w:p/>
    <w:p/>
    <w:p/>
    <w:p/>
    <w:p>
      <w:pPr>
        <w:jc w:val="center"/>
        <w:rPr>
          <w:rFonts w:ascii="宋体" w:hAnsi="宋体" w:eastAsia="宋体" w:cs="宋体"/>
          <w:b/>
          <w:bCs/>
          <w:szCs w:val="32"/>
        </w:rPr>
      </w:pPr>
      <w:r>
        <w:rPr>
          <w:rFonts w:hint="eastAsia" w:ascii="宋体" w:hAnsi="宋体" w:eastAsia="宋体" w:cs="宋体"/>
          <w:b/>
          <w:bCs/>
          <w:szCs w:val="32"/>
        </w:rPr>
        <w:t>一般公共预算财政拨款支出决算表（按功能分类科目）</w:t>
      </w:r>
    </w:p>
    <w:p>
      <w:pPr>
        <w:rPr>
          <w:rFonts w:ascii="宋体" w:hAnsi="宋体" w:eastAsia="宋体" w:cs="宋体"/>
          <w:b/>
          <w:bCs/>
          <w:sz w:val="21"/>
          <w:szCs w:val="21"/>
        </w:rPr>
      </w:pPr>
      <w:r>
        <w:rPr>
          <w:rFonts w:hint="eastAsia" w:ascii="宋体" w:hAnsi="宋体" w:eastAsia="宋体" w:cs="宋体"/>
          <w:b/>
          <w:bCs/>
          <w:sz w:val="21"/>
          <w:szCs w:val="21"/>
        </w:rPr>
        <w:t xml:space="preserve">                                                                      公开05表</w:t>
      </w:r>
    </w:p>
    <w:p>
      <w:pPr>
        <w:rPr>
          <w:rFonts w:ascii="宋体" w:hAnsi="宋体" w:eastAsia="宋体" w:cs="宋体"/>
          <w:b/>
          <w:bCs/>
          <w:sz w:val="21"/>
          <w:szCs w:val="21"/>
        </w:rPr>
      </w:pPr>
      <w:r>
        <w:rPr>
          <w:rFonts w:hint="eastAsia" w:ascii="宋体" w:hAnsi="宋体" w:eastAsia="宋体" w:cs="宋体"/>
          <w:b/>
          <w:bCs/>
          <w:sz w:val="21"/>
          <w:szCs w:val="21"/>
        </w:rPr>
        <w:t>编制部门： 西安市</w:t>
      </w:r>
      <w:r>
        <w:rPr>
          <w:rFonts w:hint="eastAsia" w:ascii="宋体" w:hAnsi="宋体" w:eastAsia="宋体" w:cs="宋体"/>
          <w:b/>
          <w:bCs/>
          <w:sz w:val="21"/>
          <w:szCs w:val="21"/>
          <w:lang w:eastAsia="zh-CN"/>
        </w:rPr>
        <w:t>蓝田县科学技术协会</w:t>
      </w:r>
      <w:r>
        <w:rPr>
          <w:rFonts w:hint="eastAsia" w:ascii="宋体" w:hAnsi="宋体" w:eastAsia="宋体" w:cs="宋体"/>
          <w:b/>
          <w:bCs/>
          <w:sz w:val="21"/>
          <w:szCs w:val="21"/>
        </w:rPr>
        <w:t xml:space="preserve">                        金额单位：万元</w:t>
      </w:r>
    </w:p>
    <w:tbl>
      <w:tblPr>
        <w:tblStyle w:val="6"/>
        <w:tblW w:w="8777" w:type="dxa"/>
        <w:tblInd w:w="0" w:type="dxa"/>
        <w:tblLayout w:type="fixed"/>
        <w:tblCellMar>
          <w:top w:w="15" w:type="dxa"/>
          <w:left w:w="15" w:type="dxa"/>
          <w:bottom w:w="15" w:type="dxa"/>
          <w:right w:w="15" w:type="dxa"/>
        </w:tblCellMar>
      </w:tblPr>
      <w:tblGrid>
        <w:gridCol w:w="1170"/>
        <w:gridCol w:w="2049"/>
        <w:gridCol w:w="927"/>
        <w:gridCol w:w="968"/>
        <w:gridCol w:w="873"/>
        <w:gridCol w:w="791"/>
        <w:gridCol w:w="1173"/>
        <w:gridCol w:w="826"/>
      </w:tblGrid>
      <w:tr>
        <w:tblPrEx>
          <w:tblCellMar>
            <w:top w:w="15" w:type="dxa"/>
            <w:left w:w="15" w:type="dxa"/>
            <w:bottom w:w="15" w:type="dxa"/>
            <w:right w:w="15" w:type="dxa"/>
          </w:tblCellMar>
        </w:tblPrEx>
        <w:trPr>
          <w:trHeight w:val="414" w:hRule="atLeast"/>
        </w:trPr>
        <w:tc>
          <w:tcPr>
            <w:tcW w:w="3219"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    目</w:t>
            </w:r>
          </w:p>
        </w:tc>
        <w:tc>
          <w:tcPr>
            <w:tcW w:w="92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本年支出合计</w:t>
            </w:r>
          </w:p>
        </w:tc>
        <w:tc>
          <w:tcPr>
            <w:tcW w:w="2632" w:type="dxa"/>
            <w:gridSpan w:val="3"/>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基本支出</w:t>
            </w:r>
          </w:p>
        </w:tc>
        <w:tc>
          <w:tcPr>
            <w:tcW w:w="117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项目支出</w:t>
            </w:r>
          </w:p>
        </w:tc>
        <w:tc>
          <w:tcPr>
            <w:tcW w:w="826"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备注</w:t>
            </w:r>
          </w:p>
        </w:tc>
      </w:tr>
      <w:tr>
        <w:tblPrEx>
          <w:tblCellMar>
            <w:top w:w="15" w:type="dxa"/>
            <w:left w:w="15" w:type="dxa"/>
            <w:bottom w:w="15" w:type="dxa"/>
            <w:right w:w="15" w:type="dxa"/>
          </w:tblCellMar>
        </w:tblPrEx>
        <w:trPr>
          <w:trHeight w:val="781"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功能分类科目编码</w:t>
            </w:r>
          </w:p>
        </w:tc>
        <w:tc>
          <w:tcPr>
            <w:tcW w:w="204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科目名称</w:t>
            </w:r>
          </w:p>
        </w:tc>
        <w:tc>
          <w:tcPr>
            <w:tcW w:w="92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6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小计</w:t>
            </w:r>
          </w:p>
        </w:tc>
        <w:tc>
          <w:tcPr>
            <w:tcW w:w="87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人员经费</w:t>
            </w:r>
          </w:p>
        </w:tc>
        <w:tc>
          <w:tcPr>
            <w:tcW w:w="79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公用经费</w:t>
            </w:r>
          </w:p>
        </w:tc>
        <w:tc>
          <w:tcPr>
            <w:tcW w:w="117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82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CellMar>
            <w:top w:w="15" w:type="dxa"/>
            <w:left w:w="15" w:type="dxa"/>
            <w:bottom w:w="15" w:type="dxa"/>
            <w:right w:w="15" w:type="dxa"/>
          </w:tblCellMar>
        </w:tblPrEx>
        <w:trPr>
          <w:trHeight w:val="414" w:hRule="atLeast"/>
        </w:trPr>
        <w:tc>
          <w:tcPr>
            <w:tcW w:w="3219"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1"/>
                <w:szCs w:val="21"/>
              </w:rPr>
            </w:pPr>
            <w:r>
              <w:rPr>
                <w:rFonts w:hint="eastAsia" w:ascii="宋体" w:hAnsi="宋体" w:eastAsia="宋体" w:cs="宋体"/>
                <w:b/>
                <w:bCs/>
                <w:color w:val="000000"/>
                <w:kern w:val="0"/>
                <w:sz w:val="21"/>
                <w:szCs w:val="21"/>
              </w:rPr>
              <w:t>合计</w:t>
            </w:r>
          </w:p>
        </w:tc>
        <w:tc>
          <w:tcPr>
            <w:tcW w:w="927"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b/>
                <w:bCs/>
                <w:color w:val="000000"/>
                <w:sz w:val="21"/>
                <w:szCs w:val="21"/>
                <w:lang w:val="en-US" w:eastAsia="zh-CN"/>
              </w:rPr>
            </w:pPr>
            <w:r>
              <w:rPr>
                <w:rFonts w:hint="eastAsia" w:ascii="宋体" w:hAnsi="宋体" w:eastAsia="宋体" w:cs="宋体"/>
                <w:b/>
                <w:bCs/>
                <w:color w:val="000000"/>
                <w:sz w:val="21"/>
                <w:szCs w:val="21"/>
                <w:lang w:val="en-US" w:eastAsia="zh-CN"/>
              </w:rPr>
              <w:t>46.45</w:t>
            </w:r>
          </w:p>
        </w:tc>
        <w:tc>
          <w:tcPr>
            <w:tcW w:w="968"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b/>
                <w:bCs/>
                <w:color w:val="000000"/>
                <w:sz w:val="21"/>
                <w:szCs w:val="21"/>
                <w:lang w:val="en-US" w:eastAsia="zh-CN"/>
              </w:rPr>
            </w:pPr>
            <w:r>
              <w:rPr>
                <w:rFonts w:hint="eastAsia" w:ascii="宋体" w:hAnsi="宋体" w:eastAsia="宋体" w:cs="宋体"/>
                <w:b/>
                <w:bCs/>
                <w:color w:val="000000"/>
                <w:sz w:val="21"/>
                <w:szCs w:val="21"/>
                <w:lang w:val="en-US" w:eastAsia="zh-CN"/>
              </w:rPr>
              <w:t>31.55</w:t>
            </w:r>
          </w:p>
        </w:tc>
        <w:tc>
          <w:tcPr>
            <w:tcW w:w="873"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b/>
                <w:bCs/>
                <w:color w:val="000000"/>
                <w:sz w:val="21"/>
                <w:szCs w:val="21"/>
                <w:lang w:val="en-US" w:eastAsia="zh-CN"/>
              </w:rPr>
            </w:pPr>
            <w:r>
              <w:rPr>
                <w:rFonts w:hint="eastAsia" w:ascii="宋体" w:hAnsi="宋体" w:eastAsia="宋体" w:cs="宋体"/>
                <w:b/>
                <w:bCs/>
                <w:color w:val="000000"/>
                <w:sz w:val="21"/>
                <w:szCs w:val="21"/>
                <w:lang w:val="en-US" w:eastAsia="zh-CN"/>
              </w:rPr>
              <w:t>9.67</w:t>
            </w:r>
          </w:p>
        </w:tc>
        <w:tc>
          <w:tcPr>
            <w:tcW w:w="79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b/>
                <w:bCs/>
                <w:color w:val="000000"/>
                <w:sz w:val="21"/>
                <w:szCs w:val="21"/>
                <w:lang w:val="en-US" w:eastAsia="zh-CN"/>
              </w:rPr>
            </w:pPr>
            <w:r>
              <w:rPr>
                <w:rFonts w:hint="eastAsia" w:ascii="宋体" w:hAnsi="宋体" w:eastAsia="宋体" w:cs="宋体"/>
                <w:b/>
                <w:bCs/>
                <w:color w:val="000000"/>
                <w:sz w:val="21"/>
                <w:szCs w:val="21"/>
                <w:lang w:val="en-US" w:eastAsia="zh-CN"/>
              </w:rPr>
              <w:t>21.88</w:t>
            </w:r>
          </w:p>
        </w:tc>
        <w:tc>
          <w:tcPr>
            <w:tcW w:w="1173"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b/>
                <w:bCs/>
                <w:color w:val="000000"/>
                <w:sz w:val="21"/>
                <w:szCs w:val="21"/>
                <w:lang w:val="en-US" w:eastAsia="zh-CN"/>
              </w:rPr>
            </w:pPr>
            <w:r>
              <w:rPr>
                <w:rFonts w:hint="eastAsia" w:ascii="宋体" w:hAnsi="宋体" w:eastAsia="宋体" w:cs="宋体"/>
                <w:b/>
                <w:bCs/>
                <w:color w:val="000000"/>
                <w:sz w:val="21"/>
                <w:szCs w:val="21"/>
                <w:lang w:val="en-US" w:eastAsia="zh-CN"/>
              </w:rPr>
              <w:t>14.90</w:t>
            </w:r>
          </w:p>
        </w:tc>
        <w:tc>
          <w:tcPr>
            <w:tcW w:w="8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8"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sz w:val="21"/>
                <w:szCs w:val="21"/>
                <w:lang w:eastAsia="zh-CN"/>
              </w:rPr>
            </w:pPr>
            <w:r>
              <w:rPr>
                <w:rFonts w:hint="eastAsia" w:ascii="宋体" w:hAnsi="宋体" w:eastAsia="宋体" w:cs="宋体"/>
                <w:color w:val="000000"/>
                <w:kern w:val="0"/>
                <w:sz w:val="21"/>
                <w:szCs w:val="21"/>
              </w:rPr>
              <w:t>20</w:t>
            </w:r>
            <w:r>
              <w:rPr>
                <w:rFonts w:hint="eastAsia" w:ascii="宋体" w:hAnsi="宋体" w:eastAsia="宋体" w:cs="宋体"/>
                <w:color w:val="000000"/>
                <w:kern w:val="0"/>
                <w:sz w:val="21"/>
                <w:szCs w:val="21"/>
                <w:lang w:val="en-US" w:eastAsia="zh-CN"/>
              </w:rPr>
              <w:t>6</w:t>
            </w:r>
          </w:p>
        </w:tc>
        <w:tc>
          <w:tcPr>
            <w:tcW w:w="2049" w:type="dxa"/>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科学技术支出</w:t>
            </w:r>
          </w:p>
        </w:tc>
        <w:tc>
          <w:tcPr>
            <w:tcW w:w="927"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44.83</w:t>
            </w:r>
          </w:p>
        </w:tc>
        <w:tc>
          <w:tcPr>
            <w:tcW w:w="968"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29.93</w:t>
            </w:r>
          </w:p>
        </w:tc>
        <w:tc>
          <w:tcPr>
            <w:tcW w:w="873"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8.05</w:t>
            </w:r>
          </w:p>
        </w:tc>
        <w:tc>
          <w:tcPr>
            <w:tcW w:w="79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21.88</w:t>
            </w:r>
          </w:p>
        </w:tc>
        <w:tc>
          <w:tcPr>
            <w:tcW w:w="1173"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14.90</w:t>
            </w:r>
          </w:p>
        </w:tc>
        <w:tc>
          <w:tcPr>
            <w:tcW w:w="8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2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kern w:val="0"/>
                <w:sz w:val="21"/>
                <w:szCs w:val="21"/>
              </w:rPr>
              <w:t xml:space="preserve">  20</w:t>
            </w:r>
            <w:r>
              <w:rPr>
                <w:rFonts w:hint="eastAsia" w:ascii="宋体" w:hAnsi="宋体" w:eastAsia="宋体" w:cs="宋体"/>
                <w:color w:val="000000"/>
                <w:kern w:val="0"/>
                <w:sz w:val="21"/>
                <w:szCs w:val="21"/>
                <w:lang w:val="en-US" w:eastAsia="zh-CN"/>
              </w:rPr>
              <w:t>601</w:t>
            </w:r>
          </w:p>
        </w:tc>
        <w:tc>
          <w:tcPr>
            <w:tcW w:w="2049" w:type="dxa"/>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eastAsia" w:ascii="宋体" w:hAnsi="宋体" w:eastAsia="宋体" w:cs="宋体"/>
                <w:color w:val="000000"/>
                <w:sz w:val="21"/>
                <w:szCs w:val="21"/>
                <w:lang w:eastAsia="zh-CN"/>
              </w:rPr>
            </w:pPr>
            <w:r>
              <w:rPr>
                <w:rFonts w:hint="eastAsia" w:ascii="宋体" w:hAnsi="宋体" w:eastAsia="宋体" w:cs="宋体"/>
                <w:color w:val="000000"/>
                <w:kern w:val="0"/>
                <w:sz w:val="21"/>
                <w:szCs w:val="21"/>
                <w:lang w:eastAsia="zh-CN"/>
              </w:rPr>
              <w:t>科学技术管理事务</w:t>
            </w:r>
          </w:p>
        </w:tc>
        <w:tc>
          <w:tcPr>
            <w:tcW w:w="927"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8.83</w:t>
            </w:r>
          </w:p>
        </w:tc>
        <w:tc>
          <w:tcPr>
            <w:tcW w:w="968"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8.83</w:t>
            </w:r>
          </w:p>
        </w:tc>
        <w:tc>
          <w:tcPr>
            <w:tcW w:w="873"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8.05</w:t>
            </w:r>
          </w:p>
        </w:tc>
        <w:tc>
          <w:tcPr>
            <w:tcW w:w="79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0.78</w:t>
            </w:r>
          </w:p>
        </w:tc>
        <w:tc>
          <w:tcPr>
            <w:tcW w:w="117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8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57"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widowControl/>
              <w:ind w:left="420" w:hanging="420" w:hangingChars="200"/>
              <w:jc w:val="left"/>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kern w:val="0"/>
                <w:sz w:val="21"/>
                <w:szCs w:val="21"/>
              </w:rPr>
              <w:t xml:space="preserve">   20</w:t>
            </w:r>
            <w:r>
              <w:rPr>
                <w:rFonts w:hint="eastAsia" w:ascii="宋体" w:hAnsi="宋体" w:eastAsia="宋体" w:cs="宋体"/>
                <w:color w:val="000000"/>
                <w:kern w:val="0"/>
                <w:sz w:val="21"/>
                <w:szCs w:val="21"/>
                <w:lang w:val="en-US" w:eastAsia="zh-CN"/>
              </w:rPr>
              <w:t>60101</w:t>
            </w:r>
          </w:p>
        </w:tc>
        <w:tc>
          <w:tcPr>
            <w:tcW w:w="204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行政运行</w:t>
            </w:r>
          </w:p>
        </w:tc>
        <w:tc>
          <w:tcPr>
            <w:tcW w:w="927"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8.83</w:t>
            </w:r>
          </w:p>
        </w:tc>
        <w:tc>
          <w:tcPr>
            <w:tcW w:w="968"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8.83</w:t>
            </w:r>
          </w:p>
        </w:tc>
        <w:tc>
          <w:tcPr>
            <w:tcW w:w="873"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8.05</w:t>
            </w:r>
          </w:p>
        </w:tc>
        <w:tc>
          <w:tcPr>
            <w:tcW w:w="79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0.78</w:t>
            </w:r>
          </w:p>
        </w:tc>
        <w:tc>
          <w:tcPr>
            <w:tcW w:w="117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8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widowControl/>
              <w:ind w:firstLine="210" w:firstLineChars="100"/>
              <w:jc w:val="both"/>
              <w:textAlignment w:val="center"/>
              <w:rPr>
                <w:rFonts w:hint="default"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rPr>
              <w:t>20</w:t>
            </w:r>
            <w:r>
              <w:rPr>
                <w:rFonts w:hint="eastAsia" w:ascii="宋体" w:hAnsi="宋体" w:eastAsia="宋体" w:cs="宋体"/>
                <w:color w:val="000000"/>
                <w:kern w:val="0"/>
                <w:sz w:val="21"/>
                <w:szCs w:val="21"/>
                <w:lang w:val="en-US" w:eastAsia="zh-CN"/>
              </w:rPr>
              <w:t>607</w:t>
            </w:r>
          </w:p>
        </w:tc>
        <w:tc>
          <w:tcPr>
            <w:tcW w:w="2049"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科学技术普及</w:t>
            </w:r>
          </w:p>
        </w:tc>
        <w:tc>
          <w:tcPr>
            <w:tcW w:w="927"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36.00</w:t>
            </w:r>
          </w:p>
        </w:tc>
        <w:tc>
          <w:tcPr>
            <w:tcW w:w="968"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21.10</w:t>
            </w:r>
          </w:p>
        </w:tc>
        <w:tc>
          <w:tcPr>
            <w:tcW w:w="87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79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21.10</w:t>
            </w:r>
          </w:p>
        </w:tc>
        <w:tc>
          <w:tcPr>
            <w:tcW w:w="1173"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14.90</w:t>
            </w:r>
          </w:p>
        </w:tc>
        <w:tc>
          <w:tcPr>
            <w:tcW w:w="8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widowControl/>
              <w:ind w:firstLine="210" w:firstLineChars="100"/>
              <w:jc w:val="center"/>
              <w:textAlignment w:val="center"/>
              <w:rPr>
                <w:rFonts w:hint="default"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rPr>
              <w:t>20</w:t>
            </w:r>
            <w:r>
              <w:rPr>
                <w:rFonts w:hint="eastAsia" w:ascii="宋体" w:hAnsi="宋体" w:eastAsia="宋体" w:cs="宋体"/>
                <w:color w:val="000000"/>
                <w:kern w:val="0"/>
                <w:sz w:val="21"/>
                <w:szCs w:val="21"/>
                <w:lang w:val="en-US" w:eastAsia="zh-CN"/>
              </w:rPr>
              <w:t>60702</w:t>
            </w:r>
          </w:p>
        </w:tc>
        <w:tc>
          <w:tcPr>
            <w:tcW w:w="2049"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科普活动</w:t>
            </w:r>
          </w:p>
        </w:tc>
        <w:tc>
          <w:tcPr>
            <w:tcW w:w="927"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31.00</w:t>
            </w:r>
          </w:p>
        </w:tc>
        <w:tc>
          <w:tcPr>
            <w:tcW w:w="968"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21.10</w:t>
            </w:r>
          </w:p>
        </w:tc>
        <w:tc>
          <w:tcPr>
            <w:tcW w:w="87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791"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21.10</w:t>
            </w:r>
          </w:p>
        </w:tc>
        <w:tc>
          <w:tcPr>
            <w:tcW w:w="1173"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9.90</w:t>
            </w:r>
          </w:p>
        </w:tc>
        <w:tc>
          <w:tcPr>
            <w:tcW w:w="8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widowControl/>
              <w:ind w:firstLine="210" w:firstLineChars="100"/>
              <w:jc w:val="center"/>
              <w:textAlignment w:val="center"/>
              <w:rPr>
                <w:rFonts w:hint="default"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2060799</w:t>
            </w:r>
          </w:p>
        </w:tc>
        <w:tc>
          <w:tcPr>
            <w:tcW w:w="2049"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其他科学技术普及支出</w:t>
            </w:r>
          </w:p>
        </w:tc>
        <w:tc>
          <w:tcPr>
            <w:tcW w:w="927"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5.00</w:t>
            </w:r>
          </w:p>
        </w:tc>
        <w:tc>
          <w:tcPr>
            <w:tcW w:w="96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87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79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1173"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5.00</w:t>
            </w:r>
          </w:p>
        </w:tc>
        <w:tc>
          <w:tcPr>
            <w:tcW w:w="8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208</w:t>
            </w:r>
          </w:p>
        </w:tc>
        <w:tc>
          <w:tcPr>
            <w:tcW w:w="2049"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社会保障和就业支出</w:t>
            </w:r>
          </w:p>
        </w:tc>
        <w:tc>
          <w:tcPr>
            <w:tcW w:w="927"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1.31</w:t>
            </w:r>
          </w:p>
        </w:tc>
        <w:tc>
          <w:tcPr>
            <w:tcW w:w="968"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1.31</w:t>
            </w:r>
          </w:p>
        </w:tc>
        <w:tc>
          <w:tcPr>
            <w:tcW w:w="873"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1.31</w:t>
            </w:r>
          </w:p>
        </w:tc>
        <w:tc>
          <w:tcPr>
            <w:tcW w:w="79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117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8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ind w:firstLine="210" w:firstLineChars="100"/>
              <w:jc w:val="left"/>
              <w:rPr>
                <w:rFonts w:ascii="宋体" w:hAnsi="宋体" w:eastAsia="宋体" w:cs="宋体"/>
                <w:color w:val="000000"/>
                <w:sz w:val="21"/>
                <w:szCs w:val="21"/>
              </w:rPr>
            </w:pPr>
            <w:r>
              <w:rPr>
                <w:rFonts w:hint="eastAsia" w:ascii="宋体" w:hAnsi="宋体" w:eastAsia="宋体" w:cs="宋体"/>
                <w:color w:val="000000"/>
                <w:sz w:val="21"/>
                <w:szCs w:val="21"/>
              </w:rPr>
              <w:t>20805</w:t>
            </w:r>
          </w:p>
        </w:tc>
        <w:tc>
          <w:tcPr>
            <w:tcW w:w="2049"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行政事业单位离退休</w:t>
            </w:r>
          </w:p>
        </w:tc>
        <w:tc>
          <w:tcPr>
            <w:tcW w:w="927"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1.31</w:t>
            </w:r>
          </w:p>
        </w:tc>
        <w:tc>
          <w:tcPr>
            <w:tcW w:w="968"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1.31</w:t>
            </w:r>
          </w:p>
        </w:tc>
        <w:tc>
          <w:tcPr>
            <w:tcW w:w="873"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1.31</w:t>
            </w:r>
          </w:p>
        </w:tc>
        <w:tc>
          <w:tcPr>
            <w:tcW w:w="79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117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8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ind w:firstLine="210" w:firstLineChars="100"/>
              <w:jc w:val="center"/>
              <w:rPr>
                <w:rFonts w:ascii="宋体" w:hAnsi="宋体" w:eastAsia="宋体" w:cs="宋体"/>
                <w:color w:val="000000"/>
                <w:sz w:val="21"/>
                <w:szCs w:val="21"/>
              </w:rPr>
            </w:pPr>
            <w:r>
              <w:rPr>
                <w:rFonts w:hint="eastAsia" w:ascii="宋体" w:hAnsi="宋体" w:eastAsia="宋体" w:cs="宋体"/>
                <w:color w:val="000000"/>
                <w:sz w:val="21"/>
                <w:szCs w:val="21"/>
              </w:rPr>
              <w:t>2080505</w:t>
            </w:r>
          </w:p>
        </w:tc>
        <w:tc>
          <w:tcPr>
            <w:tcW w:w="2049"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机关事业单位基本养老保险缴费支出</w:t>
            </w:r>
          </w:p>
        </w:tc>
        <w:tc>
          <w:tcPr>
            <w:tcW w:w="927"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1.31</w:t>
            </w:r>
          </w:p>
        </w:tc>
        <w:tc>
          <w:tcPr>
            <w:tcW w:w="968"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1.31</w:t>
            </w:r>
          </w:p>
        </w:tc>
        <w:tc>
          <w:tcPr>
            <w:tcW w:w="873"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1.31</w:t>
            </w:r>
          </w:p>
        </w:tc>
        <w:tc>
          <w:tcPr>
            <w:tcW w:w="79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117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8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210</w:t>
            </w:r>
          </w:p>
        </w:tc>
        <w:tc>
          <w:tcPr>
            <w:tcW w:w="2049"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卫生健康支出</w:t>
            </w:r>
          </w:p>
        </w:tc>
        <w:tc>
          <w:tcPr>
            <w:tcW w:w="927"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0.31</w:t>
            </w:r>
          </w:p>
        </w:tc>
        <w:tc>
          <w:tcPr>
            <w:tcW w:w="968"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0.31</w:t>
            </w:r>
          </w:p>
        </w:tc>
        <w:tc>
          <w:tcPr>
            <w:tcW w:w="873"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0.31</w:t>
            </w:r>
          </w:p>
        </w:tc>
        <w:tc>
          <w:tcPr>
            <w:tcW w:w="79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117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8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ind w:firstLine="210" w:firstLineChars="100"/>
              <w:jc w:val="left"/>
              <w:rPr>
                <w:rFonts w:ascii="宋体" w:hAnsi="宋体" w:eastAsia="宋体" w:cs="宋体"/>
                <w:color w:val="000000"/>
                <w:sz w:val="21"/>
                <w:szCs w:val="21"/>
              </w:rPr>
            </w:pPr>
            <w:r>
              <w:rPr>
                <w:rFonts w:hint="eastAsia" w:ascii="宋体" w:hAnsi="宋体" w:eastAsia="宋体" w:cs="宋体"/>
                <w:color w:val="000000"/>
                <w:sz w:val="21"/>
                <w:szCs w:val="21"/>
              </w:rPr>
              <w:t>21011</w:t>
            </w:r>
          </w:p>
        </w:tc>
        <w:tc>
          <w:tcPr>
            <w:tcW w:w="2049"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行政事业单位医疗</w:t>
            </w:r>
          </w:p>
        </w:tc>
        <w:tc>
          <w:tcPr>
            <w:tcW w:w="927"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0.28</w:t>
            </w:r>
          </w:p>
        </w:tc>
        <w:tc>
          <w:tcPr>
            <w:tcW w:w="968"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0.28</w:t>
            </w:r>
          </w:p>
        </w:tc>
        <w:tc>
          <w:tcPr>
            <w:tcW w:w="873"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0.28</w:t>
            </w:r>
          </w:p>
        </w:tc>
        <w:tc>
          <w:tcPr>
            <w:tcW w:w="79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117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8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ind w:firstLine="210" w:firstLineChars="100"/>
              <w:jc w:val="center"/>
              <w:rPr>
                <w:rFonts w:ascii="宋体" w:hAnsi="宋体" w:eastAsia="宋体" w:cs="宋体"/>
                <w:color w:val="000000"/>
                <w:sz w:val="21"/>
                <w:szCs w:val="21"/>
              </w:rPr>
            </w:pPr>
            <w:r>
              <w:rPr>
                <w:rFonts w:hint="eastAsia" w:ascii="宋体" w:hAnsi="宋体" w:eastAsia="宋体" w:cs="宋体"/>
                <w:color w:val="000000"/>
                <w:sz w:val="21"/>
                <w:szCs w:val="21"/>
              </w:rPr>
              <w:t>2101101</w:t>
            </w:r>
          </w:p>
        </w:tc>
        <w:tc>
          <w:tcPr>
            <w:tcW w:w="2049"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行政单位医疗</w:t>
            </w:r>
          </w:p>
        </w:tc>
        <w:tc>
          <w:tcPr>
            <w:tcW w:w="927"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0.27</w:t>
            </w:r>
          </w:p>
        </w:tc>
        <w:tc>
          <w:tcPr>
            <w:tcW w:w="968"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0.27</w:t>
            </w:r>
          </w:p>
        </w:tc>
        <w:tc>
          <w:tcPr>
            <w:tcW w:w="873"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0.27</w:t>
            </w:r>
          </w:p>
        </w:tc>
        <w:tc>
          <w:tcPr>
            <w:tcW w:w="79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117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8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ind w:firstLine="210" w:firstLineChars="100"/>
              <w:jc w:val="center"/>
              <w:rPr>
                <w:rFonts w:ascii="宋体" w:hAnsi="宋体" w:eastAsia="宋体" w:cs="宋体"/>
                <w:color w:val="000000"/>
                <w:sz w:val="21"/>
                <w:szCs w:val="21"/>
              </w:rPr>
            </w:pPr>
            <w:r>
              <w:rPr>
                <w:rFonts w:hint="eastAsia" w:ascii="宋体" w:hAnsi="宋体" w:eastAsia="宋体" w:cs="宋体"/>
                <w:color w:val="000000"/>
                <w:sz w:val="21"/>
                <w:szCs w:val="21"/>
              </w:rPr>
              <w:t>2101103</w:t>
            </w:r>
          </w:p>
        </w:tc>
        <w:tc>
          <w:tcPr>
            <w:tcW w:w="2049"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公务员医疗补助</w:t>
            </w:r>
          </w:p>
        </w:tc>
        <w:tc>
          <w:tcPr>
            <w:tcW w:w="927"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0.01</w:t>
            </w:r>
          </w:p>
        </w:tc>
        <w:tc>
          <w:tcPr>
            <w:tcW w:w="968"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0.01</w:t>
            </w:r>
          </w:p>
        </w:tc>
        <w:tc>
          <w:tcPr>
            <w:tcW w:w="873"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rPr>
              <w:t>0.</w:t>
            </w:r>
            <w:r>
              <w:rPr>
                <w:rFonts w:hint="eastAsia" w:ascii="宋体" w:hAnsi="宋体" w:eastAsia="宋体" w:cs="宋体"/>
                <w:color w:val="000000"/>
                <w:sz w:val="21"/>
                <w:szCs w:val="21"/>
                <w:lang w:val="en-US" w:eastAsia="zh-CN"/>
              </w:rPr>
              <w:t>01</w:t>
            </w:r>
          </w:p>
        </w:tc>
        <w:tc>
          <w:tcPr>
            <w:tcW w:w="79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117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8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ind w:firstLine="210" w:firstLineChars="100"/>
              <w:jc w:val="left"/>
              <w:rPr>
                <w:rFonts w:ascii="宋体" w:hAnsi="宋体" w:eastAsia="宋体" w:cs="宋体"/>
                <w:color w:val="000000"/>
                <w:sz w:val="21"/>
                <w:szCs w:val="21"/>
              </w:rPr>
            </w:pPr>
            <w:r>
              <w:rPr>
                <w:rFonts w:hint="eastAsia" w:ascii="宋体" w:hAnsi="宋体" w:eastAsia="宋体" w:cs="宋体"/>
                <w:color w:val="000000"/>
                <w:sz w:val="21"/>
                <w:szCs w:val="21"/>
              </w:rPr>
              <w:t>21099</w:t>
            </w:r>
          </w:p>
        </w:tc>
        <w:tc>
          <w:tcPr>
            <w:tcW w:w="2049"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其他卫生健康支出</w:t>
            </w:r>
          </w:p>
        </w:tc>
        <w:tc>
          <w:tcPr>
            <w:tcW w:w="927"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rPr>
              <w:t>0.</w:t>
            </w:r>
            <w:r>
              <w:rPr>
                <w:rFonts w:hint="eastAsia" w:ascii="宋体" w:hAnsi="宋体" w:eastAsia="宋体" w:cs="宋体"/>
                <w:color w:val="000000"/>
                <w:sz w:val="21"/>
                <w:szCs w:val="21"/>
                <w:lang w:val="en-US" w:eastAsia="zh-CN"/>
              </w:rPr>
              <w:t>03</w:t>
            </w:r>
          </w:p>
        </w:tc>
        <w:tc>
          <w:tcPr>
            <w:tcW w:w="968"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rPr>
              <w:t>0.</w:t>
            </w:r>
            <w:r>
              <w:rPr>
                <w:rFonts w:hint="eastAsia" w:ascii="宋体" w:hAnsi="宋体" w:eastAsia="宋体" w:cs="宋体"/>
                <w:color w:val="000000"/>
                <w:sz w:val="21"/>
                <w:szCs w:val="21"/>
                <w:lang w:val="en-US" w:eastAsia="zh-CN"/>
              </w:rPr>
              <w:t>03</w:t>
            </w:r>
          </w:p>
        </w:tc>
        <w:tc>
          <w:tcPr>
            <w:tcW w:w="873"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rPr>
              <w:t>0.</w:t>
            </w:r>
            <w:r>
              <w:rPr>
                <w:rFonts w:hint="eastAsia" w:ascii="宋体" w:hAnsi="宋体" w:eastAsia="宋体" w:cs="宋体"/>
                <w:color w:val="000000"/>
                <w:sz w:val="21"/>
                <w:szCs w:val="21"/>
                <w:lang w:val="en-US" w:eastAsia="zh-CN"/>
              </w:rPr>
              <w:t>03</w:t>
            </w:r>
          </w:p>
        </w:tc>
        <w:tc>
          <w:tcPr>
            <w:tcW w:w="79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117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8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ind w:firstLine="210" w:firstLineChars="100"/>
              <w:jc w:val="center"/>
              <w:rPr>
                <w:rFonts w:ascii="宋体" w:hAnsi="宋体" w:eastAsia="宋体" w:cs="宋体"/>
                <w:color w:val="000000"/>
                <w:sz w:val="21"/>
                <w:szCs w:val="21"/>
              </w:rPr>
            </w:pPr>
            <w:r>
              <w:rPr>
                <w:rFonts w:hint="eastAsia" w:ascii="宋体" w:hAnsi="宋体" w:eastAsia="宋体" w:cs="宋体"/>
                <w:color w:val="000000"/>
                <w:sz w:val="21"/>
                <w:szCs w:val="21"/>
              </w:rPr>
              <w:t>2109901</w:t>
            </w:r>
          </w:p>
        </w:tc>
        <w:tc>
          <w:tcPr>
            <w:tcW w:w="2049"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其他卫生健康支出</w:t>
            </w:r>
          </w:p>
        </w:tc>
        <w:tc>
          <w:tcPr>
            <w:tcW w:w="927"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rPr>
              <w:t>0.</w:t>
            </w:r>
            <w:r>
              <w:rPr>
                <w:rFonts w:hint="eastAsia" w:ascii="宋体" w:hAnsi="宋体" w:eastAsia="宋体" w:cs="宋体"/>
                <w:color w:val="000000"/>
                <w:sz w:val="21"/>
                <w:szCs w:val="21"/>
                <w:lang w:val="en-US" w:eastAsia="zh-CN"/>
              </w:rPr>
              <w:t>03</w:t>
            </w:r>
          </w:p>
        </w:tc>
        <w:tc>
          <w:tcPr>
            <w:tcW w:w="968"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rPr>
              <w:t>0.</w:t>
            </w:r>
            <w:r>
              <w:rPr>
                <w:rFonts w:hint="eastAsia" w:ascii="宋体" w:hAnsi="宋体" w:eastAsia="宋体" w:cs="宋体"/>
                <w:color w:val="000000"/>
                <w:sz w:val="21"/>
                <w:szCs w:val="21"/>
                <w:lang w:val="en-US" w:eastAsia="zh-CN"/>
              </w:rPr>
              <w:t>03</w:t>
            </w:r>
          </w:p>
        </w:tc>
        <w:tc>
          <w:tcPr>
            <w:tcW w:w="873"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rPr>
              <w:t>0.</w:t>
            </w:r>
            <w:r>
              <w:rPr>
                <w:rFonts w:hint="eastAsia" w:ascii="宋体" w:hAnsi="宋体" w:eastAsia="宋体" w:cs="宋体"/>
                <w:color w:val="000000"/>
                <w:sz w:val="21"/>
                <w:szCs w:val="21"/>
                <w:lang w:val="en-US" w:eastAsia="zh-CN"/>
              </w:rPr>
              <w:t>03</w:t>
            </w:r>
          </w:p>
        </w:tc>
        <w:tc>
          <w:tcPr>
            <w:tcW w:w="79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117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8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ind w:firstLine="210" w:firstLineChars="100"/>
              <w:jc w:val="center"/>
              <w:rPr>
                <w:rFonts w:hint="eastAsia" w:ascii="宋体" w:hAnsi="宋体" w:eastAsia="宋体" w:cs="宋体"/>
                <w:color w:val="000000"/>
                <w:sz w:val="21"/>
                <w:szCs w:val="21"/>
              </w:rPr>
            </w:pPr>
          </w:p>
        </w:tc>
        <w:tc>
          <w:tcPr>
            <w:tcW w:w="2049"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rPr>
            </w:pPr>
          </w:p>
        </w:tc>
        <w:tc>
          <w:tcPr>
            <w:tcW w:w="927"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color w:val="000000"/>
                <w:sz w:val="21"/>
                <w:szCs w:val="21"/>
              </w:rPr>
            </w:pPr>
          </w:p>
        </w:tc>
        <w:tc>
          <w:tcPr>
            <w:tcW w:w="968"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color w:val="000000"/>
                <w:sz w:val="21"/>
                <w:szCs w:val="21"/>
              </w:rPr>
            </w:pPr>
          </w:p>
        </w:tc>
        <w:tc>
          <w:tcPr>
            <w:tcW w:w="873"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color w:val="000000"/>
                <w:sz w:val="21"/>
                <w:szCs w:val="21"/>
              </w:rPr>
            </w:pPr>
          </w:p>
        </w:tc>
        <w:tc>
          <w:tcPr>
            <w:tcW w:w="79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117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8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bl>
    <w:p>
      <w:pPr>
        <w:widowControl/>
        <w:ind w:left="420" w:hanging="420" w:hangingChars="200"/>
        <w:jc w:val="left"/>
        <w:rPr>
          <w:rFonts w:eastAsia="宋体" w:cs="黑体"/>
          <w:sz w:val="21"/>
          <w:szCs w:val="24"/>
        </w:rPr>
      </w:pPr>
      <w:r>
        <w:rPr>
          <w:rFonts w:hint="eastAsia" w:ascii="宋体" w:hAnsi="宋体" w:eastAsia="宋体" w:cs="宋体"/>
          <w:sz w:val="21"/>
          <w:szCs w:val="21"/>
        </w:rPr>
        <w:t>注：本表反映部门本年度一般公共预算财政拨款实际支出情况。</w:t>
      </w:r>
      <w:r>
        <w:rPr>
          <w:rFonts w:hint="eastAsia" w:ascii="宋体" w:hAnsi="宋体" w:eastAsia="宋体" w:cs="宋体"/>
          <w:color w:val="000000"/>
          <w:kern w:val="0"/>
          <w:sz w:val="21"/>
          <w:szCs w:val="21"/>
        </w:rPr>
        <w:t>本表金额转换为万元时，因四舍五入可能存在尾差。</w:t>
      </w:r>
    </w:p>
    <w:p/>
    <w:p/>
    <w:p/>
    <w:p>
      <w:pPr>
        <w:jc w:val="center"/>
        <w:rPr>
          <w:rFonts w:ascii="宋体" w:hAnsi="宋体" w:eastAsia="宋体" w:cs="宋体"/>
          <w:b/>
          <w:bCs/>
          <w:szCs w:val="32"/>
        </w:rPr>
      </w:pPr>
      <w:r>
        <w:rPr>
          <w:rFonts w:hint="eastAsia" w:ascii="宋体" w:hAnsi="宋体" w:eastAsia="宋体" w:cs="宋体"/>
          <w:b/>
          <w:bCs/>
          <w:szCs w:val="32"/>
        </w:rPr>
        <w:t>一般公共预算财政拨款基本支出决算表（按经济分类科目）</w:t>
      </w:r>
    </w:p>
    <w:p>
      <w:pPr>
        <w:rPr>
          <w:rFonts w:ascii="宋体" w:hAnsi="宋体" w:eastAsia="宋体" w:cs="宋体"/>
          <w:b/>
          <w:bCs/>
          <w:sz w:val="21"/>
          <w:szCs w:val="21"/>
        </w:rPr>
      </w:pPr>
      <w:r>
        <w:rPr>
          <w:rFonts w:hint="eastAsia" w:ascii="宋体" w:hAnsi="宋体" w:eastAsia="宋体" w:cs="宋体"/>
          <w:b/>
          <w:bCs/>
          <w:sz w:val="21"/>
          <w:szCs w:val="21"/>
        </w:rPr>
        <w:t>公开06表</w:t>
      </w:r>
    </w:p>
    <w:p>
      <w:pPr>
        <w:rPr>
          <w:rFonts w:ascii="宋体" w:hAnsi="宋体" w:eastAsia="宋体" w:cs="宋体"/>
          <w:b/>
          <w:bCs/>
          <w:sz w:val="21"/>
          <w:szCs w:val="21"/>
        </w:rPr>
      </w:pPr>
      <w:r>
        <w:rPr>
          <w:rFonts w:hint="eastAsia" w:ascii="宋体" w:hAnsi="宋体" w:eastAsia="宋体" w:cs="宋体"/>
          <w:b/>
          <w:bCs/>
          <w:sz w:val="21"/>
          <w:szCs w:val="21"/>
        </w:rPr>
        <w:t>编制部门：西安市</w:t>
      </w:r>
      <w:r>
        <w:rPr>
          <w:rFonts w:hint="eastAsia" w:ascii="宋体" w:hAnsi="宋体" w:eastAsia="宋体" w:cs="宋体"/>
          <w:b/>
          <w:bCs/>
          <w:sz w:val="21"/>
          <w:szCs w:val="21"/>
          <w:lang w:eastAsia="zh-CN"/>
        </w:rPr>
        <w:t>蓝田县科学技术协会</w:t>
      </w:r>
      <w:r>
        <w:rPr>
          <w:rFonts w:hint="eastAsia" w:ascii="宋体" w:hAnsi="宋体" w:eastAsia="宋体" w:cs="宋体"/>
          <w:b/>
          <w:bCs/>
          <w:sz w:val="21"/>
          <w:szCs w:val="21"/>
        </w:rPr>
        <w:t xml:space="preserve">                              金额单位：万元</w:t>
      </w:r>
    </w:p>
    <w:tbl>
      <w:tblPr>
        <w:tblStyle w:val="6"/>
        <w:tblW w:w="8817" w:type="dxa"/>
        <w:tblInd w:w="0" w:type="dxa"/>
        <w:tblLayout w:type="fixed"/>
        <w:tblCellMar>
          <w:top w:w="15" w:type="dxa"/>
          <w:left w:w="15" w:type="dxa"/>
          <w:bottom w:w="15" w:type="dxa"/>
          <w:right w:w="15" w:type="dxa"/>
        </w:tblCellMar>
      </w:tblPr>
      <w:tblGrid>
        <w:gridCol w:w="1157"/>
        <w:gridCol w:w="2268"/>
        <w:gridCol w:w="1437"/>
        <w:gridCol w:w="1437"/>
        <w:gridCol w:w="1363"/>
        <w:gridCol w:w="1155"/>
      </w:tblGrid>
      <w:tr>
        <w:tblPrEx>
          <w:tblCellMar>
            <w:top w:w="15" w:type="dxa"/>
            <w:left w:w="15" w:type="dxa"/>
            <w:bottom w:w="15" w:type="dxa"/>
            <w:right w:w="15" w:type="dxa"/>
          </w:tblCellMar>
        </w:tblPrEx>
        <w:trPr>
          <w:trHeight w:val="434" w:hRule="atLeast"/>
        </w:trPr>
        <w:tc>
          <w:tcPr>
            <w:tcW w:w="3425"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    目</w:t>
            </w:r>
          </w:p>
        </w:tc>
        <w:tc>
          <w:tcPr>
            <w:tcW w:w="143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本年支出合计</w:t>
            </w:r>
          </w:p>
        </w:tc>
        <w:tc>
          <w:tcPr>
            <w:tcW w:w="143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人员经费</w:t>
            </w:r>
          </w:p>
        </w:tc>
        <w:tc>
          <w:tcPr>
            <w:tcW w:w="136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公用经费</w:t>
            </w:r>
          </w:p>
        </w:tc>
        <w:tc>
          <w:tcPr>
            <w:tcW w:w="115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备注</w:t>
            </w:r>
          </w:p>
        </w:tc>
      </w:tr>
      <w:tr>
        <w:tblPrEx>
          <w:tblCellMar>
            <w:top w:w="15" w:type="dxa"/>
            <w:left w:w="15" w:type="dxa"/>
            <w:bottom w:w="15" w:type="dxa"/>
            <w:right w:w="15" w:type="dxa"/>
          </w:tblCellMar>
        </w:tblPrEx>
        <w:trPr>
          <w:trHeight w:val="670"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经济分类科目编码</w:t>
            </w:r>
          </w:p>
        </w:tc>
        <w:tc>
          <w:tcPr>
            <w:tcW w:w="226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科目名称</w:t>
            </w:r>
          </w:p>
        </w:tc>
        <w:tc>
          <w:tcPr>
            <w:tcW w:w="143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43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36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15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CellMar>
            <w:top w:w="15" w:type="dxa"/>
            <w:left w:w="15" w:type="dxa"/>
            <w:bottom w:w="15" w:type="dxa"/>
            <w:right w:w="15" w:type="dxa"/>
          </w:tblCellMar>
        </w:tblPrEx>
        <w:trPr>
          <w:trHeight w:val="434" w:hRule="atLeast"/>
        </w:trPr>
        <w:tc>
          <w:tcPr>
            <w:tcW w:w="3425"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合计</w:t>
            </w:r>
          </w:p>
        </w:tc>
        <w:tc>
          <w:tcPr>
            <w:tcW w:w="1437" w:type="dxa"/>
            <w:tcBorders>
              <w:left w:val="single" w:color="000000" w:sz="4" w:space="0"/>
              <w:bottom w:val="single" w:color="000000" w:sz="4" w:space="0"/>
              <w:right w:val="single" w:color="000000" w:sz="4" w:space="0"/>
            </w:tcBorders>
            <w:vAlign w:val="center"/>
          </w:tcPr>
          <w:p>
            <w:pPr>
              <w:jc w:val="center"/>
              <w:rPr>
                <w:rFonts w:hint="default" w:ascii="宋体" w:hAnsi="宋体" w:eastAsia="宋体" w:cs="宋体"/>
                <w:b/>
                <w:color w:val="000000"/>
                <w:sz w:val="21"/>
                <w:szCs w:val="21"/>
                <w:lang w:val="en-US" w:eastAsia="zh-CN"/>
              </w:rPr>
            </w:pPr>
            <w:r>
              <w:rPr>
                <w:rFonts w:hint="eastAsia" w:ascii="宋体" w:hAnsi="宋体" w:eastAsia="宋体" w:cs="宋体"/>
                <w:b/>
                <w:color w:val="000000"/>
                <w:sz w:val="21"/>
                <w:szCs w:val="21"/>
                <w:lang w:val="en-US" w:eastAsia="zh-CN"/>
              </w:rPr>
              <w:t>31.55</w:t>
            </w:r>
          </w:p>
        </w:tc>
        <w:tc>
          <w:tcPr>
            <w:tcW w:w="1437" w:type="dxa"/>
            <w:tcBorders>
              <w:left w:val="single" w:color="000000" w:sz="4" w:space="0"/>
              <w:bottom w:val="single" w:color="000000" w:sz="4" w:space="0"/>
              <w:right w:val="single" w:color="000000" w:sz="4" w:space="0"/>
            </w:tcBorders>
            <w:vAlign w:val="center"/>
          </w:tcPr>
          <w:p>
            <w:pPr>
              <w:jc w:val="center"/>
              <w:rPr>
                <w:rFonts w:hint="default" w:ascii="宋体" w:hAnsi="宋体" w:eastAsia="宋体" w:cs="宋体"/>
                <w:b/>
                <w:color w:val="000000"/>
                <w:sz w:val="21"/>
                <w:szCs w:val="21"/>
                <w:lang w:val="en-US" w:eastAsia="zh-CN"/>
              </w:rPr>
            </w:pPr>
            <w:r>
              <w:rPr>
                <w:rFonts w:hint="eastAsia" w:ascii="宋体" w:hAnsi="宋体" w:eastAsia="宋体" w:cs="宋体"/>
                <w:b/>
                <w:color w:val="000000"/>
                <w:sz w:val="21"/>
                <w:szCs w:val="21"/>
                <w:lang w:val="en-US" w:eastAsia="zh-CN"/>
              </w:rPr>
              <w:t>9.67</w:t>
            </w:r>
          </w:p>
        </w:tc>
        <w:tc>
          <w:tcPr>
            <w:tcW w:w="1363" w:type="dxa"/>
            <w:tcBorders>
              <w:left w:val="single" w:color="000000" w:sz="4" w:space="0"/>
              <w:bottom w:val="single" w:color="000000" w:sz="4" w:space="0"/>
              <w:right w:val="single" w:color="000000" w:sz="4" w:space="0"/>
            </w:tcBorders>
            <w:vAlign w:val="center"/>
          </w:tcPr>
          <w:p>
            <w:pPr>
              <w:jc w:val="center"/>
              <w:rPr>
                <w:rFonts w:hint="default" w:ascii="宋体" w:hAnsi="宋体" w:eastAsia="宋体" w:cs="宋体"/>
                <w:b/>
                <w:color w:val="000000"/>
                <w:sz w:val="21"/>
                <w:szCs w:val="21"/>
                <w:lang w:val="en-US" w:eastAsia="zh-CN"/>
              </w:rPr>
            </w:pPr>
            <w:r>
              <w:rPr>
                <w:rFonts w:hint="eastAsia" w:ascii="宋体" w:hAnsi="宋体" w:eastAsia="宋体" w:cs="宋体"/>
                <w:b/>
                <w:color w:val="000000"/>
                <w:sz w:val="21"/>
                <w:szCs w:val="21"/>
                <w:lang w:val="en-US" w:eastAsia="zh-CN"/>
              </w:rPr>
              <w:t>21.88</w:t>
            </w:r>
          </w:p>
        </w:tc>
        <w:tc>
          <w:tcPr>
            <w:tcW w:w="1155" w:type="dxa"/>
            <w:tcBorders>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301</w:t>
            </w:r>
          </w:p>
        </w:tc>
        <w:tc>
          <w:tcPr>
            <w:tcW w:w="226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工资福利支出 </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9.67</w:t>
            </w: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30101</w:t>
            </w:r>
          </w:p>
        </w:tc>
        <w:tc>
          <w:tcPr>
            <w:tcW w:w="226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基本工资</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5.03</w:t>
            </w: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30102</w:t>
            </w:r>
          </w:p>
        </w:tc>
        <w:tc>
          <w:tcPr>
            <w:tcW w:w="226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津贴补贴</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3.02</w:t>
            </w: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ind w:firstLine="210" w:firstLineChars="100"/>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30108</w:t>
            </w:r>
          </w:p>
        </w:tc>
        <w:tc>
          <w:tcPr>
            <w:tcW w:w="2268"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机关事业单位基本养老保险缴费</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1.31</w:t>
            </w: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ind w:firstLine="210" w:firstLineChars="100"/>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30110</w:t>
            </w:r>
          </w:p>
        </w:tc>
        <w:tc>
          <w:tcPr>
            <w:tcW w:w="2268"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职工基本医疗保险缴费</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both"/>
              <w:rPr>
                <w:rFonts w:ascii="宋体" w:hAnsi="宋体" w:eastAsia="宋体" w:cs="宋体"/>
                <w:color w:val="000000"/>
                <w:sz w:val="21"/>
                <w:szCs w:val="21"/>
              </w:rPr>
            </w:pP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0.27</w:t>
            </w: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ind w:firstLine="210" w:firstLineChars="100"/>
              <w:jc w:val="left"/>
              <w:textAlignment w:val="center"/>
              <w:rPr>
                <w:rFonts w:hint="default"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30111</w:t>
            </w:r>
          </w:p>
        </w:tc>
        <w:tc>
          <w:tcPr>
            <w:tcW w:w="2268" w:type="dxa"/>
            <w:tcBorders>
              <w:top w:val="single" w:color="000000" w:sz="4" w:space="0"/>
              <w:left w:val="single" w:color="000000" w:sz="4" w:space="0"/>
              <w:bottom w:val="single" w:color="000000" w:sz="4" w:space="0"/>
              <w:right w:val="single" w:color="000000" w:sz="4" w:space="0"/>
            </w:tcBorders>
            <w:vAlign w:val="center"/>
          </w:tcPr>
          <w:p>
            <w:pPr>
              <w:jc w:val="lef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公务员医疗补助缴费</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0.01</w:t>
            </w: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ind w:firstLine="210" w:firstLineChars="100"/>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30112</w:t>
            </w:r>
          </w:p>
        </w:tc>
        <w:tc>
          <w:tcPr>
            <w:tcW w:w="2268"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其他社会保障缴费</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0.03</w:t>
            </w: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302</w:t>
            </w:r>
          </w:p>
        </w:tc>
        <w:tc>
          <w:tcPr>
            <w:tcW w:w="226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商品和服务支出</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21.88</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30201</w:t>
            </w:r>
          </w:p>
        </w:tc>
        <w:tc>
          <w:tcPr>
            <w:tcW w:w="226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办公费</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3.60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ind w:firstLine="210" w:firstLineChars="100"/>
              <w:textAlignment w:val="center"/>
              <w:rPr>
                <w:rFonts w:hint="default"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rPr>
              <w:t>302</w:t>
            </w:r>
            <w:r>
              <w:rPr>
                <w:rFonts w:hint="eastAsia" w:ascii="宋体" w:hAnsi="宋体" w:eastAsia="宋体" w:cs="宋体"/>
                <w:color w:val="000000"/>
                <w:kern w:val="0"/>
                <w:sz w:val="21"/>
                <w:szCs w:val="21"/>
                <w:lang w:val="en-US" w:eastAsia="zh-CN"/>
              </w:rPr>
              <w:t>06</w:t>
            </w:r>
          </w:p>
        </w:tc>
        <w:tc>
          <w:tcPr>
            <w:tcW w:w="2268"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电费</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0.80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ind w:firstLine="210" w:firstLineChars="100"/>
              <w:textAlignment w:val="center"/>
              <w:rPr>
                <w:rFonts w:hint="default"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rPr>
              <w:t>302</w:t>
            </w:r>
            <w:r>
              <w:rPr>
                <w:rFonts w:hint="eastAsia" w:ascii="宋体" w:hAnsi="宋体" w:eastAsia="宋体" w:cs="宋体"/>
                <w:color w:val="000000"/>
                <w:kern w:val="0"/>
                <w:sz w:val="21"/>
                <w:szCs w:val="21"/>
                <w:lang w:val="en-US" w:eastAsia="zh-CN"/>
              </w:rPr>
              <w:t>07</w:t>
            </w:r>
          </w:p>
        </w:tc>
        <w:tc>
          <w:tcPr>
            <w:tcW w:w="2268"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邮电费</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0.09</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ind w:firstLine="210" w:firstLineChars="100"/>
              <w:textAlignment w:val="center"/>
              <w:rPr>
                <w:rFonts w:hint="default"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30214</w:t>
            </w:r>
          </w:p>
        </w:tc>
        <w:tc>
          <w:tcPr>
            <w:tcW w:w="2268"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租赁费</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4.41</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ind w:firstLine="210" w:firstLineChars="100"/>
              <w:textAlignment w:val="center"/>
              <w:rPr>
                <w:rFonts w:hint="default"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30215</w:t>
            </w:r>
          </w:p>
        </w:tc>
        <w:tc>
          <w:tcPr>
            <w:tcW w:w="2268"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会议费</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0.65</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ind w:firstLine="210" w:firstLineChars="100"/>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kern w:val="0"/>
                <w:sz w:val="21"/>
                <w:szCs w:val="21"/>
              </w:rPr>
              <w:t>302</w:t>
            </w:r>
            <w:r>
              <w:rPr>
                <w:rFonts w:hint="eastAsia" w:ascii="宋体" w:hAnsi="宋体" w:eastAsia="宋体" w:cs="宋体"/>
                <w:color w:val="000000"/>
                <w:kern w:val="0"/>
                <w:sz w:val="21"/>
                <w:szCs w:val="21"/>
                <w:lang w:val="en-US" w:eastAsia="zh-CN"/>
              </w:rPr>
              <w:t>39</w:t>
            </w:r>
          </w:p>
        </w:tc>
        <w:tc>
          <w:tcPr>
            <w:tcW w:w="2268"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rPr>
              <w:t>其他交通费用</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0.78</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ind w:firstLine="210" w:firstLineChars="100"/>
              <w:jc w:val="lef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rPr>
              <w:t>30</w:t>
            </w:r>
            <w:r>
              <w:rPr>
                <w:rFonts w:hint="eastAsia" w:ascii="宋体" w:hAnsi="宋体" w:eastAsia="宋体" w:cs="宋体"/>
                <w:color w:val="000000"/>
                <w:sz w:val="21"/>
                <w:szCs w:val="21"/>
                <w:lang w:val="en-US" w:eastAsia="zh-CN"/>
              </w:rPr>
              <w:t>299</w:t>
            </w:r>
          </w:p>
        </w:tc>
        <w:tc>
          <w:tcPr>
            <w:tcW w:w="2268" w:type="dxa"/>
            <w:tcBorders>
              <w:top w:val="single" w:color="000000" w:sz="4" w:space="0"/>
              <w:left w:val="single" w:color="000000" w:sz="4" w:space="0"/>
              <w:bottom w:val="single" w:color="000000" w:sz="4" w:space="0"/>
              <w:right w:val="single" w:color="000000" w:sz="4" w:space="0"/>
            </w:tcBorders>
            <w:vAlign w:val="center"/>
          </w:tcPr>
          <w:p>
            <w:pPr>
              <w:jc w:val="lef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其他商品和服务支出</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11.55</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bl>
    <w:p>
      <w:pPr>
        <w:widowControl/>
        <w:ind w:left="420" w:hanging="420" w:hangingChars="200"/>
        <w:jc w:val="left"/>
        <w:rPr>
          <w:rFonts w:eastAsia="宋体" w:cs="黑体"/>
          <w:sz w:val="21"/>
          <w:szCs w:val="24"/>
        </w:rPr>
      </w:pPr>
      <w:r>
        <w:rPr>
          <w:rFonts w:hint="eastAsia" w:ascii="宋体" w:hAnsi="宋体" w:eastAsia="宋体" w:cs="宋体"/>
          <w:sz w:val="21"/>
          <w:szCs w:val="21"/>
        </w:rPr>
        <w:t>注：本表反映部门本年度一般公共预算财政拨款基本支出明细情况。</w:t>
      </w:r>
      <w:r>
        <w:rPr>
          <w:rFonts w:hint="eastAsia" w:ascii="宋体" w:hAnsi="宋体" w:eastAsia="宋体" w:cs="宋体"/>
          <w:color w:val="000000"/>
          <w:kern w:val="0"/>
          <w:sz w:val="21"/>
          <w:szCs w:val="21"/>
        </w:rPr>
        <w:t>本表金额转换为万元时，因四舍五入可能存在尾差。</w:t>
      </w:r>
    </w:p>
    <w:p/>
    <w:p/>
    <w:p/>
    <w:p/>
    <w:p>
      <w:pPr>
        <w:jc w:val="center"/>
        <w:rPr>
          <w:rFonts w:ascii="宋体" w:hAnsi="宋体" w:eastAsia="宋体" w:cs="宋体"/>
          <w:b/>
          <w:bCs/>
          <w:szCs w:val="32"/>
        </w:rPr>
      </w:pPr>
      <w:r>
        <w:rPr>
          <w:rFonts w:hint="eastAsia" w:ascii="宋体" w:hAnsi="宋体" w:eastAsia="宋体" w:cs="宋体"/>
          <w:b/>
          <w:bCs/>
          <w:szCs w:val="32"/>
        </w:rPr>
        <w:t>一般公共预算财政拨款“三公”经费</w:t>
      </w:r>
    </w:p>
    <w:p>
      <w:pPr>
        <w:spacing w:line="520" w:lineRule="exact"/>
        <w:jc w:val="center"/>
        <w:rPr>
          <w:rFonts w:ascii="宋体" w:hAnsi="宋体" w:eastAsia="宋体" w:cs="宋体"/>
          <w:b/>
          <w:bCs/>
          <w:szCs w:val="32"/>
        </w:rPr>
      </w:pPr>
      <w:r>
        <w:rPr>
          <w:rFonts w:hint="eastAsia" w:ascii="宋体" w:hAnsi="宋体" w:eastAsia="宋体" w:cs="宋体"/>
          <w:b/>
          <w:bCs/>
          <w:szCs w:val="32"/>
        </w:rPr>
        <w:t>及会议费、培训费支出决算表</w:t>
      </w:r>
    </w:p>
    <w:p>
      <w:pPr>
        <w:rPr>
          <w:rFonts w:ascii="宋体" w:hAnsi="宋体" w:eastAsia="宋体" w:cs="宋体"/>
          <w:b/>
          <w:bCs/>
          <w:sz w:val="21"/>
          <w:szCs w:val="21"/>
        </w:rPr>
      </w:pPr>
      <w:r>
        <w:rPr>
          <w:rFonts w:hint="eastAsia" w:ascii="宋体" w:hAnsi="宋体" w:eastAsia="宋体" w:cs="宋体"/>
          <w:b/>
          <w:bCs/>
          <w:sz w:val="21"/>
          <w:szCs w:val="21"/>
        </w:rPr>
        <w:t xml:space="preserve">   公开07表</w:t>
      </w:r>
    </w:p>
    <w:p>
      <w:pPr>
        <w:rPr>
          <w:rFonts w:ascii="宋体" w:hAnsi="宋体" w:eastAsia="宋体" w:cs="宋体"/>
          <w:b/>
          <w:bCs/>
          <w:sz w:val="21"/>
          <w:szCs w:val="21"/>
        </w:rPr>
      </w:pPr>
      <w:r>
        <w:rPr>
          <w:rFonts w:hint="eastAsia" w:ascii="宋体" w:hAnsi="宋体" w:eastAsia="宋体" w:cs="宋体"/>
          <w:b/>
          <w:bCs/>
          <w:sz w:val="21"/>
          <w:szCs w:val="21"/>
        </w:rPr>
        <w:t>编制部门：西安市</w:t>
      </w:r>
      <w:r>
        <w:rPr>
          <w:rFonts w:hint="eastAsia" w:ascii="宋体" w:hAnsi="宋体" w:eastAsia="宋体" w:cs="宋体"/>
          <w:b/>
          <w:bCs/>
          <w:sz w:val="21"/>
          <w:szCs w:val="21"/>
          <w:lang w:eastAsia="zh-CN"/>
        </w:rPr>
        <w:t>蓝田县科学技术协会</w:t>
      </w:r>
      <w:r>
        <w:rPr>
          <w:rFonts w:hint="eastAsia" w:ascii="宋体" w:hAnsi="宋体" w:eastAsia="宋体" w:cs="宋体"/>
          <w:b/>
          <w:bCs/>
          <w:sz w:val="21"/>
          <w:szCs w:val="21"/>
        </w:rPr>
        <w:t xml:space="preserve">                               金额单位：万元</w:t>
      </w:r>
    </w:p>
    <w:tbl>
      <w:tblPr>
        <w:tblStyle w:val="6"/>
        <w:tblW w:w="8858" w:type="dxa"/>
        <w:tblInd w:w="0" w:type="dxa"/>
        <w:tblLayout w:type="fixed"/>
        <w:tblCellMar>
          <w:top w:w="15" w:type="dxa"/>
          <w:left w:w="15" w:type="dxa"/>
          <w:bottom w:w="15" w:type="dxa"/>
          <w:right w:w="15" w:type="dxa"/>
        </w:tblCellMar>
      </w:tblPr>
      <w:tblGrid>
        <w:gridCol w:w="1079"/>
        <w:gridCol w:w="985"/>
        <w:gridCol w:w="1117"/>
        <w:gridCol w:w="878"/>
        <w:gridCol w:w="878"/>
        <w:gridCol w:w="998"/>
        <w:gridCol w:w="1189"/>
        <w:gridCol w:w="772"/>
        <w:gridCol w:w="962"/>
      </w:tblGrid>
      <w:tr>
        <w:tblPrEx>
          <w:tblCellMar>
            <w:top w:w="15" w:type="dxa"/>
            <w:left w:w="15" w:type="dxa"/>
            <w:bottom w:w="15" w:type="dxa"/>
            <w:right w:w="15" w:type="dxa"/>
          </w:tblCellMar>
        </w:tblPrEx>
        <w:trPr>
          <w:trHeight w:val="726" w:hRule="atLeast"/>
        </w:trPr>
        <w:tc>
          <w:tcPr>
            <w:tcW w:w="107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w:t>
            </w:r>
          </w:p>
        </w:tc>
        <w:tc>
          <w:tcPr>
            <w:tcW w:w="6045" w:type="dxa"/>
            <w:gridSpan w:val="6"/>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一般公共预算财政拨款安排的“三公”经费</w:t>
            </w:r>
          </w:p>
        </w:tc>
        <w:tc>
          <w:tcPr>
            <w:tcW w:w="772"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会议费</w:t>
            </w:r>
          </w:p>
        </w:tc>
        <w:tc>
          <w:tcPr>
            <w:tcW w:w="962"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培训费</w:t>
            </w:r>
          </w:p>
        </w:tc>
      </w:tr>
      <w:tr>
        <w:tblPrEx>
          <w:tblCellMar>
            <w:top w:w="15" w:type="dxa"/>
            <w:left w:w="15" w:type="dxa"/>
            <w:bottom w:w="15" w:type="dxa"/>
            <w:right w:w="15" w:type="dxa"/>
          </w:tblCellMar>
        </w:tblPrEx>
        <w:trPr>
          <w:trHeight w:val="726" w:hRule="atLeast"/>
        </w:trPr>
        <w:tc>
          <w:tcPr>
            <w:tcW w:w="107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8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小计</w:t>
            </w:r>
          </w:p>
        </w:tc>
        <w:tc>
          <w:tcPr>
            <w:tcW w:w="111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因公出国（境）费用</w:t>
            </w:r>
          </w:p>
        </w:tc>
        <w:tc>
          <w:tcPr>
            <w:tcW w:w="878"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公务接待费</w:t>
            </w:r>
          </w:p>
        </w:tc>
        <w:tc>
          <w:tcPr>
            <w:tcW w:w="3065"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公务用车购置及运行维护费</w:t>
            </w:r>
          </w:p>
        </w:tc>
        <w:tc>
          <w:tcPr>
            <w:tcW w:w="77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6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CellMar>
            <w:top w:w="15" w:type="dxa"/>
            <w:left w:w="15" w:type="dxa"/>
            <w:bottom w:w="15" w:type="dxa"/>
            <w:right w:w="15" w:type="dxa"/>
          </w:tblCellMar>
        </w:tblPrEx>
        <w:trPr>
          <w:trHeight w:val="753" w:hRule="atLeast"/>
        </w:trPr>
        <w:tc>
          <w:tcPr>
            <w:tcW w:w="107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8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11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87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87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小计</w:t>
            </w:r>
          </w:p>
        </w:tc>
        <w:tc>
          <w:tcPr>
            <w:tcW w:w="99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公务用车购置费</w:t>
            </w: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公务用车运行维护费</w:t>
            </w:r>
          </w:p>
        </w:tc>
        <w:tc>
          <w:tcPr>
            <w:tcW w:w="77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6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CellMar>
            <w:top w:w="15" w:type="dxa"/>
            <w:left w:w="15" w:type="dxa"/>
            <w:bottom w:w="15" w:type="dxa"/>
            <w:right w:w="15" w:type="dxa"/>
          </w:tblCellMar>
        </w:tblPrEx>
        <w:trPr>
          <w:trHeight w:val="726" w:hRule="atLeast"/>
        </w:trPr>
        <w:tc>
          <w:tcPr>
            <w:tcW w:w="107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1</w:t>
            </w:r>
          </w:p>
        </w:tc>
        <w:tc>
          <w:tcPr>
            <w:tcW w:w="111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2</w:t>
            </w:r>
          </w:p>
        </w:tc>
        <w:tc>
          <w:tcPr>
            <w:tcW w:w="87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3</w:t>
            </w:r>
          </w:p>
        </w:tc>
        <w:tc>
          <w:tcPr>
            <w:tcW w:w="87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4</w:t>
            </w:r>
          </w:p>
        </w:tc>
        <w:tc>
          <w:tcPr>
            <w:tcW w:w="99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5</w:t>
            </w: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6</w:t>
            </w:r>
          </w:p>
        </w:tc>
        <w:tc>
          <w:tcPr>
            <w:tcW w:w="77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7</w:t>
            </w:r>
          </w:p>
        </w:tc>
        <w:tc>
          <w:tcPr>
            <w:tcW w:w="96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8</w:t>
            </w:r>
          </w:p>
        </w:tc>
      </w:tr>
      <w:tr>
        <w:tblPrEx>
          <w:tblCellMar>
            <w:top w:w="15" w:type="dxa"/>
            <w:left w:w="15" w:type="dxa"/>
            <w:bottom w:w="15" w:type="dxa"/>
            <w:right w:w="15" w:type="dxa"/>
          </w:tblCellMar>
        </w:tblPrEx>
        <w:trPr>
          <w:trHeight w:val="726" w:hRule="atLeast"/>
        </w:trPr>
        <w:tc>
          <w:tcPr>
            <w:tcW w:w="10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预算数</w:t>
            </w:r>
          </w:p>
        </w:tc>
        <w:tc>
          <w:tcPr>
            <w:tcW w:w="98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b/>
                <w:color w:val="000000"/>
                <w:sz w:val="21"/>
                <w:szCs w:val="21"/>
                <w:lang w:val="en-US" w:eastAsia="zh-CN"/>
              </w:rPr>
            </w:pPr>
            <w:r>
              <w:rPr>
                <w:rFonts w:hint="eastAsia" w:ascii="宋体" w:hAnsi="宋体" w:eastAsia="宋体" w:cs="宋体"/>
                <w:b/>
                <w:color w:val="000000"/>
                <w:sz w:val="21"/>
                <w:szCs w:val="21"/>
                <w:lang w:val="en-US" w:eastAsia="zh-CN"/>
              </w:rPr>
              <w:t>0</w:t>
            </w:r>
          </w:p>
        </w:tc>
        <w:tc>
          <w:tcPr>
            <w:tcW w:w="111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r>
              <w:rPr>
                <w:rFonts w:hint="eastAsia" w:ascii="宋体" w:hAnsi="宋体" w:eastAsia="宋体" w:cs="宋体"/>
                <w:b/>
                <w:color w:val="000000"/>
                <w:sz w:val="21"/>
                <w:szCs w:val="21"/>
              </w:rPr>
              <w:t>0</w:t>
            </w:r>
          </w:p>
        </w:tc>
        <w:tc>
          <w:tcPr>
            <w:tcW w:w="878"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b/>
                <w:color w:val="000000"/>
                <w:sz w:val="21"/>
                <w:szCs w:val="21"/>
                <w:lang w:eastAsia="zh-CN"/>
              </w:rPr>
            </w:pPr>
            <w:r>
              <w:rPr>
                <w:rFonts w:hint="eastAsia" w:ascii="宋体" w:hAnsi="宋体" w:eastAsia="宋体" w:cs="宋体"/>
                <w:b/>
                <w:color w:val="000000"/>
                <w:sz w:val="21"/>
                <w:szCs w:val="21"/>
                <w:lang w:val="en-US" w:eastAsia="zh-CN"/>
              </w:rPr>
              <w:t>0</w:t>
            </w:r>
          </w:p>
        </w:tc>
        <w:tc>
          <w:tcPr>
            <w:tcW w:w="87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r>
              <w:rPr>
                <w:rFonts w:hint="eastAsia" w:ascii="宋体" w:hAnsi="宋体" w:eastAsia="宋体" w:cs="宋体"/>
                <w:b/>
                <w:color w:val="000000"/>
                <w:sz w:val="21"/>
                <w:szCs w:val="21"/>
              </w:rPr>
              <w:t>0</w:t>
            </w:r>
          </w:p>
        </w:tc>
        <w:tc>
          <w:tcPr>
            <w:tcW w:w="99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r>
              <w:rPr>
                <w:rFonts w:hint="eastAsia" w:ascii="宋体" w:hAnsi="宋体" w:eastAsia="宋体" w:cs="宋体"/>
                <w:b/>
                <w:color w:val="000000"/>
                <w:sz w:val="21"/>
                <w:szCs w:val="21"/>
              </w:rPr>
              <w:t>0</w:t>
            </w: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r>
              <w:rPr>
                <w:rFonts w:hint="eastAsia" w:ascii="宋体" w:hAnsi="宋体" w:eastAsia="宋体" w:cs="宋体"/>
                <w:b/>
                <w:color w:val="000000"/>
                <w:sz w:val="21"/>
                <w:szCs w:val="21"/>
              </w:rPr>
              <w:t>0</w:t>
            </w:r>
          </w:p>
        </w:tc>
        <w:tc>
          <w:tcPr>
            <w:tcW w:w="772"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b/>
                <w:color w:val="000000"/>
                <w:sz w:val="21"/>
                <w:szCs w:val="21"/>
                <w:lang w:val="en-US" w:eastAsia="zh-CN"/>
              </w:rPr>
            </w:pPr>
            <w:r>
              <w:rPr>
                <w:rFonts w:hint="eastAsia" w:ascii="宋体" w:hAnsi="宋体" w:eastAsia="宋体" w:cs="宋体"/>
                <w:b/>
                <w:color w:val="000000"/>
                <w:sz w:val="21"/>
                <w:szCs w:val="21"/>
                <w:lang w:val="en-US" w:eastAsia="zh-CN"/>
              </w:rPr>
              <w:t>0.65</w:t>
            </w:r>
          </w:p>
        </w:tc>
        <w:tc>
          <w:tcPr>
            <w:tcW w:w="962"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b/>
                <w:color w:val="000000"/>
                <w:sz w:val="21"/>
                <w:szCs w:val="21"/>
                <w:lang w:val="en-US" w:eastAsia="zh-CN"/>
              </w:rPr>
            </w:pPr>
            <w:r>
              <w:rPr>
                <w:rFonts w:hint="eastAsia" w:ascii="宋体" w:hAnsi="宋体" w:eastAsia="宋体" w:cs="宋体"/>
                <w:b/>
                <w:color w:val="000000"/>
                <w:sz w:val="21"/>
                <w:szCs w:val="21"/>
                <w:lang w:val="en-US" w:eastAsia="zh-CN"/>
              </w:rPr>
              <w:t>0.50</w:t>
            </w:r>
          </w:p>
        </w:tc>
      </w:tr>
      <w:tr>
        <w:tblPrEx>
          <w:tblCellMar>
            <w:top w:w="15" w:type="dxa"/>
            <w:left w:w="15" w:type="dxa"/>
            <w:bottom w:w="15" w:type="dxa"/>
            <w:right w:w="15" w:type="dxa"/>
          </w:tblCellMar>
        </w:tblPrEx>
        <w:trPr>
          <w:trHeight w:val="738" w:hRule="atLeast"/>
        </w:trPr>
        <w:tc>
          <w:tcPr>
            <w:tcW w:w="10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决算数</w:t>
            </w:r>
          </w:p>
        </w:tc>
        <w:tc>
          <w:tcPr>
            <w:tcW w:w="98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b/>
                <w:color w:val="000000"/>
                <w:sz w:val="21"/>
                <w:szCs w:val="21"/>
                <w:lang w:eastAsia="zh-CN"/>
              </w:rPr>
            </w:pPr>
            <w:r>
              <w:rPr>
                <w:rFonts w:hint="eastAsia" w:ascii="宋体" w:hAnsi="宋体" w:eastAsia="宋体" w:cs="宋体"/>
                <w:b/>
                <w:color w:val="000000"/>
                <w:sz w:val="21"/>
                <w:szCs w:val="21"/>
                <w:lang w:val="en-US" w:eastAsia="zh-CN"/>
              </w:rPr>
              <w:t>0</w:t>
            </w:r>
          </w:p>
        </w:tc>
        <w:tc>
          <w:tcPr>
            <w:tcW w:w="111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r>
              <w:rPr>
                <w:rFonts w:hint="eastAsia" w:ascii="宋体" w:hAnsi="宋体" w:eastAsia="宋体" w:cs="宋体"/>
                <w:b/>
                <w:color w:val="000000"/>
                <w:sz w:val="21"/>
                <w:szCs w:val="21"/>
              </w:rPr>
              <w:t>0</w:t>
            </w:r>
          </w:p>
        </w:tc>
        <w:tc>
          <w:tcPr>
            <w:tcW w:w="878"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b/>
                <w:color w:val="000000"/>
                <w:sz w:val="21"/>
                <w:szCs w:val="21"/>
                <w:lang w:eastAsia="zh-CN"/>
              </w:rPr>
            </w:pPr>
            <w:r>
              <w:rPr>
                <w:rFonts w:hint="eastAsia" w:ascii="宋体" w:hAnsi="宋体" w:eastAsia="宋体" w:cs="宋体"/>
                <w:b/>
                <w:color w:val="000000"/>
                <w:sz w:val="21"/>
                <w:szCs w:val="21"/>
                <w:lang w:val="en-US" w:eastAsia="zh-CN"/>
              </w:rPr>
              <w:t>0</w:t>
            </w:r>
          </w:p>
        </w:tc>
        <w:tc>
          <w:tcPr>
            <w:tcW w:w="87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r>
              <w:rPr>
                <w:rFonts w:hint="eastAsia" w:ascii="宋体" w:hAnsi="宋体" w:eastAsia="宋体" w:cs="宋体"/>
                <w:b/>
                <w:color w:val="000000"/>
                <w:sz w:val="21"/>
                <w:szCs w:val="21"/>
              </w:rPr>
              <w:t>0</w:t>
            </w:r>
          </w:p>
        </w:tc>
        <w:tc>
          <w:tcPr>
            <w:tcW w:w="99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r>
              <w:rPr>
                <w:rFonts w:hint="eastAsia" w:ascii="宋体" w:hAnsi="宋体" w:eastAsia="宋体" w:cs="宋体"/>
                <w:b/>
                <w:color w:val="000000"/>
                <w:sz w:val="21"/>
                <w:szCs w:val="21"/>
              </w:rPr>
              <w:t>0</w:t>
            </w: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r>
              <w:rPr>
                <w:rFonts w:hint="eastAsia" w:ascii="宋体" w:hAnsi="宋体" w:eastAsia="宋体" w:cs="宋体"/>
                <w:b/>
                <w:color w:val="000000"/>
                <w:sz w:val="21"/>
                <w:szCs w:val="21"/>
              </w:rPr>
              <w:t>0</w:t>
            </w:r>
          </w:p>
        </w:tc>
        <w:tc>
          <w:tcPr>
            <w:tcW w:w="772"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b/>
                <w:color w:val="000000"/>
                <w:sz w:val="21"/>
                <w:szCs w:val="21"/>
                <w:lang w:val="en-US" w:eastAsia="zh-CN"/>
              </w:rPr>
            </w:pPr>
            <w:r>
              <w:rPr>
                <w:rFonts w:hint="eastAsia" w:ascii="宋体" w:hAnsi="宋体" w:eastAsia="宋体" w:cs="宋体"/>
                <w:b/>
                <w:color w:val="000000"/>
                <w:sz w:val="21"/>
                <w:szCs w:val="21"/>
                <w:lang w:val="en-US" w:eastAsia="zh-CN"/>
              </w:rPr>
              <w:t>0.65</w:t>
            </w:r>
          </w:p>
        </w:tc>
        <w:tc>
          <w:tcPr>
            <w:tcW w:w="962"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b/>
                <w:color w:val="000000"/>
                <w:sz w:val="21"/>
                <w:szCs w:val="21"/>
                <w:lang w:val="en-US" w:eastAsia="zh-CN"/>
              </w:rPr>
            </w:pPr>
            <w:r>
              <w:rPr>
                <w:rFonts w:hint="eastAsia" w:ascii="宋体" w:hAnsi="宋体" w:eastAsia="宋体" w:cs="宋体"/>
                <w:b/>
                <w:color w:val="000000"/>
                <w:sz w:val="21"/>
                <w:szCs w:val="21"/>
                <w:lang w:val="en-US" w:eastAsia="zh-CN"/>
              </w:rPr>
              <w:t>0.50</w:t>
            </w:r>
          </w:p>
        </w:tc>
      </w:tr>
    </w:tbl>
    <w:p>
      <w:pPr>
        <w:widowControl/>
        <w:ind w:left="420" w:hanging="420" w:hangingChars="200"/>
        <w:jc w:val="left"/>
        <w:rPr>
          <w:rFonts w:eastAsia="宋体" w:cs="黑体"/>
          <w:sz w:val="21"/>
          <w:szCs w:val="24"/>
        </w:rPr>
      </w:pPr>
      <w:r>
        <w:rPr>
          <w:rFonts w:hint="eastAsia" w:ascii="宋体" w:hAnsi="宋体" w:eastAsia="宋体" w:cs="宋体"/>
          <w:sz w:val="21"/>
          <w:szCs w:val="21"/>
        </w:rPr>
        <w:t>注：本表反映部门本年度一般公共预算财政拨款“三公”经费、会议费、培训费的预算数和实际支出。预算数为调整预算数。</w:t>
      </w:r>
      <w:r>
        <w:rPr>
          <w:rFonts w:hint="eastAsia" w:ascii="宋体" w:hAnsi="宋体" w:eastAsia="宋体" w:cs="宋体"/>
          <w:color w:val="000000"/>
          <w:kern w:val="0"/>
          <w:sz w:val="21"/>
          <w:szCs w:val="21"/>
        </w:rPr>
        <w:t>本表金额转换为万元时，因四舍五入可能存在尾差。</w:t>
      </w:r>
    </w:p>
    <w:p/>
    <w:p/>
    <w:p/>
    <w:p/>
    <w:p/>
    <w:p/>
    <w:p/>
    <w:p/>
    <w:p/>
    <w:p/>
    <w:p/>
    <w:p/>
    <w:p/>
    <w:p/>
    <w:p>
      <w:pPr>
        <w:jc w:val="center"/>
        <w:rPr>
          <w:rFonts w:ascii="宋体" w:hAnsi="宋体" w:eastAsia="宋体" w:cs="宋体"/>
          <w:b/>
          <w:bCs/>
          <w:szCs w:val="32"/>
        </w:rPr>
      </w:pPr>
      <w:r>
        <w:rPr>
          <w:rFonts w:hint="eastAsia" w:ascii="宋体" w:hAnsi="宋体" w:eastAsia="宋体" w:cs="宋体"/>
          <w:b/>
          <w:bCs/>
          <w:szCs w:val="32"/>
        </w:rPr>
        <w:t>政府性基金预算财政拨款收入支出决算表</w:t>
      </w:r>
    </w:p>
    <w:p>
      <w:pPr>
        <w:rPr>
          <w:rFonts w:ascii="宋体" w:hAnsi="宋体" w:eastAsia="宋体" w:cs="宋体"/>
          <w:b/>
          <w:bCs/>
          <w:sz w:val="21"/>
          <w:szCs w:val="21"/>
        </w:rPr>
      </w:pPr>
      <w:r>
        <w:rPr>
          <w:rFonts w:hint="eastAsia" w:ascii="宋体" w:hAnsi="宋体" w:eastAsia="宋体" w:cs="宋体"/>
          <w:b/>
          <w:bCs/>
          <w:sz w:val="21"/>
          <w:szCs w:val="21"/>
        </w:rPr>
        <w:t>公开08表</w:t>
      </w:r>
    </w:p>
    <w:p>
      <w:pPr>
        <w:rPr>
          <w:rFonts w:ascii="宋体" w:hAnsi="宋体" w:eastAsia="宋体" w:cs="宋体"/>
          <w:b/>
          <w:bCs/>
          <w:sz w:val="21"/>
          <w:szCs w:val="21"/>
        </w:rPr>
      </w:pPr>
      <w:r>
        <w:rPr>
          <w:rFonts w:hint="eastAsia" w:ascii="宋体" w:hAnsi="宋体" w:eastAsia="宋体" w:cs="宋体"/>
          <w:b/>
          <w:bCs/>
          <w:sz w:val="21"/>
          <w:szCs w:val="21"/>
        </w:rPr>
        <w:t>编制部门：西安市</w:t>
      </w:r>
      <w:r>
        <w:rPr>
          <w:rFonts w:hint="eastAsia" w:ascii="宋体" w:hAnsi="宋体" w:eastAsia="宋体" w:cs="宋体"/>
          <w:b/>
          <w:bCs/>
          <w:sz w:val="21"/>
          <w:szCs w:val="21"/>
          <w:lang w:eastAsia="zh-CN"/>
        </w:rPr>
        <w:t>蓝田县科学技术协会</w:t>
      </w:r>
      <w:r>
        <w:rPr>
          <w:rFonts w:hint="eastAsia" w:ascii="宋体" w:hAnsi="宋体" w:eastAsia="宋体" w:cs="宋体"/>
          <w:b/>
          <w:bCs/>
          <w:sz w:val="21"/>
          <w:szCs w:val="21"/>
        </w:rPr>
        <w:t xml:space="preserve">                               金额单位：万元</w:t>
      </w:r>
    </w:p>
    <w:tbl>
      <w:tblPr>
        <w:tblStyle w:val="6"/>
        <w:tblW w:w="8877" w:type="dxa"/>
        <w:tblInd w:w="0" w:type="dxa"/>
        <w:tblLayout w:type="fixed"/>
        <w:tblCellMar>
          <w:top w:w="15" w:type="dxa"/>
          <w:left w:w="15" w:type="dxa"/>
          <w:bottom w:w="15" w:type="dxa"/>
          <w:right w:w="15" w:type="dxa"/>
        </w:tblCellMar>
      </w:tblPr>
      <w:tblGrid>
        <w:gridCol w:w="1023"/>
        <w:gridCol w:w="1341"/>
        <w:gridCol w:w="1049"/>
        <w:gridCol w:w="990"/>
        <w:gridCol w:w="930"/>
        <w:gridCol w:w="1049"/>
        <w:gridCol w:w="1024"/>
        <w:gridCol w:w="1471"/>
      </w:tblGrid>
      <w:tr>
        <w:tblPrEx>
          <w:tblCellMar>
            <w:top w:w="15" w:type="dxa"/>
            <w:left w:w="15" w:type="dxa"/>
            <w:bottom w:w="15" w:type="dxa"/>
            <w:right w:w="15" w:type="dxa"/>
          </w:tblCellMar>
        </w:tblPrEx>
        <w:trPr>
          <w:trHeight w:val="491" w:hRule="atLeast"/>
        </w:trPr>
        <w:tc>
          <w:tcPr>
            <w:tcW w:w="2364"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    目</w:t>
            </w:r>
          </w:p>
        </w:tc>
        <w:tc>
          <w:tcPr>
            <w:tcW w:w="104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年初结转和结余</w:t>
            </w:r>
          </w:p>
        </w:tc>
        <w:tc>
          <w:tcPr>
            <w:tcW w:w="99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本年收入</w:t>
            </w:r>
          </w:p>
        </w:tc>
        <w:tc>
          <w:tcPr>
            <w:tcW w:w="3003" w:type="dxa"/>
            <w:gridSpan w:val="3"/>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本年支出</w:t>
            </w:r>
          </w:p>
        </w:tc>
        <w:tc>
          <w:tcPr>
            <w:tcW w:w="147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年末结转和结余</w:t>
            </w:r>
          </w:p>
        </w:tc>
      </w:tr>
      <w:tr>
        <w:tblPrEx>
          <w:tblCellMar>
            <w:top w:w="15" w:type="dxa"/>
            <w:left w:w="15" w:type="dxa"/>
            <w:bottom w:w="15" w:type="dxa"/>
            <w:right w:w="15" w:type="dxa"/>
          </w:tblCellMar>
        </w:tblPrEx>
        <w:trPr>
          <w:trHeight w:val="889"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功能分类科目编码</w:t>
            </w:r>
          </w:p>
        </w:tc>
        <w:tc>
          <w:tcPr>
            <w:tcW w:w="134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科目名称</w:t>
            </w:r>
          </w:p>
        </w:tc>
        <w:tc>
          <w:tcPr>
            <w:tcW w:w="104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9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小计</w:t>
            </w:r>
          </w:p>
        </w:tc>
        <w:tc>
          <w:tcPr>
            <w:tcW w:w="104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基本支出</w:t>
            </w:r>
          </w:p>
        </w:tc>
        <w:tc>
          <w:tcPr>
            <w:tcW w:w="102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项目支出</w:t>
            </w:r>
          </w:p>
        </w:tc>
        <w:tc>
          <w:tcPr>
            <w:tcW w:w="147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CellMar>
            <w:top w:w="15" w:type="dxa"/>
            <w:left w:w="15" w:type="dxa"/>
            <w:bottom w:w="15" w:type="dxa"/>
            <w:right w:w="15" w:type="dxa"/>
          </w:tblCellMar>
        </w:tblPrEx>
        <w:trPr>
          <w:trHeight w:val="491" w:hRule="atLeast"/>
        </w:trPr>
        <w:tc>
          <w:tcPr>
            <w:tcW w:w="2364"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合计</w:t>
            </w:r>
          </w:p>
        </w:tc>
        <w:tc>
          <w:tcPr>
            <w:tcW w:w="1049" w:type="dxa"/>
            <w:tcBorders>
              <w:top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b/>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514"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bl>
    <w:p>
      <w:pPr>
        <w:widowControl/>
        <w:ind w:left="420" w:hanging="420" w:hangingChars="200"/>
        <w:jc w:val="left"/>
        <w:rPr>
          <w:rFonts w:eastAsia="宋体" w:cs="黑体"/>
          <w:sz w:val="21"/>
          <w:szCs w:val="24"/>
        </w:rPr>
      </w:pPr>
      <w:r>
        <w:rPr>
          <w:rFonts w:hint="eastAsia" w:ascii="宋体" w:hAnsi="宋体" w:eastAsia="宋体" w:cs="宋体"/>
          <w:sz w:val="21"/>
          <w:szCs w:val="21"/>
        </w:rPr>
        <w:t>注：本表反映部门本年度政府性基金预算财政拨款收入支出及结转和结余情况。</w:t>
      </w:r>
      <w:r>
        <w:rPr>
          <w:rFonts w:hint="eastAsia" w:ascii="宋体" w:hAnsi="宋体" w:eastAsia="宋体" w:cs="宋体"/>
          <w:color w:val="000000"/>
          <w:kern w:val="0"/>
          <w:sz w:val="21"/>
          <w:szCs w:val="21"/>
        </w:rPr>
        <w:t>本表金额转换为万元时，因四舍五入可能存在尾差。</w:t>
      </w:r>
    </w:p>
    <w:p/>
    <w:p/>
    <w:p>
      <w:pPr>
        <w:jc w:val="center"/>
        <w:rPr>
          <w:rFonts w:ascii="黑体" w:hAnsi="宋体" w:eastAsia="黑体"/>
          <w:color w:val="000000"/>
          <w:kern w:val="0"/>
          <w:sz w:val="44"/>
          <w:szCs w:val="44"/>
        </w:rPr>
      </w:pPr>
      <w:r>
        <w:rPr>
          <w:rFonts w:hint="eastAsia" w:ascii="黑体" w:hAnsi="宋体" w:eastAsia="黑体"/>
          <w:color w:val="000000"/>
          <w:kern w:val="0"/>
          <w:sz w:val="44"/>
          <w:szCs w:val="44"/>
        </w:rPr>
        <w:t>第三部分 2019年度部门决算情况说明</w:t>
      </w:r>
    </w:p>
    <w:p>
      <w:pPr>
        <w:widowControl/>
        <w:rPr>
          <w:rFonts w:ascii="黑体" w:hAnsi="宋体" w:eastAsia="黑体"/>
          <w:color w:val="000000"/>
          <w:kern w:val="0"/>
          <w:sz w:val="44"/>
          <w:szCs w:val="44"/>
        </w:rPr>
      </w:pPr>
    </w:p>
    <w:p>
      <w:pPr>
        <w:widowControl/>
        <w:ind w:firstLine="640" w:firstLineChars="200"/>
        <w:jc w:val="left"/>
        <w:rPr>
          <w:rFonts w:ascii="黑体" w:hAnsi="黑体" w:eastAsia="黑体"/>
          <w:color w:val="000000"/>
          <w:kern w:val="0"/>
          <w:szCs w:val="32"/>
        </w:rPr>
      </w:pPr>
      <w:r>
        <w:rPr>
          <w:rFonts w:hint="eastAsia" w:ascii="黑体" w:hAnsi="黑体" w:eastAsia="黑体"/>
          <w:color w:val="000000"/>
          <w:kern w:val="0"/>
          <w:szCs w:val="32"/>
        </w:rPr>
        <w:t>一、收入支出决算总体情况说明</w:t>
      </w:r>
    </w:p>
    <w:p>
      <w:pPr>
        <w:widowControl/>
        <w:ind w:firstLine="640" w:firstLineChars="200"/>
        <w:jc w:val="left"/>
        <w:rPr>
          <w:rFonts w:ascii="仿宋_GB2312" w:hAnsi="仿宋" w:eastAsia="仿宋_GB2312"/>
          <w:szCs w:val="32"/>
        </w:rPr>
      </w:pPr>
      <w:r>
        <w:rPr>
          <w:rFonts w:hint="eastAsia" w:ascii="仿宋_GB2312" w:hAnsi="仿宋" w:eastAsia="仿宋_GB2312"/>
          <w:szCs w:val="32"/>
        </w:rPr>
        <w:t>2019年度收入</w:t>
      </w:r>
      <w:r>
        <w:rPr>
          <w:rFonts w:hint="eastAsia" w:ascii="仿宋_GB2312" w:hAnsi="仿宋" w:eastAsia="仿宋_GB2312"/>
          <w:szCs w:val="32"/>
          <w:lang w:val="en-US" w:eastAsia="zh-CN"/>
        </w:rPr>
        <w:t>46.45</w:t>
      </w:r>
      <w:r>
        <w:rPr>
          <w:rFonts w:hint="eastAsia" w:ascii="仿宋_GB2312" w:hAnsi="仿宋" w:eastAsia="仿宋_GB2312"/>
          <w:szCs w:val="32"/>
        </w:rPr>
        <w:t>万元，较上年</w:t>
      </w:r>
      <w:r>
        <w:rPr>
          <w:rFonts w:hint="eastAsia" w:ascii="仿宋_GB2312" w:hAnsi="仿宋" w:eastAsia="仿宋_GB2312"/>
          <w:szCs w:val="32"/>
          <w:lang w:eastAsia="zh-CN"/>
        </w:rPr>
        <w:t>减少</w:t>
      </w:r>
      <w:r>
        <w:rPr>
          <w:rFonts w:hint="eastAsia" w:ascii="仿宋_GB2312" w:hAnsi="仿宋" w:eastAsia="仿宋_GB2312"/>
          <w:szCs w:val="32"/>
          <w:lang w:val="en-US" w:eastAsia="zh-CN"/>
        </w:rPr>
        <w:t>78.24</w:t>
      </w:r>
      <w:r>
        <w:rPr>
          <w:rFonts w:hint="eastAsia" w:ascii="仿宋_GB2312" w:hAnsi="仿宋" w:eastAsia="仿宋_GB2312"/>
          <w:szCs w:val="32"/>
        </w:rPr>
        <w:t>万元，</w:t>
      </w:r>
      <w:r>
        <w:rPr>
          <w:rFonts w:hint="eastAsia" w:ascii="仿宋_GB2312" w:hAnsi="仿宋" w:eastAsia="仿宋_GB2312"/>
          <w:szCs w:val="32"/>
          <w:lang w:eastAsia="zh-CN"/>
        </w:rPr>
        <w:t>减少</w:t>
      </w:r>
      <w:r>
        <w:rPr>
          <w:rFonts w:hint="eastAsia" w:ascii="仿宋_GB2312" w:hAnsi="仿宋" w:eastAsia="仿宋_GB2312"/>
          <w:szCs w:val="32"/>
          <w:lang w:val="en-US" w:eastAsia="zh-CN"/>
        </w:rPr>
        <w:t>62.75</w:t>
      </w:r>
      <w:r>
        <w:rPr>
          <w:rFonts w:hint="eastAsia" w:ascii="仿宋_GB2312" w:hAnsi="仿宋" w:eastAsia="仿宋_GB2312"/>
          <w:szCs w:val="32"/>
        </w:rPr>
        <w:t>%，</w:t>
      </w:r>
      <w:r>
        <w:rPr>
          <w:rFonts w:hint="eastAsia" w:ascii="仿宋_GB2312" w:hAnsi="仿宋" w:eastAsia="仿宋_GB2312"/>
          <w:szCs w:val="32"/>
          <w:lang w:eastAsia="zh-CN"/>
        </w:rPr>
        <w:t>减少</w:t>
      </w:r>
      <w:r>
        <w:rPr>
          <w:rFonts w:hint="eastAsia" w:ascii="仿宋_GB2312" w:hAnsi="仿宋" w:eastAsia="仿宋_GB2312"/>
          <w:szCs w:val="32"/>
        </w:rPr>
        <w:t>的主要原因为</w:t>
      </w:r>
      <w:r>
        <w:rPr>
          <w:rFonts w:hint="eastAsia" w:ascii="仿宋_GB2312" w:hAnsi="仿宋" w:eastAsia="仿宋_GB2312"/>
          <w:szCs w:val="32"/>
          <w:lang w:eastAsia="zh-CN"/>
        </w:rPr>
        <w:t>实施项目数量缩小</w:t>
      </w:r>
      <w:r>
        <w:rPr>
          <w:rFonts w:hint="eastAsia" w:ascii="仿宋_GB2312" w:hAnsi="仿宋" w:eastAsia="仿宋_GB2312"/>
          <w:szCs w:val="32"/>
        </w:rPr>
        <w:t>。</w:t>
      </w:r>
    </w:p>
    <w:p>
      <w:pPr>
        <w:widowControl/>
        <w:ind w:firstLine="640" w:firstLineChars="200"/>
        <w:jc w:val="left"/>
        <w:rPr>
          <w:rFonts w:ascii="仿宋_GB2312" w:hAnsi="仿宋" w:eastAsia="仿宋_GB2312"/>
          <w:szCs w:val="32"/>
        </w:rPr>
      </w:pPr>
      <w:r>
        <w:rPr>
          <w:rFonts w:hint="eastAsia" w:ascii="仿宋_GB2312" w:hAnsi="仿宋" w:eastAsia="仿宋_GB2312"/>
          <w:szCs w:val="32"/>
        </w:rPr>
        <w:t>2019度年支出</w:t>
      </w:r>
      <w:r>
        <w:rPr>
          <w:rFonts w:hint="eastAsia" w:ascii="仿宋_GB2312" w:hAnsi="仿宋" w:eastAsia="仿宋_GB2312"/>
          <w:szCs w:val="32"/>
          <w:lang w:val="en-US" w:eastAsia="zh-CN"/>
        </w:rPr>
        <w:t>46.45</w:t>
      </w:r>
      <w:r>
        <w:rPr>
          <w:rFonts w:hint="eastAsia" w:ascii="仿宋_GB2312" w:hAnsi="仿宋" w:eastAsia="仿宋_GB2312"/>
          <w:szCs w:val="32"/>
        </w:rPr>
        <w:t>万元，较上年</w:t>
      </w:r>
      <w:r>
        <w:rPr>
          <w:rFonts w:hint="eastAsia" w:ascii="仿宋_GB2312" w:hAnsi="仿宋" w:eastAsia="仿宋_GB2312"/>
          <w:szCs w:val="32"/>
          <w:lang w:eastAsia="zh-CN"/>
        </w:rPr>
        <w:t>减少</w:t>
      </w:r>
      <w:r>
        <w:rPr>
          <w:rFonts w:hint="eastAsia" w:ascii="仿宋_GB2312" w:hAnsi="仿宋" w:eastAsia="仿宋_GB2312"/>
          <w:szCs w:val="32"/>
          <w:lang w:val="en-US" w:eastAsia="zh-CN"/>
        </w:rPr>
        <w:t>78.24</w:t>
      </w:r>
      <w:r>
        <w:rPr>
          <w:rFonts w:hint="eastAsia" w:ascii="仿宋_GB2312" w:hAnsi="仿宋" w:eastAsia="仿宋_GB2312"/>
          <w:szCs w:val="32"/>
        </w:rPr>
        <w:t>万元，</w:t>
      </w:r>
      <w:r>
        <w:rPr>
          <w:rFonts w:hint="eastAsia" w:ascii="仿宋_GB2312" w:hAnsi="仿宋" w:eastAsia="仿宋_GB2312"/>
          <w:szCs w:val="32"/>
          <w:lang w:eastAsia="zh-CN"/>
        </w:rPr>
        <w:t>减少</w:t>
      </w:r>
      <w:r>
        <w:rPr>
          <w:rFonts w:hint="eastAsia" w:ascii="仿宋_GB2312" w:hAnsi="仿宋" w:eastAsia="仿宋_GB2312"/>
          <w:szCs w:val="32"/>
          <w:lang w:val="en-US" w:eastAsia="zh-CN"/>
        </w:rPr>
        <w:t>62.75</w:t>
      </w:r>
      <w:r>
        <w:rPr>
          <w:rFonts w:hint="eastAsia" w:ascii="仿宋_GB2312" w:hAnsi="仿宋" w:eastAsia="仿宋_GB2312"/>
          <w:szCs w:val="32"/>
        </w:rPr>
        <w:t>%，</w:t>
      </w:r>
      <w:r>
        <w:rPr>
          <w:rFonts w:hint="eastAsia" w:ascii="仿宋_GB2312" w:hAnsi="仿宋" w:eastAsia="仿宋_GB2312"/>
          <w:szCs w:val="32"/>
          <w:lang w:eastAsia="zh-CN"/>
        </w:rPr>
        <w:t>减少</w:t>
      </w:r>
      <w:r>
        <w:rPr>
          <w:rFonts w:hint="eastAsia" w:ascii="仿宋_GB2312" w:hAnsi="仿宋" w:eastAsia="仿宋_GB2312"/>
          <w:szCs w:val="32"/>
        </w:rPr>
        <w:t>的主要原因为</w:t>
      </w:r>
      <w:r>
        <w:rPr>
          <w:rFonts w:hint="eastAsia" w:ascii="仿宋_GB2312" w:hAnsi="仿宋" w:eastAsia="仿宋_GB2312"/>
          <w:szCs w:val="32"/>
          <w:lang w:eastAsia="zh-CN"/>
        </w:rPr>
        <w:t>实施项目数量缩小</w:t>
      </w:r>
      <w:r>
        <w:rPr>
          <w:rFonts w:hint="eastAsia" w:ascii="仿宋_GB2312" w:hAnsi="仿宋" w:eastAsia="仿宋_GB2312"/>
          <w:szCs w:val="32"/>
        </w:rPr>
        <w:t>。</w:t>
      </w:r>
    </w:p>
    <w:p>
      <w:pPr>
        <w:widowControl/>
        <w:ind w:firstLine="640" w:firstLineChars="200"/>
        <w:jc w:val="left"/>
        <w:rPr>
          <w:rFonts w:ascii="仿宋_GB2312" w:hAnsi="仿宋" w:eastAsia="仿宋_GB2312"/>
          <w:szCs w:val="32"/>
        </w:rPr>
      </w:pPr>
      <w:r>
        <w:rPr>
          <w:rFonts w:ascii="仿宋_GB2312" w:hAnsi="仿宋" w:eastAsia="仿宋_GB2312"/>
          <w:szCs w:val="32"/>
        </w:rPr>
        <w:drawing>
          <wp:inline distT="0" distB="0" distL="0" distR="0">
            <wp:extent cx="4448810" cy="2423795"/>
            <wp:effectExtent l="19050" t="0" r="27317" b="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p>
    <w:p>
      <w:pPr>
        <w:widowControl/>
        <w:ind w:firstLine="640" w:firstLineChars="200"/>
        <w:jc w:val="left"/>
        <w:rPr>
          <w:rFonts w:ascii="黑体" w:hAnsi="黑体" w:eastAsia="黑体"/>
          <w:color w:val="000000"/>
          <w:kern w:val="0"/>
          <w:szCs w:val="32"/>
        </w:rPr>
      </w:pPr>
      <w:r>
        <w:rPr>
          <w:rFonts w:hint="eastAsia" w:ascii="黑体" w:hAnsi="黑体" w:eastAsia="黑体"/>
          <w:color w:val="000000"/>
          <w:kern w:val="0"/>
          <w:szCs w:val="32"/>
        </w:rPr>
        <w:t>二、收入决算情况说明</w:t>
      </w:r>
    </w:p>
    <w:p>
      <w:pPr>
        <w:widowControl/>
        <w:ind w:firstLine="640" w:firstLineChars="200"/>
        <w:jc w:val="left"/>
        <w:rPr>
          <w:rFonts w:hint="eastAsia" w:ascii="仿宋_GB2312" w:hAnsi="宋体" w:eastAsia="仿宋_GB2312" w:cs="仿宋_GB2312"/>
          <w:color w:val="000000"/>
          <w:kern w:val="0"/>
          <w:szCs w:val="32"/>
        </w:rPr>
      </w:pPr>
      <w:r>
        <w:rPr>
          <w:rFonts w:hint="eastAsia" w:ascii="仿宋_GB2312" w:hAnsi="宋体" w:eastAsia="仿宋_GB2312" w:cs="仿宋_GB2312"/>
          <w:color w:val="000000"/>
          <w:kern w:val="0"/>
          <w:szCs w:val="32"/>
        </w:rPr>
        <w:t>2019</w:t>
      </w:r>
      <w:r>
        <w:rPr>
          <w:rFonts w:ascii="仿宋_GB2312" w:hAnsi="宋体" w:eastAsia="仿宋_GB2312" w:cs="仿宋_GB2312"/>
          <w:color w:val="000000"/>
          <w:kern w:val="0"/>
          <w:szCs w:val="32"/>
        </w:rPr>
        <w:t>年</w:t>
      </w:r>
      <w:r>
        <w:rPr>
          <w:rFonts w:hint="eastAsia" w:ascii="仿宋_GB2312" w:hAnsi="仿宋" w:eastAsia="仿宋_GB2312"/>
          <w:szCs w:val="32"/>
        </w:rPr>
        <w:t>度</w:t>
      </w:r>
      <w:r>
        <w:rPr>
          <w:rFonts w:ascii="仿宋_GB2312" w:hAnsi="宋体" w:eastAsia="仿宋_GB2312" w:cs="仿宋_GB2312"/>
          <w:color w:val="000000"/>
          <w:kern w:val="0"/>
          <w:szCs w:val="32"/>
        </w:rPr>
        <w:t>收入合计</w:t>
      </w:r>
      <w:r>
        <w:rPr>
          <w:rFonts w:hint="eastAsia" w:ascii="仿宋_GB2312" w:hAnsi="宋体" w:eastAsia="仿宋_GB2312" w:cs="仿宋_GB2312"/>
          <w:color w:val="000000"/>
          <w:kern w:val="0"/>
          <w:szCs w:val="32"/>
          <w:lang w:val="en-US" w:eastAsia="zh-CN"/>
        </w:rPr>
        <w:t>46.45</w:t>
      </w:r>
      <w:r>
        <w:rPr>
          <w:rFonts w:ascii="仿宋_GB2312" w:hAnsi="宋体" w:eastAsia="仿宋_GB2312" w:cs="仿宋_GB2312"/>
          <w:color w:val="000000"/>
          <w:kern w:val="0"/>
          <w:szCs w:val="32"/>
        </w:rPr>
        <w:t>万元，其中：财政拨款收入</w:t>
      </w:r>
      <w:r>
        <w:rPr>
          <w:rFonts w:hint="eastAsia" w:ascii="仿宋_GB2312" w:hAnsi="宋体" w:eastAsia="仿宋_GB2312" w:cs="仿宋_GB2312"/>
          <w:color w:val="000000"/>
          <w:kern w:val="0"/>
          <w:szCs w:val="32"/>
          <w:lang w:val="en-US" w:eastAsia="zh-CN"/>
        </w:rPr>
        <w:t>46.45</w:t>
      </w:r>
      <w:r>
        <w:rPr>
          <w:rFonts w:ascii="仿宋_GB2312" w:hAnsi="宋体" w:eastAsia="仿宋_GB2312" w:cs="仿宋_GB2312"/>
          <w:color w:val="000000"/>
          <w:kern w:val="0"/>
          <w:szCs w:val="32"/>
        </w:rPr>
        <w:t>万元，占</w:t>
      </w:r>
      <w:r>
        <w:rPr>
          <w:rFonts w:hint="eastAsia" w:ascii="仿宋_GB2312" w:hAnsi="宋体" w:eastAsia="仿宋_GB2312" w:cs="仿宋_GB2312"/>
          <w:color w:val="000000"/>
          <w:kern w:val="0"/>
          <w:szCs w:val="32"/>
        </w:rPr>
        <w:t>100</w:t>
      </w:r>
      <w:r>
        <w:rPr>
          <w:rFonts w:ascii="仿宋_GB2312" w:hAnsi="宋体" w:eastAsia="仿宋_GB2312" w:cs="仿宋_GB2312"/>
          <w:color w:val="000000"/>
          <w:kern w:val="0"/>
          <w:szCs w:val="32"/>
        </w:rPr>
        <w:t>%；事业收入</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万元，占</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%；经营收入</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万元，占</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%；其他收入</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万元，占</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w:t>
      </w:r>
      <w:r>
        <w:rPr>
          <w:rFonts w:hint="eastAsia" w:ascii="仿宋_GB2312" w:hAnsi="宋体" w:eastAsia="仿宋_GB2312" w:cs="仿宋_GB2312"/>
          <w:color w:val="000000"/>
          <w:kern w:val="0"/>
          <w:szCs w:val="32"/>
        </w:rPr>
        <w:t>。</w:t>
      </w:r>
    </w:p>
    <w:p>
      <w:pPr>
        <w:widowControl/>
        <w:ind w:firstLine="640" w:firstLineChars="200"/>
        <w:jc w:val="left"/>
      </w:pPr>
      <w:r>
        <w:drawing>
          <wp:inline distT="0" distB="0" distL="0" distR="0">
            <wp:extent cx="4188460" cy="2337435"/>
            <wp:effectExtent l="19050" t="0" r="21207" b="5391"/>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pPr>
        <w:widowControl/>
        <w:ind w:firstLine="640" w:firstLineChars="200"/>
        <w:jc w:val="left"/>
        <w:rPr>
          <w:rFonts w:ascii="黑体" w:hAnsi="黑体" w:eastAsia="黑体"/>
        </w:rPr>
      </w:pPr>
      <w:r>
        <w:rPr>
          <w:rFonts w:hint="eastAsia" w:ascii="黑体" w:hAnsi="黑体" w:eastAsia="黑体"/>
          <w:color w:val="000000"/>
          <w:kern w:val="0"/>
          <w:szCs w:val="32"/>
        </w:rPr>
        <w:t>三、支出决算情况说明</w:t>
      </w:r>
    </w:p>
    <w:p>
      <w:pPr>
        <w:widowControl/>
        <w:ind w:firstLine="640" w:firstLineChars="200"/>
        <w:jc w:val="left"/>
        <w:rPr>
          <w:rFonts w:hint="eastAsia" w:ascii="仿宋_GB2312" w:hAnsi="宋体" w:eastAsia="仿宋_GB2312" w:cs="仿宋_GB2312"/>
          <w:color w:val="000000"/>
          <w:kern w:val="0"/>
          <w:szCs w:val="32"/>
        </w:rPr>
      </w:pPr>
      <w:r>
        <w:rPr>
          <w:rFonts w:hint="eastAsia" w:ascii="仿宋_GB2312" w:hAnsi="宋体" w:eastAsia="仿宋_GB2312" w:cs="仿宋_GB2312"/>
          <w:color w:val="000000"/>
          <w:kern w:val="0"/>
          <w:szCs w:val="32"/>
        </w:rPr>
        <w:t>2019</w:t>
      </w:r>
      <w:r>
        <w:rPr>
          <w:rFonts w:ascii="仿宋_GB2312" w:hAnsi="宋体" w:eastAsia="仿宋_GB2312" w:cs="仿宋_GB2312"/>
          <w:color w:val="000000"/>
          <w:kern w:val="0"/>
          <w:szCs w:val="32"/>
        </w:rPr>
        <w:t>年</w:t>
      </w:r>
      <w:r>
        <w:rPr>
          <w:rFonts w:hint="eastAsia" w:ascii="仿宋_GB2312" w:hAnsi="仿宋" w:eastAsia="仿宋_GB2312"/>
          <w:szCs w:val="32"/>
        </w:rPr>
        <w:t>度</w:t>
      </w:r>
      <w:r>
        <w:rPr>
          <w:rFonts w:ascii="仿宋_GB2312" w:hAnsi="宋体" w:eastAsia="仿宋_GB2312" w:cs="仿宋_GB2312"/>
          <w:color w:val="000000"/>
          <w:kern w:val="0"/>
          <w:szCs w:val="32"/>
        </w:rPr>
        <w:t>支出合计</w:t>
      </w:r>
      <w:r>
        <w:rPr>
          <w:rFonts w:hint="eastAsia" w:ascii="仿宋_GB2312" w:hAnsi="宋体" w:eastAsia="仿宋_GB2312" w:cs="仿宋_GB2312"/>
          <w:color w:val="000000"/>
          <w:kern w:val="0"/>
          <w:szCs w:val="32"/>
          <w:lang w:val="en-US" w:eastAsia="zh-CN"/>
        </w:rPr>
        <w:t>46.45</w:t>
      </w:r>
      <w:r>
        <w:rPr>
          <w:rFonts w:ascii="仿宋_GB2312" w:hAnsi="宋体" w:eastAsia="仿宋_GB2312" w:cs="仿宋_GB2312"/>
          <w:color w:val="000000"/>
          <w:kern w:val="0"/>
          <w:szCs w:val="32"/>
        </w:rPr>
        <w:t>万元，其中：基本支出</w:t>
      </w:r>
      <w:r>
        <w:rPr>
          <w:rFonts w:hint="eastAsia" w:ascii="仿宋_GB2312" w:hAnsi="宋体" w:eastAsia="仿宋_GB2312" w:cs="仿宋_GB2312"/>
          <w:color w:val="000000"/>
          <w:kern w:val="0"/>
          <w:szCs w:val="32"/>
          <w:lang w:val="en-US" w:eastAsia="zh-CN"/>
        </w:rPr>
        <w:t>31.55</w:t>
      </w:r>
      <w:r>
        <w:rPr>
          <w:rFonts w:ascii="仿宋_GB2312" w:hAnsi="宋体" w:eastAsia="仿宋_GB2312" w:cs="仿宋_GB2312"/>
          <w:color w:val="000000"/>
          <w:kern w:val="0"/>
          <w:szCs w:val="32"/>
        </w:rPr>
        <w:t>万元，占</w:t>
      </w:r>
      <w:r>
        <w:rPr>
          <w:rFonts w:hint="eastAsia" w:ascii="仿宋_GB2312" w:hAnsi="宋体" w:eastAsia="仿宋_GB2312" w:cs="仿宋_GB2312"/>
          <w:color w:val="000000"/>
          <w:kern w:val="0"/>
          <w:szCs w:val="32"/>
        </w:rPr>
        <w:t>46.66</w:t>
      </w:r>
      <w:r>
        <w:rPr>
          <w:rFonts w:ascii="仿宋_GB2312" w:hAnsi="宋体" w:eastAsia="仿宋_GB2312" w:cs="仿宋_GB2312"/>
          <w:color w:val="000000"/>
          <w:kern w:val="0"/>
          <w:szCs w:val="32"/>
        </w:rPr>
        <w:t>%；项目支出</w:t>
      </w:r>
      <w:r>
        <w:rPr>
          <w:rFonts w:hint="eastAsia" w:ascii="仿宋_GB2312" w:hAnsi="宋体" w:eastAsia="仿宋_GB2312" w:cs="仿宋_GB2312"/>
          <w:color w:val="000000"/>
          <w:kern w:val="0"/>
          <w:szCs w:val="32"/>
          <w:lang w:val="en-US" w:eastAsia="zh-CN"/>
        </w:rPr>
        <w:t>14.9</w:t>
      </w:r>
      <w:r>
        <w:rPr>
          <w:rFonts w:ascii="仿宋_GB2312" w:hAnsi="宋体" w:eastAsia="仿宋_GB2312" w:cs="仿宋_GB2312"/>
          <w:color w:val="000000"/>
          <w:kern w:val="0"/>
          <w:szCs w:val="32"/>
        </w:rPr>
        <w:t>万元，占</w:t>
      </w:r>
      <w:r>
        <w:rPr>
          <w:rFonts w:hint="eastAsia" w:ascii="仿宋_GB2312" w:hAnsi="宋体" w:eastAsia="仿宋_GB2312" w:cs="仿宋_GB2312"/>
          <w:color w:val="000000"/>
          <w:kern w:val="0"/>
          <w:szCs w:val="32"/>
        </w:rPr>
        <w:t>53.34</w:t>
      </w:r>
      <w:r>
        <w:rPr>
          <w:rFonts w:ascii="仿宋_GB2312" w:hAnsi="宋体" w:eastAsia="仿宋_GB2312" w:cs="仿宋_GB2312"/>
          <w:color w:val="000000"/>
          <w:kern w:val="0"/>
          <w:szCs w:val="32"/>
        </w:rPr>
        <w:t>%；经营支出</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万元，占</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w:t>
      </w:r>
    </w:p>
    <w:p>
      <w:pPr>
        <w:widowControl/>
        <w:ind w:firstLine="640" w:firstLineChars="200"/>
        <w:jc w:val="left"/>
      </w:pPr>
      <w:r>
        <w:drawing>
          <wp:inline distT="0" distB="0" distL="0" distR="0">
            <wp:extent cx="5272405" cy="2665095"/>
            <wp:effectExtent l="19050" t="0" r="23304" b="1438"/>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pPr>
        <w:widowControl/>
        <w:ind w:firstLine="640" w:firstLineChars="200"/>
        <w:jc w:val="left"/>
        <w:rPr>
          <w:rFonts w:ascii="黑体" w:hAnsi="黑体" w:eastAsia="黑体"/>
          <w:color w:val="000000"/>
          <w:kern w:val="0"/>
          <w:szCs w:val="32"/>
        </w:rPr>
      </w:pPr>
      <w:r>
        <w:rPr>
          <w:rFonts w:hint="eastAsia" w:ascii="黑体" w:hAnsi="黑体" w:eastAsia="黑体"/>
          <w:color w:val="000000"/>
          <w:kern w:val="0"/>
          <w:szCs w:val="32"/>
        </w:rPr>
        <w:t>四、财政拨款收入支出决算总体情况说明</w:t>
      </w:r>
    </w:p>
    <w:p>
      <w:pPr>
        <w:widowControl/>
        <w:ind w:firstLine="640" w:firstLineChars="200"/>
        <w:jc w:val="left"/>
        <w:rPr>
          <w:rFonts w:hint="eastAsia" w:ascii="仿宋_GB2312" w:hAnsi="仿宋" w:eastAsia="仿宋_GB2312"/>
          <w:szCs w:val="32"/>
        </w:rPr>
      </w:pPr>
      <w:r>
        <w:rPr>
          <w:rFonts w:hint="eastAsia" w:ascii="仿宋_GB2312" w:hAnsi="仿宋" w:eastAsia="仿宋_GB2312"/>
          <w:szCs w:val="32"/>
        </w:rPr>
        <w:t>2019年度</w:t>
      </w:r>
      <w:r>
        <w:rPr>
          <w:rFonts w:ascii="仿宋_GB2312" w:hAnsi="宋体" w:eastAsia="仿宋_GB2312" w:cs="仿宋_GB2312"/>
          <w:color w:val="000000"/>
          <w:kern w:val="0"/>
          <w:szCs w:val="32"/>
        </w:rPr>
        <w:t>财政拨款</w:t>
      </w:r>
      <w:r>
        <w:rPr>
          <w:rFonts w:hint="eastAsia" w:ascii="仿宋_GB2312" w:hAnsi="仿宋" w:eastAsia="仿宋_GB2312"/>
          <w:szCs w:val="32"/>
        </w:rPr>
        <w:t>收入</w:t>
      </w:r>
      <w:r>
        <w:rPr>
          <w:rFonts w:hint="eastAsia" w:ascii="仿宋_GB2312" w:hAnsi="仿宋" w:eastAsia="仿宋_GB2312"/>
          <w:szCs w:val="32"/>
          <w:lang w:val="en-US" w:eastAsia="zh-CN"/>
        </w:rPr>
        <w:t>46.45</w:t>
      </w:r>
      <w:r>
        <w:rPr>
          <w:rFonts w:hint="eastAsia" w:ascii="仿宋_GB2312" w:hAnsi="仿宋" w:eastAsia="仿宋_GB2312"/>
          <w:szCs w:val="32"/>
        </w:rPr>
        <w:t>万元，较上年</w:t>
      </w:r>
      <w:r>
        <w:rPr>
          <w:rFonts w:hint="eastAsia" w:ascii="仿宋_GB2312" w:hAnsi="仿宋" w:eastAsia="仿宋_GB2312"/>
          <w:szCs w:val="32"/>
          <w:lang w:eastAsia="zh-CN"/>
        </w:rPr>
        <w:t>减少</w:t>
      </w:r>
      <w:r>
        <w:rPr>
          <w:rFonts w:hint="eastAsia" w:ascii="仿宋_GB2312" w:hAnsi="仿宋" w:eastAsia="仿宋_GB2312"/>
          <w:szCs w:val="32"/>
          <w:lang w:val="en-US" w:eastAsia="zh-CN"/>
        </w:rPr>
        <w:t>78.24</w:t>
      </w:r>
      <w:r>
        <w:rPr>
          <w:rFonts w:hint="eastAsia" w:ascii="仿宋_GB2312" w:hAnsi="仿宋" w:eastAsia="仿宋_GB2312"/>
          <w:szCs w:val="32"/>
        </w:rPr>
        <w:t>万元，</w:t>
      </w:r>
      <w:r>
        <w:rPr>
          <w:rFonts w:hint="eastAsia" w:ascii="仿宋_GB2312" w:hAnsi="仿宋" w:eastAsia="仿宋_GB2312"/>
          <w:szCs w:val="32"/>
          <w:lang w:eastAsia="zh-CN"/>
        </w:rPr>
        <w:t>减少</w:t>
      </w:r>
      <w:r>
        <w:rPr>
          <w:rFonts w:hint="eastAsia" w:ascii="仿宋_GB2312" w:hAnsi="仿宋" w:eastAsia="仿宋_GB2312"/>
          <w:szCs w:val="32"/>
          <w:lang w:val="en-US" w:eastAsia="zh-CN"/>
        </w:rPr>
        <w:t>62.75</w:t>
      </w:r>
      <w:r>
        <w:rPr>
          <w:rFonts w:hint="eastAsia" w:ascii="仿宋_GB2312" w:hAnsi="仿宋" w:eastAsia="仿宋_GB2312"/>
          <w:szCs w:val="32"/>
        </w:rPr>
        <w:t>%，</w:t>
      </w:r>
      <w:r>
        <w:rPr>
          <w:rFonts w:hint="eastAsia" w:ascii="仿宋_GB2312" w:hAnsi="仿宋" w:eastAsia="仿宋_GB2312"/>
          <w:szCs w:val="32"/>
          <w:lang w:eastAsia="zh-CN"/>
        </w:rPr>
        <w:t>减少</w:t>
      </w:r>
      <w:r>
        <w:rPr>
          <w:rFonts w:hint="eastAsia" w:ascii="仿宋_GB2312" w:hAnsi="仿宋" w:eastAsia="仿宋_GB2312"/>
          <w:szCs w:val="32"/>
        </w:rPr>
        <w:t>的主要原因为</w:t>
      </w:r>
      <w:r>
        <w:rPr>
          <w:rFonts w:hint="eastAsia" w:ascii="仿宋_GB2312" w:hAnsi="仿宋" w:eastAsia="仿宋_GB2312"/>
          <w:szCs w:val="32"/>
          <w:lang w:eastAsia="zh-CN"/>
        </w:rPr>
        <w:t>实施项目数量缩小</w:t>
      </w:r>
      <w:r>
        <w:rPr>
          <w:rFonts w:hint="eastAsia" w:ascii="仿宋_GB2312" w:hAnsi="仿宋" w:eastAsia="仿宋_GB2312"/>
          <w:szCs w:val="32"/>
        </w:rPr>
        <w:t>。</w:t>
      </w:r>
    </w:p>
    <w:p>
      <w:pPr>
        <w:widowControl/>
        <w:ind w:firstLine="640" w:firstLineChars="200"/>
        <w:jc w:val="left"/>
        <w:rPr>
          <w:rFonts w:hint="eastAsia" w:ascii="仿宋_GB2312" w:hAnsi="仿宋" w:eastAsia="仿宋_GB2312"/>
          <w:szCs w:val="32"/>
        </w:rPr>
      </w:pPr>
      <w:r>
        <w:rPr>
          <w:rFonts w:hint="eastAsia" w:ascii="仿宋_GB2312" w:hAnsi="仿宋" w:eastAsia="仿宋_GB2312"/>
          <w:szCs w:val="32"/>
        </w:rPr>
        <w:t>2019年度</w:t>
      </w:r>
      <w:r>
        <w:rPr>
          <w:rFonts w:ascii="仿宋_GB2312" w:hAnsi="宋体" w:eastAsia="仿宋_GB2312" w:cs="仿宋_GB2312"/>
          <w:color w:val="000000"/>
          <w:kern w:val="0"/>
          <w:szCs w:val="32"/>
        </w:rPr>
        <w:t>财政拨款</w:t>
      </w:r>
      <w:r>
        <w:rPr>
          <w:rFonts w:hint="eastAsia" w:ascii="仿宋_GB2312" w:hAnsi="仿宋" w:eastAsia="仿宋_GB2312"/>
          <w:szCs w:val="32"/>
        </w:rPr>
        <w:t>支出</w:t>
      </w:r>
      <w:r>
        <w:rPr>
          <w:rFonts w:hint="eastAsia" w:ascii="仿宋_GB2312" w:hAnsi="仿宋" w:eastAsia="仿宋_GB2312"/>
          <w:szCs w:val="32"/>
          <w:lang w:val="en-US" w:eastAsia="zh-CN"/>
        </w:rPr>
        <w:t>46.45</w:t>
      </w:r>
      <w:r>
        <w:rPr>
          <w:rFonts w:hint="eastAsia" w:ascii="仿宋_GB2312" w:hAnsi="仿宋" w:eastAsia="仿宋_GB2312"/>
          <w:szCs w:val="32"/>
        </w:rPr>
        <w:t>万元，较上年</w:t>
      </w:r>
      <w:r>
        <w:rPr>
          <w:rFonts w:hint="eastAsia" w:ascii="仿宋_GB2312" w:hAnsi="仿宋" w:eastAsia="仿宋_GB2312"/>
          <w:szCs w:val="32"/>
          <w:lang w:eastAsia="zh-CN"/>
        </w:rPr>
        <w:t>减少</w:t>
      </w:r>
      <w:r>
        <w:rPr>
          <w:rFonts w:hint="eastAsia" w:ascii="仿宋_GB2312" w:hAnsi="仿宋" w:eastAsia="仿宋_GB2312"/>
          <w:szCs w:val="32"/>
          <w:lang w:val="en-US" w:eastAsia="zh-CN"/>
        </w:rPr>
        <w:t>78.24</w:t>
      </w:r>
      <w:r>
        <w:rPr>
          <w:rFonts w:hint="eastAsia" w:ascii="仿宋_GB2312" w:hAnsi="仿宋" w:eastAsia="仿宋_GB2312"/>
          <w:szCs w:val="32"/>
        </w:rPr>
        <w:t>万元，</w:t>
      </w:r>
      <w:r>
        <w:rPr>
          <w:rFonts w:hint="eastAsia" w:ascii="仿宋_GB2312" w:hAnsi="仿宋" w:eastAsia="仿宋_GB2312"/>
          <w:szCs w:val="32"/>
          <w:lang w:eastAsia="zh-CN"/>
        </w:rPr>
        <w:t>减少</w:t>
      </w:r>
      <w:r>
        <w:rPr>
          <w:rFonts w:hint="eastAsia" w:ascii="仿宋_GB2312" w:hAnsi="仿宋" w:eastAsia="仿宋_GB2312"/>
          <w:szCs w:val="32"/>
          <w:lang w:val="en-US" w:eastAsia="zh-CN"/>
        </w:rPr>
        <w:t>62.75</w:t>
      </w:r>
      <w:r>
        <w:rPr>
          <w:rFonts w:hint="eastAsia" w:ascii="仿宋_GB2312" w:hAnsi="仿宋" w:eastAsia="仿宋_GB2312"/>
          <w:szCs w:val="32"/>
        </w:rPr>
        <w:t>%，</w:t>
      </w:r>
      <w:r>
        <w:rPr>
          <w:rFonts w:hint="eastAsia" w:ascii="仿宋_GB2312" w:hAnsi="仿宋" w:eastAsia="仿宋_GB2312"/>
          <w:szCs w:val="32"/>
          <w:lang w:eastAsia="zh-CN"/>
        </w:rPr>
        <w:t>减少</w:t>
      </w:r>
      <w:r>
        <w:rPr>
          <w:rFonts w:hint="eastAsia" w:ascii="仿宋_GB2312" w:hAnsi="仿宋" w:eastAsia="仿宋_GB2312"/>
          <w:szCs w:val="32"/>
        </w:rPr>
        <w:t>的主要原因为</w:t>
      </w:r>
      <w:r>
        <w:rPr>
          <w:rFonts w:hint="eastAsia" w:ascii="仿宋_GB2312" w:hAnsi="仿宋" w:eastAsia="仿宋_GB2312"/>
          <w:szCs w:val="32"/>
          <w:lang w:eastAsia="zh-CN"/>
        </w:rPr>
        <w:t>实施项目数量缩小</w:t>
      </w:r>
      <w:r>
        <w:rPr>
          <w:rFonts w:hint="eastAsia" w:ascii="仿宋_GB2312" w:hAnsi="仿宋" w:eastAsia="仿宋_GB2312"/>
          <w:szCs w:val="32"/>
        </w:rPr>
        <w:t>。</w:t>
      </w:r>
    </w:p>
    <w:p>
      <w:pPr>
        <w:widowControl/>
        <w:ind w:firstLine="640" w:firstLineChars="200"/>
        <w:jc w:val="left"/>
        <w:rPr>
          <w:rFonts w:hint="eastAsia" w:ascii="仿宋_GB2312" w:hAnsi="仿宋" w:eastAsia="仿宋_GB2312"/>
          <w:szCs w:val="32"/>
        </w:rPr>
      </w:pPr>
      <w:r>
        <w:rPr>
          <w:rFonts w:hint="eastAsia" w:ascii="仿宋_GB2312" w:hAnsi="仿宋" w:eastAsia="仿宋_GB2312"/>
          <w:szCs w:val="32"/>
        </w:rPr>
        <w:drawing>
          <wp:inline distT="0" distB="0" distL="0" distR="0">
            <wp:extent cx="4834890" cy="2854960"/>
            <wp:effectExtent l="19050" t="0" r="22561" b="2156"/>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pPr>
        <w:widowControl/>
        <w:ind w:firstLine="640" w:firstLineChars="200"/>
        <w:jc w:val="left"/>
        <w:rPr>
          <w:rFonts w:ascii="黑体" w:hAnsi="黑体" w:eastAsia="黑体"/>
          <w:color w:val="000000"/>
          <w:kern w:val="0"/>
          <w:szCs w:val="32"/>
        </w:rPr>
      </w:pPr>
      <w:r>
        <w:rPr>
          <w:rFonts w:hint="eastAsia" w:ascii="黑体" w:hAnsi="黑体" w:eastAsia="黑体"/>
          <w:color w:val="000000"/>
          <w:kern w:val="0"/>
          <w:szCs w:val="32"/>
        </w:rPr>
        <w:t>五、一般公共预算财政拨款支出决算情况说明</w:t>
      </w:r>
    </w:p>
    <w:p>
      <w:pPr>
        <w:widowControl/>
        <w:ind w:firstLine="643" w:firstLineChars="200"/>
        <w:jc w:val="left"/>
        <w:rPr>
          <w:rFonts w:ascii="楷体_GB2312" w:hAnsi="宋体" w:eastAsia="楷体_GB2312" w:cs="楷体_GB2312"/>
          <w:b/>
          <w:color w:val="000000"/>
          <w:kern w:val="0"/>
          <w:szCs w:val="32"/>
        </w:rPr>
      </w:pPr>
      <w:r>
        <w:rPr>
          <w:rFonts w:ascii="楷体_GB2312" w:hAnsi="宋体" w:eastAsia="楷体_GB2312" w:cs="楷体_GB2312"/>
          <w:b/>
          <w:color w:val="000000"/>
          <w:kern w:val="0"/>
          <w:szCs w:val="32"/>
        </w:rPr>
        <w:t>（一）财政拨款支出决算总体情况</w:t>
      </w:r>
      <w:r>
        <w:rPr>
          <w:rFonts w:hint="eastAsia" w:ascii="楷体_GB2312" w:hAnsi="宋体" w:eastAsia="楷体_GB2312" w:cs="楷体_GB2312"/>
          <w:b/>
          <w:color w:val="000000"/>
          <w:kern w:val="0"/>
          <w:szCs w:val="32"/>
        </w:rPr>
        <w:t>说明</w:t>
      </w:r>
      <w:r>
        <w:rPr>
          <w:rFonts w:ascii="楷体_GB2312" w:hAnsi="宋体" w:eastAsia="楷体_GB2312" w:cs="楷体_GB2312"/>
          <w:b/>
          <w:color w:val="000000"/>
          <w:kern w:val="0"/>
          <w:szCs w:val="32"/>
        </w:rPr>
        <w:t>。</w:t>
      </w:r>
    </w:p>
    <w:p>
      <w:pPr>
        <w:widowControl/>
        <w:ind w:firstLine="640" w:firstLineChars="200"/>
        <w:jc w:val="left"/>
        <w:rPr>
          <w:rFonts w:hint="eastAsia" w:ascii="仿宋_GB2312" w:hAnsi="仿宋" w:eastAsia="仿宋_GB2312"/>
          <w:szCs w:val="32"/>
        </w:rPr>
      </w:pPr>
      <w:r>
        <w:rPr>
          <w:rFonts w:ascii="仿宋_GB2312" w:hAnsi="宋体" w:eastAsia="仿宋_GB2312" w:cs="仿宋_GB2312"/>
          <w:color w:val="000000"/>
          <w:kern w:val="0"/>
          <w:szCs w:val="32"/>
        </w:rPr>
        <w:t>2019年</w:t>
      </w:r>
      <w:r>
        <w:rPr>
          <w:rFonts w:hint="eastAsia" w:ascii="仿宋_GB2312" w:hAnsi="仿宋" w:eastAsia="仿宋_GB2312"/>
          <w:szCs w:val="32"/>
        </w:rPr>
        <w:t>度</w:t>
      </w:r>
      <w:r>
        <w:rPr>
          <w:rFonts w:ascii="仿宋_GB2312" w:hAnsi="宋体" w:eastAsia="仿宋_GB2312" w:cs="仿宋_GB2312"/>
          <w:color w:val="000000"/>
          <w:kern w:val="0"/>
          <w:szCs w:val="32"/>
        </w:rPr>
        <w:t>财政拨款支出</w:t>
      </w:r>
      <w:r>
        <w:rPr>
          <w:rFonts w:hint="eastAsia" w:ascii="仿宋_GB2312" w:hAnsi="宋体" w:eastAsia="仿宋_GB2312" w:cs="仿宋_GB2312"/>
          <w:color w:val="000000"/>
          <w:kern w:val="0"/>
          <w:szCs w:val="32"/>
          <w:lang w:val="en-US" w:eastAsia="zh-CN"/>
        </w:rPr>
        <w:t>46.45</w:t>
      </w:r>
      <w:r>
        <w:rPr>
          <w:rFonts w:ascii="仿宋_GB2312" w:hAnsi="宋体" w:eastAsia="仿宋_GB2312" w:cs="仿宋_GB2312"/>
          <w:color w:val="000000"/>
          <w:kern w:val="0"/>
          <w:szCs w:val="32"/>
        </w:rPr>
        <w:t>万元，占本年支出合计的</w:t>
      </w:r>
      <w:r>
        <w:rPr>
          <w:rFonts w:hint="eastAsia" w:ascii="仿宋_GB2312" w:hAnsi="宋体" w:eastAsia="仿宋_GB2312" w:cs="仿宋_GB2312"/>
          <w:color w:val="000000"/>
          <w:kern w:val="0"/>
          <w:szCs w:val="32"/>
        </w:rPr>
        <w:t>100</w:t>
      </w:r>
      <w:r>
        <w:rPr>
          <w:rFonts w:ascii="仿宋_GB2312" w:hAnsi="宋体" w:eastAsia="仿宋_GB2312" w:cs="仿宋_GB2312"/>
          <w:color w:val="000000"/>
          <w:kern w:val="0"/>
          <w:szCs w:val="32"/>
        </w:rPr>
        <w:t>%。与</w:t>
      </w:r>
      <w:r>
        <w:rPr>
          <w:rFonts w:hint="eastAsia" w:ascii="仿宋_GB2312" w:hAnsi="宋体" w:eastAsia="仿宋_GB2312" w:cs="仿宋_GB2312"/>
          <w:color w:val="000000"/>
          <w:kern w:val="0"/>
          <w:szCs w:val="32"/>
        </w:rPr>
        <w:t>上年</w:t>
      </w:r>
      <w:r>
        <w:rPr>
          <w:rFonts w:ascii="仿宋_GB2312" w:hAnsi="宋体" w:eastAsia="仿宋_GB2312" w:cs="仿宋_GB2312"/>
          <w:color w:val="000000"/>
          <w:kern w:val="0"/>
          <w:szCs w:val="32"/>
        </w:rPr>
        <w:t>相比，财政拨款支出</w:t>
      </w:r>
      <w:r>
        <w:rPr>
          <w:rFonts w:hint="eastAsia" w:ascii="仿宋_GB2312" w:hAnsi="宋体" w:eastAsia="仿宋_GB2312" w:cs="仿宋_GB2312"/>
          <w:color w:val="000000"/>
          <w:kern w:val="0"/>
          <w:szCs w:val="32"/>
          <w:lang w:eastAsia="zh-CN"/>
        </w:rPr>
        <w:t>减少</w:t>
      </w:r>
      <w:r>
        <w:rPr>
          <w:rFonts w:hint="eastAsia" w:ascii="仿宋_GB2312" w:hAnsi="宋体" w:eastAsia="仿宋_GB2312" w:cs="仿宋_GB2312"/>
          <w:color w:val="000000"/>
          <w:kern w:val="0"/>
          <w:szCs w:val="32"/>
          <w:lang w:val="en-US" w:eastAsia="zh-CN"/>
        </w:rPr>
        <w:t>78.24</w:t>
      </w:r>
      <w:r>
        <w:rPr>
          <w:rFonts w:ascii="仿宋_GB2312" w:hAnsi="宋体" w:eastAsia="仿宋_GB2312" w:cs="仿宋_GB2312"/>
          <w:color w:val="000000"/>
          <w:kern w:val="0"/>
          <w:szCs w:val="32"/>
        </w:rPr>
        <w:t>万元，</w:t>
      </w:r>
      <w:r>
        <w:rPr>
          <w:rFonts w:hint="eastAsia" w:ascii="仿宋_GB2312" w:hAnsi="仿宋" w:eastAsia="仿宋_GB2312"/>
          <w:szCs w:val="32"/>
          <w:lang w:eastAsia="zh-CN"/>
        </w:rPr>
        <w:t>减少</w:t>
      </w:r>
      <w:r>
        <w:rPr>
          <w:rFonts w:hint="eastAsia" w:ascii="仿宋_GB2312" w:hAnsi="仿宋" w:eastAsia="仿宋_GB2312"/>
          <w:szCs w:val="32"/>
          <w:lang w:val="en-US" w:eastAsia="zh-CN"/>
        </w:rPr>
        <w:t>62.75</w:t>
      </w:r>
      <w:r>
        <w:rPr>
          <w:rFonts w:hint="eastAsia" w:ascii="仿宋_GB2312" w:hAnsi="仿宋" w:eastAsia="仿宋_GB2312"/>
          <w:szCs w:val="32"/>
        </w:rPr>
        <w:t>%</w:t>
      </w:r>
      <w:r>
        <w:rPr>
          <w:rFonts w:ascii="仿宋_GB2312" w:hAnsi="宋体" w:eastAsia="仿宋_GB2312" w:cs="仿宋_GB2312"/>
          <w:color w:val="000000"/>
          <w:kern w:val="0"/>
          <w:szCs w:val="32"/>
        </w:rPr>
        <w:t>，主要</w:t>
      </w:r>
      <w:r>
        <w:rPr>
          <w:rFonts w:hint="eastAsia" w:ascii="仿宋_GB2312" w:hAnsi="宋体" w:eastAsia="仿宋_GB2312" w:cs="仿宋_GB2312"/>
          <w:color w:val="000000"/>
          <w:kern w:val="0"/>
          <w:szCs w:val="32"/>
        </w:rPr>
        <w:t>原因是</w:t>
      </w:r>
      <w:r>
        <w:rPr>
          <w:rFonts w:hint="eastAsia" w:ascii="仿宋_GB2312" w:hAnsi="仿宋" w:eastAsia="仿宋_GB2312"/>
          <w:szCs w:val="32"/>
          <w:lang w:eastAsia="zh-CN"/>
        </w:rPr>
        <w:t>实施项目数量缩小</w:t>
      </w:r>
      <w:r>
        <w:rPr>
          <w:rFonts w:hint="eastAsia" w:ascii="仿宋_GB2312" w:hAnsi="仿宋" w:eastAsia="仿宋_GB2312"/>
          <w:szCs w:val="32"/>
        </w:rPr>
        <w:t>。</w:t>
      </w:r>
    </w:p>
    <w:p>
      <w:pPr>
        <w:widowControl/>
        <w:ind w:firstLine="640" w:firstLineChars="200"/>
        <w:jc w:val="left"/>
        <w:rPr>
          <w:rFonts w:hint="eastAsia" w:ascii="仿宋_GB2312" w:hAnsi="仿宋" w:eastAsia="仿宋_GB2312"/>
          <w:szCs w:val="32"/>
        </w:rPr>
      </w:pPr>
    </w:p>
    <w:p>
      <w:pPr>
        <w:spacing w:line="360" w:lineRule="auto"/>
        <w:ind w:firstLine="643" w:firstLineChars="200"/>
        <w:rPr>
          <w:rFonts w:ascii="楷体_GB2312" w:hAnsi="宋体" w:eastAsia="楷体_GB2312" w:cs="楷体_GB2312"/>
          <w:b/>
          <w:color w:val="000000" w:themeColor="text1"/>
          <w:kern w:val="0"/>
          <w:szCs w:val="32"/>
          <w14:textFill>
            <w14:solidFill>
              <w14:schemeClr w14:val="tx1"/>
            </w14:solidFill>
          </w14:textFill>
        </w:rPr>
      </w:pPr>
      <w:r>
        <w:rPr>
          <w:rFonts w:hint="eastAsia" w:ascii="楷体_GB2312" w:hAnsi="宋体" w:eastAsia="楷体_GB2312" w:cs="楷体_GB2312"/>
          <w:b/>
          <w:color w:val="000000" w:themeColor="text1"/>
          <w:kern w:val="0"/>
          <w:szCs w:val="32"/>
          <w14:textFill>
            <w14:solidFill>
              <w14:schemeClr w14:val="tx1"/>
            </w14:solidFill>
          </w14:textFill>
        </w:rPr>
        <w:t>（二）</w:t>
      </w:r>
      <w:r>
        <w:rPr>
          <w:rFonts w:ascii="楷体_GB2312" w:hAnsi="宋体" w:eastAsia="楷体_GB2312" w:cs="楷体_GB2312"/>
          <w:b/>
          <w:color w:val="000000" w:themeColor="text1"/>
          <w:kern w:val="0"/>
          <w:szCs w:val="32"/>
          <w14:textFill>
            <w14:solidFill>
              <w14:schemeClr w14:val="tx1"/>
            </w14:solidFill>
          </w14:textFill>
        </w:rPr>
        <w:t>财政拨款支出决算具体情况</w:t>
      </w:r>
      <w:r>
        <w:rPr>
          <w:rFonts w:hint="eastAsia" w:ascii="楷体_GB2312" w:hAnsi="宋体" w:eastAsia="楷体_GB2312" w:cs="楷体_GB2312"/>
          <w:b/>
          <w:color w:val="000000" w:themeColor="text1"/>
          <w:kern w:val="0"/>
          <w:szCs w:val="32"/>
          <w14:textFill>
            <w14:solidFill>
              <w14:schemeClr w14:val="tx1"/>
            </w14:solidFill>
          </w14:textFill>
        </w:rPr>
        <w:t>说明</w:t>
      </w:r>
      <w:r>
        <w:rPr>
          <w:rFonts w:ascii="楷体_GB2312" w:hAnsi="宋体" w:eastAsia="楷体_GB2312" w:cs="楷体_GB2312"/>
          <w:b/>
          <w:color w:val="000000" w:themeColor="text1"/>
          <w:kern w:val="0"/>
          <w:szCs w:val="32"/>
          <w14:textFill>
            <w14:solidFill>
              <w14:schemeClr w14:val="tx1"/>
            </w14:solidFill>
          </w14:textFill>
        </w:rPr>
        <w:t>。</w:t>
      </w:r>
    </w:p>
    <w:p>
      <w:pPr>
        <w:widowControl/>
        <w:ind w:firstLine="640" w:firstLineChars="200"/>
        <w:jc w:val="left"/>
      </w:pPr>
      <w:r>
        <w:rPr>
          <w:rFonts w:ascii="仿宋_GB2312" w:hAnsi="宋体" w:eastAsia="仿宋_GB2312" w:cs="仿宋_GB2312"/>
          <w:color w:val="000000"/>
          <w:kern w:val="0"/>
          <w:szCs w:val="32"/>
        </w:rPr>
        <w:t>2019年</w:t>
      </w:r>
      <w:r>
        <w:rPr>
          <w:rFonts w:hint="eastAsia" w:ascii="仿宋_GB2312" w:hAnsi="仿宋" w:eastAsia="仿宋_GB2312"/>
          <w:szCs w:val="32"/>
        </w:rPr>
        <w:t>度</w:t>
      </w:r>
      <w:r>
        <w:rPr>
          <w:rFonts w:ascii="仿宋_GB2312" w:hAnsi="宋体" w:eastAsia="仿宋_GB2312" w:cs="仿宋_GB2312"/>
          <w:color w:val="000000"/>
          <w:kern w:val="0"/>
          <w:szCs w:val="32"/>
        </w:rPr>
        <w:t>财政拨款支出年初预算为</w:t>
      </w:r>
      <w:r>
        <w:rPr>
          <w:rFonts w:hint="eastAsia" w:ascii="仿宋_GB2312" w:hAnsi="宋体" w:eastAsia="仿宋_GB2312" w:cs="仿宋_GB2312"/>
          <w:color w:val="000000"/>
          <w:kern w:val="0"/>
          <w:szCs w:val="32"/>
          <w:lang w:val="en-US" w:eastAsia="zh-CN"/>
        </w:rPr>
        <w:t>10.36</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lang w:val="en-US" w:eastAsia="zh-CN"/>
        </w:rPr>
        <w:t>46.45</w:t>
      </w:r>
      <w:r>
        <w:rPr>
          <w:rFonts w:ascii="仿宋_GB2312" w:hAnsi="宋体" w:eastAsia="仿宋_GB2312" w:cs="仿宋_GB2312"/>
          <w:color w:val="000000"/>
          <w:kern w:val="0"/>
          <w:szCs w:val="32"/>
        </w:rPr>
        <w:t>万元，完成年初预算的</w:t>
      </w:r>
      <w:r>
        <w:rPr>
          <w:rFonts w:hint="eastAsia" w:ascii="仿宋_GB2312" w:hAnsi="宋体" w:eastAsia="仿宋_GB2312" w:cs="仿宋_GB2312"/>
          <w:color w:val="000000"/>
          <w:kern w:val="0"/>
          <w:szCs w:val="32"/>
          <w:lang w:val="en-US" w:eastAsia="zh-CN"/>
        </w:rPr>
        <w:t>448.36</w:t>
      </w:r>
      <w:r>
        <w:rPr>
          <w:rFonts w:ascii="仿宋_GB2312" w:hAnsi="宋体" w:eastAsia="仿宋_GB2312" w:cs="仿宋_GB2312"/>
          <w:color w:val="000000"/>
          <w:kern w:val="0"/>
          <w:szCs w:val="32"/>
        </w:rPr>
        <w:t>%。</w:t>
      </w:r>
      <w:r>
        <w:rPr>
          <w:rFonts w:hint="eastAsia" w:ascii="仿宋_GB2312" w:hAnsi="宋体" w:eastAsia="仿宋_GB2312" w:cs="仿宋_GB2312"/>
          <w:color w:val="000000"/>
          <w:kern w:val="0"/>
          <w:szCs w:val="32"/>
        </w:rPr>
        <w:t>按照政府功能分类科目，</w:t>
      </w:r>
      <w:r>
        <w:rPr>
          <w:rFonts w:ascii="仿宋_GB2312" w:hAnsi="宋体" w:eastAsia="仿宋_GB2312" w:cs="仿宋_GB2312"/>
          <w:color w:val="000000"/>
          <w:kern w:val="0"/>
          <w:szCs w:val="32"/>
        </w:rPr>
        <w:t xml:space="preserve">其中： </w:t>
      </w:r>
    </w:p>
    <w:p>
      <w:pPr>
        <w:widowControl/>
        <w:ind w:firstLine="643" w:firstLineChars="200"/>
        <w:jc w:val="left"/>
      </w:pPr>
      <w:r>
        <w:rPr>
          <w:rFonts w:ascii="仿宋_GB2312" w:hAnsi="宋体" w:eastAsia="仿宋_GB2312" w:cs="仿宋_GB2312"/>
          <w:b/>
          <w:color w:val="000000"/>
          <w:kern w:val="0"/>
          <w:szCs w:val="32"/>
        </w:rPr>
        <w:t xml:space="preserve">1.一般公共服务支出（类）财政事务（款）行政运行（项）。 </w:t>
      </w:r>
    </w:p>
    <w:p>
      <w:pPr>
        <w:widowControl/>
        <w:jc w:val="left"/>
        <w:rPr>
          <w:rFonts w:hint="eastAsia" w:ascii="仿宋_GB2312" w:hAnsi="宋体" w:eastAsia="仿宋_GB2312" w:cs="仿宋_GB2312"/>
          <w:color w:val="000000"/>
          <w:kern w:val="0"/>
          <w:szCs w:val="32"/>
          <w:lang w:eastAsia="zh-CN"/>
        </w:rPr>
      </w:pPr>
      <w:r>
        <w:rPr>
          <w:rFonts w:ascii="仿宋_GB2312" w:hAnsi="宋体" w:eastAsia="仿宋_GB2312" w:cs="仿宋_GB2312"/>
          <w:color w:val="000000"/>
          <w:kern w:val="0"/>
          <w:szCs w:val="32"/>
        </w:rPr>
        <w:t>年初预算为</w:t>
      </w:r>
      <w:r>
        <w:rPr>
          <w:rFonts w:hint="eastAsia" w:ascii="仿宋_GB2312" w:hAnsi="宋体" w:eastAsia="仿宋_GB2312" w:cs="仿宋_GB2312"/>
          <w:color w:val="000000"/>
          <w:kern w:val="0"/>
          <w:szCs w:val="32"/>
          <w:lang w:val="en-US" w:eastAsia="zh-CN"/>
        </w:rPr>
        <w:t>9.18</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lang w:val="en-US" w:eastAsia="zh-CN"/>
        </w:rPr>
        <w:t>44.83</w:t>
      </w:r>
      <w:r>
        <w:rPr>
          <w:rFonts w:ascii="仿宋_GB2312" w:hAnsi="宋体" w:eastAsia="仿宋_GB2312" w:cs="仿宋_GB2312"/>
          <w:color w:val="000000"/>
          <w:kern w:val="0"/>
          <w:szCs w:val="32"/>
        </w:rPr>
        <w:t>万元，完成年初预算的</w:t>
      </w:r>
      <w:r>
        <w:rPr>
          <w:rFonts w:hint="eastAsia" w:ascii="仿宋_GB2312" w:hAnsi="宋体" w:eastAsia="仿宋_GB2312" w:cs="仿宋_GB2312"/>
          <w:color w:val="000000"/>
          <w:kern w:val="0"/>
          <w:szCs w:val="32"/>
          <w:lang w:val="en-US" w:eastAsia="zh-CN"/>
        </w:rPr>
        <w:t>488.34</w:t>
      </w:r>
      <w:r>
        <w:rPr>
          <w:rFonts w:ascii="仿宋_GB2312" w:hAnsi="宋体" w:eastAsia="仿宋_GB2312" w:cs="仿宋_GB2312"/>
          <w:color w:val="000000"/>
          <w:kern w:val="0"/>
          <w:szCs w:val="32"/>
        </w:rPr>
        <w:t>%。决算数</w:t>
      </w:r>
      <w:r>
        <w:rPr>
          <w:rFonts w:hint="eastAsia" w:ascii="仿宋_GB2312" w:hAnsi="宋体" w:eastAsia="仿宋_GB2312" w:cs="仿宋_GB2312"/>
          <w:color w:val="000000"/>
          <w:kern w:val="0"/>
          <w:szCs w:val="32"/>
        </w:rPr>
        <w:t>与</w:t>
      </w:r>
      <w:r>
        <w:rPr>
          <w:rFonts w:ascii="仿宋_GB2312" w:hAnsi="宋体" w:eastAsia="仿宋_GB2312" w:cs="仿宋_GB2312"/>
          <w:color w:val="000000"/>
          <w:kern w:val="0"/>
          <w:szCs w:val="32"/>
        </w:rPr>
        <w:t>预算数</w:t>
      </w:r>
      <w:r>
        <w:rPr>
          <w:rFonts w:hint="eastAsia" w:ascii="仿宋_GB2312" w:hAnsi="宋体" w:eastAsia="仿宋_GB2312" w:cs="仿宋_GB2312"/>
          <w:color w:val="000000"/>
          <w:kern w:val="0"/>
          <w:szCs w:val="32"/>
        </w:rPr>
        <w:t>持平</w:t>
      </w:r>
      <w:r>
        <w:rPr>
          <w:rFonts w:hint="eastAsia" w:ascii="仿宋_GB2312" w:hAnsi="宋体" w:eastAsia="仿宋_GB2312" w:cs="仿宋_GB2312"/>
          <w:color w:val="000000"/>
          <w:kern w:val="0"/>
          <w:szCs w:val="32"/>
          <w:lang w:eastAsia="zh-CN"/>
        </w:rPr>
        <w:t>。</w:t>
      </w:r>
    </w:p>
    <w:p>
      <w:pPr>
        <w:widowControl/>
        <w:ind w:firstLine="640" w:firstLineChars="200"/>
        <w:jc w:val="left"/>
        <w:rPr>
          <w:rFonts w:hint="eastAsia" w:ascii="仿宋_GB2312" w:hAnsi="宋体" w:eastAsia="仿宋_GB2312" w:cs="仿宋_GB2312"/>
          <w:color w:val="000000"/>
          <w:kern w:val="0"/>
          <w:szCs w:val="32"/>
          <w:lang w:eastAsia="zh-CN"/>
        </w:rPr>
      </w:pPr>
      <w:r>
        <w:rPr>
          <w:rFonts w:ascii="仿宋_GB2312" w:hAnsi="宋体" w:eastAsia="仿宋_GB2312" w:cs="仿宋_GB2312"/>
          <w:color w:val="000000"/>
          <w:kern w:val="0"/>
          <w:szCs w:val="32"/>
        </w:rPr>
        <w:t>2.</w:t>
      </w:r>
      <w:r>
        <w:rPr>
          <w:rFonts w:hint="eastAsia" w:ascii="仿宋_GB2312" w:hAnsi="宋体" w:eastAsia="仿宋_GB2312" w:cs="仿宋_GB2312"/>
          <w:color w:val="000000"/>
          <w:kern w:val="0"/>
          <w:szCs w:val="32"/>
          <w:lang w:eastAsia="zh-CN"/>
        </w:rPr>
        <w:t>社会保障和就业年初预算为</w:t>
      </w:r>
      <w:r>
        <w:rPr>
          <w:rFonts w:hint="eastAsia" w:ascii="仿宋_GB2312" w:hAnsi="宋体" w:eastAsia="仿宋_GB2312" w:cs="仿宋_GB2312"/>
          <w:color w:val="000000"/>
          <w:kern w:val="0"/>
          <w:szCs w:val="32"/>
          <w:lang w:val="en-US" w:eastAsia="zh-CN"/>
        </w:rPr>
        <w:t>1.18万元，支出决算为1.31万元，完成年初预算的111.02％</w:t>
      </w:r>
      <w:r>
        <w:rPr>
          <w:rFonts w:hint="eastAsia" w:ascii="仿宋_GB2312" w:hAnsi="宋体" w:eastAsia="仿宋_GB2312" w:cs="仿宋_GB2312"/>
          <w:color w:val="000000"/>
          <w:kern w:val="0"/>
          <w:szCs w:val="32"/>
        </w:rPr>
        <w:t>。</w:t>
      </w:r>
      <w:r>
        <w:rPr>
          <w:rFonts w:ascii="仿宋_GB2312" w:hAnsi="宋体" w:eastAsia="仿宋_GB2312" w:cs="仿宋_GB2312"/>
          <w:color w:val="000000"/>
          <w:kern w:val="0"/>
          <w:szCs w:val="32"/>
        </w:rPr>
        <w:t>决算数</w:t>
      </w:r>
      <w:r>
        <w:rPr>
          <w:rFonts w:hint="eastAsia" w:ascii="仿宋_GB2312" w:hAnsi="宋体" w:eastAsia="仿宋_GB2312" w:cs="仿宋_GB2312"/>
          <w:color w:val="000000"/>
          <w:kern w:val="0"/>
          <w:szCs w:val="32"/>
        </w:rPr>
        <w:t>与</w:t>
      </w:r>
      <w:r>
        <w:rPr>
          <w:rFonts w:ascii="仿宋_GB2312" w:hAnsi="宋体" w:eastAsia="仿宋_GB2312" w:cs="仿宋_GB2312"/>
          <w:color w:val="000000"/>
          <w:kern w:val="0"/>
          <w:szCs w:val="32"/>
        </w:rPr>
        <w:t>预算数</w:t>
      </w:r>
      <w:r>
        <w:rPr>
          <w:rFonts w:hint="eastAsia" w:ascii="仿宋_GB2312" w:hAnsi="宋体" w:eastAsia="仿宋_GB2312" w:cs="仿宋_GB2312"/>
          <w:color w:val="000000"/>
          <w:kern w:val="0"/>
          <w:szCs w:val="32"/>
        </w:rPr>
        <w:t>持平</w:t>
      </w:r>
      <w:r>
        <w:rPr>
          <w:rFonts w:hint="eastAsia" w:ascii="仿宋_GB2312" w:hAnsi="宋体" w:eastAsia="仿宋_GB2312" w:cs="仿宋_GB2312"/>
          <w:color w:val="000000"/>
          <w:kern w:val="0"/>
          <w:szCs w:val="32"/>
          <w:lang w:eastAsia="zh-CN"/>
        </w:rPr>
        <w:t>。</w:t>
      </w:r>
    </w:p>
    <w:p>
      <w:pPr>
        <w:widowControl/>
        <w:ind w:firstLine="640" w:firstLineChars="200"/>
        <w:jc w:val="left"/>
        <w:rPr>
          <w:rFonts w:hint="default" w:eastAsia="方正仿宋简体"/>
          <w:lang w:val="en-US" w:eastAsia="zh-CN"/>
        </w:rPr>
      </w:pPr>
      <w:r>
        <w:rPr>
          <w:rFonts w:hint="eastAsia" w:ascii="仿宋_GB2312" w:hAnsi="宋体" w:eastAsia="仿宋_GB2312" w:cs="仿宋_GB2312"/>
          <w:color w:val="000000"/>
          <w:kern w:val="0"/>
          <w:szCs w:val="32"/>
          <w:lang w:val="en-US" w:eastAsia="zh-CN"/>
        </w:rPr>
        <w:t>3.卫生健康年初预算为0.31万元，支出0.31万元。完成年初预算的100％</w:t>
      </w:r>
      <w:r>
        <w:rPr>
          <w:rFonts w:hint="eastAsia" w:ascii="仿宋_GB2312" w:hAnsi="宋体" w:eastAsia="仿宋_GB2312" w:cs="仿宋_GB2312"/>
          <w:color w:val="000000"/>
          <w:kern w:val="0"/>
          <w:szCs w:val="32"/>
        </w:rPr>
        <w:t>。</w:t>
      </w:r>
      <w:r>
        <w:rPr>
          <w:rFonts w:ascii="仿宋_GB2312" w:hAnsi="宋体" w:eastAsia="仿宋_GB2312" w:cs="仿宋_GB2312"/>
          <w:color w:val="000000"/>
          <w:kern w:val="0"/>
          <w:szCs w:val="32"/>
        </w:rPr>
        <w:t>决算数</w:t>
      </w:r>
      <w:r>
        <w:rPr>
          <w:rFonts w:hint="eastAsia" w:ascii="仿宋_GB2312" w:hAnsi="宋体" w:eastAsia="仿宋_GB2312" w:cs="仿宋_GB2312"/>
          <w:color w:val="000000"/>
          <w:kern w:val="0"/>
          <w:szCs w:val="32"/>
        </w:rPr>
        <w:t>与</w:t>
      </w:r>
      <w:r>
        <w:rPr>
          <w:rFonts w:ascii="仿宋_GB2312" w:hAnsi="宋体" w:eastAsia="仿宋_GB2312" w:cs="仿宋_GB2312"/>
          <w:color w:val="000000"/>
          <w:kern w:val="0"/>
          <w:szCs w:val="32"/>
        </w:rPr>
        <w:t>预算数</w:t>
      </w:r>
      <w:r>
        <w:rPr>
          <w:rFonts w:hint="eastAsia" w:ascii="仿宋_GB2312" w:hAnsi="宋体" w:eastAsia="仿宋_GB2312" w:cs="仿宋_GB2312"/>
          <w:color w:val="000000"/>
          <w:kern w:val="0"/>
          <w:szCs w:val="32"/>
        </w:rPr>
        <w:t>持平</w:t>
      </w:r>
      <w:r>
        <w:rPr>
          <w:rFonts w:hint="eastAsia" w:ascii="仿宋_GB2312" w:hAnsi="宋体" w:eastAsia="仿宋_GB2312" w:cs="仿宋_GB2312"/>
          <w:color w:val="000000"/>
          <w:kern w:val="0"/>
          <w:szCs w:val="32"/>
          <w:lang w:eastAsia="zh-CN"/>
        </w:rPr>
        <w:t>。</w:t>
      </w:r>
    </w:p>
    <w:p>
      <w:pPr>
        <w:spacing w:line="360" w:lineRule="auto"/>
        <w:ind w:firstLine="640" w:firstLineChars="200"/>
        <w:rPr>
          <w:rFonts w:ascii="仿宋_GB2312" w:hAnsi="仿宋" w:eastAsia="仿宋_GB2312"/>
          <w:szCs w:val="32"/>
        </w:rPr>
      </w:pPr>
      <w:r>
        <w:rPr>
          <w:rFonts w:hint="eastAsia" w:ascii="黑体" w:hAnsi="黑体" w:eastAsia="黑体"/>
          <w:color w:val="000000"/>
          <w:kern w:val="0"/>
          <w:szCs w:val="32"/>
        </w:rPr>
        <w:t>六、一般公共预算财政拨款基本支出决算情况说明</w:t>
      </w:r>
    </w:p>
    <w:p>
      <w:pPr>
        <w:widowControl/>
        <w:ind w:firstLine="620" w:firstLineChars="200"/>
        <w:jc w:val="left"/>
      </w:pPr>
      <w:r>
        <w:rPr>
          <w:rFonts w:ascii="仿宋_GB2312" w:hAnsi="仿宋_GB2312" w:eastAsia="仿宋_GB2312" w:cs="仿宋_GB2312"/>
          <w:color w:val="000000"/>
          <w:kern w:val="0"/>
          <w:sz w:val="31"/>
          <w:szCs w:val="31"/>
        </w:rPr>
        <w:t>201</w:t>
      </w:r>
      <w:r>
        <w:rPr>
          <w:rFonts w:hint="eastAsia" w:ascii="仿宋_GB2312" w:hAnsi="仿宋_GB2312" w:eastAsia="仿宋_GB2312" w:cs="仿宋_GB2312"/>
          <w:color w:val="000000"/>
          <w:kern w:val="0"/>
          <w:sz w:val="31"/>
          <w:szCs w:val="31"/>
        </w:rPr>
        <w:t>9</w:t>
      </w:r>
      <w:r>
        <w:rPr>
          <w:rFonts w:ascii="仿宋_GB2312" w:hAnsi="仿宋_GB2312" w:eastAsia="仿宋_GB2312" w:cs="仿宋_GB2312"/>
          <w:color w:val="000000"/>
          <w:kern w:val="0"/>
          <w:sz w:val="31"/>
          <w:szCs w:val="31"/>
        </w:rPr>
        <w:t>年</w:t>
      </w:r>
      <w:r>
        <w:rPr>
          <w:rFonts w:hint="eastAsia" w:ascii="仿宋_GB2312" w:hAnsi="仿宋" w:eastAsia="仿宋_GB2312"/>
          <w:szCs w:val="32"/>
        </w:rPr>
        <w:t>度</w:t>
      </w:r>
      <w:r>
        <w:rPr>
          <w:rFonts w:ascii="仿宋_GB2312" w:hAnsi="仿宋_GB2312" w:eastAsia="仿宋_GB2312" w:cs="仿宋_GB2312"/>
          <w:color w:val="000000"/>
          <w:kern w:val="0"/>
          <w:sz w:val="31"/>
          <w:szCs w:val="31"/>
        </w:rPr>
        <w:t>一般公共预算财政拨款基本支出</w:t>
      </w:r>
      <w:r>
        <w:rPr>
          <w:rFonts w:hint="eastAsia" w:ascii="仿宋_GB2312" w:hAnsi="仿宋_GB2312" w:eastAsia="仿宋_GB2312" w:cs="仿宋_GB2312"/>
          <w:color w:val="000000"/>
          <w:kern w:val="0"/>
          <w:sz w:val="31"/>
          <w:szCs w:val="31"/>
          <w:lang w:val="en-US" w:eastAsia="zh-CN"/>
        </w:rPr>
        <w:t>44.83</w:t>
      </w:r>
      <w:r>
        <w:rPr>
          <w:rFonts w:ascii="仿宋_GB2312" w:hAnsi="仿宋_GB2312" w:eastAsia="仿宋_GB2312" w:cs="仿宋_GB2312"/>
          <w:color w:val="000000"/>
          <w:kern w:val="0"/>
          <w:sz w:val="31"/>
          <w:szCs w:val="31"/>
        </w:rPr>
        <w:t>万元，包括：</w:t>
      </w:r>
      <w:r>
        <w:rPr>
          <w:rFonts w:hint="eastAsia" w:ascii="仿宋_GB2312" w:hAnsi="仿宋_GB2312" w:eastAsia="仿宋_GB2312" w:cs="仿宋_GB2312"/>
          <w:color w:val="000000"/>
          <w:kern w:val="0"/>
          <w:sz w:val="31"/>
          <w:szCs w:val="31"/>
          <w:lang w:eastAsia="zh-CN"/>
        </w:rPr>
        <w:t>科学技术支出</w:t>
      </w:r>
      <w:r>
        <w:rPr>
          <w:rFonts w:hint="eastAsia" w:ascii="仿宋_GB2312" w:hAnsi="仿宋_GB2312" w:eastAsia="仿宋_GB2312" w:cs="仿宋_GB2312"/>
          <w:color w:val="000000"/>
          <w:kern w:val="0"/>
          <w:sz w:val="31"/>
          <w:szCs w:val="31"/>
          <w:lang w:val="en-US" w:eastAsia="zh-CN"/>
        </w:rPr>
        <w:t>44.83万元，其中科学技术普及36万元，行政运行8.83万元</w:t>
      </w:r>
      <w:r>
        <w:rPr>
          <w:rFonts w:hint="eastAsia" w:ascii="仿宋_GB2312" w:hAnsi="宋体" w:eastAsia="仿宋_GB2312" w:cs="仿宋_GB2312"/>
          <w:color w:val="000000"/>
          <w:kern w:val="0"/>
          <w:szCs w:val="32"/>
        </w:rPr>
        <w:t>。</w:t>
      </w:r>
    </w:p>
    <w:p>
      <w:pPr>
        <w:ind w:firstLine="640" w:firstLineChars="200"/>
        <w:rPr>
          <w:rFonts w:ascii="黑体" w:hAnsi="黑体" w:eastAsia="黑体"/>
          <w:color w:val="000000"/>
          <w:kern w:val="0"/>
          <w:szCs w:val="32"/>
        </w:rPr>
      </w:pPr>
      <w:r>
        <w:rPr>
          <w:rFonts w:hint="eastAsia" w:ascii="黑体" w:hAnsi="黑体" w:eastAsia="黑体"/>
          <w:color w:val="000000"/>
          <w:kern w:val="0"/>
          <w:szCs w:val="32"/>
        </w:rPr>
        <w:t>七、一般公共预算财政拨款“三公”经费及会议费、培训费支出决算情况说明</w:t>
      </w:r>
    </w:p>
    <w:p>
      <w:pPr>
        <w:widowControl/>
        <w:ind w:firstLine="643" w:firstLineChars="200"/>
        <w:jc w:val="left"/>
      </w:pPr>
      <w:r>
        <w:rPr>
          <w:rFonts w:ascii="楷体_GB2312" w:hAnsi="宋体" w:eastAsia="楷体_GB2312" w:cs="楷体_GB2312"/>
          <w:b/>
          <w:color w:val="000000"/>
          <w:kern w:val="0"/>
          <w:szCs w:val="32"/>
        </w:rPr>
        <w:t>（一）“三公”经费财政拨款支出决算总体情况</w:t>
      </w:r>
      <w:r>
        <w:rPr>
          <w:rFonts w:hint="eastAsia" w:ascii="楷体_GB2312" w:hAnsi="宋体" w:eastAsia="楷体_GB2312" w:cs="楷体_GB2312"/>
          <w:b/>
          <w:color w:val="000000"/>
          <w:kern w:val="0"/>
          <w:szCs w:val="32"/>
        </w:rPr>
        <w:t>说明</w:t>
      </w:r>
      <w:r>
        <w:rPr>
          <w:rFonts w:ascii="楷体_GB2312" w:hAnsi="宋体" w:eastAsia="楷体_GB2312" w:cs="楷体_GB2312"/>
          <w:b/>
          <w:color w:val="000000"/>
          <w:kern w:val="0"/>
          <w:szCs w:val="32"/>
        </w:rPr>
        <w:t xml:space="preserve">。 </w:t>
      </w:r>
    </w:p>
    <w:p>
      <w:pPr>
        <w:widowControl/>
        <w:ind w:firstLine="640" w:firstLineChars="200"/>
        <w:jc w:val="left"/>
      </w:pPr>
      <w:r>
        <w:rPr>
          <w:rFonts w:ascii="仿宋_GB2312" w:hAnsi="宋体" w:eastAsia="仿宋_GB2312" w:cs="仿宋_GB2312"/>
          <w:color w:val="000000"/>
          <w:kern w:val="0"/>
          <w:szCs w:val="32"/>
        </w:rPr>
        <w:t>2019年</w:t>
      </w:r>
      <w:r>
        <w:rPr>
          <w:rFonts w:hint="eastAsia" w:ascii="仿宋_GB2312" w:hAnsi="仿宋" w:eastAsia="仿宋_GB2312"/>
          <w:szCs w:val="32"/>
        </w:rPr>
        <w:t>度</w:t>
      </w:r>
      <w:r>
        <w:rPr>
          <w:rFonts w:ascii="仿宋_GB2312" w:hAnsi="宋体" w:eastAsia="仿宋_GB2312" w:cs="仿宋_GB2312"/>
          <w:color w:val="000000"/>
          <w:kern w:val="0"/>
          <w:szCs w:val="32"/>
        </w:rPr>
        <w:t>“三公”经费财政拨款支出预算为</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万元，完成预算的</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w:t>
      </w:r>
      <w:r>
        <w:rPr>
          <w:rFonts w:hint="eastAsia" w:ascii="仿宋" w:hAnsi="仿宋" w:eastAsia="仿宋" w:cs="仿宋"/>
          <w:b w:val="0"/>
          <w:i w:val="0"/>
          <w:caps w:val="0"/>
          <w:color w:val="auto"/>
          <w:spacing w:val="0"/>
          <w:sz w:val="32"/>
          <w:szCs w:val="32"/>
          <w:shd w:val="clear" w:color="auto" w:fill="FFFFFF"/>
          <w:lang w:val="en-US" w:eastAsia="zh-CN"/>
        </w:rPr>
        <w:t>年初预算和年末实际支出无增减变化。</w:t>
      </w:r>
    </w:p>
    <w:p>
      <w:pPr>
        <w:spacing w:line="360" w:lineRule="auto"/>
        <w:ind w:firstLine="643" w:firstLineChars="200"/>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（二）</w:t>
      </w:r>
      <w:r>
        <w:rPr>
          <w:rFonts w:ascii="楷体_GB2312" w:hAnsi="宋体" w:eastAsia="楷体_GB2312" w:cs="楷体_GB2312"/>
          <w:b/>
          <w:color w:val="000000"/>
          <w:kern w:val="0"/>
          <w:szCs w:val="32"/>
        </w:rPr>
        <w:t>“三公”经费财政拨款支出决算具体情况</w:t>
      </w:r>
      <w:r>
        <w:rPr>
          <w:rFonts w:hint="eastAsia" w:ascii="楷体_GB2312" w:hAnsi="宋体" w:eastAsia="楷体_GB2312" w:cs="楷体_GB2312"/>
          <w:b/>
          <w:color w:val="000000"/>
          <w:kern w:val="0"/>
          <w:szCs w:val="32"/>
        </w:rPr>
        <w:t>说明</w:t>
      </w:r>
      <w:r>
        <w:rPr>
          <w:rFonts w:ascii="楷体_GB2312" w:hAnsi="宋体" w:eastAsia="楷体_GB2312" w:cs="楷体_GB2312"/>
          <w:b/>
          <w:color w:val="000000"/>
          <w:kern w:val="0"/>
          <w:szCs w:val="32"/>
        </w:rPr>
        <w:t>。</w:t>
      </w:r>
    </w:p>
    <w:p>
      <w:pPr>
        <w:widowControl/>
        <w:ind w:firstLine="640" w:firstLineChars="200"/>
        <w:jc w:val="left"/>
      </w:pPr>
      <w:r>
        <w:rPr>
          <w:rFonts w:ascii="仿宋_GB2312" w:hAnsi="宋体" w:eastAsia="仿宋_GB2312" w:cs="仿宋_GB2312"/>
          <w:color w:val="000000"/>
          <w:kern w:val="0"/>
          <w:szCs w:val="32"/>
        </w:rPr>
        <w:t>2019年</w:t>
      </w:r>
      <w:r>
        <w:rPr>
          <w:rFonts w:hint="eastAsia" w:ascii="仿宋_GB2312" w:hAnsi="仿宋" w:eastAsia="仿宋_GB2312"/>
          <w:szCs w:val="32"/>
        </w:rPr>
        <w:t>度</w:t>
      </w:r>
      <w:r>
        <w:rPr>
          <w:rFonts w:ascii="仿宋_GB2312" w:hAnsi="宋体" w:eastAsia="仿宋_GB2312" w:cs="仿宋_GB2312"/>
          <w:color w:val="000000"/>
          <w:kern w:val="0"/>
          <w:szCs w:val="32"/>
        </w:rPr>
        <w:t>“三公”经费财政拨款支出决算中，因公出国（境）费支出决算</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万元，占</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%；公务用车购置</w:t>
      </w:r>
      <w:r>
        <w:rPr>
          <w:rFonts w:hint="eastAsia" w:ascii="仿宋_GB2312" w:hAnsi="宋体" w:eastAsia="仿宋_GB2312" w:cs="仿宋_GB2312"/>
          <w:color w:val="000000"/>
          <w:kern w:val="0"/>
          <w:szCs w:val="32"/>
        </w:rPr>
        <w:t>费支出</w:t>
      </w:r>
      <w:r>
        <w:rPr>
          <w:rFonts w:hint="eastAsia" w:ascii="仿宋_GB2312" w:hAnsi="宋体" w:eastAsia="仿宋_GB2312" w:cs="仿宋_GB2312"/>
          <w:color w:val="000000"/>
          <w:kern w:val="0"/>
          <w:szCs w:val="32"/>
          <w:lang w:val="en-US" w:eastAsia="zh-CN"/>
        </w:rPr>
        <w:t>0</w:t>
      </w:r>
      <w:r>
        <w:rPr>
          <w:rFonts w:hint="eastAsia" w:ascii="仿宋_GB2312" w:hAnsi="宋体" w:eastAsia="仿宋_GB2312" w:cs="仿宋_GB2312"/>
          <w:color w:val="000000"/>
          <w:kern w:val="0"/>
          <w:szCs w:val="32"/>
        </w:rPr>
        <w:t>万元，占</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%；公务用车运行</w:t>
      </w:r>
      <w:r>
        <w:rPr>
          <w:rFonts w:hint="eastAsia" w:ascii="仿宋_GB2312" w:hAnsi="仿宋" w:eastAsia="仿宋_GB2312"/>
          <w:szCs w:val="32"/>
        </w:rPr>
        <w:t>维护</w:t>
      </w:r>
      <w:r>
        <w:rPr>
          <w:rFonts w:ascii="仿宋_GB2312" w:hAnsi="宋体" w:eastAsia="仿宋_GB2312" w:cs="仿宋_GB2312"/>
          <w:color w:val="000000"/>
          <w:kern w:val="0"/>
          <w:szCs w:val="32"/>
        </w:rPr>
        <w:t>费支出决算</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万元，占</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%；公务接待费支出决算</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万元，占</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%。具体情况如下：</w:t>
      </w:r>
    </w:p>
    <w:p>
      <w:pPr>
        <w:widowControl/>
        <w:ind w:firstLine="640" w:firstLineChars="200"/>
        <w:jc w:val="left"/>
      </w:pPr>
    </w:p>
    <w:p>
      <w:pPr>
        <w:ind w:firstLine="643" w:firstLineChars="200"/>
        <w:rPr>
          <w:rFonts w:ascii="仿宋_GB2312" w:hAnsi="仿宋" w:eastAsia="仿宋_GB2312"/>
          <w:b/>
          <w:bCs/>
          <w:szCs w:val="32"/>
        </w:rPr>
      </w:pPr>
      <w:r>
        <w:rPr>
          <w:rFonts w:hint="eastAsia" w:ascii="仿宋_GB2312" w:hAnsi="仿宋" w:eastAsia="仿宋_GB2312"/>
          <w:b/>
          <w:bCs/>
          <w:szCs w:val="32"/>
        </w:rPr>
        <w:t>1.因公出国（境）支出情况</w:t>
      </w:r>
      <w:r>
        <w:rPr>
          <w:rFonts w:hint="eastAsia" w:ascii="楷体_GB2312" w:hAnsi="宋体" w:eastAsia="楷体_GB2312" w:cs="楷体_GB2312"/>
          <w:b/>
          <w:color w:val="000000"/>
          <w:kern w:val="0"/>
          <w:szCs w:val="32"/>
        </w:rPr>
        <w:t>说明</w:t>
      </w:r>
      <w:r>
        <w:rPr>
          <w:rFonts w:hint="eastAsia" w:ascii="仿宋_GB2312" w:hAnsi="仿宋" w:eastAsia="仿宋_GB2312"/>
          <w:b/>
          <w:bCs/>
          <w:szCs w:val="32"/>
        </w:rPr>
        <w:t>。</w:t>
      </w:r>
    </w:p>
    <w:p>
      <w:pPr>
        <w:widowControl/>
        <w:ind w:firstLine="640" w:firstLineChars="200"/>
        <w:jc w:val="left"/>
      </w:pPr>
      <w:r>
        <w:rPr>
          <w:rFonts w:hint="eastAsia" w:ascii="仿宋_GB2312" w:hAnsi="仿宋" w:eastAsia="仿宋_GB2312"/>
          <w:szCs w:val="32"/>
        </w:rPr>
        <w:t>示例：2019年度因公出国（境）团组</w:t>
      </w:r>
      <w:r>
        <w:rPr>
          <w:rFonts w:hint="eastAsia" w:ascii="仿宋_GB2312" w:hAnsi="仿宋_GB2312" w:eastAsia="仿宋_GB2312" w:cs="仿宋_GB2312"/>
          <w:szCs w:val="32"/>
          <w:lang w:val="en-US" w:eastAsia="zh-CN"/>
        </w:rPr>
        <w:t>0</w:t>
      </w:r>
      <w:r>
        <w:rPr>
          <w:rFonts w:hint="eastAsia" w:ascii="仿宋_GB2312" w:hAnsi="仿宋_GB2312" w:eastAsia="仿宋_GB2312" w:cs="仿宋_GB2312"/>
          <w:szCs w:val="32"/>
        </w:rPr>
        <w:t>个，</w:t>
      </w:r>
      <w:r>
        <w:rPr>
          <w:rFonts w:hint="eastAsia" w:ascii="仿宋_GB2312" w:hAnsi="仿宋_GB2312" w:eastAsia="仿宋_GB2312" w:cs="仿宋_GB2312"/>
          <w:szCs w:val="32"/>
          <w:lang w:val="en-US" w:eastAsia="zh-CN"/>
        </w:rPr>
        <w:t>0</w:t>
      </w:r>
      <w:r>
        <w:rPr>
          <w:rFonts w:hint="eastAsia" w:ascii="仿宋_GB2312" w:hAnsi="仿宋_GB2312" w:eastAsia="仿宋_GB2312" w:cs="仿宋_GB2312"/>
          <w:szCs w:val="32"/>
        </w:rPr>
        <w:t>人次，</w:t>
      </w:r>
      <w:r>
        <w:rPr>
          <w:rFonts w:ascii="仿宋_GB2312" w:hAnsi="宋体" w:eastAsia="仿宋_GB2312" w:cs="仿宋_GB2312"/>
          <w:color w:val="000000"/>
          <w:kern w:val="0"/>
          <w:szCs w:val="32"/>
        </w:rPr>
        <w:t>预算为</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万元</w:t>
      </w:r>
      <w:r>
        <w:rPr>
          <w:rFonts w:hint="eastAsia" w:ascii="仿宋_GB2312" w:hAnsi="仿宋_GB2312" w:eastAsia="仿宋_GB2312" w:cs="仿宋_GB2312"/>
          <w:szCs w:val="32"/>
          <w:lang w:val="en-US" w:eastAsia="zh-CN"/>
        </w:rPr>
        <w:t>0</w:t>
      </w:r>
      <w:r>
        <w:rPr>
          <w:rFonts w:ascii="仿宋_GB2312" w:hAnsi="宋体" w:eastAsia="仿宋_GB2312" w:cs="仿宋_GB2312"/>
          <w:color w:val="000000"/>
          <w:kern w:val="0"/>
          <w:szCs w:val="32"/>
        </w:rPr>
        <w:t>，完成预算的</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w:t>
      </w:r>
      <w:r>
        <w:rPr>
          <w:rFonts w:hint="eastAsia" w:ascii="仿宋_GB2312" w:hAnsi="宋体" w:eastAsia="仿宋_GB2312" w:cs="仿宋_GB2312"/>
          <w:color w:val="000000"/>
          <w:kern w:val="0"/>
          <w:szCs w:val="32"/>
        </w:rPr>
        <w:t>，</w:t>
      </w:r>
      <w:r>
        <w:rPr>
          <w:rFonts w:hint="eastAsia" w:ascii="仿宋" w:hAnsi="仿宋" w:eastAsia="仿宋" w:cs="仿宋"/>
          <w:b w:val="0"/>
          <w:i w:val="0"/>
          <w:caps w:val="0"/>
          <w:color w:val="auto"/>
          <w:spacing w:val="0"/>
          <w:sz w:val="32"/>
          <w:szCs w:val="32"/>
          <w:shd w:val="clear" w:color="auto" w:fill="FFFFFF"/>
          <w:lang w:val="en-US" w:eastAsia="zh-CN"/>
        </w:rPr>
        <w:t>年初预算和年末实际支出无增减变化。</w:t>
      </w:r>
    </w:p>
    <w:p>
      <w:pPr>
        <w:ind w:firstLine="643" w:firstLineChars="200"/>
        <w:rPr>
          <w:rFonts w:ascii="仿宋_GB2312" w:hAnsi="仿宋" w:eastAsia="仿宋_GB2312"/>
          <w:b/>
          <w:bCs/>
          <w:szCs w:val="32"/>
        </w:rPr>
      </w:pPr>
      <w:r>
        <w:rPr>
          <w:rFonts w:hint="eastAsia" w:ascii="仿宋_GB2312" w:hAnsi="仿宋" w:eastAsia="仿宋_GB2312"/>
          <w:b/>
          <w:bCs/>
          <w:szCs w:val="32"/>
        </w:rPr>
        <w:t>2.公务用车购置费用支出情况</w:t>
      </w:r>
      <w:r>
        <w:rPr>
          <w:rFonts w:hint="eastAsia" w:ascii="楷体_GB2312" w:hAnsi="宋体" w:eastAsia="楷体_GB2312" w:cs="楷体_GB2312"/>
          <w:b/>
          <w:color w:val="000000"/>
          <w:kern w:val="0"/>
          <w:szCs w:val="32"/>
        </w:rPr>
        <w:t>说明</w:t>
      </w:r>
      <w:r>
        <w:rPr>
          <w:rFonts w:hint="eastAsia" w:ascii="仿宋_GB2312" w:hAnsi="仿宋" w:eastAsia="仿宋_GB2312"/>
          <w:b/>
          <w:bCs/>
          <w:szCs w:val="32"/>
        </w:rPr>
        <w:t>。</w:t>
      </w:r>
    </w:p>
    <w:p>
      <w:pPr>
        <w:widowControl/>
        <w:ind w:firstLine="640" w:firstLineChars="200"/>
        <w:jc w:val="left"/>
      </w:pPr>
      <w:r>
        <w:rPr>
          <w:rFonts w:hint="eastAsia" w:ascii="仿宋_GB2312" w:hAnsi="仿宋" w:eastAsia="仿宋_GB2312"/>
          <w:szCs w:val="32"/>
        </w:rPr>
        <w:t>示例：2019年度购置车辆</w:t>
      </w:r>
      <w:r>
        <w:rPr>
          <w:rFonts w:hint="eastAsia" w:ascii="仿宋_GB2312" w:hAnsi="仿宋_GB2312" w:eastAsia="仿宋_GB2312" w:cs="仿宋_GB2312"/>
          <w:szCs w:val="32"/>
          <w:lang w:val="en-US" w:eastAsia="zh-CN"/>
        </w:rPr>
        <w:t>0</w:t>
      </w:r>
      <w:r>
        <w:rPr>
          <w:rFonts w:hint="eastAsia" w:ascii="仿宋_GB2312" w:hAnsi="仿宋_GB2312" w:eastAsia="仿宋_GB2312" w:cs="仿宋_GB2312"/>
          <w:szCs w:val="32"/>
        </w:rPr>
        <w:t>台，</w:t>
      </w:r>
      <w:r>
        <w:rPr>
          <w:rFonts w:ascii="仿宋_GB2312" w:hAnsi="宋体" w:eastAsia="仿宋_GB2312" w:cs="仿宋_GB2312"/>
          <w:color w:val="000000"/>
          <w:kern w:val="0"/>
          <w:szCs w:val="32"/>
        </w:rPr>
        <w:t>预算为</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万元</w:t>
      </w:r>
      <w:r>
        <w:rPr>
          <w:rFonts w:hint="eastAsia" w:ascii="仿宋_GB2312" w:hAnsi="仿宋_GB2312" w:eastAsia="仿宋_GB2312" w:cs="仿宋_GB2312"/>
          <w:szCs w:val="32"/>
          <w:lang w:val="en-US" w:eastAsia="zh-CN"/>
        </w:rPr>
        <w:t>0</w:t>
      </w:r>
      <w:r>
        <w:rPr>
          <w:rFonts w:ascii="仿宋_GB2312" w:hAnsi="宋体" w:eastAsia="仿宋_GB2312" w:cs="仿宋_GB2312"/>
          <w:color w:val="000000"/>
          <w:kern w:val="0"/>
          <w:szCs w:val="32"/>
        </w:rPr>
        <w:t>，完成预算的</w:t>
      </w:r>
      <w:r>
        <w:rPr>
          <w:rFonts w:hint="eastAsia" w:ascii="仿宋_GB2312" w:hAnsi="宋体" w:eastAsia="仿宋_GB2312" w:cs="仿宋_GB2312"/>
          <w:color w:val="000000"/>
          <w:kern w:val="0"/>
          <w:szCs w:val="32"/>
          <w:lang w:val="en-US" w:eastAsia="zh-CN"/>
        </w:rPr>
        <w:t>0</w:t>
      </w:r>
      <w:r>
        <w:rPr>
          <w:rFonts w:hint="eastAsia" w:ascii="仿宋_GB2312" w:hAnsi="宋体" w:eastAsia="仿宋_GB2312" w:cs="仿宋_GB2312"/>
          <w:color w:val="000000"/>
          <w:kern w:val="0"/>
          <w:szCs w:val="32"/>
        </w:rPr>
        <w:t>%，</w:t>
      </w:r>
      <w:r>
        <w:rPr>
          <w:rFonts w:hint="eastAsia" w:ascii="仿宋" w:hAnsi="仿宋" w:eastAsia="仿宋" w:cs="仿宋"/>
          <w:b w:val="0"/>
          <w:i w:val="0"/>
          <w:caps w:val="0"/>
          <w:color w:val="auto"/>
          <w:spacing w:val="0"/>
          <w:sz w:val="32"/>
          <w:szCs w:val="32"/>
          <w:shd w:val="clear" w:color="auto" w:fill="FFFFFF"/>
          <w:lang w:val="en-US" w:eastAsia="zh-CN"/>
        </w:rPr>
        <w:t>年初预算和年末实际支出无增减变化。</w:t>
      </w:r>
    </w:p>
    <w:p>
      <w:pPr>
        <w:ind w:firstLine="643" w:firstLineChars="200"/>
        <w:rPr>
          <w:rFonts w:ascii="仿宋_GB2312" w:hAnsi="仿宋" w:eastAsia="仿宋_GB2312"/>
          <w:b/>
          <w:bCs/>
          <w:szCs w:val="32"/>
        </w:rPr>
      </w:pPr>
      <w:r>
        <w:rPr>
          <w:rFonts w:hint="eastAsia" w:ascii="仿宋_GB2312" w:hAnsi="仿宋" w:eastAsia="仿宋_GB2312"/>
          <w:b/>
          <w:bCs/>
          <w:szCs w:val="32"/>
        </w:rPr>
        <w:t>3.公务用车运行维护费用支出情况</w:t>
      </w:r>
      <w:r>
        <w:rPr>
          <w:rFonts w:hint="eastAsia" w:ascii="楷体_GB2312" w:hAnsi="宋体" w:eastAsia="楷体_GB2312" w:cs="楷体_GB2312"/>
          <w:b/>
          <w:color w:val="000000"/>
          <w:kern w:val="0"/>
          <w:szCs w:val="32"/>
        </w:rPr>
        <w:t>说明</w:t>
      </w:r>
      <w:r>
        <w:rPr>
          <w:rFonts w:hint="eastAsia" w:ascii="仿宋_GB2312" w:hAnsi="仿宋" w:eastAsia="仿宋_GB2312"/>
          <w:b/>
          <w:bCs/>
          <w:szCs w:val="32"/>
        </w:rPr>
        <w:t>。</w:t>
      </w:r>
    </w:p>
    <w:p>
      <w:pPr>
        <w:widowControl/>
        <w:ind w:firstLine="640" w:firstLineChars="200"/>
        <w:jc w:val="left"/>
      </w:pPr>
      <w:r>
        <w:rPr>
          <w:rFonts w:hint="eastAsia" w:ascii="仿宋_GB2312" w:hAnsi="仿宋" w:eastAsia="仿宋_GB2312"/>
          <w:szCs w:val="32"/>
        </w:rPr>
        <w:t>示例：2019年度</w:t>
      </w:r>
      <w:r>
        <w:rPr>
          <w:rFonts w:hint="eastAsia" w:ascii="仿宋_GB2312" w:hAnsi="仿宋_GB2312" w:eastAsia="仿宋_GB2312" w:cs="仿宋_GB2312"/>
          <w:szCs w:val="32"/>
        </w:rPr>
        <w:t>公务用车运行维护费</w:t>
      </w:r>
      <w:r>
        <w:rPr>
          <w:rFonts w:ascii="仿宋_GB2312" w:hAnsi="宋体" w:eastAsia="仿宋_GB2312" w:cs="仿宋_GB2312"/>
          <w:color w:val="000000"/>
          <w:kern w:val="0"/>
          <w:szCs w:val="32"/>
        </w:rPr>
        <w:t>预算为</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万元</w:t>
      </w:r>
      <w:r>
        <w:rPr>
          <w:rFonts w:hint="eastAsia" w:ascii="仿宋_GB2312" w:hAnsi="仿宋_GB2312" w:eastAsia="仿宋_GB2312" w:cs="仿宋_GB2312"/>
          <w:szCs w:val="32"/>
          <w:lang w:val="en-US" w:eastAsia="zh-CN"/>
        </w:rPr>
        <w:t>0</w:t>
      </w:r>
      <w:r>
        <w:rPr>
          <w:rFonts w:ascii="仿宋_GB2312" w:hAnsi="宋体" w:eastAsia="仿宋_GB2312" w:cs="仿宋_GB2312"/>
          <w:color w:val="000000"/>
          <w:kern w:val="0"/>
          <w:szCs w:val="32"/>
        </w:rPr>
        <w:t>，完成预算的</w:t>
      </w:r>
      <w:r>
        <w:rPr>
          <w:rFonts w:hint="eastAsia" w:ascii="仿宋_GB2312" w:hAnsi="宋体" w:eastAsia="仿宋_GB2312" w:cs="仿宋_GB2312"/>
          <w:color w:val="000000"/>
          <w:kern w:val="0"/>
          <w:szCs w:val="32"/>
          <w:lang w:val="en-US" w:eastAsia="zh-CN"/>
        </w:rPr>
        <w:t>0</w:t>
      </w:r>
      <w:r>
        <w:rPr>
          <w:rFonts w:hint="eastAsia" w:ascii="仿宋_GB2312" w:hAnsi="宋体" w:eastAsia="仿宋_GB2312" w:cs="仿宋_GB2312"/>
          <w:color w:val="000000"/>
          <w:kern w:val="0"/>
          <w:szCs w:val="32"/>
        </w:rPr>
        <w:t>%，</w:t>
      </w:r>
      <w:r>
        <w:rPr>
          <w:rFonts w:hint="eastAsia" w:ascii="仿宋" w:hAnsi="仿宋" w:eastAsia="仿宋" w:cs="仿宋"/>
          <w:b w:val="0"/>
          <w:i w:val="0"/>
          <w:caps w:val="0"/>
          <w:color w:val="auto"/>
          <w:spacing w:val="0"/>
          <w:sz w:val="32"/>
          <w:szCs w:val="32"/>
          <w:shd w:val="clear" w:color="auto" w:fill="FFFFFF"/>
          <w:lang w:val="en-US" w:eastAsia="zh-CN"/>
        </w:rPr>
        <w:t>年初预算和年末实际支出无增减变化。</w:t>
      </w:r>
    </w:p>
    <w:p>
      <w:pPr>
        <w:ind w:firstLine="643" w:firstLineChars="200"/>
        <w:rPr>
          <w:rFonts w:ascii="仿宋_GB2312" w:hAnsi="仿宋" w:eastAsia="仿宋_GB2312"/>
          <w:szCs w:val="32"/>
        </w:rPr>
      </w:pPr>
      <w:r>
        <w:rPr>
          <w:rFonts w:hint="eastAsia" w:ascii="仿宋_GB2312" w:hAnsi="仿宋" w:eastAsia="仿宋_GB2312"/>
          <w:b/>
          <w:bCs/>
          <w:szCs w:val="32"/>
        </w:rPr>
        <w:t>4.公务接待费支出情况</w:t>
      </w:r>
      <w:r>
        <w:rPr>
          <w:rFonts w:hint="eastAsia" w:ascii="楷体_GB2312" w:hAnsi="宋体" w:eastAsia="楷体_GB2312" w:cs="楷体_GB2312"/>
          <w:b/>
          <w:color w:val="000000"/>
          <w:kern w:val="0"/>
          <w:szCs w:val="32"/>
        </w:rPr>
        <w:t>说明</w:t>
      </w:r>
      <w:r>
        <w:rPr>
          <w:rFonts w:hint="eastAsia" w:ascii="仿宋_GB2312" w:hAnsi="仿宋" w:eastAsia="仿宋_GB2312"/>
          <w:b/>
          <w:bCs/>
          <w:szCs w:val="32"/>
        </w:rPr>
        <w:t>。</w:t>
      </w:r>
    </w:p>
    <w:p>
      <w:pPr>
        <w:widowControl/>
        <w:ind w:firstLine="640" w:firstLineChars="200"/>
        <w:jc w:val="left"/>
        <w:rPr>
          <w:rFonts w:ascii="仿宋_GB2312" w:hAnsi="宋体" w:eastAsia="仿宋_GB2312" w:cs="仿宋_GB2312"/>
          <w:color w:val="000000"/>
          <w:kern w:val="0"/>
          <w:szCs w:val="32"/>
        </w:rPr>
      </w:pPr>
      <w:r>
        <w:rPr>
          <w:rFonts w:hint="eastAsia" w:ascii="仿宋_GB2312" w:hAnsi="仿宋" w:eastAsia="仿宋_GB2312"/>
          <w:szCs w:val="32"/>
        </w:rPr>
        <w:t>示例：2019年度公务接待</w:t>
      </w:r>
      <w:r>
        <w:rPr>
          <w:rFonts w:hint="eastAsia" w:ascii="仿宋_GB2312" w:hAnsi="仿宋_GB2312" w:eastAsia="仿宋_GB2312" w:cs="仿宋_GB2312"/>
          <w:szCs w:val="32"/>
          <w:lang w:val="en-US" w:eastAsia="zh-CN"/>
        </w:rPr>
        <w:t>0</w:t>
      </w:r>
      <w:r>
        <w:rPr>
          <w:rFonts w:hint="eastAsia" w:ascii="仿宋_GB2312" w:hAnsi="仿宋_GB2312" w:eastAsia="仿宋_GB2312" w:cs="仿宋_GB2312"/>
          <w:szCs w:val="32"/>
        </w:rPr>
        <w:t>批次，</w:t>
      </w:r>
      <w:r>
        <w:rPr>
          <w:rFonts w:hint="eastAsia" w:ascii="仿宋_GB2312" w:hAnsi="仿宋_GB2312" w:eastAsia="仿宋_GB2312" w:cs="仿宋_GB2312"/>
          <w:szCs w:val="32"/>
          <w:lang w:val="en-US" w:eastAsia="zh-CN"/>
        </w:rPr>
        <w:t>0</w:t>
      </w:r>
      <w:r>
        <w:rPr>
          <w:rFonts w:hint="eastAsia" w:ascii="仿宋_GB2312" w:hAnsi="仿宋_GB2312" w:eastAsia="仿宋_GB2312" w:cs="仿宋_GB2312"/>
          <w:szCs w:val="32"/>
        </w:rPr>
        <w:t>人次，</w:t>
      </w:r>
      <w:r>
        <w:rPr>
          <w:rFonts w:ascii="仿宋_GB2312" w:hAnsi="宋体" w:eastAsia="仿宋_GB2312" w:cs="仿宋_GB2312"/>
          <w:color w:val="000000"/>
          <w:kern w:val="0"/>
          <w:szCs w:val="32"/>
        </w:rPr>
        <w:t>预算为</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万元</w:t>
      </w:r>
      <w:r>
        <w:rPr>
          <w:rFonts w:hint="eastAsia" w:ascii="仿宋_GB2312" w:hAnsi="仿宋_GB2312" w:eastAsia="仿宋_GB2312" w:cs="仿宋_GB2312"/>
          <w:szCs w:val="32"/>
          <w:lang w:val="en-US" w:eastAsia="zh-CN"/>
        </w:rPr>
        <w:t>0</w:t>
      </w:r>
      <w:r>
        <w:rPr>
          <w:rFonts w:ascii="仿宋_GB2312" w:hAnsi="宋体" w:eastAsia="仿宋_GB2312" w:cs="仿宋_GB2312"/>
          <w:color w:val="000000"/>
          <w:kern w:val="0"/>
          <w:szCs w:val="32"/>
        </w:rPr>
        <w:t>，完成预算的</w:t>
      </w:r>
      <w:r>
        <w:rPr>
          <w:rFonts w:hint="eastAsia" w:ascii="仿宋_GB2312" w:hAnsi="宋体" w:eastAsia="仿宋_GB2312" w:cs="仿宋_GB2312"/>
          <w:color w:val="000000"/>
          <w:kern w:val="0"/>
          <w:szCs w:val="32"/>
          <w:lang w:val="en-US" w:eastAsia="zh-CN"/>
        </w:rPr>
        <w:t>0</w:t>
      </w:r>
      <w:r>
        <w:rPr>
          <w:rFonts w:hint="eastAsia" w:ascii="仿宋_GB2312" w:hAnsi="宋体" w:eastAsia="仿宋_GB2312" w:cs="仿宋_GB2312"/>
          <w:color w:val="000000"/>
          <w:kern w:val="0"/>
          <w:szCs w:val="32"/>
        </w:rPr>
        <w:t>%，</w:t>
      </w:r>
      <w:r>
        <w:rPr>
          <w:rFonts w:hint="eastAsia" w:ascii="仿宋" w:hAnsi="仿宋" w:eastAsia="仿宋" w:cs="仿宋"/>
          <w:b w:val="0"/>
          <w:i w:val="0"/>
          <w:caps w:val="0"/>
          <w:color w:val="auto"/>
          <w:spacing w:val="0"/>
          <w:sz w:val="32"/>
          <w:szCs w:val="32"/>
          <w:shd w:val="clear" w:color="auto" w:fill="FFFFFF"/>
          <w:lang w:val="en-US" w:eastAsia="zh-CN"/>
        </w:rPr>
        <w:t>年初预算和年末实际支出无增减变化。</w:t>
      </w:r>
    </w:p>
    <w:p>
      <w:pPr>
        <w:ind w:firstLine="643" w:firstLineChars="200"/>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（三）培训费支出情况说明。</w:t>
      </w:r>
    </w:p>
    <w:p>
      <w:pPr>
        <w:widowControl/>
        <w:ind w:firstLine="640" w:firstLineChars="200"/>
        <w:jc w:val="left"/>
        <w:rPr>
          <w:rFonts w:ascii="仿宋_GB2312" w:hAnsi="宋体" w:eastAsia="仿宋_GB2312" w:cs="仿宋_GB2312"/>
          <w:color w:val="000000"/>
          <w:kern w:val="0"/>
          <w:szCs w:val="32"/>
        </w:rPr>
      </w:pPr>
      <w:r>
        <w:rPr>
          <w:rFonts w:hint="eastAsia" w:ascii="仿宋_GB2312" w:hAnsi="仿宋" w:eastAsia="仿宋_GB2312"/>
          <w:szCs w:val="32"/>
        </w:rPr>
        <w:t>示例：2019年度</w:t>
      </w:r>
      <w:r>
        <w:rPr>
          <w:rFonts w:hint="eastAsia" w:ascii="仿宋_GB2312" w:hAnsi="仿宋_GB2312" w:eastAsia="仿宋_GB2312" w:cs="仿宋_GB2312"/>
          <w:szCs w:val="32"/>
        </w:rPr>
        <w:t>培训费</w:t>
      </w:r>
      <w:r>
        <w:rPr>
          <w:rFonts w:ascii="仿宋_GB2312" w:hAnsi="宋体" w:eastAsia="仿宋_GB2312" w:cs="仿宋_GB2312"/>
          <w:color w:val="000000"/>
          <w:kern w:val="0"/>
          <w:szCs w:val="32"/>
        </w:rPr>
        <w:t>预算为</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lang w:val="en-US" w:eastAsia="zh-CN"/>
        </w:rPr>
        <w:t>0.5</w:t>
      </w:r>
      <w:r>
        <w:rPr>
          <w:rFonts w:ascii="仿宋_GB2312" w:hAnsi="宋体" w:eastAsia="仿宋_GB2312" w:cs="仿宋_GB2312"/>
          <w:color w:val="000000"/>
          <w:kern w:val="0"/>
          <w:szCs w:val="32"/>
        </w:rPr>
        <w:t>万元，</w:t>
      </w:r>
      <w:r>
        <w:rPr>
          <w:rFonts w:hint="eastAsia" w:ascii="仿宋" w:hAnsi="仿宋" w:eastAsia="仿宋" w:cs="仿宋"/>
          <w:b w:val="0"/>
          <w:i w:val="0"/>
          <w:caps w:val="0"/>
          <w:color w:val="auto"/>
          <w:spacing w:val="0"/>
          <w:sz w:val="32"/>
          <w:szCs w:val="32"/>
          <w:shd w:val="clear" w:color="auto" w:fill="FFFFFF"/>
          <w:lang w:val="en-US" w:eastAsia="zh-CN"/>
        </w:rPr>
        <w:t>2019年度开展科学技能培训。</w:t>
      </w:r>
    </w:p>
    <w:p>
      <w:pPr>
        <w:spacing w:line="360" w:lineRule="auto"/>
        <w:ind w:firstLine="643" w:firstLineChars="200"/>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（四）会议费支出情况说明。</w:t>
      </w:r>
    </w:p>
    <w:p>
      <w:pPr>
        <w:widowControl/>
        <w:ind w:firstLine="640" w:firstLineChars="200"/>
        <w:jc w:val="left"/>
        <w:rPr>
          <w:rFonts w:ascii="仿宋_GB2312" w:hAnsi="宋体" w:eastAsia="仿宋_GB2312" w:cs="仿宋_GB2312"/>
          <w:color w:val="000000"/>
          <w:kern w:val="0"/>
          <w:szCs w:val="32"/>
        </w:rPr>
      </w:pPr>
      <w:r>
        <w:rPr>
          <w:rFonts w:hint="eastAsia" w:ascii="仿宋_GB2312" w:hAnsi="仿宋" w:eastAsia="仿宋_GB2312"/>
          <w:szCs w:val="32"/>
        </w:rPr>
        <w:t>示例：2019年度</w:t>
      </w:r>
      <w:r>
        <w:rPr>
          <w:rFonts w:hint="eastAsia" w:ascii="仿宋_GB2312" w:hAnsi="仿宋_GB2312" w:eastAsia="仿宋_GB2312" w:cs="仿宋_GB2312"/>
          <w:szCs w:val="32"/>
        </w:rPr>
        <w:t>会议费</w:t>
      </w:r>
      <w:r>
        <w:rPr>
          <w:rFonts w:ascii="仿宋_GB2312" w:hAnsi="宋体" w:eastAsia="仿宋_GB2312" w:cs="仿宋_GB2312"/>
          <w:color w:val="000000"/>
          <w:kern w:val="0"/>
          <w:szCs w:val="32"/>
        </w:rPr>
        <w:t>预算为</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lang w:val="en-US" w:eastAsia="zh-CN"/>
        </w:rPr>
        <w:t>0.65</w:t>
      </w:r>
      <w:r>
        <w:rPr>
          <w:rFonts w:ascii="仿宋_GB2312" w:hAnsi="宋体" w:eastAsia="仿宋_GB2312" w:cs="仿宋_GB2312"/>
          <w:color w:val="000000"/>
          <w:kern w:val="0"/>
          <w:szCs w:val="32"/>
        </w:rPr>
        <w:t>万元，</w:t>
      </w:r>
      <w:r>
        <w:rPr>
          <w:rFonts w:hint="eastAsia" w:ascii="仿宋" w:hAnsi="仿宋" w:eastAsia="仿宋" w:cs="仿宋"/>
          <w:b w:val="0"/>
          <w:i w:val="0"/>
          <w:caps w:val="0"/>
          <w:color w:val="auto"/>
          <w:spacing w:val="0"/>
          <w:sz w:val="32"/>
          <w:szCs w:val="32"/>
          <w:shd w:val="clear" w:color="auto" w:fill="FFFFFF"/>
          <w:lang w:val="en-US" w:eastAsia="zh-CN"/>
        </w:rPr>
        <w:t>2019年度召开科普工作会议。</w:t>
      </w:r>
    </w:p>
    <w:p>
      <w:pPr>
        <w:ind w:firstLine="640" w:firstLineChars="200"/>
        <w:rPr>
          <w:rFonts w:ascii="黑体" w:hAnsi="黑体" w:eastAsia="黑体"/>
          <w:color w:val="000000"/>
          <w:kern w:val="0"/>
          <w:szCs w:val="32"/>
        </w:rPr>
      </w:pPr>
      <w:r>
        <w:rPr>
          <w:rFonts w:hint="eastAsia" w:ascii="黑体" w:hAnsi="黑体" w:eastAsia="黑体"/>
          <w:color w:val="000000"/>
          <w:kern w:val="0"/>
          <w:szCs w:val="32"/>
        </w:rPr>
        <w:t>八、政府性基金预算财政拨款收入支出情况说明</w:t>
      </w:r>
    </w:p>
    <w:p>
      <w:pPr>
        <w:ind w:firstLine="640"/>
        <w:rPr>
          <w:rFonts w:ascii="仿宋_GB2312" w:hAnsi="仿宋_GB2312" w:eastAsia="仿宋_GB2312" w:cs="仿宋_GB2312"/>
          <w:szCs w:val="32"/>
        </w:rPr>
      </w:pPr>
      <w:r>
        <w:rPr>
          <w:rFonts w:hint="eastAsia" w:ascii="仿宋_GB2312" w:hAnsi="仿宋_GB2312" w:eastAsia="仿宋_GB2312" w:cs="仿宋_GB2312"/>
          <w:szCs w:val="32"/>
        </w:rPr>
        <w:t>本部门无政府性基金决算收支，并已公开空表</w:t>
      </w:r>
    </w:p>
    <w:p>
      <w:pPr>
        <w:widowControl/>
        <w:ind w:firstLine="640" w:firstLineChars="200"/>
        <w:jc w:val="left"/>
        <w:rPr>
          <w:rFonts w:ascii="黑体" w:hAnsi="黑体" w:eastAsia="黑体"/>
          <w:color w:val="000000"/>
          <w:kern w:val="0"/>
          <w:szCs w:val="32"/>
        </w:rPr>
      </w:pPr>
      <w:r>
        <w:rPr>
          <w:rFonts w:hint="eastAsia" w:ascii="黑体" w:hAnsi="黑体" w:eastAsia="黑体"/>
          <w:color w:val="000000"/>
          <w:kern w:val="0"/>
          <w:szCs w:val="32"/>
        </w:rPr>
        <w:t>九、国有资本经营财政拨款收入支出情况说明</w:t>
      </w:r>
    </w:p>
    <w:p>
      <w:pPr>
        <w:ind w:firstLine="640"/>
        <w:rPr>
          <w:rFonts w:ascii="仿宋_GB2312" w:hAnsi="仿宋_GB2312" w:eastAsia="仿宋_GB2312" w:cs="仿宋_GB2312"/>
          <w:szCs w:val="32"/>
        </w:rPr>
      </w:pPr>
      <w:r>
        <w:rPr>
          <w:rFonts w:hint="eastAsia" w:ascii="仿宋_GB2312" w:hAnsi="仿宋_GB2312" w:eastAsia="仿宋_GB2312" w:cs="仿宋_GB2312"/>
          <w:szCs w:val="32"/>
        </w:rPr>
        <w:t>本部门无国有资本经营决算拨款收支</w:t>
      </w:r>
    </w:p>
    <w:p>
      <w:pPr>
        <w:widowControl/>
        <w:ind w:firstLine="640" w:firstLineChars="200"/>
        <w:jc w:val="left"/>
        <w:rPr>
          <w:rFonts w:ascii="黑体" w:hAnsi="黑体" w:eastAsia="黑体"/>
          <w:color w:val="000000"/>
          <w:kern w:val="0"/>
          <w:szCs w:val="32"/>
        </w:rPr>
      </w:pPr>
      <w:r>
        <w:rPr>
          <w:rFonts w:hint="eastAsia" w:ascii="黑体" w:hAnsi="黑体" w:eastAsia="黑体"/>
          <w:color w:val="000000"/>
          <w:kern w:val="0"/>
          <w:szCs w:val="32"/>
        </w:rPr>
        <w:t>十、预算绩效情况说明</w:t>
      </w:r>
    </w:p>
    <w:p>
      <w:pPr>
        <w:widowControl/>
        <w:ind w:left="1616" w:leftChars="304" w:hanging="643" w:hangingChars="200"/>
        <w:jc w:val="left"/>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（一）</w:t>
      </w:r>
      <w:r>
        <w:rPr>
          <w:rFonts w:ascii="楷体_GB2312" w:hAnsi="宋体" w:eastAsia="楷体_GB2312" w:cs="楷体_GB2312"/>
          <w:b/>
          <w:color w:val="000000"/>
          <w:kern w:val="0"/>
          <w:szCs w:val="32"/>
        </w:rPr>
        <w:t>预算绩效管理工作开展情况</w:t>
      </w:r>
      <w:r>
        <w:rPr>
          <w:rFonts w:hint="eastAsia" w:ascii="楷体_GB2312" w:hAnsi="宋体" w:eastAsia="楷体_GB2312" w:cs="楷体_GB2312"/>
          <w:b/>
          <w:color w:val="000000"/>
          <w:kern w:val="0"/>
          <w:szCs w:val="32"/>
        </w:rPr>
        <w:t>说明</w:t>
      </w:r>
      <w:r>
        <w:rPr>
          <w:rFonts w:ascii="楷体_GB2312" w:hAnsi="宋体" w:eastAsia="楷体_GB2312" w:cs="楷体_GB2312"/>
          <w:b/>
          <w:color w:val="000000"/>
          <w:kern w:val="0"/>
          <w:szCs w:val="32"/>
        </w:rPr>
        <w:t>。</w:t>
      </w:r>
    </w:p>
    <w:p>
      <w:pPr>
        <w:widowControl/>
        <w:ind w:firstLine="640" w:firstLineChars="200"/>
        <w:jc w:val="left"/>
        <w:rPr>
          <w:rFonts w:ascii="仿宋_GB2312" w:hAnsi="仿宋_GB2312" w:eastAsia="仿宋_GB2312" w:cs="仿宋_GB2312"/>
          <w:color w:val="000000"/>
          <w:kern w:val="0"/>
          <w:sz w:val="31"/>
          <w:szCs w:val="31"/>
        </w:rPr>
      </w:pPr>
      <w:r>
        <w:rPr>
          <w:rFonts w:hint="eastAsia" w:ascii="仿宋_GB2312" w:hAnsi="仿宋_GB2312" w:eastAsia="仿宋_GB2312" w:cs="仿宋_GB2312"/>
          <w:szCs w:val="32"/>
        </w:rPr>
        <w:t>根据预算绩效管理要求，本部门组织对2</w:t>
      </w:r>
      <w:r>
        <w:rPr>
          <w:rFonts w:ascii="仿宋_GB2312" w:hAnsi="仿宋_GB2312" w:eastAsia="仿宋_GB2312" w:cs="仿宋_GB2312"/>
          <w:szCs w:val="32"/>
        </w:rPr>
        <w:t>019</w:t>
      </w:r>
      <w:r>
        <w:rPr>
          <w:rFonts w:hint="eastAsia" w:ascii="仿宋_GB2312" w:hAnsi="仿宋_GB2312" w:eastAsia="仿宋_GB2312" w:cs="仿宋_GB2312"/>
          <w:szCs w:val="32"/>
        </w:rPr>
        <w:t>年一般公共预算</w:t>
      </w:r>
      <w:r>
        <w:rPr>
          <w:rFonts w:hint="eastAsia" w:ascii="仿宋_GB2312" w:hAnsi="仿宋_GB2312" w:eastAsia="仿宋_GB2312" w:cs="仿宋_GB2312"/>
          <w:szCs w:val="32"/>
          <w:lang w:val="en-US" w:eastAsia="zh-CN"/>
        </w:rPr>
        <w:t>8</w:t>
      </w:r>
      <w:r>
        <w:rPr>
          <w:rFonts w:hint="eastAsia" w:ascii="仿宋_GB2312" w:hAnsi="仿宋_GB2312" w:eastAsia="仿宋_GB2312" w:cs="仿宋_GB2312"/>
          <w:szCs w:val="32"/>
        </w:rPr>
        <w:t>个项目支出开展了绩效自评</w:t>
      </w:r>
      <w:r>
        <w:rPr>
          <w:rFonts w:ascii="仿宋_GB2312" w:hAnsi="仿宋_GB2312" w:eastAsia="仿宋_GB2312" w:cs="仿宋_GB2312"/>
          <w:szCs w:val="32"/>
        </w:rPr>
        <w:t>，其中，一级项目</w:t>
      </w:r>
      <w:r>
        <w:rPr>
          <w:rFonts w:hint="eastAsia" w:ascii="仿宋_GB2312" w:hAnsi="仿宋_GB2312" w:eastAsia="仿宋_GB2312" w:cs="仿宋_GB2312"/>
          <w:szCs w:val="32"/>
          <w:lang w:val="en-US" w:eastAsia="zh-CN"/>
        </w:rPr>
        <w:t>3</w:t>
      </w:r>
      <w:r>
        <w:rPr>
          <w:rFonts w:ascii="仿宋_GB2312" w:hAnsi="仿宋_GB2312" w:eastAsia="仿宋_GB2312" w:cs="仿宋_GB2312"/>
          <w:szCs w:val="32"/>
        </w:rPr>
        <w:t>个，二级项目</w:t>
      </w:r>
      <w:r>
        <w:rPr>
          <w:rFonts w:hint="eastAsia" w:ascii="仿宋_GB2312" w:hAnsi="仿宋_GB2312" w:eastAsia="仿宋_GB2312" w:cs="仿宋_GB2312"/>
          <w:szCs w:val="32"/>
          <w:lang w:val="en-US" w:eastAsia="zh-CN"/>
        </w:rPr>
        <w:t>5</w:t>
      </w:r>
      <w:r>
        <w:rPr>
          <w:rFonts w:ascii="仿宋_GB2312" w:hAnsi="仿宋_GB2312" w:eastAsia="仿宋_GB2312" w:cs="仿宋_GB2312"/>
          <w:szCs w:val="32"/>
        </w:rPr>
        <w:t>个，共涉及资金</w:t>
      </w:r>
      <w:r>
        <w:rPr>
          <w:rFonts w:hint="eastAsia" w:ascii="仿宋_GB2312" w:hAnsi="仿宋_GB2312" w:eastAsia="仿宋_GB2312" w:cs="仿宋_GB2312"/>
          <w:szCs w:val="32"/>
          <w:lang w:val="en-US" w:eastAsia="zh-CN"/>
        </w:rPr>
        <w:t>31.55</w:t>
      </w:r>
      <w:r>
        <w:rPr>
          <w:rFonts w:ascii="仿宋_GB2312" w:hAnsi="仿宋_GB2312" w:eastAsia="仿宋_GB2312" w:cs="仿宋_GB2312"/>
          <w:szCs w:val="32"/>
        </w:rPr>
        <w:t>万元，占一般公共预算项目支出总额的</w:t>
      </w:r>
      <w:r>
        <w:rPr>
          <w:rFonts w:hint="eastAsia" w:ascii="仿宋_GB2312" w:hAnsi="仿宋_GB2312" w:eastAsia="仿宋_GB2312" w:cs="仿宋_GB2312"/>
          <w:szCs w:val="32"/>
        </w:rPr>
        <w:t>62.</w:t>
      </w:r>
      <w:r>
        <w:rPr>
          <w:rFonts w:hint="eastAsia" w:ascii="仿宋_GB2312" w:hAnsi="仿宋_GB2312" w:eastAsia="仿宋_GB2312" w:cs="仿宋_GB2312"/>
          <w:szCs w:val="32"/>
          <w:lang w:val="en-US" w:eastAsia="zh-CN"/>
        </w:rPr>
        <w:t>92</w:t>
      </w:r>
      <w:r>
        <w:rPr>
          <w:rFonts w:ascii="仿宋_GB2312" w:hAnsi="仿宋_GB2312" w:eastAsia="仿宋_GB2312" w:cs="仿宋_GB2312"/>
          <w:szCs w:val="32"/>
        </w:rPr>
        <w:t>%</w:t>
      </w:r>
      <w:r>
        <w:rPr>
          <w:rFonts w:hint="eastAsia" w:ascii="仿宋_GB2312" w:hAnsi="仿宋_GB2312" w:eastAsia="仿宋_GB2312" w:cs="仿宋_GB2312"/>
          <w:szCs w:val="32"/>
        </w:rPr>
        <w:t>；</w:t>
      </w:r>
      <w:r>
        <w:rPr>
          <w:rFonts w:ascii="仿宋_GB2312" w:hAnsi="仿宋_GB2312" w:eastAsia="仿宋_GB2312" w:cs="仿宋_GB2312"/>
          <w:color w:val="000000"/>
          <w:kern w:val="0"/>
          <w:sz w:val="31"/>
          <w:szCs w:val="31"/>
        </w:rPr>
        <w:t>组织对 2019年</w:t>
      </w:r>
      <w:r>
        <w:rPr>
          <w:rFonts w:hint="eastAsia" w:ascii="仿宋_GB2312" w:hAnsi="仿宋" w:eastAsia="仿宋_GB2312"/>
          <w:szCs w:val="32"/>
        </w:rPr>
        <w:t>度政府性</w:t>
      </w:r>
      <w:r>
        <w:rPr>
          <w:rFonts w:hint="eastAsia" w:ascii="仿宋_GB2312" w:hAnsi="仿宋_GB2312" w:eastAsia="仿宋_GB2312" w:cs="仿宋_GB2312"/>
          <w:szCs w:val="32"/>
        </w:rPr>
        <w:t>基金预算0个项目支出开展了绩效自评</w:t>
      </w:r>
      <w:r>
        <w:rPr>
          <w:rFonts w:ascii="仿宋_GB2312" w:hAnsi="仿宋_GB2312" w:eastAsia="仿宋_GB2312" w:cs="仿宋_GB2312"/>
          <w:color w:val="000000"/>
          <w:kern w:val="0"/>
          <w:sz w:val="31"/>
          <w:szCs w:val="31"/>
        </w:rPr>
        <w:t>，</w:t>
      </w:r>
      <w:r>
        <w:rPr>
          <w:rFonts w:hint="eastAsia" w:ascii="仿宋_GB2312" w:hAnsi="仿宋_GB2312" w:eastAsia="仿宋_GB2312" w:cs="仿宋_GB2312"/>
          <w:color w:val="000000"/>
          <w:kern w:val="0"/>
          <w:sz w:val="31"/>
          <w:szCs w:val="31"/>
        </w:rPr>
        <w:t>涉及项目</w:t>
      </w:r>
      <w:r>
        <w:rPr>
          <w:rFonts w:hint="eastAsia" w:ascii="仿宋_GB2312" w:hAnsi="仿宋_GB2312" w:eastAsia="仿宋_GB2312" w:cs="仿宋_GB2312"/>
          <w:szCs w:val="32"/>
        </w:rPr>
        <w:t>0</w:t>
      </w:r>
      <w:r>
        <w:rPr>
          <w:rFonts w:hint="eastAsia" w:ascii="仿宋_GB2312" w:hAnsi="仿宋_GB2312" w:eastAsia="仿宋_GB2312" w:cs="仿宋_GB2312"/>
          <w:color w:val="000000"/>
          <w:kern w:val="0"/>
          <w:sz w:val="31"/>
          <w:szCs w:val="31"/>
        </w:rPr>
        <w:t>个，</w:t>
      </w:r>
      <w:r>
        <w:rPr>
          <w:rFonts w:ascii="仿宋_GB2312" w:hAnsi="仿宋_GB2312" w:eastAsia="仿宋_GB2312" w:cs="仿宋_GB2312"/>
          <w:color w:val="000000"/>
          <w:kern w:val="0"/>
          <w:sz w:val="31"/>
          <w:szCs w:val="31"/>
        </w:rPr>
        <w:t>共涉及资金</w:t>
      </w:r>
      <w:r>
        <w:rPr>
          <w:rFonts w:hint="eastAsia" w:ascii="仿宋_GB2312" w:hAnsi="仿宋_GB2312" w:eastAsia="仿宋_GB2312" w:cs="仿宋_GB2312"/>
          <w:color w:val="000000"/>
          <w:kern w:val="0"/>
          <w:sz w:val="31"/>
          <w:szCs w:val="31"/>
        </w:rPr>
        <w:t>0</w:t>
      </w:r>
      <w:r>
        <w:rPr>
          <w:rFonts w:ascii="仿宋_GB2312" w:hAnsi="仿宋_GB2312" w:eastAsia="仿宋_GB2312" w:cs="仿宋_GB2312"/>
          <w:color w:val="000000"/>
          <w:kern w:val="0"/>
          <w:sz w:val="31"/>
          <w:szCs w:val="31"/>
        </w:rPr>
        <w:t>万元，占政府性基金预算项目支出总额的</w:t>
      </w:r>
      <w:r>
        <w:rPr>
          <w:rFonts w:hint="eastAsia" w:ascii="仿宋_GB2312" w:hAnsi="仿宋_GB2312" w:eastAsia="仿宋_GB2312" w:cs="仿宋_GB2312"/>
          <w:color w:val="000000"/>
          <w:kern w:val="0"/>
          <w:sz w:val="31"/>
          <w:szCs w:val="31"/>
        </w:rPr>
        <w:t>0</w:t>
      </w:r>
      <w:r>
        <w:rPr>
          <w:rFonts w:ascii="仿宋_GB2312" w:hAnsi="仿宋_GB2312" w:eastAsia="仿宋_GB2312" w:cs="仿宋_GB2312"/>
          <w:color w:val="000000"/>
          <w:kern w:val="0"/>
          <w:sz w:val="31"/>
          <w:szCs w:val="31"/>
        </w:rPr>
        <w:t>%</w:t>
      </w:r>
      <w:r>
        <w:rPr>
          <w:rFonts w:hint="eastAsia" w:ascii="仿宋_GB2312" w:hAnsi="仿宋_GB2312" w:eastAsia="仿宋_GB2312" w:cs="仿宋_GB2312"/>
          <w:color w:val="000000"/>
          <w:kern w:val="0"/>
          <w:sz w:val="31"/>
          <w:szCs w:val="31"/>
        </w:rPr>
        <w:t>。</w:t>
      </w:r>
    </w:p>
    <w:p>
      <w:pPr>
        <w:widowControl/>
        <w:ind w:firstLine="640" w:firstLineChars="200"/>
        <w:jc w:val="left"/>
        <w:rPr>
          <w:rFonts w:ascii="仿宋_GB2312" w:hAnsi="仿宋_GB2312" w:eastAsia="仿宋_GB2312" w:cs="仿宋_GB2312"/>
          <w:color w:val="000000"/>
          <w:kern w:val="0"/>
          <w:sz w:val="31"/>
          <w:szCs w:val="31"/>
        </w:rPr>
      </w:pPr>
      <w:r>
        <w:rPr>
          <w:rFonts w:hint="eastAsia" w:ascii="仿宋_GB2312" w:hAnsi="仿宋_GB2312" w:eastAsia="仿宋_GB2312" w:cs="仿宋_GB2312"/>
          <w:szCs w:val="32"/>
        </w:rPr>
        <w:t>本部门组织对2</w:t>
      </w:r>
      <w:r>
        <w:rPr>
          <w:rFonts w:ascii="仿宋_GB2312" w:hAnsi="仿宋_GB2312" w:eastAsia="仿宋_GB2312" w:cs="仿宋_GB2312"/>
          <w:szCs w:val="32"/>
        </w:rPr>
        <w:t>019</w:t>
      </w:r>
      <w:r>
        <w:rPr>
          <w:rFonts w:hint="eastAsia" w:ascii="仿宋_GB2312" w:hAnsi="仿宋_GB2312" w:eastAsia="仿宋_GB2312" w:cs="仿宋_GB2312"/>
          <w:szCs w:val="32"/>
        </w:rPr>
        <w:t>年度部门整体（或本部门机关、或0个所属二级单位）进行了绩效自评，涉及资金</w:t>
      </w:r>
      <w:r>
        <w:rPr>
          <w:rFonts w:hint="eastAsia" w:ascii="仿宋_GB2312" w:hAnsi="仿宋_GB2312" w:eastAsia="仿宋_GB2312" w:cs="仿宋_GB2312"/>
          <w:color w:val="000000"/>
          <w:kern w:val="0"/>
          <w:sz w:val="31"/>
          <w:szCs w:val="31"/>
        </w:rPr>
        <w:t>0</w:t>
      </w:r>
      <w:r>
        <w:rPr>
          <w:rFonts w:hint="eastAsia" w:ascii="仿宋_GB2312" w:hAnsi="仿宋_GB2312" w:eastAsia="仿宋_GB2312" w:cs="仿宋_GB2312"/>
          <w:szCs w:val="32"/>
        </w:rPr>
        <w:t>万元。</w:t>
      </w:r>
    </w:p>
    <w:p>
      <w:pPr>
        <w:widowControl/>
        <w:ind w:firstLine="643" w:firstLineChars="200"/>
        <w:jc w:val="left"/>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（二）</w:t>
      </w:r>
      <w:r>
        <w:rPr>
          <w:rFonts w:ascii="楷体_GB2312" w:hAnsi="宋体" w:eastAsia="楷体_GB2312" w:cs="楷体_GB2312"/>
          <w:b/>
          <w:color w:val="000000"/>
          <w:kern w:val="0"/>
          <w:szCs w:val="32"/>
        </w:rPr>
        <w:t>部门决算中项目绩效自评结果。</w:t>
      </w:r>
    </w:p>
    <w:p>
      <w:pPr>
        <w:widowControl/>
        <w:ind w:firstLine="620" w:firstLineChars="200"/>
        <w:jc w:val="left"/>
        <w:rPr>
          <w:rFonts w:ascii="仿宋_GB2312" w:hAnsi="仿宋_GB2312" w:eastAsia="仿宋_GB2312" w:cs="仿宋_GB2312"/>
          <w:color w:val="000000"/>
          <w:kern w:val="0"/>
          <w:sz w:val="31"/>
          <w:szCs w:val="31"/>
        </w:rPr>
      </w:pPr>
      <w:r>
        <w:rPr>
          <w:rFonts w:hint="eastAsia" w:ascii="仿宋_GB2312" w:hAnsi="仿宋_GB2312" w:eastAsia="仿宋_GB2312" w:cs="仿宋_GB2312"/>
          <w:color w:val="000000"/>
          <w:kern w:val="0"/>
          <w:sz w:val="31"/>
          <w:szCs w:val="31"/>
        </w:rPr>
        <w:t>1、人才工作</w:t>
      </w:r>
      <w:r>
        <w:rPr>
          <w:rFonts w:ascii="仿宋_GB2312" w:hAnsi="仿宋_GB2312" w:eastAsia="仿宋_GB2312" w:cs="仿宋_GB2312"/>
          <w:color w:val="000000"/>
          <w:kern w:val="0"/>
          <w:sz w:val="31"/>
          <w:szCs w:val="31"/>
        </w:rPr>
        <w:t>项目绩效自评综述：根据年初设定的绩效目标，项目自评得分</w:t>
      </w:r>
      <w:r>
        <w:rPr>
          <w:rFonts w:hint="eastAsia" w:ascii="仿宋_GB2312" w:hAnsi="仿宋_GB2312" w:eastAsia="仿宋_GB2312" w:cs="仿宋_GB2312"/>
          <w:color w:val="000000"/>
          <w:kern w:val="0"/>
          <w:sz w:val="31"/>
          <w:szCs w:val="31"/>
          <w:lang w:val="en-US" w:eastAsia="zh-CN"/>
        </w:rPr>
        <w:t>95</w:t>
      </w:r>
      <w:r>
        <w:rPr>
          <w:rFonts w:ascii="仿宋_GB2312" w:hAnsi="仿宋_GB2312" w:eastAsia="仿宋_GB2312" w:cs="仿宋_GB2312"/>
          <w:color w:val="000000"/>
          <w:kern w:val="0"/>
          <w:sz w:val="31"/>
          <w:szCs w:val="31"/>
        </w:rPr>
        <w:t>分。项目全年预算数</w:t>
      </w:r>
      <w:r>
        <w:rPr>
          <w:rFonts w:hint="eastAsia" w:ascii="仿宋_GB2312" w:hAnsi="仿宋_GB2312" w:eastAsia="仿宋_GB2312" w:cs="仿宋_GB2312"/>
          <w:color w:val="000000"/>
          <w:kern w:val="0"/>
          <w:sz w:val="31"/>
          <w:szCs w:val="31"/>
          <w:lang w:val="en-US" w:eastAsia="zh-CN"/>
        </w:rPr>
        <w:t>10.36</w:t>
      </w:r>
      <w:r>
        <w:rPr>
          <w:rFonts w:ascii="仿宋_GB2312" w:hAnsi="仿宋_GB2312" w:eastAsia="仿宋_GB2312" w:cs="仿宋_GB2312"/>
          <w:color w:val="000000"/>
          <w:kern w:val="0"/>
          <w:sz w:val="31"/>
          <w:szCs w:val="31"/>
        </w:rPr>
        <w:t>万元，执行数</w:t>
      </w:r>
      <w:r>
        <w:rPr>
          <w:rFonts w:hint="eastAsia" w:ascii="仿宋_GB2312" w:hAnsi="仿宋_GB2312" w:eastAsia="仿宋_GB2312" w:cs="仿宋_GB2312"/>
          <w:color w:val="000000"/>
          <w:kern w:val="0"/>
          <w:sz w:val="31"/>
          <w:szCs w:val="31"/>
          <w:lang w:val="en-US" w:eastAsia="zh-CN"/>
        </w:rPr>
        <w:t>46.45</w:t>
      </w:r>
      <w:r>
        <w:rPr>
          <w:rFonts w:ascii="仿宋_GB2312" w:hAnsi="仿宋_GB2312" w:eastAsia="仿宋_GB2312" w:cs="仿宋_GB2312"/>
          <w:color w:val="000000"/>
          <w:kern w:val="0"/>
          <w:sz w:val="31"/>
          <w:szCs w:val="31"/>
        </w:rPr>
        <w:t>万元，完成预算的</w:t>
      </w:r>
      <w:r>
        <w:rPr>
          <w:rFonts w:hint="eastAsia" w:ascii="仿宋_GB2312" w:hAnsi="仿宋_GB2312" w:eastAsia="仿宋_GB2312" w:cs="仿宋_GB2312"/>
          <w:color w:val="000000"/>
          <w:kern w:val="0"/>
          <w:sz w:val="31"/>
          <w:szCs w:val="31"/>
          <w:lang w:val="en-US" w:eastAsia="zh-CN"/>
        </w:rPr>
        <w:t>448.36</w:t>
      </w:r>
      <w:r>
        <w:rPr>
          <w:rFonts w:ascii="仿宋_GB2312" w:hAnsi="仿宋_GB2312" w:eastAsia="仿宋_GB2312" w:cs="仿宋_GB2312"/>
          <w:color w:val="000000"/>
          <w:kern w:val="0"/>
          <w:sz w:val="31"/>
          <w:szCs w:val="31"/>
        </w:rPr>
        <w:t>%。</w:t>
      </w:r>
    </w:p>
    <w:p>
      <w:pPr>
        <w:widowControl/>
        <w:ind w:firstLine="620" w:firstLineChars="200"/>
        <w:jc w:val="left"/>
        <w:rPr>
          <w:rFonts w:hint="eastAsia" w:ascii="仿宋_GB2312" w:hAnsi="仿宋_GB2312" w:eastAsia="仿宋_GB2312" w:cs="仿宋_GB2312"/>
          <w:color w:val="000000"/>
          <w:kern w:val="0"/>
          <w:sz w:val="31"/>
          <w:szCs w:val="31"/>
          <w:lang w:eastAsia="zh-CN"/>
        </w:rPr>
      </w:pPr>
      <w:r>
        <w:rPr>
          <w:rFonts w:ascii="仿宋_GB2312" w:hAnsi="仿宋_GB2312" w:eastAsia="仿宋_GB2312" w:cs="仿宋_GB2312"/>
          <w:color w:val="000000"/>
          <w:kern w:val="0"/>
          <w:sz w:val="31"/>
          <w:szCs w:val="31"/>
        </w:rPr>
        <w:t>主要产出和效果：</w:t>
      </w:r>
      <w:r>
        <w:rPr>
          <w:rFonts w:hint="eastAsia" w:ascii="仿宋_GB2312" w:hAnsi="仿宋" w:eastAsia="仿宋_GB2312"/>
          <w:sz w:val="32"/>
          <w:szCs w:val="32"/>
        </w:rPr>
        <w:t>贯彻党的科技方针、政策，团结和动员全县广大科技工作者参与、推动科教兴国、人才强县和可持续发展战略的实施，促进科技进步、经济发展和社会繁荣。负责开展科技学术交流和学术活动，活跃学术思想，促进学科发展，推动自主创新；监督管理主管的学术团体，促进科学道德建设和学风建设</w:t>
      </w:r>
      <w:r>
        <w:rPr>
          <w:rFonts w:hint="eastAsia" w:ascii="仿宋_GB2312" w:hAnsi="仿宋" w:eastAsia="仿宋_GB2312"/>
          <w:sz w:val="32"/>
          <w:szCs w:val="32"/>
          <w:lang w:eastAsia="zh-CN"/>
        </w:rPr>
        <w:t>。</w:t>
      </w:r>
      <w:r>
        <w:rPr>
          <w:rFonts w:hint="eastAsia" w:ascii="仿宋_GB2312" w:hAnsi="仿宋" w:eastAsia="仿宋_GB2312"/>
          <w:sz w:val="32"/>
          <w:szCs w:val="32"/>
        </w:rPr>
        <w:t>制定科普工作规划，组织动员社会各方面力量，广泛开展科学普及工作；指导科普示范基地等科普设施和场所的建设和管理；负责科普工作者队伍建设。</w:t>
      </w:r>
    </w:p>
    <w:p>
      <w:pPr>
        <w:widowControl/>
        <w:ind w:firstLine="620" w:firstLineChars="200"/>
        <w:jc w:val="left"/>
        <w:rPr>
          <w:rFonts w:ascii="仿宋_GB2312" w:hAnsi="仿宋_GB2312" w:eastAsia="仿宋_GB2312" w:cs="仿宋_GB2312"/>
          <w:color w:val="000000"/>
          <w:kern w:val="0"/>
          <w:sz w:val="31"/>
          <w:szCs w:val="31"/>
        </w:rPr>
      </w:pPr>
      <w:r>
        <w:rPr>
          <w:rFonts w:hint="eastAsia" w:ascii="仿宋_GB2312" w:hAnsi="仿宋_GB2312" w:eastAsia="仿宋_GB2312" w:cs="仿宋_GB2312"/>
          <w:color w:val="000000"/>
          <w:kern w:val="0"/>
          <w:sz w:val="31"/>
          <w:szCs w:val="31"/>
        </w:rPr>
        <w:t>主要工作绩效是：</w:t>
      </w:r>
      <w:r>
        <w:rPr>
          <w:rFonts w:hint="eastAsia" w:ascii="仿宋_GB2312" w:hAnsi="仿宋_GB2312" w:eastAsia="仿宋_GB2312" w:cs="仿宋_GB2312"/>
          <w:color w:val="000000"/>
          <w:kern w:val="0"/>
          <w:sz w:val="31"/>
          <w:szCs w:val="31"/>
          <w:lang w:val="en-US" w:eastAsia="zh-CN"/>
        </w:rPr>
        <w:t>完成了2019年度目标任务</w:t>
      </w:r>
      <w:r>
        <w:rPr>
          <w:rFonts w:ascii="仿宋_GB2312" w:hAnsi="仿宋_GB2312" w:eastAsia="仿宋_GB2312" w:cs="仿宋_GB2312"/>
          <w:color w:val="000000"/>
          <w:kern w:val="0"/>
          <w:sz w:val="31"/>
          <w:szCs w:val="31"/>
        </w:rPr>
        <w:t>。</w:t>
      </w:r>
    </w:p>
    <w:p>
      <w:pPr>
        <w:widowControl/>
        <w:ind w:firstLine="620" w:firstLineChars="200"/>
        <w:jc w:val="left"/>
        <w:rPr>
          <w:rFonts w:ascii="仿宋_GB2312" w:hAnsi="仿宋_GB2312" w:eastAsia="仿宋_GB2312" w:cs="仿宋_GB2312"/>
          <w:color w:val="000000"/>
          <w:kern w:val="0"/>
          <w:sz w:val="31"/>
          <w:szCs w:val="31"/>
        </w:rPr>
      </w:pPr>
      <w:r>
        <w:rPr>
          <w:rFonts w:ascii="仿宋_GB2312" w:hAnsi="仿宋_GB2312" w:eastAsia="仿宋_GB2312" w:cs="仿宋_GB2312"/>
          <w:color w:val="000000"/>
          <w:kern w:val="0"/>
          <w:sz w:val="31"/>
          <w:szCs w:val="31"/>
        </w:rPr>
        <w:t>发现的问题及原因：</w:t>
      </w:r>
      <w:r>
        <w:rPr>
          <w:rFonts w:hint="eastAsia" w:ascii="仿宋_GB2312" w:hAnsi="仿宋_GB2312" w:eastAsia="仿宋_GB2312" w:cs="仿宋_GB2312"/>
          <w:color w:val="000000"/>
          <w:kern w:val="0"/>
          <w:sz w:val="31"/>
          <w:szCs w:val="31"/>
          <w:lang w:eastAsia="zh-CN"/>
        </w:rPr>
        <w:t>宣传覆盖面较小，平台过少，</w:t>
      </w:r>
      <w:r>
        <w:rPr>
          <w:rFonts w:hint="eastAsia" w:ascii="仿宋_GB2312" w:hAnsi="仿宋_GB2312" w:eastAsia="仿宋_GB2312" w:cs="仿宋_GB2312"/>
          <w:color w:val="000000"/>
          <w:kern w:val="0"/>
          <w:sz w:val="31"/>
          <w:szCs w:val="31"/>
        </w:rPr>
        <w:t>培训不足，</w:t>
      </w:r>
      <w:r>
        <w:rPr>
          <w:rFonts w:hint="eastAsia" w:ascii="仿宋_GB2312" w:hAnsi="仿宋_GB2312" w:eastAsia="仿宋_GB2312" w:cs="仿宋_GB2312"/>
          <w:color w:val="000000"/>
          <w:kern w:val="0"/>
          <w:sz w:val="31"/>
          <w:szCs w:val="31"/>
          <w:lang w:val="en-US" w:eastAsia="zh-CN"/>
        </w:rPr>
        <w:t>活动开展少，宣传手段单一；原因是资金投入量较小，人员配备不齐。</w:t>
      </w:r>
    </w:p>
    <w:p>
      <w:pPr>
        <w:widowControl/>
        <w:ind w:firstLine="620" w:firstLineChars="200"/>
        <w:jc w:val="left"/>
        <w:rPr>
          <w:rFonts w:hint="eastAsia" w:ascii="仿宋_GB2312" w:hAnsi="仿宋_GB2312" w:eastAsia="仿宋_GB2312" w:cs="仿宋_GB2312"/>
          <w:color w:val="000000"/>
          <w:kern w:val="0"/>
          <w:sz w:val="31"/>
          <w:szCs w:val="31"/>
          <w:lang w:eastAsia="zh-CN"/>
        </w:rPr>
        <w:sectPr>
          <w:pgSz w:w="11906" w:h="16838"/>
          <w:pgMar w:top="1440" w:right="1803" w:bottom="1440" w:left="1803" w:header="851" w:footer="992" w:gutter="0"/>
          <w:cols w:space="0" w:num="1"/>
          <w:rtlGutter w:val="0"/>
          <w:docGrid w:type="lines" w:linePitch="436" w:charSpace="0"/>
        </w:sectPr>
      </w:pPr>
      <w:r>
        <w:rPr>
          <w:rFonts w:ascii="仿宋_GB2312" w:hAnsi="仿宋_GB2312" w:eastAsia="仿宋_GB2312" w:cs="仿宋_GB2312"/>
          <w:color w:val="000000"/>
          <w:kern w:val="0"/>
          <w:sz w:val="31"/>
          <w:szCs w:val="31"/>
        </w:rPr>
        <w:t>下一步改进措施：</w:t>
      </w:r>
      <w:r>
        <w:rPr>
          <w:rFonts w:hint="eastAsia" w:ascii="仿宋_GB2312" w:hAnsi="仿宋_GB2312" w:eastAsia="仿宋_GB2312" w:cs="仿宋_GB2312"/>
          <w:color w:val="000000"/>
          <w:kern w:val="0"/>
          <w:sz w:val="31"/>
          <w:szCs w:val="31"/>
        </w:rPr>
        <w:t>进一步与</w:t>
      </w:r>
      <w:r>
        <w:rPr>
          <w:rFonts w:hint="eastAsia" w:ascii="仿宋_GB2312" w:hAnsi="仿宋_GB2312" w:eastAsia="仿宋_GB2312" w:cs="仿宋_GB2312"/>
          <w:color w:val="000000"/>
          <w:kern w:val="0"/>
          <w:sz w:val="31"/>
          <w:szCs w:val="31"/>
          <w:lang w:eastAsia="zh-CN"/>
        </w:rPr>
        <w:t>省市县三级</w:t>
      </w:r>
      <w:r>
        <w:rPr>
          <w:rFonts w:hint="eastAsia" w:ascii="仿宋_GB2312" w:hAnsi="仿宋_GB2312" w:eastAsia="仿宋_GB2312" w:cs="仿宋_GB2312"/>
          <w:color w:val="000000"/>
          <w:kern w:val="0"/>
          <w:sz w:val="31"/>
          <w:szCs w:val="31"/>
        </w:rPr>
        <w:t>进行沟通协调，争取</w:t>
      </w:r>
      <w:r>
        <w:rPr>
          <w:rFonts w:hint="eastAsia" w:ascii="仿宋_GB2312" w:hAnsi="仿宋_GB2312" w:eastAsia="仿宋_GB2312" w:cs="仿宋_GB2312"/>
          <w:color w:val="000000"/>
          <w:kern w:val="0"/>
          <w:sz w:val="31"/>
          <w:szCs w:val="31"/>
          <w:lang w:val="en-US" w:eastAsia="zh-CN"/>
        </w:rPr>
        <w:t>工作</w:t>
      </w:r>
      <w:r>
        <w:rPr>
          <w:rFonts w:hint="eastAsia" w:ascii="仿宋_GB2312" w:hAnsi="仿宋_GB2312" w:eastAsia="仿宋_GB2312" w:cs="仿宋_GB2312"/>
          <w:color w:val="000000"/>
          <w:kern w:val="0"/>
          <w:sz w:val="31"/>
          <w:szCs w:val="31"/>
        </w:rPr>
        <w:t>经费</w:t>
      </w:r>
      <w:r>
        <w:rPr>
          <w:rFonts w:hint="eastAsia" w:ascii="仿宋_GB2312" w:hAnsi="仿宋_GB2312" w:eastAsia="仿宋_GB2312" w:cs="仿宋_GB2312"/>
          <w:color w:val="000000"/>
          <w:kern w:val="0"/>
          <w:sz w:val="31"/>
          <w:szCs w:val="31"/>
          <w:lang w:eastAsia="zh-CN"/>
        </w:rPr>
        <w:t>及项目支持</w:t>
      </w:r>
      <w:r>
        <w:rPr>
          <w:rFonts w:hint="eastAsia" w:ascii="仿宋_GB2312" w:hAnsi="仿宋_GB2312" w:eastAsia="仿宋_GB2312" w:cs="仿宋_GB2312"/>
          <w:color w:val="000000"/>
          <w:kern w:val="0"/>
          <w:sz w:val="31"/>
          <w:szCs w:val="31"/>
        </w:rPr>
        <w:t>，</w:t>
      </w:r>
      <w:r>
        <w:rPr>
          <w:rFonts w:hint="eastAsia" w:ascii="仿宋_GB2312" w:hAnsi="仿宋_GB2312" w:eastAsia="仿宋_GB2312" w:cs="仿宋_GB2312"/>
          <w:color w:val="000000"/>
          <w:kern w:val="0"/>
          <w:sz w:val="31"/>
          <w:szCs w:val="31"/>
          <w:lang w:eastAsia="zh-CN"/>
        </w:rPr>
        <w:t>与县委、县政府协调扩编本单位人员编制，积极开展各类科普宣传活动，</w:t>
      </w:r>
      <w:r>
        <w:rPr>
          <w:rFonts w:hint="eastAsia" w:ascii="仿宋_GB2312" w:hAnsi="仿宋" w:eastAsia="仿宋_GB2312"/>
          <w:sz w:val="32"/>
          <w:szCs w:val="32"/>
        </w:rPr>
        <w:t>促进科技进步、经济发展和社会繁荣</w:t>
      </w:r>
      <w:r>
        <w:rPr>
          <w:rFonts w:hint="eastAsia" w:ascii="仿宋_GB2312" w:hAnsi="仿宋" w:eastAsia="仿宋_GB2312"/>
          <w:sz w:val="32"/>
          <w:szCs w:val="32"/>
          <w:lang w:eastAsia="zh-CN"/>
        </w:rPr>
        <w:t>。</w:t>
      </w:r>
    </w:p>
    <w:tbl>
      <w:tblPr>
        <w:tblStyle w:val="6"/>
        <w:tblpPr w:leftFromText="180" w:rightFromText="180" w:vertAnchor="page" w:horzAnchor="page" w:tblpXSpec="center" w:tblpY="1381"/>
        <w:tblW w:w="14708" w:type="dxa"/>
        <w:tblInd w:w="0" w:type="dxa"/>
        <w:tblLayout w:type="fixed"/>
        <w:tblCellMar>
          <w:top w:w="0" w:type="dxa"/>
          <w:left w:w="108" w:type="dxa"/>
          <w:bottom w:w="0" w:type="dxa"/>
          <w:right w:w="108" w:type="dxa"/>
        </w:tblCellMar>
      </w:tblPr>
      <w:tblGrid>
        <w:gridCol w:w="541"/>
        <w:gridCol w:w="633"/>
        <w:gridCol w:w="684"/>
        <w:gridCol w:w="360"/>
        <w:gridCol w:w="3251"/>
        <w:gridCol w:w="2579"/>
        <w:gridCol w:w="424"/>
        <w:gridCol w:w="672"/>
        <w:gridCol w:w="357"/>
        <w:gridCol w:w="479"/>
        <w:gridCol w:w="249"/>
        <w:gridCol w:w="587"/>
        <w:gridCol w:w="349"/>
        <w:gridCol w:w="249"/>
        <w:gridCol w:w="508"/>
        <w:gridCol w:w="1128"/>
        <w:gridCol w:w="118"/>
        <w:gridCol w:w="1540"/>
      </w:tblGrid>
      <w:tr>
        <w:tblPrEx>
          <w:tblCellMar>
            <w:top w:w="0" w:type="dxa"/>
            <w:left w:w="108" w:type="dxa"/>
            <w:bottom w:w="0" w:type="dxa"/>
            <w:right w:w="108" w:type="dxa"/>
          </w:tblCellMar>
        </w:tblPrEx>
        <w:trPr>
          <w:trHeight w:val="107" w:hRule="atLeast"/>
        </w:trPr>
        <w:tc>
          <w:tcPr>
            <w:tcW w:w="14708" w:type="dxa"/>
            <w:gridSpan w:val="18"/>
            <w:tcBorders>
              <w:top w:val="nil"/>
              <w:left w:val="nil"/>
              <w:bottom w:val="nil"/>
              <w:right w:val="nil"/>
            </w:tcBorders>
            <w:shd w:val="clear" w:color="auto" w:fill="auto"/>
            <w:vAlign w:val="center"/>
          </w:tcPr>
          <w:p>
            <w:pPr>
              <w:widowControl/>
              <w:jc w:val="center"/>
              <w:rPr>
                <w:rFonts w:ascii="黑体" w:hAnsi="黑体" w:eastAsia="黑体" w:cs="宋体"/>
                <w:kern w:val="0"/>
                <w:sz w:val="40"/>
                <w:szCs w:val="40"/>
              </w:rPr>
            </w:pPr>
            <w:r>
              <w:rPr>
                <w:rFonts w:hint="eastAsia" w:ascii="黑体" w:hAnsi="黑体" w:eastAsia="黑体" w:cs="宋体"/>
                <w:kern w:val="0"/>
                <w:sz w:val="40"/>
                <w:szCs w:val="40"/>
              </w:rPr>
              <w:t>部门整体支出绩效自评表</w:t>
            </w:r>
            <w:r>
              <w:rPr>
                <w:rFonts w:hint="eastAsia" w:ascii="黑体" w:hAnsi="黑体" w:eastAsia="黑体" w:cs="宋体"/>
                <w:kern w:val="0"/>
                <w:sz w:val="40"/>
                <w:szCs w:val="40"/>
              </w:rPr>
              <w:br w:type="textWrapping"/>
            </w:r>
            <w:r>
              <w:rPr>
                <w:rFonts w:hint="eastAsia" w:ascii="黑体" w:hAnsi="黑体" w:eastAsia="黑体" w:cs="宋体"/>
                <w:kern w:val="0"/>
                <w:sz w:val="20"/>
              </w:rPr>
              <w:t>（2019年度）</w:t>
            </w:r>
          </w:p>
        </w:tc>
      </w:tr>
      <w:tr>
        <w:tblPrEx>
          <w:tblCellMar>
            <w:top w:w="0" w:type="dxa"/>
            <w:left w:w="108" w:type="dxa"/>
            <w:bottom w:w="0" w:type="dxa"/>
            <w:right w:w="108" w:type="dxa"/>
          </w:tblCellMar>
        </w:tblPrEx>
        <w:trPr>
          <w:trHeight w:val="203" w:hRule="atLeast"/>
        </w:trPr>
        <w:tc>
          <w:tcPr>
            <w:tcW w:w="5469" w:type="dxa"/>
            <w:gridSpan w:val="5"/>
            <w:tcBorders>
              <w:top w:val="nil"/>
              <w:left w:val="nil"/>
              <w:bottom w:val="nil"/>
              <w:right w:val="nil"/>
            </w:tcBorders>
            <w:shd w:val="clear" w:color="auto" w:fill="auto"/>
            <w:vAlign w:val="center"/>
          </w:tcPr>
          <w:p>
            <w:pPr>
              <w:widowControl/>
              <w:jc w:val="left"/>
              <w:rPr>
                <w:rFonts w:hint="eastAsia" w:ascii="仿宋_GB2312" w:hAnsi="宋体" w:eastAsia="仿宋_GB2312" w:cs="宋体"/>
                <w:kern w:val="0"/>
                <w:sz w:val="24"/>
                <w:szCs w:val="24"/>
                <w:lang w:val="en-US" w:eastAsia="zh-CN"/>
              </w:rPr>
            </w:pPr>
            <w:r>
              <w:rPr>
                <w:rFonts w:hint="eastAsia" w:ascii="仿宋_GB2312" w:hAnsi="宋体" w:eastAsia="仿宋_GB2312" w:cs="宋体"/>
                <w:kern w:val="0"/>
                <w:sz w:val="24"/>
                <w:szCs w:val="24"/>
              </w:rPr>
              <w:t>填报单位:</w:t>
            </w:r>
            <w:r>
              <w:rPr>
                <w:rFonts w:hint="eastAsia" w:ascii="仿宋_GB2312" w:hAnsi="宋体" w:eastAsia="仿宋_GB2312" w:cs="宋体"/>
                <w:kern w:val="0"/>
                <w:sz w:val="24"/>
                <w:szCs w:val="24"/>
                <w:lang w:eastAsia="zh-CN"/>
              </w:rPr>
              <w:t>蓝田县科学技术协会</w:t>
            </w:r>
          </w:p>
        </w:tc>
        <w:tc>
          <w:tcPr>
            <w:tcW w:w="2579" w:type="dxa"/>
            <w:tcBorders>
              <w:top w:val="nil"/>
              <w:left w:val="nil"/>
              <w:bottom w:val="nil"/>
              <w:right w:val="nil"/>
            </w:tcBorders>
            <w:shd w:val="clear" w:color="auto" w:fill="auto"/>
            <w:vAlign w:val="center"/>
          </w:tcPr>
          <w:p>
            <w:pPr>
              <w:widowControl/>
              <w:jc w:val="center"/>
              <w:rPr>
                <w:rFonts w:hint="default" w:ascii="仿宋_GB2312" w:hAnsi="宋体" w:eastAsia="仿宋_GB2312" w:cs="宋体"/>
                <w:kern w:val="0"/>
                <w:sz w:val="24"/>
                <w:szCs w:val="24"/>
                <w:lang w:val="en-US" w:eastAsia="zh-CN"/>
              </w:rPr>
            </w:pPr>
            <w:r>
              <w:rPr>
                <w:rFonts w:hint="eastAsia" w:ascii="仿宋_GB2312" w:hAnsi="宋体" w:eastAsia="仿宋_GB2312" w:cs="宋体"/>
                <w:kern w:val="0"/>
                <w:sz w:val="24"/>
                <w:szCs w:val="24"/>
              </w:rPr>
              <w:t>自评得分：</w:t>
            </w:r>
            <w:r>
              <w:rPr>
                <w:rFonts w:hint="eastAsia" w:ascii="仿宋_GB2312" w:hAnsi="宋体" w:eastAsia="仿宋_GB2312" w:cs="宋体"/>
                <w:kern w:val="0"/>
                <w:sz w:val="24"/>
                <w:szCs w:val="24"/>
                <w:lang w:val="en-US" w:eastAsia="zh-CN"/>
              </w:rPr>
              <w:t>95</w:t>
            </w:r>
          </w:p>
        </w:tc>
        <w:tc>
          <w:tcPr>
            <w:tcW w:w="1096" w:type="dxa"/>
            <w:gridSpan w:val="2"/>
            <w:tcBorders>
              <w:top w:val="nil"/>
              <w:left w:val="nil"/>
              <w:bottom w:val="nil"/>
              <w:right w:val="nil"/>
            </w:tcBorders>
            <w:shd w:val="clear" w:color="auto" w:fill="auto"/>
            <w:vAlign w:val="center"/>
          </w:tcPr>
          <w:p>
            <w:pPr>
              <w:widowControl/>
              <w:jc w:val="center"/>
              <w:rPr>
                <w:rFonts w:ascii="仿宋_GB2312" w:hAnsi="宋体" w:eastAsia="仿宋_GB2312" w:cs="宋体"/>
                <w:kern w:val="0"/>
                <w:sz w:val="24"/>
                <w:szCs w:val="24"/>
              </w:rPr>
            </w:pPr>
          </w:p>
        </w:tc>
        <w:tc>
          <w:tcPr>
            <w:tcW w:w="836" w:type="dxa"/>
            <w:gridSpan w:val="2"/>
            <w:tcBorders>
              <w:top w:val="nil"/>
              <w:left w:val="nil"/>
              <w:bottom w:val="nil"/>
              <w:right w:val="nil"/>
            </w:tcBorders>
            <w:shd w:val="clear" w:color="auto" w:fill="auto"/>
            <w:vAlign w:val="center"/>
          </w:tcPr>
          <w:p>
            <w:pPr>
              <w:widowControl/>
              <w:jc w:val="center"/>
              <w:rPr>
                <w:rFonts w:ascii="仿宋_GB2312" w:hAnsi="宋体" w:eastAsia="仿宋_GB2312" w:cs="宋体"/>
                <w:kern w:val="0"/>
                <w:sz w:val="24"/>
                <w:szCs w:val="24"/>
              </w:rPr>
            </w:pPr>
          </w:p>
        </w:tc>
        <w:tc>
          <w:tcPr>
            <w:tcW w:w="836" w:type="dxa"/>
            <w:gridSpan w:val="2"/>
            <w:tcBorders>
              <w:top w:val="nil"/>
              <w:left w:val="nil"/>
              <w:bottom w:val="nil"/>
              <w:right w:val="nil"/>
            </w:tcBorders>
            <w:shd w:val="clear" w:color="auto" w:fill="auto"/>
            <w:vAlign w:val="center"/>
          </w:tcPr>
          <w:p>
            <w:pPr>
              <w:widowControl/>
              <w:jc w:val="center"/>
              <w:rPr>
                <w:rFonts w:ascii="仿宋_GB2312" w:hAnsi="宋体" w:eastAsia="仿宋_GB2312" w:cs="宋体"/>
                <w:kern w:val="0"/>
                <w:sz w:val="24"/>
                <w:szCs w:val="24"/>
              </w:rPr>
            </w:pPr>
          </w:p>
        </w:tc>
        <w:tc>
          <w:tcPr>
            <w:tcW w:w="598" w:type="dxa"/>
            <w:gridSpan w:val="2"/>
            <w:tcBorders>
              <w:top w:val="nil"/>
              <w:left w:val="nil"/>
              <w:bottom w:val="nil"/>
              <w:right w:val="nil"/>
            </w:tcBorders>
            <w:shd w:val="clear" w:color="auto" w:fill="auto"/>
            <w:vAlign w:val="center"/>
          </w:tcPr>
          <w:p>
            <w:pPr>
              <w:widowControl/>
              <w:jc w:val="center"/>
              <w:rPr>
                <w:rFonts w:ascii="仿宋_GB2312" w:hAnsi="宋体" w:eastAsia="仿宋_GB2312" w:cs="宋体"/>
                <w:kern w:val="0"/>
                <w:sz w:val="24"/>
                <w:szCs w:val="24"/>
              </w:rPr>
            </w:pPr>
          </w:p>
        </w:tc>
        <w:tc>
          <w:tcPr>
            <w:tcW w:w="1636" w:type="dxa"/>
            <w:gridSpan w:val="2"/>
            <w:tcBorders>
              <w:top w:val="nil"/>
              <w:left w:val="nil"/>
              <w:bottom w:val="nil"/>
              <w:right w:val="nil"/>
            </w:tcBorders>
            <w:shd w:val="clear" w:color="auto" w:fill="auto"/>
            <w:noWrap/>
            <w:vAlign w:val="center"/>
          </w:tcPr>
          <w:p>
            <w:pPr>
              <w:widowControl/>
              <w:jc w:val="center"/>
              <w:rPr>
                <w:rFonts w:ascii="宋体" w:hAnsi="宋体" w:eastAsia="宋体" w:cs="宋体"/>
                <w:kern w:val="0"/>
                <w:sz w:val="24"/>
                <w:szCs w:val="24"/>
              </w:rPr>
            </w:pPr>
          </w:p>
        </w:tc>
        <w:tc>
          <w:tcPr>
            <w:tcW w:w="1658" w:type="dxa"/>
            <w:gridSpan w:val="2"/>
            <w:tcBorders>
              <w:top w:val="nil"/>
              <w:left w:val="nil"/>
              <w:bottom w:val="nil"/>
              <w:right w:val="nil"/>
            </w:tcBorders>
            <w:shd w:val="clear" w:color="auto" w:fill="auto"/>
            <w:noWrap/>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51" w:hRule="atLeast"/>
        </w:trPr>
        <w:tc>
          <w:tcPr>
            <w:tcW w:w="5469"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rPr>
            </w:pPr>
            <w:r>
              <w:rPr>
                <w:rFonts w:hint="eastAsia" w:ascii="仿宋_GB2312" w:hAnsi="宋体" w:eastAsia="仿宋_GB2312" w:cs="宋体"/>
                <w:kern w:val="0"/>
                <w:sz w:val="20"/>
              </w:rPr>
              <w:t>（一）简要概述部门职能与职责。</w:t>
            </w:r>
          </w:p>
        </w:tc>
        <w:tc>
          <w:tcPr>
            <w:tcW w:w="9239" w:type="dxa"/>
            <w:gridSpan w:val="13"/>
            <w:tcBorders>
              <w:top w:val="single" w:color="auto" w:sz="4" w:space="0"/>
              <w:left w:val="nil"/>
              <w:bottom w:val="single" w:color="auto" w:sz="4" w:space="0"/>
              <w:right w:val="single" w:color="auto" w:sz="4" w:space="0"/>
            </w:tcBorders>
            <w:shd w:val="clear" w:color="auto" w:fill="auto"/>
            <w:vAlign w:val="center"/>
          </w:tcPr>
          <w:p>
            <w:pPr>
              <w:widowControl/>
              <w:jc w:val="left"/>
              <w:rPr>
                <w:rFonts w:hint="default" w:ascii="仿宋_GB2312" w:hAnsi="宋体" w:eastAsia="仿宋_GB2312" w:cs="宋体"/>
                <w:kern w:val="0"/>
                <w:sz w:val="20"/>
                <w:lang w:val="en-US"/>
              </w:rPr>
            </w:pPr>
            <w:r>
              <w:rPr>
                <w:rFonts w:hint="eastAsia" w:ascii="仿宋_GB2312" w:hAnsi="仿宋" w:eastAsia="仿宋_GB2312"/>
                <w:sz w:val="20"/>
                <w:szCs w:val="20"/>
              </w:rPr>
              <w:t>贯彻党的科技方针、政策，团结和动员全县广大科技工作者参与、推动科教兴国、人才强县和可持续发展战略的实施，促进科技进步、经济发展和社会繁荣</w:t>
            </w:r>
          </w:p>
        </w:tc>
      </w:tr>
      <w:tr>
        <w:tblPrEx>
          <w:tblCellMar>
            <w:top w:w="0" w:type="dxa"/>
            <w:left w:w="108" w:type="dxa"/>
            <w:bottom w:w="0" w:type="dxa"/>
            <w:right w:w="108" w:type="dxa"/>
          </w:tblCellMar>
        </w:tblPrEx>
        <w:trPr>
          <w:trHeight w:val="530" w:hRule="atLeast"/>
        </w:trPr>
        <w:tc>
          <w:tcPr>
            <w:tcW w:w="5469"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left"/>
              <w:rPr>
                <w:rFonts w:ascii="仿宋_GB2312" w:hAnsi="宋体" w:eastAsia="仿宋_GB2312" w:cs="宋体"/>
                <w:kern w:val="0"/>
                <w:sz w:val="20"/>
              </w:rPr>
            </w:pPr>
            <w:r>
              <w:rPr>
                <w:rFonts w:hint="eastAsia" w:ascii="仿宋_GB2312" w:hAnsi="宋体" w:eastAsia="仿宋_GB2312" w:cs="宋体"/>
                <w:kern w:val="0"/>
                <w:sz w:val="20"/>
              </w:rPr>
              <w:t>（二）简要概述部门支出情况，按活动内容分类。</w:t>
            </w:r>
          </w:p>
        </w:tc>
        <w:tc>
          <w:tcPr>
            <w:tcW w:w="9239" w:type="dxa"/>
            <w:gridSpan w:val="13"/>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left"/>
              <w:rPr>
                <w:rFonts w:ascii="仿宋_GB2312" w:hAnsi="宋体" w:eastAsia="仿宋_GB2312" w:cs="宋体"/>
                <w:kern w:val="0"/>
                <w:sz w:val="20"/>
              </w:rPr>
            </w:pPr>
            <w:r>
              <w:rPr>
                <w:rFonts w:hint="eastAsia" w:ascii="仿宋_GB2312" w:hAnsi="宋体" w:eastAsia="仿宋_GB2312" w:cs="宋体"/>
                <w:kern w:val="0"/>
                <w:sz w:val="20"/>
              </w:rPr>
              <w:t>2019年度支出合计</w:t>
            </w:r>
            <w:r>
              <w:rPr>
                <w:rFonts w:hint="eastAsia" w:ascii="仿宋_GB2312" w:hAnsi="宋体" w:eastAsia="仿宋_GB2312" w:cs="宋体"/>
                <w:kern w:val="0"/>
                <w:sz w:val="20"/>
                <w:lang w:val="en-US" w:eastAsia="zh-CN"/>
              </w:rPr>
              <w:t>46.45</w:t>
            </w:r>
            <w:r>
              <w:rPr>
                <w:rFonts w:hint="eastAsia" w:ascii="仿宋_GB2312" w:hAnsi="宋体" w:eastAsia="仿宋_GB2312" w:cs="宋体"/>
                <w:kern w:val="0"/>
                <w:sz w:val="20"/>
              </w:rPr>
              <w:t>万元，其中：其中：基本支出</w:t>
            </w:r>
            <w:r>
              <w:rPr>
                <w:rFonts w:hint="eastAsia" w:ascii="仿宋_GB2312" w:hAnsi="宋体" w:eastAsia="仿宋_GB2312" w:cs="宋体"/>
                <w:kern w:val="0"/>
                <w:sz w:val="20"/>
                <w:lang w:val="en-US" w:eastAsia="zh-CN"/>
              </w:rPr>
              <w:t>31.55</w:t>
            </w:r>
            <w:r>
              <w:rPr>
                <w:rFonts w:hint="eastAsia" w:ascii="仿宋_GB2312" w:hAnsi="宋体" w:eastAsia="仿宋_GB2312" w:cs="宋体"/>
                <w:kern w:val="0"/>
                <w:sz w:val="20"/>
              </w:rPr>
              <w:t>万元，占</w:t>
            </w:r>
            <w:r>
              <w:rPr>
                <w:rFonts w:hint="eastAsia" w:ascii="仿宋_GB2312" w:hAnsi="宋体" w:eastAsia="仿宋_GB2312" w:cs="宋体"/>
                <w:kern w:val="0"/>
                <w:sz w:val="20"/>
                <w:lang w:val="en-US" w:eastAsia="zh-CN"/>
              </w:rPr>
              <w:t>67.92</w:t>
            </w:r>
            <w:r>
              <w:rPr>
                <w:rFonts w:hint="eastAsia" w:ascii="仿宋_GB2312" w:hAnsi="宋体" w:eastAsia="仿宋_GB2312" w:cs="宋体"/>
                <w:kern w:val="0"/>
                <w:sz w:val="20"/>
              </w:rPr>
              <w:t>%；项目支出</w:t>
            </w:r>
            <w:r>
              <w:rPr>
                <w:rFonts w:hint="eastAsia" w:ascii="仿宋_GB2312" w:hAnsi="宋体" w:eastAsia="仿宋_GB2312" w:cs="宋体"/>
                <w:kern w:val="0"/>
                <w:sz w:val="20"/>
                <w:lang w:val="en-US" w:eastAsia="zh-CN"/>
              </w:rPr>
              <w:t>14.9</w:t>
            </w:r>
            <w:r>
              <w:rPr>
                <w:rFonts w:hint="eastAsia" w:ascii="仿宋_GB2312" w:hAnsi="宋体" w:eastAsia="仿宋_GB2312" w:cs="宋体"/>
                <w:kern w:val="0"/>
                <w:sz w:val="20"/>
              </w:rPr>
              <w:t>万元，占</w:t>
            </w:r>
            <w:r>
              <w:rPr>
                <w:rFonts w:hint="eastAsia" w:ascii="仿宋_GB2312" w:hAnsi="宋体" w:eastAsia="仿宋_GB2312" w:cs="宋体"/>
                <w:kern w:val="0"/>
                <w:sz w:val="20"/>
                <w:lang w:val="en-US" w:eastAsia="zh-CN"/>
              </w:rPr>
              <w:t>32.08</w:t>
            </w:r>
            <w:r>
              <w:rPr>
                <w:rFonts w:hint="eastAsia" w:ascii="仿宋_GB2312" w:hAnsi="宋体" w:eastAsia="仿宋_GB2312" w:cs="宋体"/>
                <w:kern w:val="0"/>
                <w:sz w:val="20"/>
              </w:rPr>
              <w:t>%。</w:t>
            </w:r>
          </w:p>
        </w:tc>
      </w:tr>
      <w:tr>
        <w:tblPrEx>
          <w:tblCellMar>
            <w:top w:w="0" w:type="dxa"/>
            <w:left w:w="108" w:type="dxa"/>
            <w:bottom w:w="0" w:type="dxa"/>
            <w:right w:w="108" w:type="dxa"/>
          </w:tblCellMar>
        </w:tblPrEx>
        <w:trPr>
          <w:trHeight w:val="1604" w:hRule="atLeast"/>
        </w:trPr>
        <w:tc>
          <w:tcPr>
            <w:tcW w:w="5469"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left"/>
              <w:rPr>
                <w:rFonts w:ascii="仿宋_GB2312" w:hAnsi="宋体" w:eastAsia="仿宋_GB2312" w:cs="宋体"/>
                <w:kern w:val="0"/>
                <w:sz w:val="20"/>
              </w:rPr>
            </w:pPr>
            <w:r>
              <w:rPr>
                <w:rFonts w:hint="eastAsia" w:ascii="仿宋_GB2312" w:hAnsi="宋体" w:eastAsia="仿宋_GB2312" w:cs="宋体"/>
                <w:kern w:val="0"/>
                <w:sz w:val="20"/>
              </w:rPr>
              <w:t>（三）简要概述当重点工作。</w:t>
            </w:r>
          </w:p>
        </w:tc>
        <w:tc>
          <w:tcPr>
            <w:tcW w:w="9239" w:type="dxa"/>
            <w:gridSpan w:val="13"/>
            <w:tcBorders>
              <w:top w:val="single" w:color="auto" w:sz="4" w:space="0"/>
              <w:left w:val="nil"/>
              <w:bottom w:val="single" w:color="auto" w:sz="4" w:space="0"/>
              <w:right w:val="single" w:color="000000" w:sz="4" w:space="0"/>
            </w:tcBorders>
            <w:shd w:val="clear" w:color="auto" w:fill="auto"/>
            <w:vAlign w:val="center"/>
          </w:tcPr>
          <w:p>
            <w:pPr>
              <w:pBdr>
                <w:bottom w:val="single" w:color="FFFFFF" w:sz="4" w:space="31"/>
              </w:pBdr>
              <w:adjustRightInd w:val="0"/>
              <w:snapToGrid w:val="0"/>
              <w:spacing w:line="360" w:lineRule="auto"/>
              <w:ind w:firstLine="400" w:firstLineChars="200"/>
              <w:rPr>
                <w:rFonts w:ascii="仿宋_GB2312" w:hAnsi="宋体" w:eastAsia="仿宋_GB2312" w:cs="宋体"/>
                <w:kern w:val="0"/>
                <w:sz w:val="20"/>
              </w:rPr>
            </w:pPr>
            <w:r>
              <w:rPr>
                <w:rFonts w:hint="eastAsia" w:ascii="仿宋_GB2312" w:hAnsi="宋体" w:eastAsia="仿宋_GB2312" w:cs="宋体"/>
                <w:kern w:val="0"/>
                <w:sz w:val="20"/>
                <w:szCs w:val="22"/>
                <w:lang w:val="en-US" w:eastAsia="zh-CN"/>
              </w:rPr>
              <w:t>1、</w:t>
            </w:r>
            <w:r>
              <w:rPr>
                <w:rFonts w:hint="eastAsia" w:ascii="仿宋_GB2312" w:hAnsi="仿宋" w:eastAsia="仿宋_GB2312"/>
                <w:sz w:val="20"/>
                <w:szCs w:val="20"/>
              </w:rPr>
              <w:t>团结和动员全县广大科技工作者参与、推动科教兴国、人才强县</w:t>
            </w:r>
            <w:r>
              <w:rPr>
                <w:rFonts w:hint="eastAsia" w:ascii="仿宋_GB2312" w:hAnsi="宋体" w:eastAsia="仿宋_GB2312" w:cs="宋体"/>
                <w:kern w:val="0"/>
                <w:sz w:val="20"/>
                <w:szCs w:val="22"/>
                <w:lang w:val="en-US" w:eastAsia="zh-CN"/>
              </w:rPr>
              <w:t>。2、</w:t>
            </w:r>
            <w:r>
              <w:rPr>
                <w:rFonts w:hint="eastAsia" w:ascii="仿宋_GB2312" w:hAnsi="仿宋" w:eastAsia="仿宋_GB2312"/>
                <w:sz w:val="20"/>
                <w:szCs w:val="20"/>
              </w:rPr>
              <w:t>开展科技学术交流和学术活动</w:t>
            </w:r>
            <w:r>
              <w:rPr>
                <w:rFonts w:hint="eastAsia" w:ascii="仿宋_GB2312" w:hAnsi="宋体" w:eastAsia="仿宋_GB2312" w:cs="宋体"/>
                <w:kern w:val="0"/>
                <w:sz w:val="20"/>
                <w:szCs w:val="22"/>
                <w:lang w:val="en-US" w:eastAsia="zh-CN"/>
              </w:rPr>
              <w:t>。3、</w:t>
            </w:r>
            <w:r>
              <w:rPr>
                <w:rFonts w:hint="eastAsia" w:ascii="仿宋_GB2312" w:hAnsi="仿宋" w:eastAsia="仿宋_GB2312"/>
                <w:sz w:val="20"/>
                <w:szCs w:val="20"/>
              </w:rPr>
              <w:t>组织动员社会各方面力量，广泛开展科学普及工作</w:t>
            </w:r>
            <w:r>
              <w:rPr>
                <w:rFonts w:hint="eastAsia" w:ascii="仿宋_GB2312" w:hAnsi="宋体" w:eastAsia="仿宋_GB2312" w:cs="宋体"/>
                <w:kern w:val="0"/>
                <w:sz w:val="20"/>
                <w:szCs w:val="22"/>
                <w:lang w:val="en-US" w:eastAsia="zh-CN"/>
              </w:rPr>
              <w:t>。4</w:t>
            </w:r>
            <w:r>
              <w:rPr>
                <w:rFonts w:hint="eastAsia" w:ascii="仿宋_GB2312" w:hAnsi="仿宋" w:eastAsia="仿宋_GB2312"/>
                <w:sz w:val="20"/>
                <w:szCs w:val="20"/>
              </w:rPr>
              <w:t>开展青少年科技教育活动，提高公众科学素质</w:t>
            </w:r>
            <w:r>
              <w:rPr>
                <w:rFonts w:hint="eastAsia" w:ascii="仿宋_GB2312" w:hAnsi="宋体" w:eastAsia="仿宋_GB2312" w:cs="宋体"/>
                <w:kern w:val="0"/>
                <w:sz w:val="20"/>
                <w:szCs w:val="22"/>
                <w:lang w:val="en-US" w:eastAsia="zh-CN"/>
              </w:rPr>
              <w:t>。5、</w:t>
            </w:r>
            <w:r>
              <w:rPr>
                <w:rFonts w:hint="eastAsia" w:ascii="仿宋_GB2312" w:hAnsi="仿宋" w:eastAsia="仿宋_GB2312"/>
                <w:sz w:val="20"/>
                <w:szCs w:val="20"/>
              </w:rPr>
              <w:t>举荐、宣传、表彰优秀科技工作者，发挥学术团体举荐科技人才的作用</w:t>
            </w:r>
            <w:r>
              <w:rPr>
                <w:rFonts w:hint="eastAsia" w:ascii="仿宋_GB2312" w:hAnsi="宋体" w:eastAsia="仿宋_GB2312" w:cs="宋体"/>
                <w:kern w:val="0"/>
                <w:sz w:val="20"/>
                <w:szCs w:val="22"/>
                <w:lang w:val="en-US" w:eastAsia="zh-CN"/>
              </w:rPr>
              <w:t>。6、</w:t>
            </w:r>
            <w:r>
              <w:rPr>
                <w:rFonts w:hint="eastAsia" w:ascii="仿宋_GB2312" w:hAnsi="仿宋" w:eastAsia="仿宋_GB2312"/>
                <w:sz w:val="20"/>
                <w:szCs w:val="20"/>
              </w:rPr>
              <w:t>承办县委、县政府交办的其他事项</w:t>
            </w:r>
            <w:r>
              <w:rPr>
                <w:rFonts w:hint="eastAsia" w:ascii="仿宋_GB2312" w:hAnsi="宋体" w:eastAsia="仿宋_GB2312" w:cs="宋体"/>
                <w:kern w:val="0"/>
                <w:sz w:val="20"/>
                <w:szCs w:val="20"/>
                <w:lang w:val="en-US" w:eastAsia="zh-CN"/>
              </w:rPr>
              <w:t>。</w:t>
            </w:r>
          </w:p>
        </w:tc>
      </w:tr>
      <w:tr>
        <w:tblPrEx>
          <w:tblCellMar>
            <w:top w:w="0" w:type="dxa"/>
            <w:left w:w="108" w:type="dxa"/>
            <w:bottom w:w="0" w:type="dxa"/>
            <w:right w:w="108" w:type="dxa"/>
          </w:tblCellMar>
        </w:tblPrEx>
        <w:trPr>
          <w:trHeight w:val="124" w:hRule="atLeast"/>
        </w:trPr>
        <w:tc>
          <w:tcPr>
            <w:tcW w:w="541"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一级</w:t>
            </w:r>
            <w:r>
              <w:rPr>
                <w:rFonts w:hint="eastAsia" w:ascii="楷体_GB2312" w:hAnsi="宋体" w:eastAsia="楷体_GB2312" w:cs="宋体"/>
                <w:b/>
                <w:bCs/>
                <w:kern w:val="0"/>
                <w:sz w:val="20"/>
              </w:rPr>
              <w:br w:type="textWrapping"/>
            </w:r>
            <w:r>
              <w:rPr>
                <w:rFonts w:hint="eastAsia" w:ascii="楷体_GB2312" w:hAnsi="宋体" w:eastAsia="楷体_GB2312" w:cs="宋体"/>
                <w:b/>
                <w:bCs/>
                <w:kern w:val="0"/>
                <w:sz w:val="20"/>
              </w:rPr>
              <w:t>指标</w:t>
            </w:r>
          </w:p>
        </w:tc>
        <w:tc>
          <w:tcPr>
            <w:tcW w:w="633"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二级</w:t>
            </w:r>
            <w:r>
              <w:rPr>
                <w:rFonts w:hint="eastAsia" w:ascii="楷体_GB2312" w:hAnsi="宋体" w:eastAsia="楷体_GB2312" w:cs="宋体"/>
                <w:b/>
                <w:bCs/>
                <w:kern w:val="0"/>
                <w:sz w:val="20"/>
              </w:rPr>
              <w:br w:type="textWrapping"/>
            </w:r>
            <w:r>
              <w:rPr>
                <w:rFonts w:hint="eastAsia" w:ascii="楷体_GB2312" w:hAnsi="宋体" w:eastAsia="楷体_GB2312" w:cs="宋体"/>
                <w:b/>
                <w:bCs/>
                <w:kern w:val="0"/>
                <w:sz w:val="20"/>
              </w:rPr>
              <w:t>指标</w:t>
            </w:r>
          </w:p>
        </w:tc>
        <w:tc>
          <w:tcPr>
            <w:tcW w:w="684"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三级指标</w:t>
            </w:r>
          </w:p>
        </w:tc>
        <w:tc>
          <w:tcPr>
            <w:tcW w:w="36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分值</w:t>
            </w:r>
          </w:p>
        </w:tc>
        <w:tc>
          <w:tcPr>
            <w:tcW w:w="3251"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指标说明</w:t>
            </w:r>
          </w:p>
        </w:tc>
        <w:tc>
          <w:tcPr>
            <w:tcW w:w="3003" w:type="dxa"/>
            <w:gridSpan w:val="2"/>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评分标准</w:t>
            </w:r>
          </w:p>
        </w:tc>
        <w:tc>
          <w:tcPr>
            <w:tcW w:w="1029" w:type="dxa"/>
            <w:gridSpan w:val="2"/>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指标值计算公式和数据获取方式</w:t>
            </w:r>
          </w:p>
        </w:tc>
        <w:tc>
          <w:tcPr>
            <w:tcW w:w="728" w:type="dxa"/>
            <w:gridSpan w:val="2"/>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年初目标值</w:t>
            </w:r>
          </w:p>
        </w:tc>
        <w:tc>
          <w:tcPr>
            <w:tcW w:w="936" w:type="dxa"/>
            <w:gridSpan w:val="2"/>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实际完成值</w:t>
            </w:r>
          </w:p>
        </w:tc>
        <w:tc>
          <w:tcPr>
            <w:tcW w:w="757" w:type="dxa"/>
            <w:gridSpan w:val="2"/>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得分</w:t>
            </w:r>
          </w:p>
        </w:tc>
        <w:tc>
          <w:tcPr>
            <w:tcW w:w="1246" w:type="dxa"/>
            <w:gridSpan w:val="2"/>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仿宋_GB2312" w:hAnsi="宋体" w:eastAsia="仿宋_GB2312" w:cs="宋体"/>
                <w:b/>
                <w:bCs/>
                <w:kern w:val="0"/>
                <w:sz w:val="20"/>
              </w:rPr>
            </w:pPr>
            <w:r>
              <w:rPr>
                <w:rFonts w:hint="eastAsia" w:ascii="仿宋_GB2312" w:hAnsi="宋体" w:eastAsia="仿宋_GB2312" w:cs="宋体"/>
                <w:b/>
                <w:bCs/>
                <w:kern w:val="0"/>
                <w:sz w:val="20"/>
              </w:rPr>
              <w:t>未完成原因分析与改进措施</w:t>
            </w:r>
          </w:p>
        </w:tc>
        <w:tc>
          <w:tcPr>
            <w:tcW w:w="154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仿宋_GB2312" w:hAnsi="宋体" w:eastAsia="仿宋_GB2312" w:cs="宋体"/>
                <w:b/>
                <w:bCs/>
                <w:kern w:val="0"/>
                <w:sz w:val="20"/>
              </w:rPr>
            </w:pPr>
            <w:r>
              <w:rPr>
                <w:rFonts w:hint="eastAsia" w:ascii="仿宋_GB2312" w:hAnsi="宋体" w:eastAsia="仿宋_GB2312" w:cs="宋体"/>
                <w:b/>
                <w:bCs/>
                <w:kern w:val="0"/>
                <w:sz w:val="20"/>
              </w:rPr>
              <w:t>绩效指标分析与建议</w:t>
            </w:r>
          </w:p>
        </w:tc>
      </w:tr>
      <w:tr>
        <w:tblPrEx>
          <w:tblCellMar>
            <w:top w:w="0" w:type="dxa"/>
            <w:left w:w="108" w:type="dxa"/>
            <w:bottom w:w="0" w:type="dxa"/>
            <w:right w:w="108" w:type="dxa"/>
          </w:tblCellMar>
        </w:tblPrEx>
        <w:trPr>
          <w:trHeight w:val="335" w:hRule="atLeast"/>
        </w:trPr>
        <w:tc>
          <w:tcPr>
            <w:tcW w:w="541" w:type="dxa"/>
            <w:vMerge w:val="restart"/>
            <w:tcBorders>
              <w:top w:val="nil"/>
              <w:left w:val="single" w:color="auto" w:sz="4" w:space="0"/>
              <w:bottom w:val="single" w:color="auto" w:sz="4" w:space="0"/>
              <w:right w:val="single" w:color="auto" w:sz="4" w:space="0"/>
            </w:tcBorders>
            <w:shd w:val="clear" w:color="auto" w:fill="auto"/>
            <w:noWrap/>
            <w:textDirection w:val="tbRlV"/>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投入</w:t>
            </w:r>
          </w:p>
        </w:tc>
        <w:tc>
          <w:tcPr>
            <w:tcW w:w="633"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预算执行（25分）</w:t>
            </w:r>
          </w:p>
        </w:tc>
        <w:tc>
          <w:tcPr>
            <w:tcW w:w="684"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预算</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完成率</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（10分）</w:t>
            </w:r>
          </w:p>
        </w:tc>
        <w:tc>
          <w:tcPr>
            <w:tcW w:w="36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10</w:t>
            </w:r>
          </w:p>
        </w:tc>
        <w:tc>
          <w:tcPr>
            <w:tcW w:w="3251" w:type="dxa"/>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预算完成率=（预算完成数/预算数）×100%，用以反映和考核部门（单位）预算完成程度。</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预算完成数：部门（单位）本年度实际完成的预算数。</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预算数：财政部门批复的本年度部门（单位）预算数。</w:t>
            </w:r>
          </w:p>
        </w:tc>
        <w:tc>
          <w:tcPr>
            <w:tcW w:w="3003"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预算完成率＝100%的，得10分。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预算完成率≥95%的，得9分。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预算完成率在90%（含）和95%之间，得8分。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预算完成率在85%（含）和90%之间，得7分。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预算完成率在80%（含）和85%之间，得6分。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预算完成率在70%（含）和80%之间，得4分。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预算完成率＜70%的，得0分。</w:t>
            </w:r>
          </w:p>
        </w:tc>
        <w:tc>
          <w:tcPr>
            <w:tcW w:w="1029"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2019年决算取数。预算完成率=（财政拨款支出/财政拨款收入）*100%</w:t>
            </w:r>
          </w:p>
        </w:tc>
        <w:tc>
          <w:tcPr>
            <w:tcW w:w="728"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right"/>
              <w:rPr>
                <w:rFonts w:ascii="楷体_GB2312" w:hAnsi="宋体" w:eastAsia="楷体_GB2312" w:cs="宋体"/>
                <w:kern w:val="0"/>
                <w:sz w:val="20"/>
              </w:rPr>
            </w:pPr>
            <w:r>
              <w:rPr>
                <w:rFonts w:hint="eastAsia" w:ascii="楷体_GB2312" w:hAnsi="宋体" w:eastAsia="楷体_GB2312" w:cs="宋体"/>
                <w:kern w:val="0"/>
                <w:sz w:val="20"/>
              </w:rPr>
              <w:t>100%</w:t>
            </w:r>
          </w:p>
        </w:tc>
        <w:tc>
          <w:tcPr>
            <w:tcW w:w="936"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right"/>
              <w:rPr>
                <w:rFonts w:ascii="楷体_GB2312" w:hAnsi="宋体" w:eastAsia="楷体_GB2312" w:cs="宋体"/>
                <w:kern w:val="0"/>
                <w:sz w:val="20"/>
              </w:rPr>
            </w:pPr>
            <w:r>
              <w:rPr>
                <w:rFonts w:hint="eastAsia" w:ascii="楷体_GB2312" w:hAnsi="宋体" w:eastAsia="楷体_GB2312" w:cs="宋体"/>
                <w:kern w:val="0"/>
                <w:sz w:val="20"/>
              </w:rPr>
              <w:t>100%</w:t>
            </w:r>
          </w:p>
        </w:tc>
        <w:tc>
          <w:tcPr>
            <w:tcW w:w="757"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楷体_GB2312" w:hAnsi="宋体" w:eastAsia="楷体_GB2312" w:cs="宋体"/>
                <w:kern w:val="0"/>
                <w:sz w:val="20"/>
              </w:rPr>
            </w:pPr>
            <w:r>
              <w:rPr>
                <w:rFonts w:hint="eastAsia" w:ascii="楷体_GB2312" w:hAnsi="宋体" w:eastAsia="楷体_GB2312" w:cs="宋体"/>
                <w:kern w:val="0"/>
                <w:sz w:val="20"/>
              </w:rPr>
              <w:t>10</w:t>
            </w:r>
          </w:p>
        </w:tc>
        <w:tc>
          <w:tcPr>
            <w:tcW w:w="1246"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仿宋_GB2312" w:hAnsi="宋体" w:eastAsia="仿宋_GB2312" w:cs="宋体"/>
                <w:kern w:val="0"/>
                <w:sz w:val="20"/>
              </w:rPr>
            </w:pPr>
            <w:r>
              <w:rPr>
                <w:rFonts w:hint="eastAsia" w:ascii="仿宋_GB2312" w:hAnsi="宋体" w:eastAsia="仿宋_GB2312" w:cs="宋体"/>
                <w:kern w:val="0"/>
                <w:sz w:val="20"/>
              </w:rPr>
              <w:t>已完成</w:t>
            </w:r>
          </w:p>
        </w:tc>
        <w:tc>
          <w:tcPr>
            <w:tcW w:w="1540" w:type="dxa"/>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仿宋_GB2312" w:hAnsi="宋体" w:eastAsia="仿宋_GB2312" w:cs="宋体"/>
                <w:kern w:val="0"/>
                <w:sz w:val="20"/>
              </w:rPr>
            </w:pPr>
            <w:r>
              <w:rPr>
                <w:rFonts w:hint="eastAsia" w:ascii="仿宋_GB2312" w:hAnsi="宋体" w:eastAsia="仿宋_GB2312" w:cs="宋体"/>
                <w:kern w:val="0"/>
                <w:sz w:val="20"/>
              </w:rPr>
              <w:t>　</w:t>
            </w:r>
          </w:p>
        </w:tc>
      </w:tr>
      <w:tr>
        <w:tblPrEx>
          <w:tblCellMar>
            <w:top w:w="0" w:type="dxa"/>
            <w:left w:w="108" w:type="dxa"/>
            <w:bottom w:w="0" w:type="dxa"/>
            <w:right w:w="108" w:type="dxa"/>
          </w:tblCellMar>
        </w:tblPrEx>
        <w:trPr>
          <w:trHeight w:val="2026" w:hRule="atLeast"/>
        </w:trPr>
        <w:tc>
          <w:tcPr>
            <w:tcW w:w="541"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楷体_GB2312" w:hAnsi="宋体" w:eastAsia="楷体_GB2312" w:cs="宋体"/>
                <w:kern w:val="0"/>
                <w:sz w:val="20"/>
              </w:rPr>
            </w:pPr>
          </w:p>
        </w:tc>
        <w:tc>
          <w:tcPr>
            <w:tcW w:w="633"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楷体_GB2312" w:hAnsi="宋体" w:eastAsia="楷体_GB2312" w:cs="宋体"/>
                <w:kern w:val="0"/>
                <w:sz w:val="20"/>
              </w:rPr>
            </w:pPr>
          </w:p>
        </w:tc>
        <w:tc>
          <w:tcPr>
            <w:tcW w:w="684"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预算调整率</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（5分）</w:t>
            </w:r>
          </w:p>
        </w:tc>
        <w:tc>
          <w:tcPr>
            <w:tcW w:w="36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5</w:t>
            </w:r>
          </w:p>
        </w:tc>
        <w:tc>
          <w:tcPr>
            <w:tcW w:w="3251" w:type="dxa"/>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预算调整率=（预算调整数/预算数）×100%，用以反映和考核部门（单位）预算的调整程度。</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预算调整数：部门（单位）在本年度内涉及预算的追加、追减或结构调整的资金总和（因落实国家政策、发生不可抗力、上级部门或本级党委政府临时交办而产生的调整除外）。</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预算包括一般公共预算与政府性基金预算。</w:t>
            </w:r>
          </w:p>
        </w:tc>
        <w:tc>
          <w:tcPr>
            <w:tcW w:w="3003"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预算调整率绝对值≤5%，得5分。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预算调整率绝对值＞5%的，每增加0.1个百分点扣0.1分，扣完为止。</w:t>
            </w:r>
          </w:p>
        </w:tc>
        <w:tc>
          <w:tcPr>
            <w:tcW w:w="1029"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2019年决算取数。预算调整率=（预算调整数/预算数）×100%</w:t>
            </w:r>
          </w:p>
        </w:tc>
        <w:tc>
          <w:tcPr>
            <w:tcW w:w="728"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Arial" w:hAnsi="Arial" w:eastAsia="宋体" w:cs="Arial"/>
                <w:kern w:val="0"/>
                <w:sz w:val="20"/>
              </w:rPr>
            </w:pPr>
            <w:r>
              <w:rPr>
                <w:rFonts w:ascii="Arial" w:hAnsi="Arial" w:eastAsia="宋体" w:cs="Arial"/>
                <w:kern w:val="0"/>
                <w:sz w:val="20"/>
              </w:rPr>
              <w:t>≤</w:t>
            </w:r>
            <w:r>
              <w:rPr>
                <w:rFonts w:hint="eastAsia" w:ascii="楷体_GB2312" w:hAnsi="Arial" w:eastAsia="楷体_GB2312" w:cs="Arial"/>
                <w:kern w:val="0"/>
                <w:sz w:val="20"/>
              </w:rPr>
              <w:t>5%</w:t>
            </w:r>
          </w:p>
        </w:tc>
        <w:tc>
          <w:tcPr>
            <w:tcW w:w="936"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right"/>
              <w:rPr>
                <w:rFonts w:ascii="楷体_GB2312" w:hAnsi="宋体" w:eastAsia="楷体_GB2312" w:cs="宋体"/>
                <w:kern w:val="0"/>
                <w:sz w:val="20"/>
              </w:rPr>
            </w:pPr>
            <w:r>
              <w:rPr>
                <w:rFonts w:hint="eastAsia" w:ascii="楷体_GB2312" w:hAnsi="宋体" w:eastAsia="楷体_GB2312" w:cs="宋体"/>
                <w:kern w:val="0"/>
                <w:sz w:val="20"/>
                <w:lang w:val="en-US" w:eastAsia="zh-CN"/>
              </w:rPr>
              <w:t>220.41</w:t>
            </w:r>
            <w:r>
              <w:rPr>
                <w:rFonts w:hint="eastAsia" w:ascii="楷体_GB2312" w:hAnsi="宋体" w:eastAsia="楷体_GB2312" w:cs="宋体"/>
                <w:kern w:val="0"/>
                <w:sz w:val="20"/>
              </w:rPr>
              <w:t>%</w:t>
            </w:r>
          </w:p>
        </w:tc>
        <w:tc>
          <w:tcPr>
            <w:tcW w:w="757"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楷体_GB2312" w:hAnsi="宋体" w:eastAsia="楷体_GB2312" w:cs="宋体"/>
                <w:kern w:val="0"/>
                <w:sz w:val="20"/>
              </w:rPr>
            </w:pPr>
            <w:r>
              <w:rPr>
                <w:rFonts w:hint="eastAsia" w:ascii="楷体_GB2312" w:hAnsi="宋体" w:eastAsia="楷体_GB2312" w:cs="宋体"/>
                <w:kern w:val="0"/>
                <w:sz w:val="20"/>
              </w:rPr>
              <w:t>0</w:t>
            </w:r>
          </w:p>
        </w:tc>
        <w:tc>
          <w:tcPr>
            <w:tcW w:w="1246"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仿宋_GB2312" w:hAnsi="宋体" w:eastAsia="仿宋_GB2312" w:cs="宋体"/>
                <w:kern w:val="0"/>
                <w:sz w:val="20"/>
              </w:rPr>
            </w:pPr>
            <w:r>
              <w:rPr>
                <w:rFonts w:hint="eastAsia" w:ascii="仿宋_GB2312" w:hAnsi="宋体" w:eastAsia="仿宋_GB2312" w:cs="宋体"/>
                <w:kern w:val="0"/>
                <w:sz w:val="20"/>
              </w:rPr>
              <w:t>加强年初预算管理，提高财政预算精确度。</w:t>
            </w:r>
          </w:p>
        </w:tc>
        <w:tc>
          <w:tcPr>
            <w:tcW w:w="1540" w:type="dxa"/>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仿宋_GB2312" w:hAnsi="宋体" w:eastAsia="仿宋_GB2312" w:cs="宋体"/>
                <w:kern w:val="0"/>
                <w:sz w:val="20"/>
              </w:rPr>
            </w:pPr>
            <w:r>
              <w:rPr>
                <w:rFonts w:hint="eastAsia" w:ascii="仿宋_GB2312" w:hAnsi="宋体" w:eastAsia="仿宋_GB2312" w:cs="宋体"/>
                <w:kern w:val="0"/>
                <w:sz w:val="20"/>
              </w:rPr>
              <w:t>预算调整主要为项目预算追加，建议年初增加部门项目预算。</w:t>
            </w:r>
          </w:p>
        </w:tc>
      </w:tr>
      <w:tr>
        <w:tblPrEx>
          <w:tblCellMar>
            <w:top w:w="0" w:type="dxa"/>
            <w:left w:w="108" w:type="dxa"/>
            <w:bottom w:w="0" w:type="dxa"/>
            <w:right w:w="108" w:type="dxa"/>
          </w:tblCellMar>
        </w:tblPrEx>
        <w:trPr>
          <w:trHeight w:val="756" w:hRule="atLeast"/>
        </w:trPr>
        <w:tc>
          <w:tcPr>
            <w:tcW w:w="54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一级</w:t>
            </w:r>
            <w:r>
              <w:rPr>
                <w:rFonts w:hint="eastAsia" w:ascii="楷体_GB2312" w:hAnsi="宋体" w:eastAsia="楷体_GB2312" w:cs="宋体"/>
                <w:b/>
                <w:bCs/>
                <w:kern w:val="0"/>
                <w:sz w:val="20"/>
              </w:rPr>
              <w:br w:type="textWrapping"/>
            </w:r>
            <w:r>
              <w:rPr>
                <w:rFonts w:hint="eastAsia" w:ascii="楷体_GB2312" w:hAnsi="宋体" w:eastAsia="楷体_GB2312" w:cs="宋体"/>
                <w:b/>
                <w:bCs/>
                <w:kern w:val="0"/>
                <w:sz w:val="20"/>
              </w:rPr>
              <w:t>指标</w:t>
            </w:r>
          </w:p>
        </w:tc>
        <w:tc>
          <w:tcPr>
            <w:tcW w:w="633"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二级</w:t>
            </w:r>
            <w:r>
              <w:rPr>
                <w:rFonts w:hint="eastAsia" w:ascii="楷体_GB2312" w:hAnsi="宋体" w:eastAsia="楷体_GB2312" w:cs="宋体"/>
                <w:b/>
                <w:bCs/>
                <w:kern w:val="0"/>
                <w:sz w:val="20"/>
              </w:rPr>
              <w:br w:type="textWrapping"/>
            </w:r>
            <w:r>
              <w:rPr>
                <w:rFonts w:hint="eastAsia" w:ascii="楷体_GB2312" w:hAnsi="宋体" w:eastAsia="楷体_GB2312" w:cs="宋体"/>
                <w:b/>
                <w:bCs/>
                <w:kern w:val="0"/>
                <w:sz w:val="20"/>
              </w:rPr>
              <w:t>指标</w:t>
            </w:r>
          </w:p>
        </w:tc>
        <w:tc>
          <w:tcPr>
            <w:tcW w:w="684"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三级指标</w:t>
            </w:r>
          </w:p>
        </w:tc>
        <w:tc>
          <w:tcPr>
            <w:tcW w:w="3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分值</w:t>
            </w:r>
          </w:p>
        </w:tc>
        <w:tc>
          <w:tcPr>
            <w:tcW w:w="3251" w:type="dxa"/>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指标说明</w:t>
            </w:r>
          </w:p>
        </w:tc>
        <w:tc>
          <w:tcPr>
            <w:tcW w:w="3003" w:type="dxa"/>
            <w:gridSpan w:val="2"/>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评分标准</w:t>
            </w:r>
          </w:p>
          <w:p>
            <w:pPr>
              <w:rPr>
                <w:rFonts w:ascii="楷体_GB2312" w:hAnsi="宋体" w:eastAsia="楷体_GB2312" w:cs="宋体"/>
                <w:sz w:val="20"/>
              </w:rPr>
            </w:pPr>
          </w:p>
          <w:p>
            <w:pPr>
              <w:rPr>
                <w:rFonts w:ascii="楷体_GB2312" w:hAnsi="宋体" w:eastAsia="楷体_GB2312" w:cs="宋体"/>
                <w:sz w:val="20"/>
              </w:rPr>
            </w:pPr>
          </w:p>
        </w:tc>
        <w:tc>
          <w:tcPr>
            <w:tcW w:w="1029" w:type="dxa"/>
            <w:gridSpan w:val="2"/>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指标值计算公式和数据获取方式</w:t>
            </w:r>
          </w:p>
        </w:tc>
        <w:tc>
          <w:tcPr>
            <w:tcW w:w="728" w:type="dxa"/>
            <w:gridSpan w:val="2"/>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年初目标值</w:t>
            </w:r>
          </w:p>
        </w:tc>
        <w:tc>
          <w:tcPr>
            <w:tcW w:w="936" w:type="dxa"/>
            <w:gridSpan w:val="2"/>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实际完成值</w:t>
            </w:r>
          </w:p>
        </w:tc>
        <w:tc>
          <w:tcPr>
            <w:tcW w:w="757" w:type="dxa"/>
            <w:gridSpan w:val="2"/>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得分</w:t>
            </w:r>
          </w:p>
        </w:tc>
        <w:tc>
          <w:tcPr>
            <w:tcW w:w="1246" w:type="dxa"/>
            <w:gridSpan w:val="2"/>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仿宋_GB2312" w:hAnsi="宋体" w:eastAsia="仿宋_GB2312" w:cs="宋体"/>
                <w:b/>
                <w:bCs/>
                <w:kern w:val="0"/>
                <w:sz w:val="20"/>
              </w:rPr>
            </w:pPr>
            <w:r>
              <w:rPr>
                <w:rFonts w:hint="eastAsia" w:ascii="仿宋_GB2312" w:hAnsi="宋体" w:eastAsia="仿宋_GB2312" w:cs="宋体"/>
                <w:b/>
                <w:bCs/>
                <w:kern w:val="0"/>
                <w:sz w:val="20"/>
              </w:rPr>
              <w:t>未完成原因分析与改进措施</w:t>
            </w:r>
          </w:p>
        </w:tc>
        <w:tc>
          <w:tcPr>
            <w:tcW w:w="1540" w:type="dxa"/>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仿宋_GB2312" w:hAnsi="宋体" w:eastAsia="仿宋_GB2312" w:cs="宋体"/>
                <w:b/>
                <w:bCs/>
                <w:kern w:val="0"/>
                <w:sz w:val="20"/>
              </w:rPr>
            </w:pPr>
            <w:r>
              <w:rPr>
                <w:rFonts w:hint="eastAsia" w:ascii="仿宋_GB2312" w:hAnsi="宋体" w:eastAsia="仿宋_GB2312" w:cs="宋体"/>
                <w:b/>
                <w:bCs/>
                <w:kern w:val="0"/>
                <w:sz w:val="20"/>
              </w:rPr>
              <w:t>绩效指标分析与建议</w:t>
            </w:r>
          </w:p>
        </w:tc>
      </w:tr>
      <w:tr>
        <w:tblPrEx>
          <w:tblCellMar>
            <w:top w:w="0" w:type="dxa"/>
            <w:left w:w="108" w:type="dxa"/>
            <w:bottom w:w="0" w:type="dxa"/>
            <w:right w:w="108" w:type="dxa"/>
          </w:tblCellMar>
        </w:tblPrEx>
        <w:trPr>
          <w:trHeight w:val="2187" w:hRule="atLeast"/>
        </w:trPr>
        <w:tc>
          <w:tcPr>
            <w:tcW w:w="541" w:type="dxa"/>
            <w:vMerge w:val="restart"/>
            <w:tcBorders>
              <w:top w:val="nil"/>
              <w:left w:val="single" w:color="auto" w:sz="4" w:space="0"/>
              <w:bottom w:val="single" w:color="auto" w:sz="4" w:space="0"/>
              <w:right w:val="single" w:color="auto" w:sz="4" w:space="0"/>
            </w:tcBorders>
            <w:shd w:val="clear" w:color="auto" w:fill="auto"/>
            <w:noWrap/>
            <w:textDirection w:val="tbRlV"/>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投入</w:t>
            </w:r>
          </w:p>
        </w:tc>
        <w:tc>
          <w:tcPr>
            <w:tcW w:w="633"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预算执行（25分）</w:t>
            </w:r>
          </w:p>
        </w:tc>
        <w:tc>
          <w:tcPr>
            <w:tcW w:w="684"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支出进度率</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（5分）</w:t>
            </w:r>
          </w:p>
        </w:tc>
        <w:tc>
          <w:tcPr>
            <w:tcW w:w="36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5</w:t>
            </w:r>
          </w:p>
        </w:tc>
        <w:tc>
          <w:tcPr>
            <w:tcW w:w="3251" w:type="dxa"/>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支出进度率=（实际支出/支出预算）×100%，用以反映和考核部门（单位）预算执行的及时性和均衡性程度。</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半年支出进度＝部门上半年实际支出/（上年结余结转+本年部门预算安排+上半年执行中追加追减）*100%。</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前三季度支出进度＝部门前三季度实际支出/（上年结余结转+本年部门预算安排+前三季度执行中追加追减）*100%。</w:t>
            </w:r>
          </w:p>
        </w:tc>
        <w:tc>
          <w:tcPr>
            <w:tcW w:w="3003"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半年进度：进度率≥45%，得2分；进度率在40%（含）和45%之间，得1分；进度率＜40%，得0分。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前三季度进度：进度率≥75%，得3分；进度率在60%（含）和75%之间，得2分；进度率＜60%，得0分。</w:t>
            </w:r>
          </w:p>
        </w:tc>
        <w:tc>
          <w:tcPr>
            <w:tcW w:w="1029"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国库集中支付系统。支出进度率=（实际支出/支出预算）×100%</w:t>
            </w:r>
          </w:p>
        </w:tc>
        <w:tc>
          <w:tcPr>
            <w:tcW w:w="728"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半年支出进度</w:t>
            </w:r>
            <w:r>
              <w:rPr>
                <w:rFonts w:ascii="Arial" w:hAnsi="Arial" w:eastAsia="楷体_GB2312" w:cs="Arial"/>
                <w:kern w:val="0"/>
                <w:sz w:val="20"/>
              </w:rPr>
              <w:t>≥</w:t>
            </w:r>
            <w:r>
              <w:rPr>
                <w:rFonts w:hint="eastAsia" w:ascii="楷体_GB2312" w:hAnsi="宋体" w:eastAsia="楷体_GB2312" w:cs="宋体"/>
                <w:kern w:val="0"/>
                <w:sz w:val="20"/>
              </w:rPr>
              <w:t>50%，第三季度支出进度≥50%。</w:t>
            </w:r>
          </w:p>
        </w:tc>
        <w:tc>
          <w:tcPr>
            <w:tcW w:w="936"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半年支出进度</w:t>
            </w:r>
            <w:r>
              <w:rPr>
                <w:rFonts w:ascii="Arial" w:hAnsi="Arial" w:eastAsia="楷体_GB2312" w:cs="Arial"/>
                <w:kern w:val="0"/>
                <w:sz w:val="20"/>
              </w:rPr>
              <w:t>≥</w:t>
            </w:r>
            <w:r>
              <w:rPr>
                <w:rFonts w:hint="eastAsia" w:ascii="楷体_GB2312" w:hAnsi="宋体" w:eastAsia="楷体_GB2312" w:cs="宋体"/>
                <w:kern w:val="0"/>
                <w:sz w:val="20"/>
              </w:rPr>
              <w:t>50%，第三季度支出进度≥50%。</w:t>
            </w:r>
          </w:p>
        </w:tc>
        <w:tc>
          <w:tcPr>
            <w:tcW w:w="757"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楷体_GB2312" w:hAnsi="宋体" w:eastAsia="楷体_GB2312" w:cs="宋体"/>
                <w:kern w:val="0"/>
                <w:sz w:val="20"/>
              </w:rPr>
            </w:pPr>
            <w:r>
              <w:rPr>
                <w:rFonts w:hint="eastAsia" w:ascii="楷体_GB2312" w:hAnsi="宋体" w:eastAsia="楷体_GB2312" w:cs="宋体"/>
                <w:kern w:val="0"/>
                <w:sz w:val="20"/>
              </w:rPr>
              <w:t>5</w:t>
            </w:r>
          </w:p>
        </w:tc>
        <w:tc>
          <w:tcPr>
            <w:tcW w:w="1246"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仿宋_GB2312" w:hAnsi="宋体" w:eastAsia="仿宋_GB2312" w:cs="宋体"/>
                <w:kern w:val="0"/>
                <w:sz w:val="20"/>
              </w:rPr>
            </w:pPr>
            <w:r>
              <w:rPr>
                <w:rFonts w:hint="eastAsia" w:ascii="仿宋_GB2312" w:hAnsi="宋体" w:eastAsia="仿宋_GB2312" w:cs="宋体"/>
                <w:kern w:val="0"/>
                <w:sz w:val="20"/>
              </w:rPr>
              <w:t>已完成</w:t>
            </w:r>
          </w:p>
        </w:tc>
        <w:tc>
          <w:tcPr>
            <w:tcW w:w="1540" w:type="dxa"/>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仿宋_GB2312" w:hAnsi="宋体" w:eastAsia="仿宋_GB2312" w:cs="宋体"/>
                <w:kern w:val="0"/>
                <w:sz w:val="20"/>
              </w:rPr>
            </w:pPr>
            <w:r>
              <w:rPr>
                <w:rFonts w:hint="eastAsia" w:ascii="仿宋_GB2312" w:hAnsi="宋体" w:eastAsia="仿宋_GB2312" w:cs="宋体"/>
                <w:kern w:val="0"/>
                <w:sz w:val="20"/>
              </w:rPr>
              <w:t>　</w:t>
            </w:r>
          </w:p>
        </w:tc>
      </w:tr>
      <w:tr>
        <w:tblPrEx>
          <w:tblCellMar>
            <w:top w:w="0" w:type="dxa"/>
            <w:left w:w="108" w:type="dxa"/>
            <w:bottom w:w="0" w:type="dxa"/>
            <w:right w:w="108" w:type="dxa"/>
          </w:tblCellMar>
        </w:tblPrEx>
        <w:trPr>
          <w:trHeight w:val="1058" w:hRule="atLeast"/>
        </w:trPr>
        <w:tc>
          <w:tcPr>
            <w:tcW w:w="541"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楷体_GB2312" w:hAnsi="宋体" w:eastAsia="楷体_GB2312" w:cs="宋体"/>
                <w:kern w:val="0"/>
                <w:sz w:val="20"/>
              </w:rPr>
            </w:pPr>
          </w:p>
        </w:tc>
        <w:tc>
          <w:tcPr>
            <w:tcW w:w="633"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楷体_GB2312" w:hAnsi="宋体" w:eastAsia="楷体_GB2312" w:cs="宋体"/>
                <w:kern w:val="0"/>
                <w:sz w:val="20"/>
              </w:rPr>
            </w:pPr>
          </w:p>
        </w:tc>
        <w:tc>
          <w:tcPr>
            <w:tcW w:w="684"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预算编制准确率（5分）</w:t>
            </w:r>
          </w:p>
        </w:tc>
        <w:tc>
          <w:tcPr>
            <w:tcW w:w="36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5</w:t>
            </w:r>
          </w:p>
        </w:tc>
        <w:tc>
          <w:tcPr>
            <w:tcW w:w="3251" w:type="dxa"/>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部门预算中除财政拨款外的其他收入预算与决算差异率。</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预算编制准确率＝其他收入决算数/其他收入预算数×100%-100%。</w:t>
            </w:r>
          </w:p>
        </w:tc>
        <w:tc>
          <w:tcPr>
            <w:tcW w:w="3003"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预算编制准确率≤20%，得5分。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预算编制准确率在20%和40%（含）之间，得3分。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预算编制准确率＞40%，得0分。</w:t>
            </w:r>
          </w:p>
        </w:tc>
        <w:tc>
          <w:tcPr>
            <w:tcW w:w="1029"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2019年初预算和决算数。预算编制准确率≤20%</w:t>
            </w:r>
          </w:p>
        </w:tc>
        <w:tc>
          <w:tcPr>
            <w:tcW w:w="728"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预算编制准确率≤20%</w:t>
            </w:r>
          </w:p>
        </w:tc>
        <w:tc>
          <w:tcPr>
            <w:tcW w:w="936"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预算编制准确率≤20%</w:t>
            </w:r>
          </w:p>
        </w:tc>
        <w:tc>
          <w:tcPr>
            <w:tcW w:w="757"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楷体_GB2312" w:hAnsi="宋体" w:eastAsia="楷体_GB2312" w:cs="宋体"/>
                <w:kern w:val="0"/>
                <w:sz w:val="20"/>
              </w:rPr>
            </w:pPr>
            <w:r>
              <w:rPr>
                <w:rFonts w:hint="eastAsia" w:ascii="楷体_GB2312" w:hAnsi="宋体" w:eastAsia="楷体_GB2312" w:cs="宋体"/>
                <w:kern w:val="0"/>
                <w:sz w:val="20"/>
              </w:rPr>
              <w:t>5</w:t>
            </w:r>
          </w:p>
        </w:tc>
        <w:tc>
          <w:tcPr>
            <w:tcW w:w="1246"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仿宋_GB2312" w:hAnsi="宋体" w:eastAsia="仿宋_GB2312" w:cs="宋体"/>
                <w:kern w:val="0"/>
                <w:sz w:val="20"/>
              </w:rPr>
            </w:pPr>
            <w:r>
              <w:rPr>
                <w:rFonts w:hint="eastAsia" w:ascii="仿宋_GB2312" w:hAnsi="宋体" w:eastAsia="仿宋_GB2312" w:cs="宋体"/>
                <w:kern w:val="0"/>
                <w:sz w:val="20"/>
              </w:rPr>
              <w:t>已完成</w:t>
            </w:r>
          </w:p>
        </w:tc>
        <w:tc>
          <w:tcPr>
            <w:tcW w:w="1540" w:type="dxa"/>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仿宋_GB2312" w:hAnsi="宋体" w:eastAsia="仿宋_GB2312" w:cs="宋体"/>
                <w:kern w:val="0"/>
                <w:sz w:val="20"/>
              </w:rPr>
            </w:pPr>
            <w:r>
              <w:rPr>
                <w:rFonts w:hint="eastAsia" w:ascii="仿宋_GB2312" w:hAnsi="宋体" w:eastAsia="仿宋_GB2312" w:cs="宋体"/>
                <w:kern w:val="0"/>
                <w:sz w:val="20"/>
              </w:rPr>
              <w:t>　</w:t>
            </w:r>
          </w:p>
        </w:tc>
      </w:tr>
      <w:tr>
        <w:tblPrEx>
          <w:tblCellMar>
            <w:top w:w="0" w:type="dxa"/>
            <w:left w:w="108" w:type="dxa"/>
            <w:bottom w:w="0" w:type="dxa"/>
            <w:right w:w="108" w:type="dxa"/>
          </w:tblCellMar>
        </w:tblPrEx>
        <w:trPr>
          <w:trHeight w:val="2206" w:hRule="atLeast"/>
        </w:trPr>
        <w:tc>
          <w:tcPr>
            <w:tcW w:w="541" w:type="dxa"/>
            <w:vMerge w:val="restart"/>
            <w:tcBorders>
              <w:top w:val="nil"/>
              <w:left w:val="single" w:color="auto" w:sz="4" w:space="0"/>
              <w:bottom w:val="single" w:color="auto" w:sz="4" w:space="0"/>
              <w:right w:val="single" w:color="auto" w:sz="4" w:space="0"/>
            </w:tcBorders>
            <w:shd w:val="clear" w:color="auto" w:fill="auto"/>
            <w:noWrap/>
            <w:textDirection w:val="tbRlV"/>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过程</w:t>
            </w:r>
          </w:p>
        </w:tc>
        <w:tc>
          <w:tcPr>
            <w:tcW w:w="633"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预算管理（15分）</w:t>
            </w:r>
          </w:p>
        </w:tc>
        <w:tc>
          <w:tcPr>
            <w:tcW w:w="684"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“三公经费”控制率</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（5分）</w:t>
            </w:r>
          </w:p>
        </w:tc>
        <w:tc>
          <w:tcPr>
            <w:tcW w:w="36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5</w:t>
            </w:r>
          </w:p>
        </w:tc>
        <w:tc>
          <w:tcPr>
            <w:tcW w:w="3251" w:type="dxa"/>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“三公经费”控制率=（“三公经费”实际支出数/“三公经费”预算安排数）×100%，用以反映和考核部门（单位）对“三公经费”的实际控制程度。</w:t>
            </w:r>
          </w:p>
        </w:tc>
        <w:tc>
          <w:tcPr>
            <w:tcW w:w="3003"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三公经费控制率 ≤100%，得5分，每增加0.1个百分点扣0.5分，扣完为止。</w:t>
            </w:r>
          </w:p>
        </w:tc>
        <w:tc>
          <w:tcPr>
            <w:tcW w:w="1029"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2019年预算和决算数。三公经费”控制率=（“三公经费”实际支出数/“三公经费”预算安排数）×100%</w:t>
            </w:r>
          </w:p>
        </w:tc>
        <w:tc>
          <w:tcPr>
            <w:tcW w:w="728"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三公经费控制率≤100%</w:t>
            </w:r>
          </w:p>
        </w:tc>
        <w:tc>
          <w:tcPr>
            <w:tcW w:w="936"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right"/>
              <w:rPr>
                <w:rFonts w:ascii="楷体_GB2312" w:hAnsi="宋体" w:eastAsia="楷体_GB2312" w:cs="宋体"/>
                <w:kern w:val="0"/>
                <w:sz w:val="20"/>
              </w:rPr>
            </w:pPr>
            <w:r>
              <w:rPr>
                <w:rFonts w:hint="eastAsia" w:ascii="楷体_GB2312" w:hAnsi="宋体" w:eastAsia="楷体_GB2312" w:cs="宋体"/>
                <w:kern w:val="0"/>
                <w:sz w:val="20"/>
                <w:lang w:val="en-US" w:eastAsia="zh-CN"/>
              </w:rPr>
              <w:t>100</w:t>
            </w:r>
            <w:r>
              <w:rPr>
                <w:rFonts w:hint="eastAsia" w:ascii="楷体_GB2312" w:hAnsi="宋体" w:eastAsia="楷体_GB2312" w:cs="宋体"/>
                <w:kern w:val="0"/>
                <w:sz w:val="20"/>
              </w:rPr>
              <w:t>%</w:t>
            </w:r>
          </w:p>
        </w:tc>
        <w:tc>
          <w:tcPr>
            <w:tcW w:w="757"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hint="eastAsia" w:ascii="楷体_GB2312" w:hAnsi="宋体" w:eastAsia="楷体_GB2312" w:cs="宋体"/>
                <w:kern w:val="0"/>
                <w:sz w:val="20"/>
                <w:lang w:eastAsia="zh-CN"/>
              </w:rPr>
            </w:pPr>
            <w:r>
              <w:rPr>
                <w:rFonts w:hint="eastAsia" w:ascii="楷体_GB2312" w:hAnsi="宋体" w:eastAsia="楷体_GB2312" w:cs="宋体"/>
                <w:kern w:val="0"/>
                <w:sz w:val="20"/>
                <w:lang w:val="en-US" w:eastAsia="zh-CN"/>
              </w:rPr>
              <w:t>5</w:t>
            </w:r>
          </w:p>
        </w:tc>
        <w:tc>
          <w:tcPr>
            <w:tcW w:w="1246"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hint="eastAsia" w:ascii="仿宋_GB2312" w:hAnsi="宋体" w:eastAsia="仿宋_GB2312" w:cs="宋体"/>
                <w:kern w:val="0"/>
                <w:sz w:val="20"/>
                <w:lang w:val="en-US" w:eastAsia="zh-CN"/>
              </w:rPr>
            </w:pPr>
            <w:r>
              <w:rPr>
                <w:rFonts w:hint="eastAsia" w:ascii="仿宋_GB2312" w:hAnsi="宋体" w:eastAsia="仿宋_GB2312" w:cs="宋体"/>
                <w:kern w:val="0"/>
                <w:sz w:val="20"/>
                <w:lang w:val="en-US" w:eastAsia="zh-CN"/>
              </w:rPr>
              <w:t>已完成</w:t>
            </w:r>
          </w:p>
        </w:tc>
        <w:tc>
          <w:tcPr>
            <w:tcW w:w="1540" w:type="dxa"/>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仿宋_GB2312" w:hAnsi="宋体" w:eastAsia="仿宋_GB2312" w:cs="宋体"/>
                <w:kern w:val="0"/>
                <w:sz w:val="20"/>
              </w:rPr>
            </w:pPr>
            <w:r>
              <w:rPr>
                <w:rFonts w:hint="eastAsia" w:ascii="仿宋_GB2312" w:hAnsi="宋体" w:eastAsia="仿宋_GB2312" w:cs="宋体"/>
                <w:kern w:val="0"/>
                <w:sz w:val="20"/>
              </w:rPr>
              <w:t>　</w:t>
            </w:r>
          </w:p>
        </w:tc>
      </w:tr>
      <w:tr>
        <w:tblPrEx>
          <w:tblCellMar>
            <w:top w:w="0" w:type="dxa"/>
            <w:left w:w="108" w:type="dxa"/>
            <w:bottom w:w="0" w:type="dxa"/>
            <w:right w:w="108" w:type="dxa"/>
          </w:tblCellMar>
        </w:tblPrEx>
        <w:trPr>
          <w:trHeight w:val="216" w:hRule="atLeast"/>
        </w:trPr>
        <w:tc>
          <w:tcPr>
            <w:tcW w:w="541"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楷体_GB2312" w:hAnsi="宋体" w:eastAsia="楷体_GB2312" w:cs="宋体"/>
                <w:kern w:val="0"/>
                <w:sz w:val="20"/>
              </w:rPr>
            </w:pPr>
          </w:p>
        </w:tc>
        <w:tc>
          <w:tcPr>
            <w:tcW w:w="633"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楷体_GB2312" w:hAnsi="宋体" w:eastAsia="楷体_GB2312" w:cs="宋体"/>
                <w:kern w:val="0"/>
                <w:sz w:val="20"/>
              </w:rPr>
            </w:pPr>
          </w:p>
        </w:tc>
        <w:tc>
          <w:tcPr>
            <w:tcW w:w="684"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资产管理规范性</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（5分）</w:t>
            </w:r>
          </w:p>
        </w:tc>
        <w:tc>
          <w:tcPr>
            <w:tcW w:w="36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5</w:t>
            </w:r>
          </w:p>
        </w:tc>
        <w:tc>
          <w:tcPr>
            <w:tcW w:w="3251" w:type="dxa"/>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部门（单位）资产管理是否规范，用以反映和考核部门（单位）资产管理情况。</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1.新增资产配置按预算执行。</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2.资产有偿使用、处置按规定程序审批。</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3.资产收益及时、足额上缴财政。</w:t>
            </w:r>
          </w:p>
        </w:tc>
        <w:tc>
          <w:tcPr>
            <w:tcW w:w="3003"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全部符合5分，有1项不符扣2分,扣完为止。</w:t>
            </w:r>
          </w:p>
        </w:tc>
        <w:tc>
          <w:tcPr>
            <w:tcW w:w="1029"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按照蓝田县财政局关于行政事业单位国有资产管理规定</w:t>
            </w:r>
          </w:p>
        </w:tc>
        <w:tc>
          <w:tcPr>
            <w:tcW w:w="728"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资产管理严格按照规定执行</w:t>
            </w:r>
          </w:p>
        </w:tc>
        <w:tc>
          <w:tcPr>
            <w:tcW w:w="936"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资产管理严格按照规定执行</w:t>
            </w:r>
          </w:p>
        </w:tc>
        <w:tc>
          <w:tcPr>
            <w:tcW w:w="757"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楷体_GB2312" w:hAnsi="宋体" w:eastAsia="楷体_GB2312" w:cs="宋体"/>
                <w:kern w:val="0"/>
                <w:sz w:val="20"/>
              </w:rPr>
            </w:pPr>
            <w:r>
              <w:rPr>
                <w:rFonts w:hint="eastAsia" w:ascii="楷体_GB2312" w:hAnsi="宋体" w:eastAsia="楷体_GB2312" w:cs="宋体"/>
                <w:kern w:val="0"/>
                <w:sz w:val="20"/>
              </w:rPr>
              <w:t>5</w:t>
            </w:r>
          </w:p>
        </w:tc>
        <w:tc>
          <w:tcPr>
            <w:tcW w:w="1246"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仿宋_GB2312" w:hAnsi="宋体" w:eastAsia="仿宋_GB2312" w:cs="宋体"/>
                <w:kern w:val="0"/>
                <w:sz w:val="20"/>
              </w:rPr>
            </w:pPr>
            <w:r>
              <w:rPr>
                <w:rFonts w:hint="eastAsia" w:ascii="仿宋_GB2312" w:hAnsi="宋体" w:eastAsia="仿宋_GB2312" w:cs="宋体"/>
                <w:kern w:val="0"/>
                <w:sz w:val="20"/>
              </w:rPr>
              <w:t>已完成</w:t>
            </w:r>
          </w:p>
        </w:tc>
        <w:tc>
          <w:tcPr>
            <w:tcW w:w="1540" w:type="dxa"/>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加快资产购置和处置审批，提高资产管理效率。</w:t>
            </w:r>
          </w:p>
        </w:tc>
      </w:tr>
      <w:tr>
        <w:tblPrEx>
          <w:tblCellMar>
            <w:top w:w="0" w:type="dxa"/>
            <w:left w:w="108" w:type="dxa"/>
            <w:bottom w:w="0" w:type="dxa"/>
            <w:right w:w="108" w:type="dxa"/>
          </w:tblCellMar>
        </w:tblPrEx>
        <w:trPr>
          <w:trHeight w:val="216" w:hRule="atLeast"/>
        </w:trPr>
        <w:tc>
          <w:tcPr>
            <w:tcW w:w="541" w:type="dxa"/>
            <w:tcBorders>
              <w:top w:val="nil"/>
              <w:left w:val="nil"/>
              <w:bottom w:val="nil"/>
              <w:right w:val="nil"/>
            </w:tcBorders>
            <w:shd w:val="clear" w:color="auto" w:fill="auto"/>
            <w:noWrap/>
            <w:textDirection w:val="tbRlV"/>
            <w:vAlign w:val="center"/>
          </w:tcPr>
          <w:p>
            <w:pPr>
              <w:widowControl/>
              <w:spacing w:line="240" w:lineRule="exact"/>
              <w:jc w:val="center"/>
              <w:rPr>
                <w:rFonts w:ascii="楷体_GB2312" w:hAnsi="宋体" w:eastAsia="楷体_GB2312" w:cs="宋体"/>
                <w:kern w:val="0"/>
                <w:sz w:val="20"/>
              </w:rPr>
            </w:pPr>
          </w:p>
        </w:tc>
        <w:tc>
          <w:tcPr>
            <w:tcW w:w="633" w:type="dxa"/>
            <w:tcBorders>
              <w:top w:val="nil"/>
              <w:left w:val="nil"/>
              <w:bottom w:val="nil"/>
              <w:right w:val="nil"/>
            </w:tcBorders>
            <w:shd w:val="clear" w:color="auto" w:fill="auto"/>
            <w:vAlign w:val="center"/>
          </w:tcPr>
          <w:p>
            <w:pPr>
              <w:widowControl/>
              <w:spacing w:line="240" w:lineRule="exact"/>
              <w:jc w:val="center"/>
              <w:rPr>
                <w:rFonts w:ascii="楷体_GB2312" w:hAnsi="宋体" w:eastAsia="楷体_GB2312" w:cs="宋体"/>
                <w:kern w:val="0"/>
                <w:sz w:val="20"/>
              </w:rPr>
            </w:pPr>
          </w:p>
        </w:tc>
        <w:tc>
          <w:tcPr>
            <w:tcW w:w="684" w:type="dxa"/>
            <w:tcBorders>
              <w:top w:val="nil"/>
              <w:left w:val="nil"/>
              <w:bottom w:val="nil"/>
              <w:right w:val="nil"/>
            </w:tcBorders>
            <w:shd w:val="clear" w:color="auto" w:fill="auto"/>
            <w:vAlign w:val="center"/>
          </w:tcPr>
          <w:p>
            <w:pPr>
              <w:widowControl/>
              <w:spacing w:line="240" w:lineRule="exact"/>
              <w:jc w:val="left"/>
              <w:rPr>
                <w:rFonts w:ascii="楷体_GB2312" w:hAnsi="宋体" w:eastAsia="楷体_GB2312" w:cs="宋体"/>
                <w:kern w:val="0"/>
                <w:sz w:val="20"/>
              </w:rPr>
            </w:pPr>
          </w:p>
        </w:tc>
        <w:tc>
          <w:tcPr>
            <w:tcW w:w="360" w:type="dxa"/>
            <w:tcBorders>
              <w:top w:val="nil"/>
              <w:left w:val="nil"/>
              <w:bottom w:val="nil"/>
              <w:right w:val="nil"/>
            </w:tcBorders>
            <w:shd w:val="clear" w:color="auto" w:fill="auto"/>
            <w:vAlign w:val="center"/>
          </w:tcPr>
          <w:p>
            <w:pPr>
              <w:widowControl/>
              <w:spacing w:line="240" w:lineRule="exact"/>
              <w:jc w:val="center"/>
              <w:rPr>
                <w:rFonts w:ascii="楷体_GB2312" w:hAnsi="宋体" w:eastAsia="楷体_GB2312" w:cs="宋体"/>
                <w:kern w:val="0"/>
                <w:sz w:val="20"/>
              </w:rPr>
            </w:pPr>
          </w:p>
        </w:tc>
        <w:tc>
          <w:tcPr>
            <w:tcW w:w="3251" w:type="dxa"/>
            <w:tcBorders>
              <w:top w:val="nil"/>
              <w:left w:val="nil"/>
              <w:bottom w:val="nil"/>
              <w:right w:val="nil"/>
            </w:tcBorders>
            <w:shd w:val="clear" w:color="auto" w:fill="auto"/>
            <w:vAlign w:val="center"/>
          </w:tcPr>
          <w:p>
            <w:pPr>
              <w:widowControl/>
              <w:spacing w:line="200" w:lineRule="exact"/>
              <w:jc w:val="left"/>
              <w:rPr>
                <w:rFonts w:ascii="楷体_GB2312" w:hAnsi="宋体" w:eastAsia="楷体_GB2312" w:cs="宋体"/>
                <w:kern w:val="0"/>
                <w:sz w:val="20"/>
              </w:rPr>
            </w:pPr>
          </w:p>
        </w:tc>
        <w:tc>
          <w:tcPr>
            <w:tcW w:w="3003" w:type="dxa"/>
            <w:gridSpan w:val="2"/>
            <w:tcBorders>
              <w:top w:val="nil"/>
              <w:left w:val="nil"/>
              <w:bottom w:val="nil"/>
              <w:right w:val="nil"/>
            </w:tcBorders>
            <w:shd w:val="clear" w:color="auto" w:fill="auto"/>
            <w:vAlign w:val="center"/>
          </w:tcPr>
          <w:p>
            <w:pPr>
              <w:widowControl/>
              <w:spacing w:line="200" w:lineRule="exact"/>
              <w:jc w:val="left"/>
              <w:rPr>
                <w:rFonts w:ascii="楷体_GB2312" w:hAnsi="宋体" w:eastAsia="楷体_GB2312" w:cs="宋体"/>
                <w:kern w:val="0"/>
                <w:sz w:val="20"/>
              </w:rPr>
            </w:pPr>
          </w:p>
        </w:tc>
        <w:tc>
          <w:tcPr>
            <w:tcW w:w="1029" w:type="dxa"/>
            <w:gridSpan w:val="2"/>
            <w:tcBorders>
              <w:top w:val="nil"/>
              <w:left w:val="nil"/>
              <w:bottom w:val="nil"/>
              <w:right w:val="nil"/>
            </w:tcBorders>
            <w:shd w:val="clear" w:color="auto" w:fill="auto"/>
            <w:vAlign w:val="center"/>
          </w:tcPr>
          <w:p>
            <w:pPr>
              <w:widowControl/>
              <w:spacing w:line="200" w:lineRule="exact"/>
              <w:jc w:val="left"/>
              <w:rPr>
                <w:rFonts w:ascii="楷体_GB2312" w:hAnsi="宋体" w:eastAsia="楷体_GB2312" w:cs="宋体"/>
                <w:kern w:val="0"/>
                <w:sz w:val="20"/>
              </w:rPr>
            </w:pPr>
          </w:p>
        </w:tc>
        <w:tc>
          <w:tcPr>
            <w:tcW w:w="728" w:type="dxa"/>
            <w:gridSpan w:val="2"/>
            <w:tcBorders>
              <w:top w:val="nil"/>
              <w:left w:val="nil"/>
              <w:bottom w:val="nil"/>
              <w:right w:val="nil"/>
            </w:tcBorders>
            <w:shd w:val="clear" w:color="auto" w:fill="auto"/>
            <w:vAlign w:val="center"/>
          </w:tcPr>
          <w:p>
            <w:pPr>
              <w:widowControl/>
              <w:spacing w:line="200" w:lineRule="exact"/>
              <w:jc w:val="left"/>
              <w:rPr>
                <w:rFonts w:ascii="楷体_GB2312" w:hAnsi="宋体" w:eastAsia="楷体_GB2312" w:cs="宋体"/>
                <w:kern w:val="0"/>
                <w:sz w:val="20"/>
              </w:rPr>
            </w:pPr>
          </w:p>
        </w:tc>
        <w:tc>
          <w:tcPr>
            <w:tcW w:w="936" w:type="dxa"/>
            <w:gridSpan w:val="2"/>
            <w:tcBorders>
              <w:top w:val="nil"/>
              <w:left w:val="nil"/>
              <w:bottom w:val="nil"/>
              <w:right w:val="nil"/>
            </w:tcBorders>
            <w:shd w:val="clear" w:color="auto" w:fill="auto"/>
            <w:vAlign w:val="center"/>
          </w:tcPr>
          <w:p>
            <w:pPr>
              <w:widowControl/>
              <w:spacing w:line="200" w:lineRule="exact"/>
              <w:jc w:val="left"/>
              <w:rPr>
                <w:rFonts w:ascii="楷体_GB2312" w:hAnsi="宋体" w:eastAsia="楷体_GB2312" w:cs="宋体"/>
                <w:kern w:val="0"/>
                <w:sz w:val="20"/>
              </w:rPr>
            </w:pPr>
          </w:p>
        </w:tc>
        <w:tc>
          <w:tcPr>
            <w:tcW w:w="757" w:type="dxa"/>
            <w:gridSpan w:val="2"/>
            <w:tcBorders>
              <w:top w:val="nil"/>
              <w:left w:val="nil"/>
              <w:bottom w:val="nil"/>
              <w:right w:val="nil"/>
            </w:tcBorders>
            <w:shd w:val="clear" w:color="auto" w:fill="auto"/>
            <w:vAlign w:val="center"/>
          </w:tcPr>
          <w:p>
            <w:pPr>
              <w:widowControl/>
              <w:spacing w:line="200" w:lineRule="exact"/>
              <w:jc w:val="center"/>
              <w:rPr>
                <w:rFonts w:ascii="楷体_GB2312" w:hAnsi="宋体" w:eastAsia="楷体_GB2312" w:cs="宋体"/>
                <w:kern w:val="0"/>
                <w:sz w:val="20"/>
              </w:rPr>
            </w:pPr>
          </w:p>
        </w:tc>
        <w:tc>
          <w:tcPr>
            <w:tcW w:w="1246" w:type="dxa"/>
            <w:gridSpan w:val="2"/>
            <w:tcBorders>
              <w:top w:val="nil"/>
              <w:left w:val="nil"/>
              <w:bottom w:val="nil"/>
              <w:right w:val="nil"/>
            </w:tcBorders>
            <w:shd w:val="clear" w:color="auto" w:fill="auto"/>
            <w:noWrap/>
            <w:vAlign w:val="center"/>
          </w:tcPr>
          <w:p>
            <w:pPr>
              <w:widowControl/>
              <w:spacing w:line="200" w:lineRule="exact"/>
              <w:jc w:val="center"/>
              <w:rPr>
                <w:rFonts w:ascii="宋体" w:hAnsi="宋体" w:eastAsia="宋体" w:cs="宋体"/>
                <w:kern w:val="0"/>
                <w:sz w:val="24"/>
                <w:szCs w:val="24"/>
              </w:rPr>
            </w:pPr>
          </w:p>
        </w:tc>
        <w:tc>
          <w:tcPr>
            <w:tcW w:w="1540" w:type="dxa"/>
            <w:tcBorders>
              <w:top w:val="nil"/>
              <w:left w:val="nil"/>
              <w:bottom w:val="nil"/>
              <w:right w:val="nil"/>
            </w:tcBorders>
            <w:shd w:val="clear" w:color="auto" w:fill="auto"/>
            <w:noWrap/>
            <w:vAlign w:val="center"/>
          </w:tcPr>
          <w:p>
            <w:pPr>
              <w:widowControl/>
              <w:spacing w:line="200" w:lineRule="exact"/>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96" w:hRule="atLeast"/>
        </w:trPr>
        <w:tc>
          <w:tcPr>
            <w:tcW w:w="54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一级</w:t>
            </w:r>
            <w:r>
              <w:rPr>
                <w:rFonts w:hint="eastAsia" w:ascii="楷体_GB2312" w:hAnsi="宋体" w:eastAsia="楷体_GB2312" w:cs="宋体"/>
                <w:b/>
                <w:bCs/>
                <w:kern w:val="0"/>
                <w:sz w:val="20"/>
              </w:rPr>
              <w:br w:type="textWrapping"/>
            </w:r>
            <w:r>
              <w:rPr>
                <w:rFonts w:hint="eastAsia" w:ascii="楷体_GB2312" w:hAnsi="宋体" w:eastAsia="楷体_GB2312" w:cs="宋体"/>
                <w:b/>
                <w:bCs/>
                <w:kern w:val="0"/>
                <w:sz w:val="20"/>
              </w:rPr>
              <w:t>指标</w:t>
            </w:r>
          </w:p>
        </w:tc>
        <w:tc>
          <w:tcPr>
            <w:tcW w:w="633"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二级</w:t>
            </w:r>
            <w:r>
              <w:rPr>
                <w:rFonts w:hint="eastAsia" w:ascii="楷体_GB2312" w:hAnsi="宋体" w:eastAsia="楷体_GB2312" w:cs="宋体"/>
                <w:b/>
                <w:bCs/>
                <w:kern w:val="0"/>
                <w:sz w:val="20"/>
              </w:rPr>
              <w:br w:type="textWrapping"/>
            </w:r>
            <w:r>
              <w:rPr>
                <w:rFonts w:hint="eastAsia" w:ascii="楷体_GB2312" w:hAnsi="宋体" w:eastAsia="楷体_GB2312" w:cs="宋体"/>
                <w:b/>
                <w:bCs/>
                <w:kern w:val="0"/>
                <w:sz w:val="20"/>
              </w:rPr>
              <w:t>指标</w:t>
            </w:r>
          </w:p>
        </w:tc>
        <w:tc>
          <w:tcPr>
            <w:tcW w:w="684"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三级指标</w:t>
            </w:r>
          </w:p>
        </w:tc>
        <w:tc>
          <w:tcPr>
            <w:tcW w:w="3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分值</w:t>
            </w:r>
          </w:p>
        </w:tc>
        <w:tc>
          <w:tcPr>
            <w:tcW w:w="3251" w:type="dxa"/>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指标说明</w:t>
            </w:r>
          </w:p>
        </w:tc>
        <w:tc>
          <w:tcPr>
            <w:tcW w:w="3003" w:type="dxa"/>
            <w:gridSpan w:val="2"/>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评分标准</w:t>
            </w:r>
          </w:p>
        </w:tc>
        <w:tc>
          <w:tcPr>
            <w:tcW w:w="1029" w:type="dxa"/>
            <w:gridSpan w:val="2"/>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指标值计算公式和数据获取方式</w:t>
            </w:r>
          </w:p>
        </w:tc>
        <w:tc>
          <w:tcPr>
            <w:tcW w:w="728" w:type="dxa"/>
            <w:gridSpan w:val="2"/>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年初目标值</w:t>
            </w:r>
          </w:p>
        </w:tc>
        <w:tc>
          <w:tcPr>
            <w:tcW w:w="936" w:type="dxa"/>
            <w:gridSpan w:val="2"/>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实际完成值</w:t>
            </w:r>
          </w:p>
        </w:tc>
        <w:tc>
          <w:tcPr>
            <w:tcW w:w="757" w:type="dxa"/>
            <w:gridSpan w:val="2"/>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得分</w:t>
            </w:r>
          </w:p>
        </w:tc>
        <w:tc>
          <w:tcPr>
            <w:tcW w:w="1246" w:type="dxa"/>
            <w:gridSpan w:val="2"/>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仿宋_GB2312" w:hAnsi="宋体" w:eastAsia="仿宋_GB2312" w:cs="宋体"/>
                <w:b/>
                <w:bCs/>
                <w:kern w:val="0"/>
                <w:sz w:val="20"/>
              </w:rPr>
            </w:pPr>
            <w:r>
              <w:rPr>
                <w:rFonts w:hint="eastAsia" w:ascii="仿宋_GB2312" w:hAnsi="宋体" w:eastAsia="仿宋_GB2312" w:cs="宋体"/>
                <w:b/>
                <w:bCs/>
                <w:kern w:val="0"/>
                <w:sz w:val="20"/>
              </w:rPr>
              <w:t>未完成原因分析与改进措施</w:t>
            </w:r>
          </w:p>
        </w:tc>
        <w:tc>
          <w:tcPr>
            <w:tcW w:w="1540" w:type="dxa"/>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仿宋_GB2312" w:hAnsi="宋体" w:eastAsia="仿宋_GB2312" w:cs="宋体"/>
                <w:b/>
                <w:bCs/>
                <w:kern w:val="0"/>
                <w:sz w:val="20"/>
              </w:rPr>
            </w:pPr>
            <w:r>
              <w:rPr>
                <w:rFonts w:hint="eastAsia" w:ascii="仿宋_GB2312" w:hAnsi="宋体" w:eastAsia="仿宋_GB2312" w:cs="宋体"/>
                <w:b/>
                <w:bCs/>
                <w:kern w:val="0"/>
                <w:sz w:val="20"/>
              </w:rPr>
              <w:t>绩效指标分析与建议</w:t>
            </w:r>
          </w:p>
        </w:tc>
      </w:tr>
      <w:tr>
        <w:tblPrEx>
          <w:tblCellMar>
            <w:top w:w="0" w:type="dxa"/>
            <w:left w:w="108" w:type="dxa"/>
            <w:bottom w:w="0" w:type="dxa"/>
            <w:right w:w="108" w:type="dxa"/>
          </w:tblCellMar>
        </w:tblPrEx>
        <w:trPr>
          <w:trHeight w:val="349" w:hRule="atLeast"/>
        </w:trPr>
        <w:tc>
          <w:tcPr>
            <w:tcW w:w="541" w:type="dxa"/>
            <w:tcBorders>
              <w:top w:val="nil"/>
              <w:left w:val="single" w:color="auto" w:sz="4" w:space="0"/>
              <w:bottom w:val="single" w:color="auto" w:sz="4" w:space="0"/>
              <w:right w:val="single" w:color="auto" w:sz="4" w:space="0"/>
            </w:tcBorders>
            <w:shd w:val="clear" w:color="auto" w:fill="auto"/>
            <w:noWrap/>
            <w:textDirection w:val="tbRlV"/>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过程</w:t>
            </w:r>
          </w:p>
        </w:tc>
        <w:tc>
          <w:tcPr>
            <w:tcW w:w="633"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预算管理（15分）</w:t>
            </w:r>
          </w:p>
        </w:tc>
        <w:tc>
          <w:tcPr>
            <w:tcW w:w="684"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资金使用合规性</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（5分）</w:t>
            </w:r>
          </w:p>
        </w:tc>
        <w:tc>
          <w:tcPr>
            <w:tcW w:w="36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5</w:t>
            </w:r>
          </w:p>
        </w:tc>
        <w:tc>
          <w:tcPr>
            <w:tcW w:w="3251" w:type="dxa"/>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部门（单位）使用预算资金是否符合相关的预算财务管理制度的规定，用以反映和考核部门（单位）预算资金的规范运行情况。</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1.符合国家财经法规和财务管理制度规定以及有关专项资金管理办法的规定；</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2.资金的拨付有完整的审批程序和手续；</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3.重大项目开支经过评估论证；</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4.符合部门预算批复的用途；</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5.不存在截留、挤占、挪用、虚列支出等情况。</w:t>
            </w:r>
          </w:p>
        </w:tc>
        <w:tc>
          <w:tcPr>
            <w:tcW w:w="3003"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全部符合5分,有1项不符扣2分。</w:t>
            </w:r>
          </w:p>
        </w:tc>
        <w:tc>
          <w:tcPr>
            <w:tcW w:w="1029"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根据本年度资产实际情况分析</w:t>
            </w:r>
          </w:p>
        </w:tc>
        <w:tc>
          <w:tcPr>
            <w:tcW w:w="728"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资金使用严格按照相关法律法规执行</w:t>
            </w:r>
          </w:p>
        </w:tc>
        <w:tc>
          <w:tcPr>
            <w:tcW w:w="936"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资金使用严格按照相关法律法规执行</w:t>
            </w:r>
          </w:p>
        </w:tc>
        <w:tc>
          <w:tcPr>
            <w:tcW w:w="757"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楷体_GB2312" w:hAnsi="宋体" w:eastAsia="楷体_GB2312" w:cs="宋体"/>
                <w:kern w:val="0"/>
                <w:sz w:val="20"/>
              </w:rPr>
            </w:pPr>
            <w:r>
              <w:rPr>
                <w:rFonts w:hint="eastAsia" w:ascii="楷体_GB2312" w:hAnsi="宋体" w:eastAsia="楷体_GB2312" w:cs="宋体"/>
                <w:kern w:val="0"/>
                <w:sz w:val="20"/>
              </w:rPr>
              <w:t>5</w:t>
            </w:r>
          </w:p>
        </w:tc>
        <w:tc>
          <w:tcPr>
            <w:tcW w:w="124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0"/>
              </w:rPr>
            </w:pPr>
            <w:r>
              <w:rPr>
                <w:rFonts w:hint="eastAsia" w:ascii="仿宋" w:hAnsi="仿宋" w:eastAsia="仿宋" w:cs="仿宋"/>
                <w:kern w:val="0"/>
                <w:sz w:val="20"/>
              </w:rPr>
              <w:t>已完成</w:t>
            </w:r>
          </w:p>
        </w:tc>
        <w:tc>
          <w:tcPr>
            <w:tcW w:w="1540" w:type="dxa"/>
            <w:tcBorders>
              <w:top w:val="nil"/>
              <w:left w:val="nil"/>
              <w:bottom w:val="single" w:color="auto" w:sz="4" w:space="0"/>
              <w:right w:val="single" w:color="auto" w:sz="4" w:space="0"/>
            </w:tcBorders>
            <w:shd w:val="clear" w:color="auto" w:fill="auto"/>
            <w:vAlign w:val="center"/>
          </w:tcPr>
          <w:p>
            <w:pPr>
              <w:widowControl/>
              <w:spacing w:line="180" w:lineRule="exact"/>
              <w:jc w:val="left"/>
              <w:rPr>
                <w:rFonts w:ascii="楷体_GB2312" w:hAnsi="宋体" w:eastAsia="楷体_GB2312" w:cs="宋体"/>
                <w:kern w:val="0"/>
                <w:sz w:val="20"/>
              </w:rPr>
            </w:pPr>
            <w:r>
              <w:rPr>
                <w:rFonts w:hint="eastAsia" w:ascii="楷体_GB2312" w:hAnsi="宋体" w:eastAsia="楷体_GB2312" w:cs="宋体"/>
                <w:kern w:val="0"/>
                <w:sz w:val="20"/>
              </w:rPr>
              <w:t>预算资金.符合国家财经法规和财务管理制度规定以及有关专项资金管理办法的规定；资金的拨付有完整的审批程序和手续；.重大项目开支经过评估论证；符合部门预算批复的用途；不存在截留、挤占、挪用、虚列支出等情况。</w:t>
            </w:r>
          </w:p>
        </w:tc>
      </w:tr>
      <w:tr>
        <w:tblPrEx>
          <w:tblCellMar>
            <w:top w:w="0" w:type="dxa"/>
            <w:left w:w="108" w:type="dxa"/>
            <w:bottom w:w="0" w:type="dxa"/>
            <w:right w:w="108" w:type="dxa"/>
          </w:tblCellMar>
        </w:tblPrEx>
        <w:trPr>
          <w:trHeight w:val="198" w:hRule="atLeast"/>
        </w:trPr>
        <w:tc>
          <w:tcPr>
            <w:tcW w:w="541" w:type="dxa"/>
            <w:vMerge w:val="restart"/>
            <w:tcBorders>
              <w:top w:val="nil"/>
              <w:left w:val="single" w:color="auto" w:sz="4" w:space="0"/>
              <w:bottom w:val="single" w:color="auto" w:sz="4" w:space="0"/>
              <w:right w:val="single" w:color="auto" w:sz="4" w:space="0"/>
            </w:tcBorders>
            <w:shd w:val="clear" w:color="auto" w:fill="auto"/>
            <w:noWrap/>
            <w:textDirection w:val="tbRlV"/>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效果</w:t>
            </w:r>
          </w:p>
        </w:tc>
        <w:tc>
          <w:tcPr>
            <w:tcW w:w="633"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履职尽责（60分）</w:t>
            </w:r>
          </w:p>
        </w:tc>
        <w:tc>
          <w:tcPr>
            <w:tcW w:w="684"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项目产出</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（40分）</w:t>
            </w:r>
          </w:p>
        </w:tc>
        <w:tc>
          <w:tcPr>
            <w:tcW w:w="36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40</w:t>
            </w:r>
          </w:p>
        </w:tc>
        <w:tc>
          <w:tcPr>
            <w:tcW w:w="3251" w:type="dxa"/>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　</w:t>
            </w:r>
          </w:p>
        </w:tc>
        <w:tc>
          <w:tcPr>
            <w:tcW w:w="3003"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1.若为定性指标，根据“三档”原则分别按照指标分值的100-80%（含）、80-50%（含）、50-10%来记分；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2.若为定量指标，完成值达到指标值，记满分；未达到指标值，按完成比率计分，正向指标（即指标值为≥*）得分＝实际完成值/年初目标值*该指标分值，反向指标（即指标值为≤*）得分＝年初目标值/实际完成值*该指标分值。</w:t>
            </w:r>
          </w:p>
        </w:tc>
        <w:tc>
          <w:tcPr>
            <w:tcW w:w="1029"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2019年决算数并与年初预算目标绩效表对比</w:t>
            </w:r>
          </w:p>
        </w:tc>
        <w:tc>
          <w:tcPr>
            <w:tcW w:w="728"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定性指标部分完成,定量指标全部完成。</w:t>
            </w:r>
          </w:p>
        </w:tc>
        <w:tc>
          <w:tcPr>
            <w:tcW w:w="936"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定性指标部分完成，定量指标全部完成。</w:t>
            </w:r>
          </w:p>
        </w:tc>
        <w:tc>
          <w:tcPr>
            <w:tcW w:w="757"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楷体_GB2312" w:hAnsi="宋体" w:eastAsia="楷体_GB2312" w:cs="宋体"/>
                <w:kern w:val="0"/>
                <w:sz w:val="20"/>
              </w:rPr>
            </w:pPr>
            <w:r>
              <w:rPr>
                <w:rFonts w:hint="eastAsia" w:ascii="楷体_GB2312" w:hAnsi="宋体" w:eastAsia="楷体_GB2312" w:cs="宋体"/>
                <w:kern w:val="0"/>
                <w:sz w:val="20"/>
              </w:rPr>
              <w:t>40</w:t>
            </w:r>
          </w:p>
        </w:tc>
        <w:tc>
          <w:tcPr>
            <w:tcW w:w="124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0"/>
              </w:rPr>
            </w:pPr>
            <w:r>
              <w:rPr>
                <w:rFonts w:hint="eastAsia" w:ascii="仿宋" w:hAnsi="仿宋" w:eastAsia="仿宋" w:cs="仿宋"/>
                <w:kern w:val="0"/>
                <w:sz w:val="20"/>
              </w:rPr>
              <w:t>已完成</w:t>
            </w:r>
          </w:p>
        </w:tc>
        <w:tc>
          <w:tcPr>
            <w:tcW w:w="1540" w:type="dxa"/>
            <w:tcBorders>
              <w:top w:val="nil"/>
              <w:left w:val="nil"/>
              <w:bottom w:val="single" w:color="auto" w:sz="4" w:space="0"/>
              <w:right w:val="single" w:color="auto" w:sz="4" w:space="0"/>
            </w:tcBorders>
            <w:shd w:val="clear" w:color="auto" w:fill="auto"/>
            <w:vAlign w:val="center"/>
          </w:tcPr>
          <w:p>
            <w:pPr>
              <w:widowControl/>
              <w:spacing w:line="180" w:lineRule="exact"/>
              <w:jc w:val="left"/>
              <w:rPr>
                <w:rFonts w:ascii="楷体_GB2312" w:hAnsi="宋体" w:eastAsia="楷体_GB2312" w:cs="宋体"/>
                <w:kern w:val="0"/>
                <w:sz w:val="20"/>
              </w:rPr>
            </w:pPr>
            <w:r>
              <w:rPr>
                <w:rFonts w:hint="eastAsia" w:ascii="楷体_GB2312" w:hAnsi="宋体" w:eastAsia="楷体_GB2312" w:cs="宋体"/>
                <w:kern w:val="0"/>
                <w:sz w:val="20"/>
              </w:rPr>
              <w:t>我单位绩效目标自评表含定量指标和定性指标。本年度数量指标、时效指标、成本指标、效益指标完成情况良好。</w:t>
            </w:r>
          </w:p>
        </w:tc>
      </w:tr>
      <w:tr>
        <w:tblPrEx>
          <w:tblCellMar>
            <w:top w:w="0" w:type="dxa"/>
            <w:left w:w="108" w:type="dxa"/>
            <w:bottom w:w="0" w:type="dxa"/>
            <w:right w:w="108" w:type="dxa"/>
          </w:tblCellMar>
        </w:tblPrEx>
        <w:trPr>
          <w:trHeight w:val="198" w:hRule="atLeast"/>
        </w:trPr>
        <w:tc>
          <w:tcPr>
            <w:tcW w:w="541"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楷体_GB2312" w:hAnsi="宋体" w:eastAsia="楷体_GB2312" w:cs="宋体"/>
                <w:kern w:val="0"/>
                <w:sz w:val="20"/>
              </w:rPr>
            </w:pPr>
          </w:p>
        </w:tc>
        <w:tc>
          <w:tcPr>
            <w:tcW w:w="633"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楷体_GB2312" w:hAnsi="宋体" w:eastAsia="楷体_GB2312" w:cs="宋体"/>
                <w:kern w:val="0"/>
                <w:sz w:val="20"/>
              </w:rPr>
            </w:pPr>
          </w:p>
        </w:tc>
        <w:tc>
          <w:tcPr>
            <w:tcW w:w="684"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项目效益</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（20分）</w:t>
            </w:r>
          </w:p>
        </w:tc>
        <w:tc>
          <w:tcPr>
            <w:tcW w:w="36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20</w:t>
            </w:r>
          </w:p>
        </w:tc>
        <w:tc>
          <w:tcPr>
            <w:tcW w:w="3251" w:type="dxa"/>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　</w:t>
            </w:r>
          </w:p>
        </w:tc>
        <w:tc>
          <w:tcPr>
            <w:tcW w:w="3003" w:type="dxa"/>
            <w:gridSpan w:val="2"/>
            <w:vMerge w:val="continue"/>
            <w:tcBorders>
              <w:top w:val="nil"/>
              <w:left w:val="single" w:color="auto" w:sz="4" w:space="0"/>
              <w:bottom w:val="single" w:color="auto" w:sz="4" w:space="0"/>
              <w:right w:val="single" w:color="auto" w:sz="4" w:space="0"/>
            </w:tcBorders>
            <w:vAlign w:val="center"/>
          </w:tcPr>
          <w:p>
            <w:pPr>
              <w:widowControl/>
              <w:spacing w:line="200" w:lineRule="exact"/>
              <w:jc w:val="left"/>
              <w:rPr>
                <w:rFonts w:ascii="楷体_GB2312" w:hAnsi="宋体" w:eastAsia="楷体_GB2312" w:cs="宋体"/>
                <w:kern w:val="0"/>
                <w:sz w:val="20"/>
              </w:rPr>
            </w:pPr>
          </w:p>
        </w:tc>
        <w:tc>
          <w:tcPr>
            <w:tcW w:w="1029"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根据工作实际与年初预算目标绩效表对比</w:t>
            </w:r>
          </w:p>
        </w:tc>
        <w:tc>
          <w:tcPr>
            <w:tcW w:w="728"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定性指标全部完成。</w:t>
            </w:r>
          </w:p>
        </w:tc>
        <w:tc>
          <w:tcPr>
            <w:tcW w:w="936"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定性指标全部完成。</w:t>
            </w:r>
          </w:p>
        </w:tc>
        <w:tc>
          <w:tcPr>
            <w:tcW w:w="757"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楷体_GB2312" w:hAnsi="宋体" w:eastAsia="楷体_GB2312" w:cs="宋体"/>
                <w:kern w:val="0"/>
                <w:sz w:val="20"/>
              </w:rPr>
            </w:pPr>
            <w:r>
              <w:rPr>
                <w:rFonts w:hint="eastAsia" w:ascii="楷体_GB2312" w:hAnsi="宋体" w:eastAsia="楷体_GB2312" w:cs="宋体"/>
                <w:kern w:val="0"/>
                <w:sz w:val="20"/>
              </w:rPr>
              <w:t>20</w:t>
            </w:r>
          </w:p>
        </w:tc>
        <w:tc>
          <w:tcPr>
            <w:tcW w:w="124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0"/>
              </w:rPr>
            </w:pPr>
            <w:r>
              <w:rPr>
                <w:rFonts w:hint="eastAsia" w:ascii="仿宋" w:hAnsi="仿宋" w:eastAsia="仿宋" w:cs="仿宋"/>
                <w:kern w:val="0"/>
                <w:sz w:val="20"/>
              </w:rPr>
              <w:t>已完成</w:t>
            </w:r>
          </w:p>
        </w:tc>
        <w:tc>
          <w:tcPr>
            <w:tcW w:w="1540" w:type="dxa"/>
            <w:tcBorders>
              <w:top w:val="nil"/>
              <w:left w:val="nil"/>
              <w:bottom w:val="single" w:color="auto" w:sz="4" w:space="0"/>
              <w:right w:val="single" w:color="auto" w:sz="4" w:space="0"/>
            </w:tcBorders>
            <w:shd w:val="clear" w:color="auto" w:fill="auto"/>
            <w:vAlign w:val="center"/>
          </w:tcPr>
          <w:p>
            <w:pPr>
              <w:widowControl/>
              <w:spacing w:line="180" w:lineRule="exact"/>
              <w:jc w:val="left"/>
              <w:rPr>
                <w:rFonts w:ascii="楷体_GB2312" w:hAnsi="宋体" w:eastAsia="楷体_GB2312" w:cs="宋体"/>
                <w:kern w:val="0"/>
                <w:sz w:val="20"/>
              </w:rPr>
            </w:pPr>
            <w:r>
              <w:rPr>
                <w:rFonts w:hint="eastAsia" w:ascii="楷体_GB2312" w:hAnsi="宋体" w:eastAsia="楷体_GB2312" w:cs="宋体"/>
                <w:kern w:val="0"/>
                <w:sz w:val="20"/>
              </w:rPr>
              <w:t>我单位绩效目标自评表含定量指标和定性指标。本年度数量指标、时效指标、成本指标、效益指标完成情况良好。</w:t>
            </w:r>
          </w:p>
        </w:tc>
      </w:tr>
      <w:tr>
        <w:tblPrEx>
          <w:tblCellMar>
            <w:top w:w="0" w:type="dxa"/>
            <w:left w:w="108" w:type="dxa"/>
            <w:bottom w:w="0" w:type="dxa"/>
            <w:right w:w="108" w:type="dxa"/>
          </w:tblCellMar>
        </w:tblPrEx>
        <w:trPr>
          <w:trHeight w:val="1194" w:hRule="atLeast"/>
        </w:trPr>
        <w:tc>
          <w:tcPr>
            <w:tcW w:w="14708" w:type="dxa"/>
            <w:gridSpan w:val="18"/>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00" w:lineRule="exact"/>
              <w:jc w:val="left"/>
              <w:rPr>
                <w:rFonts w:ascii="宋体" w:hAnsi="宋体" w:eastAsia="宋体" w:cs="宋体"/>
                <w:kern w:val="0"/>
                <w:sz w:val="20"/>
              </w:rPr>
            </w:pPr>
            <w:r>
              <w:rPr>
                <w:rFonts w:hint="eastAsia" w:ascii="宋体" w:hAnsi="宋体" w:eastAsia="宋体" w:cs="宋体"/>
                <w:kern w:val="0"/>
                <w:sz w:val="20"/>
              </w:rPr>
              <w:t>备注：</w:t>
            </w:r>
            <w:r>
              <w:rPr>
                <w:rFonts w:hint="eastAsia" w:ascii="宋体" w:hAnsi="宋体" w:eastAsia="宋体" w:cs="宋体"/>
                <w:kern w:val="0"/>
                <w:sz w:val="20"/>
              </w:rPr>
              <w:br w:type="textWrapping"/>
            </w:r>
            <w:r>
              <w:rPr>
                <w:rFonts w:hint="eastAsia" w:ascii="宋体" w:hAnsi="宋体" w:eastAsia="宋体" w:cs="宋体"/>
                <w:kern w:val="0"/>
                <w:sz w:val="20"/>
              </w:rPr>
              <w:t>1.“项目产出”和“项目效果”直接细化成部门年初绩效目标中的指标，并根据重要程度赋权。</w:t>
            </w:r>
            <w:r>
              <w:rPr>
                <w:rFonts w:hint="eastAsia" w:ascii="宋体" w:hAnsi="宋体" w:eastAsia="宋体" w:cs="宋体"/>
                <w:kern w:val="0"/>
                <w:sz w:val="20"/>
              </w:rPr>
              <w:br w:type="textWrapping"/>
            </w:r>
            <w:r>
              <w:rPr>
                <w:rFonts w:hint="eastAsia" w:ascii="宋体" w:hAnsi="宋体" w:eastAsia="宋体" w:cs="宋体"/>
                <w:kern w:val="0"/>
                <w:sz w:val="20"/>
              </w:rPr>
              <w:t>2.“绩效指标分析”是指参考历史数据、行业标准及绩效目标实际完成情况等相关资料，从“是否与项目密切相关，指标值是否可获取，指标值设置是否合理”等角度，从产出和效果类指标中找出需要改进的指标，并逐项提出次年的编制意见和建议。</w:t>
            </w:r>
          </w:p>
        </w:tc>
      </w:tr>
    </w:tbl>
    <w:p>
      <w:pPr>
        <w:widowControl/>
        <w:jc w:val="left"/>
        <w:rPr>
          <w:rFonts w:ascii="仿宋_GB2312" w:hAnsi="仿宋_GB2312" w:eastAsia="仿宋_GB2312" w:cs="仿宋_GB2312"/>
          <w:color w:val="000000"/>
          <w:kern w:val="0"/>
          <w:sz w:val="31"/>
          <w:szCs w:val="31"/>
        </w:rPr>
      </w:pPr>
    </w:p>
    <w:p>
      <w:pPr>
        <w:rPr>
          <w:rFonts w:ascii="黑体" w:hAnsi="黑体" w:eastAsia="黑体"/>
          <w:color w:val="000000"/>
          <w:kern w:val="0"/>
          <w:szCs w:val="32"/>
        </w:rPr>
      </w:pPr>
    </w:p>
    <w:p>
      <w:pPr>
        <w:ind w:firstLine="640" w:firstLineChars="200"/>
        <w:rPr>
          <w:rFonts w:ascii="黑体" w:hAnsi="黑体" w:eastAsia="黑体"/>
          <w:color w:val="000000"/>
          <w:kern w:val="0"/>
          <w:szCs w:val="32"/>
        </w:rPr>
      </w:pPr>
    </w:p>
    <w:p>
      <w:pPr>
        <w:rPr>
          <w:rFonts w:ascii="黑体" w:hAnsi="黑体" w:eastAsia="黑体"/>
          <w:color w:val="000000"/>
          <w:kern w:val="0"/>
          <w:szCs w:val="32"/>
        </w:rPr>
      </w:pPr>
    </w:p>
    <w:p>
      <w:pPr>
        <w:rPr>
          <w:rFonts w:ascii="黑体" w:hAnsi="黑体" w:eastAsia="黑体"/>
          <w:color w:val="000000"/>
          <w:kern w:val="0"/>
          <w:szCs w:val="32"/>
        </w:rPr>
        <w:sectPr>
          <w:pgSz w:w="16838" w:h="11906" w:orient="landscape"/>
          <w:pgMar w:top="1803" w:right="1440" w:bottom="1803" w:left="1440" w:header="851" w:footer="992" w:gutter="0"/>
          <w:cols w:space="0" w:num="1"/>
          <w:rtlGutter w:val="0"/>
          <w:docGrid w:type="lines" w:linePitch="436" w:charSpace="0"/>
        </w:sectPr>
      </w:pPr>
    </w:p>
    <w:p>
      <w:pPr>
        <w:ind w:firstLine="640" w:firstLineChars="200"/>
        <w:rPr>
          <w:rFonts w:ascii="黑体" w:hAnsi="黑体" w:eastAsia="黑体"/>
          <w:szCs w:val="32"/>
        </w:rPr>
      </w:pPr>
      <w:r>
        <w:rPr>
          <w:rFonts w:hint="eastAsia" w:ascii="黑体" w:hAnsi="黑体" w:eastAsia="黑体"/>
          <w:color w:val="000000"/>
          <w:kern w:val="0"/>
          <w:szCs w:val="32"/>
        </w:rPr>
        <w:t>十一、其他重要事项说明</w:t>
      </w:r>
    </w:p>
    <w:p>
      <w:pPr>
        <w:widowControl/>
        <w:ind w:firstLine="643" w:firstLineChars="200"/>
        <w:jc w:val="left"/>
      </w:pPr>
      <w:r>
        <w:rPr>
          <w:rFonts w:ascii="楷体_GB2312" w:hAnsi="宋体" w:eastAsia="楷体_GB2312" w:cs="楷体_GB2312"/>
          <w:b/>
          <w:color w:val="000000"/>
          <w:kern w:val="0"/>
          <w:szCs w:val="32"/>
        </w:rPr>
        <w:t>（一）机关运行经费支出情况</w:t>
      </w:r>
      <w:r>
        <w:rPr>
          <w:rFonts w:hint="eastAsia" w:ascii="楷体_GB2312" w:hAnsi="宋体" w:eastAsia="楷体_GB2312" w:cs="楷体_GB2312"/>
          <w:b/>
          <w:color w:val="000000"/>
          <w:kern w:val="0"/>
          <w:szCs w:val="32"/>
        </w:rPr>
        <w:t>说明</w:t>
      </w:r>
      <w:r>
        <w:rPr>
          <w:rFonts w:ascii="楷体_GB2312" w:hAnsi="宋体" w:eastAsia="楷体_GB2312" w:cs="楷体_GB2312"/>
          <w:b/>
          <w:color w:val="000000"/>
          <w:kern w:val="0"/>
          <w:szCs w:val="32"/>
        </w:rPr>
        <w:t xml:space="preserve">。 </w:t>
      </w:r>
    </w:p>
    <w:p>
      <w:pPr>
        <w:widowControl/>
        <w:ind w:firstLine="620" w:firstLineChars="200"/>
        <w:jc w:val="left"/>
        <w:rPr>
          <w:rFonts w:ascii="仿宋_GB2312" w:hAnsi="宋体" w:eastAsia="仿宋_GB2312" w:cs="仿宋_GB2312"/>
          <w:color w:val="000000"/>
          <w:kern w:val="0"/>
          <w:szCs w:val="32"/>
        </w:rPr>
      </w:pPr>
      <w:r>
        <w:rPr>
          <w:rFonts w:ascii="仿宋_GB2312" w:hAnsi="仿宋_GB2312" w:eastAsia="仿宋_GB2312" w:cs="仿宋_GB2312"/>
          <w:color w:val="000000"/>
          <w:kern w:val="0"/>
          <w:sz w:val="31"/>
          <w:szCs w:val="31"/>
        </w:rPr>
        <w:t>2019年</w:t>
      </w:r>
      <w:r>
        <w:rPr>
          <w:rFonts w:hint="eastAsia" w:ascii="仿宋_GB2312" w:hAnsi="仿宋_GB2312" w:eastAsia="仿宋_GB2312" w:cs="仿宋_GB2312"/>
          <w:color w:val="000000"/>
          <w:kern w:val="0"/>
          <w:sz w:val="31"/>
          <w:szCs w:val="31"/>
        </w:rPr>
        <w:t>度</w:t>
      </w:r>
      <w:r>
        <w:rPr>
          <w:rFonts w:ascii="仿宋_GB2312" w:hAnsi="仿宋_GB2312" w:eastAsia="仿宋_GB2312" w:cs="仿宋_GB2312"/>
          <w:color w:val="000000"/>
          <w:kern w:val="0"/>
          <w:sz w:val="31"/>
          <w:szCs w:val="31"/>
        </w:rPr>
        <w:t>机关运行经费</w:t>
      </w:r>
      <w:r>
        <w:rPr>
          <w:rFonts w:ascii="仿宋_GB2312" w:hAnsi="宋体" w:eastAsia="仿宋_GB2312" w:cs="仿宋_GB2312"/>
          <w:color w:val="000000"/>
          <w:kern w:val="0"/>
          <w:szCs w:val="32"/>
        </w:rPr>
        <w:t>预算为</w:t>
      </w:r>
      <w:r>
        <w:rPr>
          <w:rFonts w:hint="eastAsia" w:ascii="仿宋_GB2312" w:hAnsi="宋体" w:eastAsia="仿宋_GB2312" w:cs="仿宋_GB2312"/>
          <w:color w:val="000000"/>
          <w:kern w:val="0"/>
          <w:szCs w:val="32"/>
        </w:rPr>
        <w:t>28.74</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rPr>
        <w:t>27.08</w:t>
      </w:r>
      <w:r>
        <w:rPr>
          <w:rFonts w:ascii="仿宋_GB2312" w:hAnsi="宋体" w:eastAsia="仿宋_GB2312" w:cs="仿宋_GB2312"/>
          <w:color w:val="000000"/>
          <w:kern w:val="0"/>
          <w:szCs w:val="32"/>
        </w:rPr>
        <w:t>万元，完成预算的</w:t>
      </w:r>
      <w:r>
        <w:rPr>
          <w:rFonts w:hint="eastAsia" w:ascii="仿宋_GB2312" w:hAnsi="宋体" w:eastAsia="仿宋_GB2312" w:cs="仿宋_GB2312"/>
          <w:color w:val="000000"/>
          <w:kern w:val="0"/>
          <w:szCs w:val="32"/>
        </w:rPr>
        <w:t>94.22</w:t>
      </w:r>
      <w:r>
        <w:rPr>
          <w:rFonts w:ascii="仿宋_GB2312" w:hAnsi="宋体" w:eastAsia="仿宋_GB2312" w:cs="仿宋_GB2312"/>
          <w:color w:val="000000"/>
          <w:kern w:val="0"/>
          <w:szCs w:val="32"/>
        </w:rPr>
        <w:t>%。决算数</w:t>
      </w:r>
      <w:r>
        <w:rPr>
          <w:rFonts w:hint="eastAsia" w:ascii="仿宋_GB2312" w:hAnsi="宋体" w:eastAsia="仿宋_GB2312" w:cs="仿宋_GB2312"/>
          <w:color w:val="000000"/>
          <w:kern w:val="0"/>
          <w:szCs w:val="32"/>
        </w:rPr>
        <w:t>较</w:t>
      </w:r>
      <w:r>
        <w:rPr>
          <w:rFonts w:ascii="仿宋_GB2312" w:hAnsi="宋体" w:eastAsia="仿宋_GB2312" w:cs="仿宋_GB2312"/>
          <w:color w:val="000000"/>
          <w:kern w:val="0"/>
          <w:szCs w:val="32"/>
        </w:rPr>
        <w:t>预算数</w:t>
      </w:r>
      <w:r>
        <w:rPr>
          <w:rFonts w:hint="eastAsia" w:ascii="仿宋_GB2312" w:hAnsi="宋体" w:eastAsia="仿宋_GB2312" w:cs="仿宋_GB2312"/>
          <w:color w:val="000000"/>
          <w:kern w:val="0"/>
          <w:szCs w:val="32"/>
        </w:rPr>
        <w:t>减少1.66万元，</w:t>
      </w:r>
      <w:r>
        <w:rPr>
          <w:rFonts w:ascii="仿宋_GB2312" w:hAnsi="宋体" w:eastAsia="仿宋_GB2312" w:cs="仿宋_GB2312"/>
          <w:color w:val="000000"/>
          <w:kern w:val="0"/>
          <w:szCs w:val="32"/>
        </w:rPr>
        <w:t>主要原因是</w:t>
      </w:r>
      <w:r>
        <w:rPr>
          <w:rFonts w:hint="eastAsia" w:ascii="仿宋_GB2312" w:hAnsi="宋体" w:eastAsia="仿宋_GB2312" w:cs="仿宋_GB2312"/>
          <w:color w:val="000000"/>
          <w:kern w:val="0"/>
          <w:szCs w:val="32"/>
        </w:rPr>
        <w:t>压减经费开支。</w:t>
      </w:r>
    </w:p>
    <w:p>
      <w:pPr>
        <w:widowControl/>
        <w:ind w:firstLine="643" w:firstLineChars="200"/>
        <w:jc w:val="left"/>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（二）政府采购支出情况说明。</w:t>
      </w:r>
    </w:p>
    <w:p>
      <w:pPr>
        <w:widowControl/>
        <w:ind w:firstLine="640" w:firstLineChars="200"/>
        <w:jc w:val="left"/>
        <w:rPr>
          <w:rFonts w:ascii="仿宋_GB2312" w:hAnsi="仿宋_GB2312" w:eastAsia="仿宋_GB2312" w:cs="仿宋_GB2312"/>
          <w:szCs w:val="32"/>
        </w:rPr>
      </w:pPr>
      <w:r>
        <w:rPr>
          <w:rFonts w:hint="eastAsia" w:ascii="仿宋_GB2312" w:hAnsi="仿宋_GB2312" w:eastAsia="仿宋_GB2312" w:cs="仿宋_GB2312"/>
          <w:szCs w:val="32"/>
        </w:rPr>
        <w:t>2019年度本部门政府采购支出总额共0万元，其中政府采购货物类支出0万元、政府采购服务类支出0万元、政府采购工程类支出0万元。</w:t>
      </w:r>
      <w:r>
        <w:rPr>
          <w:rFonts w:ascii="仿宋_GB2312" w:hAnsi="宋体" w:eastAsia="仿宋_GB2312" w:cs="仿宋_GB2312"/>
          <w:color w:val="000000"/>
          <w:kern w:val="0"/>
          <w:szCs w:val="32"/>
        </w:rPr>
        <w:t>授予中小企业合同金额</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万元，占政府采购支出总额的</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%，其中：授予小微企业合同金额</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万元，占政府采购支出总额的</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w:t>
      </w:r>
      <w:r>
        <w:rPr>
          <w:rFonts w:hint="eastAsia" w:ascii="仿宋_GB2312" w:hAnsi="宋体" w:eastAsia="仿宋_GB2312" w:cs="仿宋_GB2312"/>
          <w:color w:val="000000"/>
          <w:kern w:val="0"/>
          <w:szCs w:val="32"/>
        </w:rPr>
        <w:t>。</w:t>
      </w:r>
    </w:p>
    <w:p>
      <w:pPr>
        <w:ind w:firstLine="640"/>
        <w:rPr>
          <w:rFonts w:ascii="仿宋_GB2312" w:hAnsi="仿宋_GB2312" w:eastAsia="仿宋_GB2312" w:cs="仿宋_GB2312"/>
          <w:szCs w:val="32"/>
        </w:rPr>
      </w:pPr>
      <w:r>
        <w:rPr>
          <w:rFonts w:hint="eastAsia" w:ascii="仿宋_GB2312" w:hAnsi="仿宋_GB2312" w:eastAsia="仿宋_GB2312" w:cs="仿宋_GB2312"/>
          <w:szCs w:val="32"/>
        </w:rPr>
        <w:t>本部门201</w:t>
      </w:r>
      <w:r>
        <w:rPr>
          <w:rFonts w:ascii="仿宋_GB2312" w:hAnsi="仿宋_GB2312" w:eastAsia="仿宋_GB2312" w:cs="仿宋_GB2312"/>
          <w:szCs w:val="32"/>
        </w:rPr>
        <w:t>9</w:t>
      </w:r>
      <w:r>
        <w:rPr>
          <w:rFonts w:hint="eastAsia" w:ascii="仿宋_GB2312" w:hAnsi="仿宋_GB2312" w:eastAsia="仿宋_GB2312" w:cs="仿宋_GB2312"/>
          <w:szCs w:val="32"/>
        </w:rPr>
        <w:t>年度无政府采购支出</w:t>
      </w:r>
    </w:p>
    <w:p>
      <w:pPr>
        <w:widowControl/>
        <w:ind w:firstLine="643" w:firstLineChars="200"/>
        <w:jc w:val="left"/>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（三）国有资产占用及购置情况说明。</w:t>
      </w:r>
    </w:p>
    <w:p>
      <w:pPr>
        <w:ind w:firstLine="640"/>
        <w:rPr>
          <w:rFonts w:ascii="仿宋_GB2312" w:hAnsi="仿宋_GB2312" w:eastAsia="仿宋_GB2312" w:cs="仿宋_GB2312"/>
          <w:szCs w:val="32"/>
        </w:rPr>
      </w:pPr>
      <w:r>
        <w:rPr>
          <w:rFonts w:hint="eastAsia" w:ascii="仿宋_GB2312" w:hAnsi="仿宋_GB2312" w:eastAsia="仿宋_GB2312" w:cs="仿宋_GB2312"/>
          <w:szCs w:val="32"/>
        </w:rPr>
        <w:t>截至2019年末，本部门机关及所属单位共有车辆0辆；单价50万元以上的通用设备0台（套）；单价100万元以上的专用设备0台（套）。201</w:t>
      </w:r>
      <w:r>
        <w:rPr>
          <w:rFonts w:ascii="仿宋_GB2312" w:hAnsi="仿宋_GB2312" w:eastAsia="仿宋_GB2312" w:cs="仿宋_GB2312"/>
          <w:szCs w:val="32"/>
        </w:rPr>
        <w:t>9</w:t>
      </w:r>
      <w:r>
        <w:rPr>
          <w:rFonts w:hint="eastAsia" w:ascii="仿宋_GB2312" w:hAnsi="仿宋_GB2312" w:eastAsia="仿宋_GB2312" w:cs="仿宋_GB2312"/>
          <w:szCs w:val="32"/>
        </w:rPr>
        <w:t>年当年购置车辆0辆；购置单价50万元以上的通用设备0台（套）；购置单价100万元以上的专用设备0台（套）。</w:t>
      </w:r>
    </w:p>
    <w:p>
      <w:pPr>
        <w:widowControl/>
        <w:jc w:val="left"/>
        <w:rPr>
          <w:rFonts w:ascii="黑体" w:hAnsi="宋体" w:eastAsia="黑体"/>
          <w:color w:val="000000"/>
          <w:kern w:val="0"/>
          <w:szCs w:val="32"/>
        </w:rPr>
      </w:pPr>
    </w:p>
    <w:p>
      <w:pPr>
        <w:widowControl/>
        <w:jc w:val="left"/>
        <w:rPr>
          <w:rFonts w:ascii="黑体" w:hAnsi="宋体" w:eastAsia="黑体"/>
          <w:color w:val="000000"/>
          <w:kern w:val="0"/>
          <w:szCs w:val="32"/>
        </w:rPr>
      </w:pPr>
    </w:p>
    <w:p>
      <w:pPr>
        <w:widowControl/>
        <w:jc w:val="left"/>
        <w:rPr>
          <w:rFonts w:ascii="黑体" w:hAnsi="宋体" w:eastAsia="黑体"/>
          <w:color w:val="000000"/>
          <w:kern w:val="0"/>
          <w:szCs w:val="32"/>
        </w:rPr>
      </w:pPr>
    </w:p>
    <w:p>
      <w:pPr>
        <w:numPr>
          <w:ilvl w:val="0"/>
          <w:numId w:val="2"/>
        </w:numPr>
        <w:jc w:val="center"/>
        <w:rPr>
          <w:rFonts w:ascii="黑体" w:hAnsi="宋体" w:eastAsia="黑体"/>
          <w:color w:val="000000"/>
          <w:kern w:val="0"/>
          <w:sz w:val="44"/>
          <w:szCs w:val="44"/>
        </w:rPr>
      </w:pPr>
      <w:r>
        <w:rPr>
          <w:rFonts w:hint="eastAsia" w:ascii="黑体" w:hAnsi="宋体" w:eastAsia="黑体"/>
          <w:color w:val="000000"/>
          <w:kern w:val="0"/>
          <w:sz w:val="44"/>
          <w:szCs w:val="44"/>
        </w:rPr>
        <w:t>专业名词解释</w:t>
      </w:r>
    </w:p>
    <w:p>
      <w:pPr>
        <w:rPr>
          <w:rFonts w:ascii="黑体" w:hAnsi="宋体" w:eastAsia="黑体"/>
          <w:color w:val="000000"/>
          <w:kern w:val="0"/>
          <w:sz w:val="44"/>
          <w:szCs w:val="44"/>
        </w:rPr>
      </w:pPr>
    </w:p>
    <w:p>
      <w:pPr>
        <w:widowControl/>
        <w:ind w:firstLine="640" w:firstLineChars="200"/>
        <w:jc w:val="left"/>
        <w:rPr>
          <w:rFonts w:ascii="仿宋_GB2312" w:hAnsi="仿宋_GB2312" w:eastAsia="仿宋_GB2312" w:cs="仿宋_GB2312"/>
          <w:szCs w:val="32"/>
        </w:rPr>
      </w:pPr>
      <w:r>
        <w:rPr>
          <w:rFonts w:hint="eastAsia" w:ascii="仿宋_GB2312" w:hAnsi="仿宋_GB2312" w:eastAsia="仿宋_GB2312" w:cs="仿宋_GB2312"/>
          <w:szCs w:val="32"/>
        </w:rPr>
        <w:t>文字说明。专业名词解释可由部门根据业务内容等自行选择。</w:t>
      </w:r>
    </w:p>
    <w:p>
      <w:pPr>
        <w:widowControl/>
        <w:ind w:firstLine="640" w:firstLineChars="200"/>
        <w:jc w:val="left"/>
        <w:rPr>
          <w:rFonts w:ascii="仿宋_GB2312" w:hAnsi="仿宋_GB2312" w:eastAsia="仿宋_GB2312" w:cs="仿宋_GB2312"/>
          <w:szCs w:val="32"/>
        </w:rPr>
      </w:pPr>
      <w:r>
        <w:rPr>
          <w:rFonts w:hint="eastAsia" w:ascii="仿宋_GB2312" w:hAnsi="仿宋_GB2312" w:eastAsia="仿宋_GB2312" w:cs="仿宋_GB2312"/>
          <w:szCs w:val="32"/>
        </w:rPr>
        <w:t>示例：</w:t>
      </w:r>
    </w:p>
    <w:p>
      <w:pPr>
        <w:ind w:firstLine="643" w:firstLineChars="200"/>
        <w:rPr>
          <w:rFonts w:ascii="仿宋_GB2312" w:hAnsi="仿宋_GB2312" w:eastAsia="仿宋_GB2312" w:cs="仿宋_GB2312"/>
          <w:szCs w:val="32"/>
        </w:rPr>
      </w:pPr>
      <w:r>
        <w:rPr>
          <w:rFonts w:hint="eastAsia" w:ascii="仿宋_GB2312" w:hAnsi="仿宋_GB2312" w:eastAsia="仿宋_GB2312" w:cs="仿宋_GB2312"/>
          <w:b/>
          <w:bCs/>
          <w:szCs w:val="32"/>
        </w:rPr>
        <w:t>1.基本支出</w:t>
      </w:r>
      <w:r>
        <w:rPr>
          <w:rFonts w:hint="eastAsia" w:ascii="仿宋_GB2312" w:hAnsi="仿宋_GB2312" w:eastAsia="仿宋_GB2312" w:cs="仿宋_GB2312"/>
          <w:szCs w:val="32"/>
        </w:rPr>
        <w:t>：指为保障机构正常运转、完成日常工作任务而发生的各项支出。</w:t>
      </w:r>
    </w:p>
    <w:p>
      <w:pPr>
        <w:ind w:firstLine="643" w:firstLineChars="200"/>
        <w:rPr>
          <w:rFonts w:ascii="仿宋_GB2312" w:hAnsi="仿宋_GB2312" w:eastAsia="仿宋_GB2312" w:cs="仿宋_GB2312"/>
          <w:szCs w:val="32"/>
        </w:rPr>
      </w:pPr>
      <w:r>
        <w:rPr>
          <w:rFonts w:hint="eastAsia" w:ascii="仿宋_GB2312" w:hAnsi="仿宋_GB2312" w:eastAsia="仿宋_GB2312" w:cs="仿宋_GB2312"/>
          <w:b/>
          <w:bCs/>
          <w:szCs w:val="32"/>
        </w:rPr>
        <w:t>2.项目支出</w:t>
      </w:r>
      <w:r>
        <w:rPr>
          <w:rFonts w:hint="eastAsia" w:ascii="仿宋_GB2312" w:hAnsi="仿宋_GB2312" w:eastAsia="仿宋_GB2312" w:cs="仿宋_GB2312"/>
          <w:szCs w:val="32"/>
        </w:rPr>
        <w:t>：指单位为完成特定的行政工作任务或事业发展目标所发生的各项支出。</w:t>
      </w:r>
    </w:p>
    <w:p>
      <w:pPr>
        <w:ind w:firstLine="640"/>
        <w:rPr>
          <w:rFonts w:ascii="仿宋_GB2312" w:hAnsi="仿宋_GB2312" w:eastAsia="仿宋_GB2312" w:cs="仿宋_GB2312"/>
          <w:szCs w:val="32"/>
        </w:rPr>
      </w:pPr>
      <w:r>
        <w:rPr>
          <w:rFonts w:hint="eastAsia" w:ascii="仿宋_GB2312" w:hAnsi="仿宋_GB2312" w:eastAsia="仿宋_GB2312" w:cs="仿宋_GB2312"/>
          <w:b/>
          <w:bCs/>
          <w:szCs w:val="32"/>
        </w:rPr>
        <w:t>3.“三公”经费</w:t>
      </w:r>
      <w:r>
        <w:rPr>
          <w:rFonts w:hint="eastAsia" w:ascii="仿宋_GB2312" w:hAnsi="仿宋_GB2312" w:eastAsia="仿宋_GB2312" w:cs="仿宋_GB2312"/>
          <w:szCs w:val="32"/>
        </w:rPr>
        <w:t>：指部门使用一般公共预算财政拨款安排的因公出国（境）费、公务用车购置及运行费和公务接待费支出。</w:t>
      </w:r>
    </w:p>
    <w:p>
      <w:pPr>
        <w:ind w:firstLine="640"/>
        <w:rPr>
          <w:rFonts w:ascii="仿宋_GB2312" w:hAnsi="仿宋_GB2312" w:eastAsia="仿宋_GB2312" w:cs="仿宋_GB2312"/>
          <w:szCs w:val="32"/>
        </w:rPr>
      </w:pPr>
      <w:r>
        <w:rPr>
          <w:rFonts w:hint="eastAsia" w:ascii="仿宋_GB2312" w:hAnsi="仿宋_GB2312" w:eastAsia="仿宋_GB2312" w:cs="仿宋_GB2312"/>
          <w:b/>
          <w:bCs/>
          <w:szCs w:val="32"/>
        </w:rPr>
        <w:t>4.财政拨款收入</w:t>
      </w:r>
      <w:r>
        <w:rPr>
          <w:rFonts w:hint="eastAsia" w:ascii="仿宋_GB2312" w:hAnsi="仿宋_GB2312" w:eastAsia="仿宋_GB2312" w:cs="仿宋_GB2312"/>
          <w:szCs w:val="32"/>
        </w:rPr>
        <w:t>：指本级财政当年拨付的资金。</w:t>
      </w:r>
    </w:p>
    <w:p>
      <w:pPr>
        <w:ind w:firstLine="640"/>
        <w:rPr>
          <w:rFonts w:ascii="仿宋_GB2312" w:hAnsi="仿宋_GB2312" w:eastAsia="仿宋_GB2312" w:cs="仿宋_GB2312"/>
          <w:szCs w:val="32"/>
        </w:rPr>
      </w:pPr>
      <w:r>
        <w:rPr>
          <w:rFonts w:hint="eastAsia" w:ascii="仿宋_GB2312" w:hAnsi="仿宋_GB2312" w:eastAsia="仿宋_GB2312" w:cs="仿宋_GB2312"/>
          <w:b/>
          <w:bCs/>
          <w:szCs w:val="32"/>
        </w:rPr>
        <w:t>5.调整预算数：</w:t>
      </w:r>
      <w:r>
        <w:rPr>
          <w:rFonts w:hint="eastAsia" w:ascii="仿宋_GB2312" w:hAnsi="宋体" w:eastAsia="仿宋_GB2312"/>
          <w:bCs/>
          <w:szCs w:val="32"/>
        </w:rPr>
        <w:t>填列经调整后的全年预算数，包括年初预算数和预算调增调减数</w:t>
      </w:r>
      <w:r>
        <w:rPr>
          <w:rFonts w:hint="eastAsia" w:ascii="仿宋_GB2312" w:eastAsia="仿宋_GB2312"/>
          <w:bCs/>
          <w:szCs w:val="32"/>
        </w:rPr>
        <w:t>，即：调整预算数＝年初预算数＋预算调增数－预算调减数</w:t>
      </w:r>
      <w:r>
        <w:rPr>
          <w:rFonts w:hint="eastAsia" w:ascii="仿宋_GB2312" w:hAnsi="宋体" w:eastAsia="仿宋_GB2312"/>
          <w:bCs/>
          <w:szCs w:val="32"/>
        </w:rPr>
        <w:t>。</w:t>
      </w:r>
    </w:p>
    <w:p>
      <w:pPr>
        <w:widowControl/>
        <w:ind w:firstLine="620" w:firstLineChars="200"/>
        <w:jc w:val="left"/>
        <w:rPr>
          <w:rFonts w:ascii="仿宋_GB2312" w:hAnsi="仿宋_GB2312" w:eastAsia="仿宋_GB2312" w:cs="仿宋_GB2312"/>
          <w:color w:val="000000"/>
          <w:kern w:val="0"/>
          <w:sz w:val="31"/>
          <w:szCs w:val="31"/>
        </w:rPr>
      </w:pPr>
    </w:p>
    <w:p>
      <w:pPr>
        <w:widowControl/>
        <w:ind w:firstLine="620" w:firstLineChars="200"/>
        <w:jc w:val="left"/>
        <w:rPr>
          <w:rFonts w:ascii="仿宋_GB2312" w:hAnsi="仿宋_GB2312" w:eastAsia="仿宋_GB2312" w:cs="仿宋_GB2312"/>
          <w:color w:val="000000"/>
          <w:kern w:val="0"/>
          <w:sz w:val="31"/>
          <w:szCs w:val="31"/>
        </w:rPr>
      </w:pPr>
    </w:p>
    <w:p>
      <w:pPr>
        <w:widowControl/>
        <w:ind w:firstLine="620" w:firstLineChars="200"/>
        <w:jc w:val="left"/>
        <w:rPr>
          <w:rFonts w:ascii="仿宋_GB2312" w:hAnsi="仿宋_GB2312" w:eastAsia="仿宋_GB2312" w:cs="仿宋_GB2312"/>
          <w:color w:val="000000"/>
          <w:kern w:val="0"/>
          <w:sz w:val="31"/>
          <w:szCs w:val="31"/>
        </w:rPr>
      </w:pPr>
    </w:p>
    <w:p>
      <w:pPr>
        <w:widowControl/>
        <w:ind w:firstLine="620" w:firstLineChars="200"/>
        <w:jc w:val="left"/>
        <w:rPr>
          <w:rFonts w:ascii="仿宋_GB2312" w:hAnsi="仿宋_GB2312" w:eastAsia="仿宋_GB2312" w:cs="仿宋_GB2312"/>
          <w:color w:val="000000"/>
          <w:kern w:val="0"/>
          <w:sz w:val="31"/>
          <w:szCs w:val="31"/>
        </w:rPr>
      </w:pPr>
    </w:p>
    <w:p>
      <w:pPr>
        <w:widowControl/>
        <w:jc w:val="left"/>
        <w:rPr>
          <w:rFonts w:ascii="仿宋_GB2312" w:hAnsi="仿宋_GB2312" w:eastAsia="仿宋_GB2312" w:cs="仿宋_GB2312"/>
          <w:color w:val="000000"/>
          <w:kern w:val="0"/>
          <w:sz w:val="31"/>
          <w:szCs w:val="31"/>
        </w:rPr>
      </w:pPr>
    </w:p>
    <w:p>
      <w:r>
        <w:rPr>
          <w:rFonts w:hint="eastAsia" w:ascii="仿宋_GB2312" w:hAnsi="仿宋_GB2312" w:eastAsia="仿宋_GB2312" w:cs="仿宋_GB2312"/>
          <w:color w:val="000000"/>
          <w:kern w:val="0"/>
          <w:sz w:val="31"/>
          <w:szCs w:val="31"/>
        </w:rPr>
        <w:t xml:space="preserve"> </w:t>
      </w:r>
    </w:p>
    <w:sectPr>
      <w:pgSz w:w="11906" w:h="16838"/>
      <w:pgMar w:top="1440" w:right="1803" w:bottom="1440" w:left="1803" w:header="851" w:footer="992" w:gutter="0"/>
      <w:cols w:space="0" w:num="1"/>
      <w:rtlGutter w:val="0"/>
      <w:docGrid w:type="lines" w:linePitch="43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楷体_GB2312">
    <w:altName w:val="楷体"/>
    <w:panose1 w:val="00000000000000000000"/>
    <w:charset w:val="86"/>
    <w:family w:val="auto"/>
    <w:pitch w:val="default"/>
    <w:sig w:usb0="00000000" w:usb1="00000000" w:usb2="00000000" w:usb3="00000000" w:csb0="00040000" w:csb1="00000000"/>
  </w:font>
  <w:font w:name="??_GB2312">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swiss"/>
    <w:pitch w:val="variable"/>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F232710"/>
    <w:multiLevelType w:val="singleLevel"/>
    <w:tmpl w:val="9F232710"/>
    <w:lvl w:ilvl="0" w:tentative="0">
      <w:start w:val="1"/>
      <w:numFmt w:val="chineseCounting"/>
      <w:suff w:val="space"/>
      <w:lvlText w:val="第%1部分"/>
      <w:lvlJc w:val="left"/>
      <w:rPr>
        <w:rFonts w:hint="eastAsia"/>
      </w:rPr>
    </w:lvl>
  </w:abstractNum>
  <w:abstractNum w:abstractNumId="1">
    <w:nsid w:val="39BEA4A8"/>
    <w:multiLevelType w:val="singleLevel"/>
    <w:tmpl w:val="39BEA4A8"/>
    <w:lvl w:ilvl="0" w:tentative="0">
      <w:start w:val="4"/>
      <w:numFmt w:val="chineseCounting"/>
      <w:suff w:val="space"/>
      <w:lvlText w:val="第%1部分"/>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218"/>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20E506C4"/>
    <w:rsid w:val="000C0970"/>
    <w:rsid w:val="001E6E57"/>
    <w:rsid w:val="002158BD"/>
    <w:rsid w:val="00347F25"/>
    <w:rsid w:val="00394C38"/>
    <w:rsid w:val="00430FBC"/>
    <w:rsid w:val="00592FDC"/>
    <w:rsid w:val="005971FB"/>
    <w:rsid w:val="005D5F68"/>
    <w:rsid w:val="005D62E6"/>
    <w:rsid w:val="0065668E"/>
    <w:rsid w:val="006A0E24"/>
    <w:rsid w:val="00803916"/>
    <w:rsid w:val="0080737F"/>
    <w:rsid w:val="008A3B95"/>
    <w:rsid w:val="008B4EC8"/>
    <w:rsid w:val="008E5206"/>
    <w:rsid w:val="00926DEC"/>
    <w:rsid w:val="0097130C"/>
    <w:rsid w:val="00976016"/>
    <w:rsid w:val="00A54B60"/>
    <w:rsid w:val="00A55CA0"/>
    <w:rsid w:val="00A61B68"/>
    <w:rsid w:val="00A77A2C"/>
    <w:rsid w:val="00AA3915"/>
    <w:rsid w:val="00AE0CF3"/>
    <w:rsid w:val="00AF5C24"/>
    <w:rsid w:val="00B72C81"/>
    <w:rsid w:val="00B91CFD"/>
    <w:rsid w:val="00BC4A55"/>
    <w:rsid w:val="00C61D66"/>
    <w:rsid w:val="00C73015"/>
    <w:rsid w:val="00C82AAE"/>
    <w:rsid w:val="00CC6DD1"/>
    <w:rsid w:val="00CF6970"/>
    <w:rsid w:val="00D20DB9"/>
    <w:rsid w:val="00D2672F"/>
    <w:rsid w:val="00D80144"/>
    <w:rsid w:val="00D82BDF"/>
    <w:rsid w:val="00DD5D23"/>
    <w:rsid w:val="00E136A7"/>
    <w:rsid w:val="00E2142B"/>
    <w:rsid w:val="00E4080E"/>
    <w:rsid w:val="00E514AA"/>
    <w:rsid w:val="00F11EB9"/>
    <w:rsid w:val="00F66A91"/>
    <w:rsid w:val="01592AF3"/>
    <w:rsid w:val="03B60819"/>
    <w:rsid w:val="057672AF"/>
    <w:rsid w:val="086C1E64"/>
    <w:rsid w:val="147A47C8"/>
    <w:rsid w:val="170C4BFA"/>
    <w:rsid w:val="18147C59"/>
    <w:rsid w:val="182D586E"/>
    <w:rsid w:val="1A7D716C"/>
    <w:rsid w:val="1AF22409"/>
    <w:rsid w:val="1D8B0C78"/>
    <w:rsid w:val="20B96E79"/>
    <w:rsid w:val="20E506C4"/>
    <w:rsid w:val="23DA0DD1"/>
    <w:rsid w:val="2CD45823"/>
    <w:rsid w:val="2F922638"/>
    <w:rsid w:val="30DF4759"/>
    <w:rsid w:val="3669223E"/>
    <w:rsid w:val="37D564D7"/>
    <w:rsid w:val="37F171E0"/>
    <w:rsid w:val="3D904069"/>
    <w:rsid w:val="3FCA23EC"/>
    <w:rsid w:val="41B43729"/>
    <w:rsid w:val="424D60E4"/>
    <w:rsid w:val="42FA4769"/>
    <w:rsid w:val="43BC1030"/>
    <w:rsid w:val="44EF4919"/>
    <w:rsid w:val="47964FBE"/>
    <w:rsid w:val="48197A8D"/>
    <w:rsid w:val="48F742D6"/>
    <w:rsid w:val="49196D1A"/>
    <w:rsid w:val="4A1752A2"/>
    <w:rsid w:val="4A5F391D"/>
    <w:rsid w:val="4B18398F"/>
    <w:rsid w:val="4CE76C32"/>
    <w:rsid w:val="4E315EE3"/>
    <w:rsid w:val="52AC7AB3"/>
    <w:rsid w:val="54207C4C"/>
    <w:rsid w:val="550F760A"/>
    <w:rsid w:val="596D661C"/>
    <w:rsid w:val="5BCF68BB"/>
    <w:rsid w:val="655C0D6A"/>
    <w:rsid w:val="68D66B5D"/>
    <w:rsid w:val="69A157A9"/>
    <w:rsid w:val="6AE846A2"/>
    <w:rsid w:val="6B3B79EC"/>
    <w:rsid w:val="6B8E5BB4"/>
    <w:rsid w:val="6E734069"/>
    <w:rsid w:val="6F094735"/>
    <w:rsid w:val="6F6B13C6"/>
    <w:rsid w:val="7122472E"/>
    <w:rsid w:val="72753F71"/>
    <w:rsid w:val="73431FE5"/>
    <w:rsid w:val="73525822"/>
    <w:rsid w:val="76750A36"/>
    <w:rsid w:val="778B0394"/>
    <w:rsid w:val="77E0380C"/>
    <w:rsid w:val="7B6D5E4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方正仿宋简体" w:cs="Times New Roman"/>
      <w:kern w:val="2"/>
      <w:sz w:val="32"/>
      <w:lang w:val="en-US" w:eastAsia="zh-CN" w:bidi="ar-SA"/>
    </w:rPr>
  </w:style>
  <w:style w:type="character" w:default="1" w:styleId="8">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Plain Text"/>
    <w:basedOn w:val="1"/>
    <w:qFormat/>
    <w:uiPriority w:val="0"/>
    <w:rPr>
      <w:rFonts w:ascii="宋体" w:hAnsi="Courier New" w:eastAsia="宋体"/>
      <w:sz w:val="21"/>
    </w:rPr>
  </w:style>
  <w:style w:type="paragraph" w:styleId="3">
    <w:name w:val="Balloon Text"/>
    <w:basedOn w:val="1"/>
    <w:link w:val="18"/>
    <w:qFormat/>
    <w:uiPriority w:val="0"/>
    <w:rPr>
      <w:sz w:val="18"/>
      <w:szCs w:val="18"/>
    </w:rPr>
  </w:style>
  <w:style w:type="paragraph" w:styleId="4">
    <w:name w:val="footer"/>
    <w:basedOn w:val="1"/>
    <w:link w:val="17"/>
    <w:qFormat/>
    <w:uiPriority w:val="0"/>
    <w:pPr>
      <w:tabs>
        <w:tab w:val="center" w:pos="4153"/>
        <w:tab w:val="right" w:pos="8306"/>
      </w:tabs>
      <w:snapToGrid w:val="0"/>
      <w:jc w:val="left"/>
    </w:pPr>
    <w:rPr>
      <w:sz w:val="18"/>
      <w:szCs w:val="18"/>
    </w:rPr>
  </w:style>
  <w:style w:type="paragraph" w:styleId="5">
    <w:name w:val="header"/>
    <w:basedOn w:val="1"/>
    <w:link w:val="16"/>
    <w:qFormat/>
    <w:uiPriority w:val="0"/>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9">
    <w:name w:val="font11"/>
    <w:basedOn w:val="8"/>
    <w:qFormat/>
    <w:uiPriority w:val="0"/>
    <w:rPr>
      <w:rFonts w:hint="eastAsia" w:ascii="宋体" w:hAnsi="宋体" w:eastAsia="宋体" w:cs="宋体"/>
      <w:b/>
      <w:color w:val="000000"/>
      <w:sz w:val="32"/>
      <w:szCs w:val="32"/>
      <w:u w:val="none"/>
    </w:rPr>
  </w:style>
  <w:style w:type="character" w:customStyle="1" w:styleId="10">
    <w:name w:val="font91"/>
    <w:basedOn w:val="8"/>
    <w:qFormat/>
    <w:uiPriority w:val="0"/>
    <w:rPr>
      <w:rFonts w:hint="eastAsia" w:ascii="宋体" w:hAnsi="宋体" w:eastAsia="宋体" w:cs="宋体"/>
      <w:color w:val="000000"/>
      <w:sz w:val="32"/>
      <w:szCs w:val="32"/>
      <w:u w:val="none"/>
    </w:rPr>
  </w:style>
  <w:style w:type="character" w:customStyle="1" w:styleId="11">
    <w:name w:val="font51"/>
    <w:basedOn w:val="8"/>
    <w:qFormat/>
    <w:uiPriority w:val="0"/>
    <w:rPr>
      <w:rFonts w:hint="eastAsia" w:ascii="宋体" w:hAnsi="宋体" w:eastAsia="宋体" w:cs="宋体"/>
      <w:color w:val="000000"/>
      <w:sz w:val="20"/>
      <w:szCs w:val="20"/>
      <w:u w:val="none"/>
    </w:rPr>
  </w:style>
  <w:style w:type="character" w:customStyle="1" w:styleId="12">
    <w:name w:val="font101"/>
    <w:basedOn w:val="8"/>
    <w:qFormat/>
    <w:uiPriority w:val="0"/>
    <w:rPr>
      <w:rFonts w:hint="eastAsia" w:ascii="宋体" w:hAnsi="宋体" w:eastAsia="宋体" w:cs="宋体"/>
      <w:color w:val="000000"/>
      <w:sz w:val="20"/>
      <w:szCs w:val="20"/>
      <w:u w:val="none"/>
    </w:rPr>
  </w:style>
  <w:style w:type="character" w:customStyle="1" w:styleId="13">
    <w:name w:val="font21"/>
    <w:basedOn w:val="8"/>
    <w:qFormat/>
    <w:uiPriority w:val="0"/>
    <w:rPr>
      <w:rFonts w:hint="eastAsia" w:ascii="宋体" w:hAnsi="宋体" w:eastAsia="宋体" w:cs="宋体"/>
      <w:color w:val="000000"/>
      <w:sz w:val="18"/>
      <w:szCs w:val="18"/>
      <w:u w:val="none"/>
    </w:rPr>
  </w:style>
  <w:style w:type="character" w:customStyle="1" w:styleId="14">
    <w:name w:val="font112"/>
    <w:basedOn w:val="8"/>
    <w:qFormat/>
    <w:uiPriority w:val="0"/>
    <w:rPr>
      <w:rFonts w:hint="eastAsia" w:ascii="宋体" w:hAnsi="宋体" w:eastAsia="宋体" w:cs="宋体"/>
      <w:color w:val="000000"/>
      <w:sz w:val="20"/>
      <w:szCs w:val="20"/>
      <w:u w:val="none"/>
    </w:rPr>
  </w:style>
  <w:style w:type="character" w:customStyle="1" w:styleId="15">
    <w:name w:val="font61"/>
    <w:basedOn w:val="8"/>
    <w:qFormat/>
    <w:uiPriority w:val="0"/>
    <w:rPr>
      <w:rFonts w:hint="eastAsia" w:ascii="宋体" w:hAnsi="宋体" w:eastAsia="宋体" w:cs="宋体"/>
      <w:color w:val="000000"/>
      <w:sz w:val="24"/>
      <w:szCs w:val="24"/>
      <w:u w:val="none"/>
    </w:rPr>
  </w:style>
  <w:style w:type="character" w:customStyle="1" w:styleId="16">
    <w:name w:val="页眉 Char"/>
    <w:basedOn w:val="8"/>
    <w:link w:val="5"/>
    <w:qFormat/>
    <w:uiPriority w:val="0"/>
    <w:rPr>
      <w:rFonts w:ascii="Calibri" w:hAnsi="Calibri" w:eastAsia="方正仿宋简体"/>
      <w:kern w:val="2"/>
      <w:sz w:val="18"/>
      <w:szCs w:val="18"/>
    </w:rPr>
  </w:style>
  <w:style w:type="character" w:customStyle="1" w:styleId="17">
    <w:name w:val="页脚 Char"/>
    <w:basedOn w:val="8"/>
    <w:link w:val="4"/>
    <w:qFormat/>
    <w:uiPriority w:val="0"/>
    <w:rPr>
      <w:rFonts w:ascii="Calibri" w:hAnsi="Calibri" w:eastAsia="方正仿宋简体"/>
      <w:kern w:val="2"/>
      <w:sz w:val="18"/>
      <w:szCs w:val="18"/>
    </w:rPr>
  </w:style>
  <w:style w:type="character" w:customStyle="1" w:styleId="18">
    <w:name w:val="批注框文本 Char"/>
    <w:basedOn w:val="8"/>
    <w:link w:val="3"/>
    <w:qFormat/>
    <w:uiPriority w:val="0"/>
    <w:rPr>
      <w:rFonts w:eastAsia="方正仿宋简体"/>
      <w:kern w:val="2"/>
      <w:sz w:val="18"/>
      <w:szCs w:val="18"/>
    </w:rPr>
  </w:style>
  <w:style w:type="paragraph" w:styleId="19">
    <w:name w:val="List Paragraph"/>
    <w:basedOn w:val="1"/>
    <w:unhideWhenUsed/>
    <w:qFormat/>
    <w:uiPriority w:val="99"/>
    <w:pPr>
      <w:ind w:firstLine="420" w:firstLineChars="200"/>
    </w:pPr>
  </w:style>
  <w:style w:type="character" w:customStyle="1" w:styleId="20">
    <w:name w:val="font41"/>
    <w:basedOn w:val="8"/>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chart" Target="charts/chart5.xml"/><Relationship Id="rId7" Type="http://schemas.openxmlformats.org/officeDocument/2006/relationships/chart" Target="charts/chart4.xml"/><Relationship Id="rId6" Type="http://schemas.openxmlformats.org/officeDocument/2006/relationships/chart" Target="charts/chart3.xml"/><Relationship Id="rId5" Type="http://schemas.openxmlformats.org/officeDocument/2006/relationships/chart" Target="charts/chart2.xml"/><Relationship Id="rId4" Type="http://schemas.openxmlformats.org/officeDocument/2006/relationships/chart" Target="charts/chart1.xml"/><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package" Target="../embeddings/Workbook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Workbook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Workbook4.xlsx"/></Relationships>
</file>

<file path=word/charts/_rels/chart4.xml.rels><?xml version="1.0" encoding="UTF-8" standalone="yes"?>
<Relationships xmlns="http://schemas.openxmlformats.org/package/2006/relationships"><Relationship Id="rId1" Type="http://schemas.openxmlformats.org/officeDocument/2006/relationships/package" Target="../embeddings/Workbook3.xlsx"/></Relationships>
</file>

<file path=word/charts/_rels/chart5.xml.rels><?xml version="1.0" encoding="UTF-8" standalone="yes"?>
<Relationships xmlns="http://schemas.openxmlformats.org/package/2006/relationships"><Relationship Id="rId1" Type="http://schemas.openxmlformats.org/officeDocument/2006/relationships/package" Target="../embeddings/Workbook5.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总数</c:v>
                </c:pt>
              </c:strCache>
            </c:strRef>
          </c:tx>
          <c:invertIfNegative val="0"/>
          <c:dLbls>
            <c:delete val="1"/>
          </c:dLbls>
          <c:cat>
            <c:strRef>
              <c:f>Sheet1!$A$2:$A$4</c:f>
              <c:strCache>
                <c:ptCount val="3"/>
                <c:pt idx="0">
                  <c:v>编制数</c:v>
                </c:pt>
                <c:pt idx="1">
                  <c:v>实有人员</c:v>
                </c:pt>
                <c:pt idx="2">
                  <c:v>事业人员</c:v>
                </c:pt>
              </c:strCache>
            </c:strRef>
          </c:cat>
          <c:val>
            <c:numRef>
              <c:f>Sheet1!$B$2:$B$4</c:f>
              <c:numCache>
                <c:formatCode>General</c:formatCode>
                <c:ptCount val="3"/>
                <c:pt idx="0">
                  <c:v>3</c:v>
                </c:pt>
                <c:pt idx="1">
                  <c:v>2</c:v>
                </c:pt>
                <c:pt idx="2">
                  <c:v>0</c:v>
                </c:pt>
              </c:numCache>
            </c:numRef>
          </c:val>
        </c:ser>
        <c:ser>
          <c:idx val="1"/>
          <c:order val="1"/>
          <c:tx>
            <c:strRef>
              <c:f>Sheet1!$C$1</c:f>
              <c:strCache>
                <c:ptCount val="1"/>
                <c:pt idx="0">
                  <c:v>行政</c:v>
                </c:pt>
              </c:strCache>
            </c:strRef>
          </c:tx>
          <c:invertIfNegative val="0"/>
          <c:dLbls>
            <c:delete val="1"/>
          </c:dLbls>
          <c:cat>
            <c:strRef>
              <c:f>Sheet1!$A$2:$A$4</c:f>
              <c:strCache>
                <c:ptCount val="3"/>
                <c:pt idx="0">
                  <c:v>编制数</c:v>
                </c:pt>
                <c:pt idx="1">
                  <c:v>实有人员</c:v>
                </c:pt>
                <c:pt idx="2">
                  <c:v>事业人员</c:v>
                </c:pt>
              </c:strCache>
            </c:strRef>
          </c:cat>
          <c:val>
            <c:numRef>
              <c:f>Sheet1!$C$2:$C$4</c:f>
              <c:numCache>
                <c:formatCode>General</c:formatCode>
                <c:ptCount val="3"/>
                <c:pt idx="0">
                  <c:v>3</c:v>
                </c:pt>
                <c:pt idx="1">
                  <c:v>2</c:v>
                </c:pt>
                <c:pt idx="2">
                  <c:v>0</c:v>
                </c:pt>
              </c:numCache>
            </c:numRef>
          </c:val>
        </c:ser>
        <c:ser>
          <c:idx val="2"/>
          <c:order val="2"/>
          <c:tx>
            <c:strRef>
              <c:f>Sheet1!$D$1</c:f>
              <c:strCache>
                <c:ptCount val="1"/>
                <c:pt idx="0">
                  <c:v>事业</c:v>
                </c:pt>
              </c:strCache>
            </c:strRef>
          </c:tx>
          <c:invertIfNegative val="0"/>
          <c:dLbls>
            <c:delete val="1"/>
          </c:dLbls>
          <c:cat>
            <c:strRef>
              <c:f>Sheet1!$A$2:$A$4</c:f>
              <c:strCache>
                <c:ptCount val="3"/>
                <c:pt idx="0">
                  <c:v>编制数</c:v>
                </c:pt>
                <c:pt idx="1">
                  <c:v>实有人员</c:v>
                </c:pt>
                <c:pt idx="2">
                  <c:v>事业人员</c:v>
                </c:pt>
              </c:strCache>
            </c:strRef>
          </c:cat>
          <c:val>
            <c:numRef>
              <c:f>Sheet1!$D$2:$D$4</c:f>
              <c:numCache>
                <c:formatCode>General</c:formatCode>
                <c:ptCount val="3"/>
                <c:pt idx="0">
                  <c:v>0</c:v>
                </c:pt>
                <c:pt idx="1">
                  <c:v>0</c:v>
                </c:pt>
                <c:pt idx="2">
                  <c:v>0</c:v>
                </c:pt>
              </c:numCache>
            </c:numRef>
          </c:val>
        </c:ser>
        <c:dLbls>
          <c:showLegendKey val="0"/>
          <c:showVal val="0"/>
          <c:showCatName val="0"/>
          <c:showSerName val="0"/>
          <c:showPercent val="0"/>
          <c:showBubbleSize val="0"/>
        </c:dLbls>
        <c:gapWidth val="150"/>
        <c:axId val="292578432"/>
        <c:axId val="292579968"/>
      </c:barChart>
      <c:catAx>
        <c:axId val="292578432"/>
        <c:scaling>
          <c:orientation val="minMax"/>
        </c:scaling>
        <c:delete val="0"/>
        <c:axPos val="b"/>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292579968"/>
        <c:crosses val="autoZero"/>
        <c:auto val="1"/>
        <c:lblAlgn val="ctr"/>
        <c:lblOffset val="100"/>
        <c:noMultiLvlLbl val="0"/>
      </c:catAx>
      <c:valAx>
        <c:axId val="292579968"/>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292578432"/>
        <c:crosses val="autoZero"/>
        <c:crossBetween val="between"/>
      </c:valAx>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2018年收入</c:v>
                </c:pt>
              </c:strCache>
            </c:strRef>
          </c:tx>
          <c:invertIfNegative val="0"/>
          <c:dLbls>
            <c:delete val="1"/>
          </c:dLbls>
          <c:cat>
            <c:strRef>
              <c:f>Sheet1!$A$2</c:f>
              <c:strCache>
                <c:ptCount val="1"/>
                <c:pt idx="0">
                  <c:v>总体</c:v>
                </c:pt>
              </c:strCache>
            </c:strRef>
          </c:cat>
          <c:val>
            <c:numRef>
              <c:f>Sheet1!$B$2</c:f>
              <c:numCache>
                <c:formatCode>General</c:formatCode>
                <c:ptCount val="1"/>
                <c:pt idx="0">
                  <c:v>124.69</c:v>
                </c:pt>
              </c:numCache>
            </c:numRef>
          </c:val>
        </c:ser>
        <c:ser>
          <c:idx val="1"/>
          <c:order val="1"/>
          <c:tx>
            <c:strRef>
              <c:f>Sheet1!$C$1</c:f>
              <c:strCache>
                <c:ptCount val="1"/>
                <c:pt idx="0">
                  <c:v>2019年收入</c:v>
                </c:pt>
              </c:strCache>
            </c:strRef>
          </c:tx>
          <c:invertIfNegative val="0"/>
          <c:dLbls>
            <c:delete val="1"/>
          </c:dLbls>
          <c:cat>
            <c:strRef>
              <c:f>Sheet1!$A$2</c:f>
              <c:strCache>
                <c:ptCount val="1"/>
                <c:pt idx="0">
                  <c:v>总体</c:v>
                </c:pt>
              </c:strCache>
            </c:strRef>
          </c:cat>
          <c:val>
            <c:numRef>
              <c:f>Sheet1!$C$2</c:f>
              <c:numCache>
                <c:formatCode>General</c:formatCode>
                <c:ptCount val="1"/>
                <c:pt idx="0">
                  <c:v>46.45</c:v>
                </c:pt>
              </c:numCache>
            </c:numRef>
          </c:val>
        </c:ser>
        <c:ser>
          <c:idx val="2"/>
          <c:order val="2"/>
          <c:tx>
            <c:strRef>
              <c:f>Sheet1!$D$1</c:f>
              <c:strCache>
                <c:ptCount val="1"/>
                <c:pt idx="0">
                  <c:v>2018年支出</c:v>
                </c:pt>
              </c:strCache>
            </c:strRef>
          </c:tx>
          <c:invertIfNegative val="0"/>
          <c:dLbls>
            <c:delete val="1"/>
          </c:dLbls>
          <c:cat>
            <c:strRef>
              <c:f>Sheet1!$A$2</c:f>
              <c:strCache>
                <c:ptCount val="1"/>
                <c:pt idx="0">
                  <c:v>总体</c:v>
                </c:pt>
              </c:strCache>
            </c:strRef>
          </c:cat>
          <c:val>
            <c:numRef>
              <c:f>Sheet1!$D$2</c:f>
              <c:numCache>
                <c:formatCode>General</c:formatCode>
                <c:ptCount val="1"/>
                <c:pt idx="0">
                  <c:v>124.69</c:v>
                </c:pt>
              </c:numCache>
            </c:numRef>
          </c:val>
        </c:ser>
        <c:ser>
          <c:idx val="3"/>
          <c:order val="3"/>
          <c:tx>
            <c:strRef>
              <c:f>Sheet1!$E$1</c:f>
              <c:strCache>
                <c:ptCount val="1"/>
                <c:pt idx="0">
                  <c:v>2019年支出</c:v>
                </c:pt>
              </c:strCache>
            </c:strRef>
          </c:tx>
          <c:invertIfNegative val="0"/>
          <c:dLbls>
            <c:delete val="1"/>
          </c:dLbls>
          <c:cat>
            <c:strRef>
              <c:f>Sheet1!$A$2</c:f>
              <c:strCache>
                <c:ptCount val="1"/>
                <c:pt idx="0">
                  <c:v>总体</c:v>
                </c:pt>
              </c:strCache>
            </c:strRef>
          </c:cat>
          <c:val>
            <c:numRef>
              <c:f>Sheet1!$E$2</c:f>
              <c:numCache>
                <c:formatCode>General</c:formatCode>
                <c:ptCount val="1"/>
                <c:pt idx="0">
                  <c:v>46.45</c:v>
                </c:pt>
              </c:numCache>
            </c:numRef>
          </c:val>
        </c:ser>
        <c:dLbls>
          <c:showLegendKey val="0"/>
          <c:showVal val="0"/>
          <c:showCatName val="0"/>
          <c:showSerName val="0"/>
          <c:showPercent val="0"/>
          <c:showBubbleSize val="0"/>
        </c:dLbls>
        <c:gapWidth val="150"/>
        <c:axId val="293734272"/>
        <c:axId val="293735808"/>
      </c:barChart>
      <c:catAx>
        <c:axId val="293734272"/>
        <c:scaling>
          <c:orientation val="minMax"/>
        </c:scaling>
        <c:delete val="0"/>
        <c:axPos val="b"/>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293735808"/>
        <c:crosses val="autoZero"/>
        <c:auto val="1"/>
        <c:lblAlgn val="ctr"/>
        <c:lblOffset val="100"/>
        <c:noMultiLvlLbl val="0"/>
      </c:catAx>
      <c:valAx>
        <c:axId val="293735808"/>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293734272"/>
        <c:crosses val="autoZero"/>
        <c:crossBetween val="between"/>
      </c:valAx>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p>
      </c:txPr>
    </c:title>
    <c:autoTitleDeleted val="0"/>
    <c:plotArea>
      <c:layout/>
      <c:pieChart>
        <c:varyColors val="1"/>
        <c:ser>
          <c:idx val="0"/>
          <c:order val="0"/>
          <c:tx>
            <c:strRef>
              <c:f>Sheet1!$B$1</c:f>
              <c:strCache>
                <c:ptCount val="1"/>
                <c:pt idx="0">
                  <c:v>收入情况</c:v>
                </c:pt>
              </c:strCache>
            </c:strRef>
          </c:tx>
          <c:explosion val="0"/>
          <c:dPt>
            <c:idx val="0"/>
            <c:bubble3D val="0"/>
          </c:dPt>
          <c:dPt>
            <c:idx val="1"/>
            <c:bubble3D val="0"/>
          </c:dPt>
          <c:dPt>
            <c:idx val="2"/>
            <c:bubble3D val="0"/>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bestFit"/>
            <c:showLegendKey val="0"/>
            <c:showVal val="0"/>
            <c:showCatName val="1"/>
            <c:showSerName val="0"/>
            <c:showPercent val="1"/>
            <c:showBubbleSize val="0"/>
            <c:showLeaderLines val="1"/>
            <c:extLst>
              <c:ext xmlns:c15="http://schemas.microsoft.com/office/drawing/2012/chart" uri="{CE6537A1-D6FC-4f65-9D91-7224C49458BB}">
                <c15:layout/>
                <c15:showLeaderLines val="1"/>
                <c15:leaderLines/>
              </c:ext>
            </c:extLst>
          </c:dLbls>
          <c:cat>
            <c:strRef>
              <c:f>Sheet1!$A$2:$A$4</c:f>
              <c:strCache>
                <c:ptCount val="3"/>
                <c:pt idx="0">
                  <c:v>财政拨款</c:v>
                </c:pt>
                <c:pt idx="1">
                  <c:v>事业收入</c:v>
                </c:pt>
                <c:pt idx="2">
                  <c:v>经营收入</c:v>
                </c:pt>
              </c:strCache>
            </c:strRef>
          </c:cat>
          <c:val>
            <c:numRef>
              <c:f>Sheet1!$B$2:$B$4</c:f>
              <c:numCache>
                <c:formatCode>General</c:formatCode>
                <c:ptCount val="3"/>
                <c:pt idx="0">
                  <c:v>1223.56</c:v>
                </c:pt>
                <c:pt idx="1">
                  <c:v>0</c:v>
                </c:pt>
                <c:pt idx="2">
                  <c:v>0</c:v>
                </c:pt>
              </c:numCache>
            </c:numRef>
          </c:val>
        </c:ser>
        <c:dLbls>
          <c:showLegendKey val="0"/>
          <c:showVal val="0"/>
          <c:showCatName val="1"/>
          <c:showSerName val="0"/>
          <c:showPercent val="1"/>
          <c:showBubbleSize val="0"/>
          <c:showLeaderLines val="1"/>
        </c:dLbls>
        <c:firstSliceAng val="15"/>
      </c:pieChart>
      <c:spPr>
        <a:noFill/>
        <a:ln>
          <a:noFill/>
        </a:ln>
        <a:effectLst/>
      </c:spPr>
    </c:plotArea>
    <c:plotVisOnly val="1"/>
    <c:dispBlanksAs val="gap"/>
    <c:showDLblsOverMax val="0"/>
  </c:chart>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p>
      </c:txPr>
    </c:title>
    <c:autoTitleDeleted val="0"/>
    <c:plotArea>
      <c:layout/>
      <c:pieChart>
        <c:varyColors val="1"/>
        <c:ser>
          <c:idx val="0"/>
          <c:order val="0"/>
          <c:tx>
            <c:strRef>
              <c:f>Sheet1!$B$1</c:f>
              <c:strCache>
                <c:ptCount val="1"/>
                <c:pt idx="0">
                  <c:v>支出</c:v>
                </c:pt>
              </c:strCache>
            </c:strRef>
          </c:tx>
          <c:explosion val="0"/>
          <c:dPt>
            <c:idx val="0"/>
            <c:bubble3D val="0"/>
          </c:dPt>
          <c:dPt>
            <c:idx val="1"/>
            <c:bubble3D val="0"/>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bestFit"/>
            <c:showLegendKey val="0"/>
            <c:showVal val="0"/>
            <c:showCatName val="1"/>
            <c:showSerName val="0"/>
            <c:showPercent val="1"/>
            <c:showBubbleSize val="0"/>
            <c:showLeaderLines val="1"/>
            <c:extLst>
              <c:ext xmlns:c15="http://schemas.microsoft.com/office/drawing/2012/chart" uri="{CE6537A1-D6FC-4f65-9D91-7224C49458BB}">
                <c15:layout/>
                <c15:showLeaderLines val="1"/>
                <c15:leaderLines/>
              </c:ext>
            </c:extLst>
          </c:dLbls>
          <c:cat>
            <c:strRef>
              <c:f>Sheet1!$A$2:$A$3</c:f>
              <c:strCache>
                <c:ptCount val="2"/>
                <c:pt idx="0">
                  <c:v>基本支出</c:v>
                </c:pt>
                <c:pt idx="1">
                  <c:v>项目支出</c:v>
                </c:pt>
              </c:strCache>
            </c:strRef>
          </c:cat>
          <c:val>
            <c:numRef>
              <c:f>Sheet1!$B$2:$B$3</c:f>
              <c:numCache>
                <c:formatCode>General</c:formatCode>
                <c:ptCount val="2"/>
                <c:pt idx="0">
                  <c:v>31.55</c:v>
                </c:pt>
                <c:pt idx="1">
                  <c:v>14.9</c:v>
                </c:pt>
              </c:numCache>
            </c:numRef>
          </c:val>
        </c:ser>
        <c:dLbls>
          <c:showLegendKey val="0"/>
          <c:showVal val="0"/>
          <c:showCatName val="1"/>
          <c:showSerName val="0"/>
          <c:showPercent val="1"/>
          <c:showBubbleSize val="0"/>
          <c:showLeaderLines val="1"/>
        </c:dLbls>
        <c:firstSliceAng val="15"/>
      </c:pieChart>
      <c:spPr>
        <a:noFill/>
        <a:ln>
          <a:noFill/>
        </a:ln>
        <a:effectLst/>
      </c:spPr>
    </c:plotArea>
    <c:plotVisOnly val="1"/>
    <c:dispBlanksAs val="gap"/>
    <c:showDLblsOverMax val="0"/>
  </c:chart>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2018年收入</c:v>
                </c:pt>
              </c:strCache>
            </c:strRef>
          </c:tx>
          <c:invertIfNegative val="0"/>
          <c:dLbls>
            <c:delete val="1"/>
          </c:dLbls>
          <c:cat>
            <c:strRef>
              <c:f>Sheet1!$A$2</c:f>
              <c:strCache>
                <c:ptCount val="1"/>
                <c:pt idx="0">
                  <c:v>总体</c:v>
                </c:pt>
              </c:strCache>
            </c:strRef>
          </c:cat>
          <c:val>
            <c:numRef>
              <c:f>Sheet1!$B$2</c:f>
              <c:numCache>
                <c:formatCode>General</c:formatCode>
                <c:ptCount val="1"/>
                <c:pt idx="0">
                  <c:v>124.69</c:v>
                </c:pt>
              </c:numCache>
            </c:numRef>
          </c:val>
        </c:ser>
        <c:ser>
          <c:idx val="1"/>
          <c:order val="1"/>
          <c:tx>
            <c:strRef>
              <c:f>Sheet1!$C$1</c:f>
              <c:strCache>
                <c:ptCount val="1"/>
                <c:pt idx="0">
                  <c:v>2019年收入</c:v>
                </c:pt>
              </c:strCache>
            </c:strRef>
          </c:tx>
          <c:invertIfNegative val="0"/>
          <c:dLbls>
            <c:delete val="1"/>
          </c:dLbls>
          <c:cat>
            <c:strRef>
              <c:f>Sheet1!$A$2</c:f>
              <c:strCache>
                <c:ptCount val="1"/>
                <c:pt idx="0">
                  <c:v>总体</c:v>
                </c:pt>
              </c:strCache>
            </c:strRef>
          </c:cat>
          <c:val>
            <c:numRef>
              <c:f>Sheet1!$C$2</c:f>
              <c:numCache>
                <c:formatCode>General</c:formatCode>
                <c:ptCount val="1"/>
                <c:pt idx="0">
                  <c:v>46.45</c:v>
                </c:pt>
              </c:numCache>
            </c:numRef>
          </c:val>
        </c:ser>
        <c:ser>
          <c:idx val="2"/>
          <c:order val="2"/>
          <c:tx>
            <c:strRef>
              <c:f>Sheet1!$D$1</c:f>
              <c:strCache>
                <c:ptCount val="1"/>
                <c:pt idx="0">
                  <c:v>2018年支出</c:v>
                </c:pt>
              </c:strCache>
            </c:strRef>
          </c:tx>
          <c:invertIfNegative val="0"/>
          <c:dLbls>
            <c:delete val="1"/>
          </c:dLbls>
          <c:cat>
            <c:strRef>
              <c:f>Sheet1!$A$2</c:f>
              <c:strCache>
                <c:ptCount val="1"/>
                <c:pt idx="0">
                  <c:v>总体</c:v>
                </c:pt>
              </c:strCache>
            </c:strRef>
          </c:cat>
          <c:val>
            <c:numRef>
              <c:f>Sheet1!$D$2</c:f>
              <c:numCache>
                <c:formatCode>General</c:formatCode>
                <c:ptCount val="1"/>
                <c:pt idx="0">
                  <c:v>124.69</c:v>
                </c:pt>
              </c:numCache>
            </c:numRef>
          </c:val>
        </c:ser>
        <c:ser>
          <c:idx val="3"/>
          <c:order val="3"/>
          <c:tx>
            <c:strRef>
              <c:f>Sheet1!$E$1</c:f>
              <c:strCache>
                <c:ptCount val="1"/>
                <c:pt idx="0">
                  <c:v>2019年支出</c:v>
                </c:pt>
              </c:strCache>
            </c:strRef>
          </c:tx>
          <c:invertIfNegative val="0"/>
          <c:dLbls>
            <c:delete val="1"/>
          </c:dLbls>
          <c:cat>
            <c:strRef>
              <c:f>Sheet1!$A$2</c:f>
              <c:strCache>
                <c:ptCount val="1"/>
                <c:pt idx="0">
                  <c:v>总体</c:v>
                </c:pt>
              </c:strCache>
            </c:strRef>
          </c:cat>
          <c:val>
            <c:numRef>
              <c:f>Sheet1!$E$2</c:f>
              <c:numCache>
                <c:formatCode>General</c:formatCode>
                <c:ptCount val="1"/>
                <c:pt idx="0">
                  <c:v>46.45</c:v>
                </c:pt>
              </c:numCache>
            </c:numRef>
          </c:val>
        </c:ser>
        <c:dLbls>
          <c:showLegendKey val="0"/>
          <c:showVal val="0"/>
          <c:showCatName val="0"/>
          <c:showSerName val="0"/>
          <c:showPercent val="0"/>
          <c:showBubbleSize val="0"/>
        </c:dLbls>
        <c:gapWidth val="150"/>
        <c:axId val="293901440"/>
        <c:axId val="293902976"/>
      </c:barChart>
      <c:catAx>
        <c:axId val="293901440"/>
        <c:scaling>
          <c:orientation val="minMax"/>
        </c:scaling>
        <c:delete val="0"/>
        <c:axPos val="b"/>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293902976"/>
        <c:crosses val="autoZero"/>
        <c:auto val="1"/>
        <c:lblAlgn val="ctr"/>
        <c:lblOffset val="100"/>
        <c:noMultiLvlLbl val="0"/>
      </c:catAx>
      <c:valAx>
        <c:axId val="293902976"/>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293901440"/>
        <c:crosses val="autoZero"/>
        <c:crossBetween val="between"/>
      </c:valAx>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36</Pages>
  <Words>1939</Words>
  <Characters>11053</Characters>
  <Lines>92</Lines>
  <Paragraphs>25</Paragraphs>
  <TotalTime>1</TotalTime>
  <ScaleCrop>false</ScaleCrop>
  <LinksUpToDate>false</LinksUpToDate>
  <CharactersWithSpaces>12967</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2020-09-17T02:35:00Z</dcterms:created>
  <dc:creator>lenovo</dc:creator>
  <cp:lastModifiedBy>Administrator</cp:lastModifiedBy>
  <cp:lastPrinted>2020-09-17T02:30:00Z</cp:lastPrinted>
  <dcterms:modified xsi:type="dcterms:W3CDTF">2020-10-13T08:45:20Z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