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 w:val="44"/>
          <w:szCs w:val="44"/>
        </w:rPr>
      </w:pPr>
    </w:p>
    <w:p>
      <w:pPr>
        <w:jc w:val="center"/>
        <w:rPr>
          <w:rFonts w:ascii="宋体" w:hAnsi="宋体" w:eastAsia="宋体" w:cs="宋体"/>
          <w:b/>
          <w:bCs/>
          <w:sz w:val="44"/>
          <w:szCs w:val="44"/>
        </w:rPr>
      </w:pPr>
    </w:p>
    <w:p>
      <w:pPr>
        <w:jc w:val="center"/>
        <w:rPr>
          <w:rFonts w:ascii="宋体" w:hAnsi="宋体" w:eastAsia="宋体" w:cs="宋体"/>
          <w:b/>
          <w:bCs/>
          <w:sz w:val="44"/>
          <w:szCs w:val="44"/>
        </w:rPr>
      </w:pPr>
    </w:p>
    <w:p>
      <w:pPr>
        <w:spacing w:line="440" w:lineRule="exact"/>
        <w:jc w:val="center"/>
        <w:rPr>
          <w:rFonts w:ascii="宋体" w:hAnsi="宋体" w:eastAsia="宋体" w:cs="宋体"/>
          <w:b/>
          <w:bCs/>
          <w:sz w:val="44"/>
          <w:szCs w:val="44"/>
        </w:rPr>
      </w:pPr>
    </w:p>
    <w:p>
      <w:pPr>
        <w:spacing w:line="560" w:lineRule="exact"/>
        <w:jc w:val="center"/>
        <w:rPr>
          <w:rFonts w:ascii="宋体" w:hAnsi="宋体" w:eastAsia="宋体" w:cstheme="majorEastAsia"/>
          <w:b/>
          <w:bCs/>
          <w:sz w:val="48"/>
          <w:szCs w:val="48"/>
        </w:rPr>
      </w:pPr>
      <w:r>
        <w:rPr>
          <w:rFonts w:hint="eastAsia" w:ascii="宋体" w:hAnsi="宋体" w:eastAsia="宋体" w:cstheme="majorEastAsia"/>
          <w:b/>
          <w:bCs/>
          <w:sz w:val="48"/>
          <w:szCs w:val="48"/>
        </w:rPr>
        <w:t>蓝田县</w:t>
      </w:r>
      <w:r>
        <w:rPr>
          <w:rFonts w:hint="eastAsia" w:ascii="宋体" w:hAnsi="宋体" w:eastAsia="宋体" w:cstheme="majorEastAsia"/>
          <w:b/>
          <w:bCs/>
          <w:sz w:val="48"/>
          <w:szCs w:val="48"/>
          <w:lang w:val="en-US" w:eastAsia="zh-CN"/>
        </w:rPr>
        <w:t>应急管理</w:t>
      </w:r>
      <w:r>
        <w:rPr>
          <w:rFonts w:hint="eastAsia" w:ascii="宋体" w:hAnsi="宋体" w:eastAsia="宋体" w:cstheme="majorEastAsia"/>
          <w:b/>
          <w:bCs/>
          <w:sz w:val="48"/>
          <w:szCs w:val="48"/>
        </w:rPr>
        <w:t>局</w:t>
      </w:r>
    </w:p>
    <w:p>
      <w:pPr>
        <w:spacing w:line="560" w:lineRule="exact"/>
        <w:jc w:val="center"/>
        <w:rPr>
          <w:rFonts w:hint="eastAsia" w:ascii="宋体" w:hAnsi="宋体" w:eastAsia="宋体" w:cstheme="majorEastAsia"/>
          <w:b/>
          <w:bCs/>
          <w:sz w:val="48"/>
          <w:szCs w:val="48"/>
          <w:lang w:val="en-US" w:eastAsia="zh-CN"/>
        </w:rPr>
      </w:pPr>
      <w:r>
        <w:rPr>
          <w:rFonts w:hint="eastAsia" w:ascii="宋体" w:hAnsi="宋体" w:eastAsia="宋体" w:cstheme="majorEastAsia"/>
          <w:b/>
          <w:bCs/>
          <w:sz w:val="48"/>
          <w:szCs w:val="48"/>
        </w:rPr>
        <w:t>2019年度部门决算</w:t>
      </w:r>
      <w:r>
        <w:rPr>
          <w:rFonts w:hint="eastAsia" w:ascii="宋体" w:hAnsi="宋体" w:eastAsia="宋体" w:cstheme="majorEastAsia"/>
          <w:b/>
          <w:bCs/>
          <w:sz w:val="48"/>
          <w:szCs w:val="48"/>
          <w:lang w:val="en-US" w:eastAsia="zh-CN"/>
        </w:rPr>
        <w:t>说明</w:t>
      </w: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jc w:val="center"/>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560" w:lineRule="exact"/>
        <w:rPr>
          <w:rFonts w:asciiTheme="majorEastAsia" w:hAnsiTheme="majorEastAsia" w:eastAsiaTheme="majorEastAsia" w:cstheme="majorEastAsia"/>
          <w:b/>
          <w:bCs/>
          <w:sz w:val="44"/>
          <w:szCs w:val="44"/>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570" w:firstLineChars="800"/>
        <w:rPr>
          <w:rFonts w:asciiTheme="majorEastAsia" w:hAnsiTheme="majorEastAsia" w:eastAsiaTheme="majorEastAsia" w:cstheme="majorEastAsia"/>
          <w:b/>
          <w:bCs/>
          <w:szCs w:val="32"/>
        </w:rPr>
      </w:pPr>
    </w:p>
    <w:p>
      <w:pPr>
        <w:spacing w:line="400" w:lineRule="exact"/>
        <w:ind w:firstLine="2088" w:firstLineChars="650"/>
        <w:rPr>
          <w:rFonts w:hint="default" w:ascii="宋体" w:hAnsi="宋体" w:eastAsia="宋体" w:cstheme="minorEastAsia"/>
          <w:b/>
          <w:bCs/>
          <w:szCs w:val="32"/>
          <w:lang w:val="en-US" w:eastAsia="zh-CN"/>
        </w:rPr>
      </w:pPr>
      <w:r>
        <w:rPr>
          <w:rFonts w:hint="eastAsia" w:ascii="宋体" w:hAnsi="宋体" w:eastAsia="宋体" w:cstheme="minorEastAsia"/>
          <w:b/>
          <w:bCs/>
          <w:szCs w:val="32"/>
        </w:rPr>
        <w:t>保密审查情况：</w:t>
      </w:r>
      <w:r>
        <w:rPr>
          <w:rFonts w:hint="eastAsia" w:ascii="宋体" w:hAnsi="宋体" w:eastAsia="宋体" w:cstheme="minorEastAsia"/>
          <w:b/>
          <w:bCs/>
          <w:szCs w:val="32"/>
          <w:lang w:val="en-US" w:eastAsia="zh-CN"/>
        </w:rPr>
        <w:t>已审查</w:t>
      </w:r>
    </w:p>
    <w:p>
      <w:pPr>
        <w:spacing w:line="400" w:lineRule="exact"/>
        <w:jc w:val="center"/>
        <w:rPr>
          <w:rFonts w:ascii="宋体" w:hAnsi="宋体" w:eastAsia="宋体" w:cstheme="minorEastAsia"/>
          <w:b/>
          <w:bCs/>
          <w:szCs w:val="32"/>
        </w:rPr>
      </w:pPr>
    </w:p>
    <w:p>
      <w:pPr>
        <w:spacing w:line="400" w:lineRule="exact"/>
        <w:ind w:firstLine="2088" w:firstLineChars="650"/>
        <w:rPr>
          <w:rFonts w:hint="default" w:ascii="宋体" w:hAnsi="宋体" w:eastAsia="宋体" w:cs="宋体"/>
          <w:b/>
          <w:bCs/>
          <w:szCs w:val="32"/>
          <w:lang w:val="en-US" w:eastAsia="zh-CN"/>
        </w:rPr>
      </w:pPr>
      <w:r>
        <w:rPr>
          <w:rFonts w:hint="eastAsia" w:ascii="宋体" w:hAnsi="宋体" w:eastAsia="宋体" w:cstheme="minorEastAsia"/>
          <w:b/>
          <w:bCs/>
          <w:szCs w:val="32"/>
        </w:rPr>
        <w:t>部门主要负责人审签情况：</w:t>
      </w:r>
      <w:r>
        <w:rPr>
          <w:rFonts w:hint="eastAsia" w:ascii="宋体" w:hAnsi="宋体" w:eastAsia="宋体" w:cstheme="minorEastAsia"/>
          <w:b/>
          <w:bCs/>
          <w:szCs w:val="32"/>
          <w:lang w:val="en-US" w:eastAsia="zh-CN"/>
        </w:rPr>
        <w:t>已审签</w:t>
      </w:r>
    </w:p>
    <w:p>
      <w:pPr>
        <w:spacing w:line="400" w:lineRule="exact"/>
        <w:rPr>
          <w:rFonts w:ascii="宋体" w:hAnsi="宋体" w:cs="宋体"/>
          <w:b/>
          <w:bCs/>
          <w:szCs w:val="32"/>
        </w:rPr>
      </w:pPr>
    </w:p>
    <w:p>
      <w:pPr>
        <w:spacing w:line="400" w:lineRule="exact"/>
        <w:rPr>
          <w:rFonts w:ascii="宋体" w:hAnsi="宋体" w:cs="宋体"/>
          <w:b/>
          <w:bCs/>
          <w:szCs w:val="32"/>
        </w:rPr>
      </w:pPr>
    </w:p>
    <w:p>
      <w:pPr>
        <w:rPr>
          <w:rFonts w:ascii="黑体" w:hAnsi="宋体" w:eastAsia="黑体"/>
          <w:b/>
          <w:color w:val="000000"/>
          <w:kern w:val="0"/>
          <w:sz w:val="56"/>
          <w:szCs w:val="56"/>
        </w:rPr>
      </w:pPr>
    </w:p>
    <w:p>
      <w:pPr>
        <w:jc w:val="center"/>
        <w:rPr>
          <w:rFonts w:ascii="黑体" w:hAnsi="宋体" w:eastAsia="黑体"/>
          <w:bCs/>
          <w:color w:val="000000"/>
          <w:kern w:val="0"/>
          <w:sz w:val="36"/>
          <w:szCs w:val="36"/>
        </w:rPr>
      </w:pPr>
      <w:r>
        <w:rPr>
          <w:rFonts w:ascii="黑体" w:hAnsi="宋体" w:eastAsia="黑体"/>
          <w:bCs/>
          <w:color w:val="000000"/>
          <w:kern w:val="0"/>
          <w:sz w:val="36"/>
          <w:szCs w:val="36"/>
        </w:rPr>
        <w:t>目录</w:t>
      </w:r>
    </w:p>
    <w:p>
      <w:pPr>
        <w:jc w:val="center"/>
        <w:rPr>
          <w:rFonts w:ascii="黑体" w:hAnsi="宋体" w:eastAsia="黑体"/>
          <w:bCs/>
          <w:color w:val="000000"/>
          <w:kern w:val="0"/>
          <w:sz w:val="36"/>
          <w:szCs w:val="36"/>
        </w:rPr>
      </w:pPr>
    </w:p>
    <w:p>
      <w:pPr>
        <w:widowControl/>
        <w:jc w:val="center"/>
      </w:pPr>
      <w:r>
        <w:rPr>
          <w:rFonts w:hint="eastAsia" w:ascii="黑体" w:hAnsi="宋体" w:eastAsia="黑体"/>
          <w:color w:val="000000"/>
          <w:kern w:val="0"/>
          <w:szCs w:val="32"/>
        </w:rPr>
        <w:t>第一部分 部门概况</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一、部门主要职责及内设机构</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二、部门决算单位构成</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三、部门人员情况</w:t>
      </w:r>
    </w:p>
    <w:p>
      <w:pPr>
        <w:widowControl/>
        <w:jc w:val="center"/>
      </w:pPr>
      <w:r>
        <w:rPr>
          <w:rFonts w:hint="eastAsia" w:ascii="黑体" w:hAnsi="宋体" w:eastAsia="黑体"/>
          <w:color w:val="000000"/>
          <w:kern w:val="0"/>
          <w:szCs w:val="32"/>
        </w:rPr>
        <w:t>第二部分  2019年度部门决算表</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一、收入支出决算总表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二、收入决算总表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三、支出决算总表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四、财政拨款收入支出决算总表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五、一般公共预算财政拨款支出决算表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六、一般公共预算财政拨款基本支出决算表    </w:t>
      </w:r>
    </w:p>
    <w:p>
      <w:pPr>
        <w:widowControl/>
        <w:ind w:left="640" w:hanging="640" w:hangingChars="200"/>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七、一般公共预算财政拨款“三公”经费及会议费、培训费支出决算表    </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八、政府性基金预算财政拨款收入支出决算表</w:t>
      </w:r>
    </w:p>
    <w:p>
      <w:pPr>
        <w:widowControl/>
        <w:jc w:val="center"/>
      </w:pPr>
      <w:r>
        <w:rPr>
          <w:rFonts w:hint="eastAsia" w:ascii="黑体" w:hAnsi="宋体" w:eastAsia="黑体"/>
          <w:color w:val="000000"/>
          <w:kern w:val="0"/>
          <w:szCs w:val="32"/>
        </w:rPr>
        <w:t>第三部分 2019年度部门决算情况说明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二、收入决算情况说明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三、支出决算情况说明</w:t>
      </w:r>
    </w:p>
    <w:p>
      <w:pPr>
        <w:widowControl/>
        <w:jc w:val="left"/>
        <w:rPr>
          <w:rFonts w:ascii="楷体" w:hAnsi="楷体" w:eastAsia="楷体" w:cs="楷体"/>
        </w:rPr>
      </w:pPr>
      <w:r>
        <w:rPr>
          <w:rFonts w:hint="eastAsia" w:ascii="仿宋" w:hAnsi="仿宋" w:eastAsia="仿宋" w:cs="楷体"/>
          <w:color w:val="000000"/>
          <w:kern w:val="0"/>
          <w:szCs w:val="32"/>
        </w:rPr>
        <w:t>四、财政拨款收入支出决算总体情况说明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五、一般公共预算财政拨款支出决算情况说明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六、一般公共预算财政拨款基本支出决算情况说明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七、一般公共预算财政拨款“三公”经费及会议费、培训费支出决算情况说明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（一）“三公”经费财政拨款支出决算总体情况说明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（二）“三公”经费财政拨款支出决算具体情况说明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（三）培训费支出情况说明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（四）会议费支出情况说明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八、政府性基金预算财政拨款收入支出情况说明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九、国有资本经营财政拨款收入支出情况说明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十、预算绩效情况说明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（一）预算绩效管理工作开展情况说明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（二）部门决算中项目绩效自评结果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（三）部门决算中整体支出绩效自评结果</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 xml:space="preserve"> 十一、其他重要事项说明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（一）机关运行经费支出情况说明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（二）政府采购支出情况说明</w:t>
      </w:r>
    </w:p>
    <w:p>
      <w:pPr>
        <w:widowControl/>
        <w:jc w:val="left"/>
        <w:rPr>
          <w:rFonts w:ascii="仿宋" w:hAnsi="仿宋" w:eastAsia="仿宋" w:cs="楷体"/>
          <w:color w:val="000000"/>
          <w:kern w:val="0"/>
          <w:szCs w:val="32"/>
        </w:rPr>
      </w:pPr>
      <w:r>
        <w:rPr>
          <w:rFonts w:hint="eastAsia" w:ascii="仿宋" w:hAnsi="仿宋" w:eastAsia="仿宋" w:cs="楷体"/>
          <w:color w:val="000000"/>
          <w:kern w:val="0"/>
          <w:szCs w:val="32"/>
        </w:rPr>
        <w:t>（三）国有资产占用及购置情况说明</w:t>
      </w:r>
    </w:p>
    <w:p>
      <w:pPr>
        <w:jc w:val="center"/>
        <w:rPr>
          <w:rFonts w:ascii="黑体" w:hAnsi="宋体" w:eastAsia="黑体"/>
          <w:color w:val="000000"/>
          <w:kern w:val="0"/>
          <w:szCs w:val="32"/>
        </w:rPr>
      </w:pPr>
      <w:r>
        <w:rPr>
          <w:rFonts w:hint="eastAsia" w:ascii="黑体" w:hAnsi="宋体" w:eastAsia="黑体"/>
          <w:color w:val="000000"/>
          <w:kern w:val="0"/>
          <w:szCs w:val="32"/>
        </w:rPr>
        <w:t>第四部分 专业名词解释</w:t>
      </w:r>
    </w:p>
    <w:p>
      <w:pPr>
        <w:rPr>
          <w:rFonts w:ascii="黑体" w:hAnsi="宋体" w:eastAsia="黑体"/>
          <w:color w:val="000000"/>
          <w:kern w:val="0"/>
          <w:szCs w:val="32"/>
        </w:rPr>
      </w:pPr>
    </w:p>
    <w:p>
      <w:pPr>
        <w:jc w:val="center"/>
        <w:rPr>
          <w:rFonts w:ascii="黑体" w:hAnsi="宋体" w:eastAsia="黑体"/>
          <w:color w:val="000000"/>
          <w:kern w:val="0"/>
          <w:sz w:val="44"/>
          <w:szCs w:val="44"/>
        </w:rPr>
      </w:pPr>
    </w:p>
    <w:p>
      <w:pPr>
        <w:numPr>
          <w:ilvl w:val="0"/>
          <w:numId w:val="1"/>
        </w:numPr>
        <w:jc w:val="center"/>
        <w:rPr>
          <w:rFonts w:ascii="黑体" w:hAnsi="宋体" w:eastAsia="黑体"/>
          <w:color w:val="000000"/>
          <w:kern w:val="0"/>
          <w:sz w:val="44"/>
          <w:szCs w:val="44"/>
        </w:rPr>
      </w:pPr>
      <w:r>
        <w:rPr>
          <w:rFonts w:hint="eastAsia" w:ascii="黑体" w:hAnsi="宋体" w:eastAsia="黑体"/>
          <w:color w:val="000000"/>
          <w:kern w:val="0"/>
          <w:sz w:val="44"/>
          <w:szCs w:val="44"/>
        </w:rPr>
        <w:t>部门</w:t>
      </w:r>
      <w:r>
        <w:rPr>
          <w:rFonts w:ascii="黑体" w:hAnsi="宋体" w:eastAsia="黑体"/>
          <w:color w:val="000000"/>
          <w:kern w:val="0"/>
          <w:sz w:val="44"/>
          <w:szCs w:val="44"/>
        </w:rPr>
        <w:t>概况</w:t>
      </w:r>
    </w:p>
    <w:p>
      <w:pPr>
        <w:rPr>
          <w:rFonts w:ascii="黑体" w:hAnsi="宋体" w:eastAsia="黑体"/>
          <w:color w:val="000000"/>
          <w:kern w:val="0"/>
          <w:sz w:val="44"/>
          <w:szCs w:val="44"/>
        </w:rPr>
      </w:pPr>
    </w:p>
    <w:p>
      <w:pPr>
        <w:widowControl/>
        <w:ind w:firstLine="640" w:firstLineChars="200"/>
        <w:jc w:val="left"/>
        <w:rPr>
          <w:rFonts w:ascii="黑体" w:hAnsi="宋体" w:eastAsia="黑体"/>
          <w:color w:val="000000"/>
          <w:kern w:val="0"/>
          <w:szCs w:val="32"/>
        </w:rPr>
      </w:pPr>
      <w:r>
        <w:rPr>
          <w:rFonts w:hint="eastAsia" w:ascii="黑体" w:hAnsi="宋体" w:eastAsia="黑体"/>
          <w:color w:val="000000"/>
          <w:kern w:val="0"/>
          <w:szCs w:val="32"/>
        </w:rPr>
        <w:t>一、部门主要职责及内设机构</w:t>
      </w:r>
    </w:p>
    <w:p>
      <w:pPr>
        <w:widowControl/>
        <w:ind w:firstLine="643" w:firstLineChars="200"/>
        <w:jc w:val="left"/>
        <w:rPr>
          <w:rFonts w:ascii="楷体" w:hAnsi="楷体" w:eastAsia="楷体" w:cs="楷体"/>
          <w:b/>
          <w:bCs/>
          <w:color w:val="000000"/>
          <w:kern w:val="0"/>
          <w:szCs w:val="32"/>
        </w:rPr>
      </w:pPr>
      <w:r>
        <w:rPr>
          <w:rFonts w:hint="eastAsia" w:ascii="楷体" w:hAnsi="楷体" w:eastAsia="楷体" w:cs="楷体"/>
          <w:b/>
          <w:bCs/>
          <w:color w:val="000000"/>
          <w:kern w:val="0"/>
          <w:szCs w:val="32"/>
        </w:rPr>
        <w:t>（一）主要职责</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1.贯彻国家应急管理、安全生产、防灾减灾方面的法律法规和政策规定,贯彻省市相关地方性法规和规章、规程标准等，组织编制全县应急体系建设、安全生产和综合防灾减灾规划，并监督实施。</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2.负责全县应急管理工作，指导各镇街（管委会）和县级各部门应对安全生产类、自然灾害类等突发事件和综合防灾减灾救灾工作。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3.负责安全生产综合监督管理和工矿商贸行业、危险化学品、烟花爆竹安全生产监督管理工作。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负责全县应急预案体系建设，落实事故灾难和自然灾害分级应对地方制度，组织编制全县总体应急预案和安全生产类、自然灾害类专项预案，指导各镇街（管委会）应急预案编制，综合协调应急预案衔接工作，组织开展预案演练，推动应急避难设施建设。</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5.牵头建立全县统一的应急管理信息系统，建立监测预警和灾情报告制度，健全自然灾害信息资源获取和共享机制，依法发布灾情。</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6.组织指导协调全县安全生产类、自然灾害类等突发事件应急救援，承担县应对一般灾害指挥部工作，综合研判突发事件发展态势并提出应对建议，协助县委、县政府指定的负责同志组织一般灾害应急处置工作。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7.统一协调指挥全县各类应急专业队伍，建立应急协调联动机制，推进指挥平台对接，衔接驻蓝武警部队参与应急救援工作。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8.统筹全县应急救援力量建设，负责消防、森林火灾扑救、抗洪抢险、地震和地质灾害救援、生产安全事故救援等专业应急救援力量建设，协调指导镇街（管委会）和社会应急救援力量建设。</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9.依法负责全县消防管理工作，指导各镇街（管委会）消防监督、火灾预防、火灾扑救等工作。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10.指导协调全县森林火灾、水旱灾害、地震和地质灾害等防治工作，负责自然灾害综合监测预警工作，指导开展自然灾害综合风险评估工作。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11.组织协调灾害救助工作，组织指导灾情核查、损失评估、救灾捐赠工作，管理、分配中省市县救灾款物并监督使用。</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12.依法行使全县安全生产综合监督管理职权，指导协调、监督检查县级部门和镇街（管委会）安全生产工作，组织开展安全生产巡查、考核工作。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13.按照分级、属地原则，依法监督检查工矿商贸行业、危险化学品和烟花爆竹领域生产经营单位贯彻执行安全生产法律法规情况及其安全生产条件和有关设备（特种设备除外）、材料、劳动防护用品的安全生产管理工作，负责安全生产执法工作，依法组织并指导监督实施安全生产准入制度。</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14.依法组织指导全县范围内生产安全事故调查处理，监督事故查处、责任追究和整改措施落实情况，组织开展自然灾害类突发事件的调查评估工作。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15.制定全县应急物资储备和应急救援装备规划并组织实施，会同县级有关部门建立健全应急物资信息平台和调拨制度，负责应急救灾物资统一调度。</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16.负责应急管理、安全生产、防灾减灾等宣传教育和培训工作，组织指导应急管理、安全生产、防灾减灾的科学技术研究、推广应用和信息化建设工作。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17.负责管理全县防震减灾工作。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18.开展应急管理方面的对外交流和合作。</w:t>
      </w:r>
    </w:p>
    <w:p>
      <w:pPr>
        <w:keepNext w:val="0"/>
        <w:keepLines w:val="0"/>
        <w:pageBreakBefore w:val="0"/>
        <w:widowControl w:val="0"/>
        <w:kinsoku/>
        <w:wordWrap/>
        <w:overflowPunct/>
        <w:topLinePunct w:val="0"/>
        <w:autoSpaceDE/>
        <w:autoSpaceDN/>
        <w:bidi w:val="0"/>
        <w:adjustRightInd/>
        <w:snapToGrid/>
        <w:spacing w:line="576" w:lineRule="exact"/>
        <w:ind w:firstLine="641"/>
        <w:textAlignment w:val="auto"/>
        <w:rPr>
          <w:rFonts w:ascii="楷体" w:hAnsi="楷体" w:eastAsia="楷体" w:cs="楷体"/>
          <w:i w:val="0"/>
          <w:caps w:val="0"/>
          <w:color w:val="000000"/>
          <w:spacing w:val="0"/>
          <w:kern w:val="0"/>
          <w:sz w:val="32"/>
          <w:szCs w:val="32"/>
          <w:lang w:val="en-US" w:eastAsia="zh-CN" w:bidi="ar"/>
        </w:rPr>
      </w:pPr>
      <w:r>
        <w:rPr>
          <w:rFonts w:hint="eastAsia" w:ascii="仿宋" w:hAnsi="仿宋" w:eastAsia="仿宋" w:cs="仿宋"/>
          <w:sz w:val="32"/>
          <w:szCs w:val="32"/>
          <w:lang w:val="en-US" w:eastAsia="zh-CN"/>
        </w:rPr>
        <w:t>19.完成县委、县政府交办的其他任务。</w:t>
      </w:r>
    </w:p>
    <w:p>
      <w:pPr>
        <w:widowControl/>
        <w:ind w:firstLine="643" w:firstLineChars="200"/>
        <w:jc w:val="left"/>
        <w:rPr>
          <w:rFonts w:hint="eastAsia" w:ascii="楷体" w:hAnsi="楷体" w:eastAsia="楷体" w:cs="楷体"/>
          <w:b/>
          <w:bCs/>
          <w:color w:val="000000"/>
          <w:kern w:val="0"/>
          <w:szCs w:val="32"/>
        </w:rPr>
      </w:pPr>
      <w:r>
        <w:rPr>
          <w:rFonts w:hint="eastAsia" w:ascii="楷体" w:hAnsi="楷体" w:eastAsia="楷体" w:cs="楷体"/>
          <w:b/>
          <w:bCs/>
          <w:color w:val="000000"/>
          <w:kern w:val="0"/>
          <w:szCs w:val="32"/>
        </w:rPr>
        <w:t>（二）内设机构</w:t>
      </w:r>
    </w:p>
    <w:p>
      <w:pPr>
        <w:adjustRightInd w:val="0"/>
        <w:snapToGrid w:val="0"/>
        <w:spacing w:line="576" w:lineRule="exact"/>
        <w:ind w:firstLine="640" w:firstLineChars="200"/>
        <w:rPr>
          <w:rFonts w:hint="default" w:ascii="仿宋_GB2312" w:eastAsia="仿宋_GB2312"/>
          <w:sz w:val="32"/>
          <w:szCs w:val="32"/>
          <w:lang w:val="en-US" w:eastAsia="zh-CN"/>
        </w:rPr>
      </w:pPr>
      <w:r>
        <w:rPr>
          <w:rFonts w:hint="eastAsia" w:ascii="仿宋" w:hAnsi="仿宋" w:eastAsia="仿宋" w:cs="仿宋"/>
          <w:sz w:val="32"/>
          <w:szCs w:val="32"/>
          <w:lang w:val="en-US" w:eastAsia="zh-CN"/>
        </w:rPr>
        <w:t>2019年4月按照《蓝田县机构改革实施方案》，</w:t>
      </w:r>
      <w:r>
        <w:rPr>
          <w:rFonts w:hint="eastAsia" w:ascii="仿宋_GB2312" w:eastAsia="仿宋_GB2312"/>
          <w:sz w:val="32"/>
          <w:szCs w:val="32"/>
          <w:lang w:val="en-US" w:eastAsia="zh-CN"/>
        </w:rPr>
        <w:t>将县安全生产监督管理局职责，县政府办公室的应急管理职责，县公安局的消防管理职责，县民政局的救灾职责，县国土资源局的地质灾害防治职责，县水务局的水旱</w:t>
      </w:r>
      <w:bookmarkStart w:id="0" w:name="_GoBack"/>
      <w:bookmarkEnd w:id="0"/>
      <w:r>
        <w:rPr>
          <w:rFonts w:hint="eastAsia" w:ascii="仿宋_GB2312" w:eastAsia="仿宋_GB2312"/>
          <w:sz w:val="32"/>
          <w:szCs w:val="32"/>
          <w:lang w:val="en-US" w:eastAsia="zh-CN"/>
        </w:rPr>
        <w:t>灾害防治职责，县林业局的森林防火相关职责，县科技局的地震工作职责，以及县防汛抗旱指挥部、县减灾委员会、县抗震救灾指挥部、县森林防火指挥部、县应急管理委员会，组建县应急管理局，作为县政府工作部门。</w:t>
      </w:r>
    </w:p>
    <w:p>
      <w:pPr>
        <w:adjustRightInd w:val="0"/>
        <w:snapToGrid w:val="0"/>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局机关内设机构：办公室、</w:t>
      </w:r>
      <w:r>
        <w:rPr>
          <w:rFonts w:hint="eastAsia" w:ascii="仿宋_GB2312" w:eastAsia="仿宋_GB2312"/>
          <w:sz w:val="32"/>
          <w:szCs w:val="32"/>
          <w:lang w:val="en-US" w:eastAsia="zh-CN"/>
        </w:rPr>
        <w:t>综合</w:t>
      </w:r>
      <w:r>
        <w:rPr>
          <w:rFonts w:hint="eastAsia" w:ascii="仿宋_GB2312" w:eastAsia="仿宋_GB2312"/>
          <w:sz w:val="32"/>
          <w:szCs w:val="32"/>
        </w:rPr>
        <w:t>监管</w:t>
      </w:r>
      <w:r>
        <w:rPr>
          <w:rFonts w:hint="eastAsia" w:ascii="仿宋_GB2312" w:eastAsia="仿宋_GB2312"/>
          <w:sz w:val="32"/>
          <w:szCs w:val="32"/>
          <w:lang w:val="en-US" w:eastAsia="zh-CN"/>
        </w:rPr>
        <w:t>和法规调查</w:t>
      </w:r>
      <w:r>
        <w:rPr>
          <w:rFonts w:hint="eastAsia" w:ascii="仿宋_GB2312" w:eastAsia="仿宋_GB2312"/>
          <w:sz w:val="32"/>
          <w:szCs w:val="32"/>
        </w:rPr>
        <w:t>科、</w:t>
      </w:r>
      <w:r>
        <w:rPr>
          <w:rFonts w:hint="eastAsia" w:ascii="仿宋_GB2312" w:eastAsia="仿宋_GB2312"/>
          <w:sz w:val="32"/>
          <w:szCs w:val="32"/>
          <w:lang w:val="en-US" w:eastAsia="zh-CN"/>
        </w:rPr>
        <w:t>综合减灾和救援协调</w:t>
      </w:r>
      <w:r>
        <w:rPr>
          <w:rFonts w:hint="eastAsia" w:ascii="仿宋_GB2312" w:eastAsia="仿宋_GB2312"/>
          <w:sz w:val="32"/>
          <w:szCs w:val="32"/>
        </w:rPr>
        <w:t>科、</w:t>
      </w:r>
      <w:r>
        <w:rPr>
          <w:rFonts w:hint="eastAsia" w:ascii="仿宋_GB2312" w:eastAsia="仿宋_GB2312"/>
          <w:sz w:val="32"/>
          <w:szCs w:val="32"/>
          <w:lang w:val="en-US" w:eastAsia="zh-CN"/>
        </w:rPr>
        <w:t>安全生产基础</w:t>
      </w:r>
      <w:r>
        <w:rPr>
          <w:rFonts w:hint="eastAsia" w:ascii="仿宋_GB2312" w:eastAsia="仿宋_GB2312"/>
          <w:sz w:val="32"/>
          <w:szCs w:val="32"/>
        </w:rPr>
        <w:t>科</w:t>
      </w:r>
      <w:r>
        <w:rPr>
          <w:rFonts w:hint="eastAsia" w:ascii="仿宋_GB2312" w:eastAsia="仿宋_GB2312"/>
          <w:sz w:val="32"/>
          <w:szCs w:val="32"/>
          <w:lang w:eastAsia="zh-CN"/>
        </w:rPr>
        <w:t>、</w:t>
      </w:r>
      <w:r>
        <w:rPr>
          <w:rFonts w:hint="eastAsia" w:ascii="仿宋_GB2312" w:eastAsia="仿宋_GB2312"/>
          <w:sz w:val="32"/>
          <w:szCs w:val="32"/>
          <w:lang w:val="en-US" w:eastAsia="zh-CN"/>
        </w:rPr>
        <w:t>危险化学品安全监管科、防汛抗旱和火灾防治管理科、地震和地质灾害救援科</w:t>
      </w:r>
      <w:r>
        <w:rPr>
          <w:rFonts w:hint="eastAsia" w:ascii="仿宋_GB2312" w:eastAsia="仿宋_GB2312"/>
          <w:sz w:val="32"/>
          <w:szCs w:val="32"/>
        </w:rPr>
        <w:t>。</w:t>
      </w:r>
    </w:p>
    <w:p>
      <w:pPr>
        <w:adjustRightInd w:val="0"/>
        <w:snapToGrid w:val="0"/>
        <w:spacing w:line="576" w:lineRule="exact"/>
        <w:ind w:firstLine="640" w:firstLineChars="200"/>
        <w:rPr>
          <w:rFonts w:hint="eastAsia" w:ascii="楷体" w:hAnsi="楷体" w:eastAsia="楷体" w:cs="楷体"/>
          <w:b/>
          <w:bCs/>
          <w:color w:val="000000"/>
          <w:kern w:val="0"/>
          <w:szCs w:val="32"/>
        </w:rPr>
      </w:pPr>
      <w:r>
        <w:rPr>
          <w:rFonts w:hint="eastAsia" w:ascii="仿宋_GB2312" w:eastAsia="仿宋_GB2312"/>
          <w:sz w:val="32"/>
          <w:szCs w:val="32"/>
        </w:rPr>
        <w:t>局下属</w:t>
      </w:r>
      <w:r>
        <w:rPr>
          <w:rFonts w:hint="eastAsia" w:ascii="仿宋_GB2312" w:eastAsia="仿宋_GB2312"/>
          <w:sz w:val="32"/>
          <w:szCs w:val="32"/>
          <w:lang w:val="en-US" w:eastAsia="zh-CN"/>
        </w:rPr>
        <w:t>事业单位：</w:t>
      </w:r>
      <w:r>
        <w:rPr>
          <w:rFonts w:hint="eastAsia" w:ascii="仿宋_GB2312" w:eastAsia="仿宋_GB2312"/>
          <w:sz w:val="32"/>
          <w:szCs w:val="32"/>
        </w:rPr>
        <w:t>蓝田县安全生产执法监察大队</w:t>
      </w:r>
      <w:r>
        <w:rPr>
          <w:rFonts w:hint="eastAsia" w:ascii="仿宋_GB2312" w:eastAsia="仿宋_GB2312"/>
          <w:sz w:val="32"/>
          <w:szCs w:val="32"/>
          <w:lang w:eastAsia="zh-CN"/>
        </w:rPr>
        <w:t>、</w:t>
      </w:r>
      <w:r>
        <w:rPr>
          <w:rFonts w:hint="eastAsia" w:ascii="仿宋" w:hAnsi="仿宋" w:eastAsia="仿宋" w:cs="仿宋"/>
          <w:sz w:val="32"/>
          <w:szCs w:val="32"/>
          <w:lang w:val="en-US" w:eastAsia="zh-CN"/>
        </w:rPr>
        <w:t>蓝田县防汛抗旱指挥部办公室、</w:t>
      </w:r>
      <w:r>
        <w:rPr>
          <w:rFonts w:hint="eastAsia" w:ascii="仿宋_GB2312" w:eastAsia="仿宋_GB2312"/>
          <w:sz w:val="32"/>
          <w:szCs w:val="32"/>
          <w:lang w:val="en-US" w:eastAsia="zh-CN"/>
        </w:rPr>
        <w:t>蓝田县地震办公室</w:t>
      </w:r>
      <w:r>
        <w:rPr>
          <w:rFonts w:hint="eastAsia" w:ascii="仿宋_GB2312" w:eastAsia="仿宋_GB2312"/>
          <w:sz w:val="32"/>
          <w:szCs w:val="32"/>
        </w:rPr>
        <w:t>。</w:t>
      </w:r>
    </w:p>
    <w:p>
      <w:pPr>
        <w:widowControl/>
        <w:ind w:firstLine="640" w:firstLineChars="200"/>
        <w:jc w:val="left"/>
      </w:pPr>
      <w:r>
        <w:rPr>
          <w:rFonts w:ascii="黑体" w:hAnsi="宋体" w:eastAsia="黑体"/>
          <w:color w:val="000000"/>
          <w:kern w:val="0"/>
          <w:szCs w:val="32"/>
        </w:rPr>
        <w:t>二、</w:t>
      </w:r>
      <w:r>
        <w:rPr>
          <w:rFonts w:hint="eastAsia" w:ascii="黑体" w:hAnsi="宋体" w:eastAsia="黑体"/>
          <w:color w:val="000000"/>
          <w:kern w:val="0"/>
          <w:szCs w:val="32"/>
        </w:rPr>
        <w:t>部门决算单位构成</w:t>
      </w:r>
    </w:p>
    <w:p>
      <w:pPr>
        <w:adjustRightInd w:val="0"/>
        <w:snapToGrid w:val="0"/>
        <w:spacing w:line="576" w:lineRule="exact"/>
        <w:ind w:firstLine="640" w:firstLineChars="200"/>
        <w:rPr>
          <w:rFonts w:hint="eastAsia" w:ascii="仿宋_GB2312" w:eastAsia="仿宋_GB2312"/>
          <w:sz w:val="32"/>
          <w:szCs w:val="32"/>
        </w:rPr>
      </w:pPr>
      <w:r>
        <w:rPr>
          <w:rFonts w:hint="eastAsia" w:ascii="仿宋_GB2312" w:eastAsia="仿宋_GB2312"/>
          <w:sz w:val="32"/>
          <w:szCs w:val="32"/>
        </w:rPr>
        <w:t>蓝田县</w:t>
      </w:r>
      <w:r>
        <w:rPr>
          <w:rFonts w:hint="eastAsia" w:ascii="仿宋_GB2312" w:eastAsia="仿宋_GB2312"/>
          <w:sz w:val="32"/>
          <w:szCs w:val="32"/>
          <w:lang w:val="en-US" w:eastAsia="zh-CN"/>
        </w:rPr>
        <w:t>应急</w:t>
      </w:r>
      <w:r>
        <w:rPr>
          <w:rFonts w:hint="eastAsia" w:ascii="仿宋_GB2312" w:eastAsia="仿宋_GB2312"/>
          <w:sz w:val="32"/>
          <w:szCs w:val="32"/>
        </w:rPr>
        <w:t>管理局为全额拨款行政单位，下属事业单位</w:t>
      </w:r>
      <w:r>
        <w:rPr>
          <w:rFonts w:hint="eastAsia" w:ascii="仿宋_GB2312" w:eastAsia="仿宋_GB2312"/>
          <w:sz w:val="32"/>
          <w:szCs w:val="32"/>
          <w:lang w:val="en-US" w:eastAsia="zh-CN"/>
        </w:rPr>
        <w:t>为非独立核算单位</w:t>
      </w:r>
      <w:r>
        <w:rPr>
          <w:rFonts w:hint="eastAsia" w:ascii="仿宋_GB2312" w:eastAsia="仿宋_GB2312"/>
          <w:sz w:val="32"/>
          <w:szCs w:val="32"/>
        </w:rPr>
        <w:t>，无二级决算单位。</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99"/>
        <w:gridCol w:w="69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仿宋" w:hAnsi="仿宋" w:eastAsia="仿宋" w:cs="仿宋_GB2312"/>
                <w:sz w:val="32"/>
                <w:szCs w:val="32"/>
              </w:rPr>
            </w:pPr>
            <w:r>
              <w:rPr>
                <w:rFonts w:hint="eastAsia" w:ascii="仿宋" w:hAnsi="仿宋" w:eastAsia="仿宋" w:cs="仿宋_GB2312"/>
                <w:sz w:val="32"/>
                <w:szCs w:val="32"/>
              </w:rPr>
              <w:t>序号</w:t>
            </w:r>
          </w:p>
        </w:tc>
        <w:tc>
          <w:tcPr>
            <w:tcW w:w="6923"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仿宋" w:hAnsi="仿宋" w:eastAsia="仿宋" w:cs="仿宋_GB2312"/>
                <w:sz w:val="32"/>
                <w:szCs w:val="32"/>
              </w:rPr>
            </w:pPr>
            <w:r>
              <w:rPr>
                <w:rFonts w:hint="eastAsia" w:ascii="仿宋" w:hAnsi="仿宋" w:eastAsia="仿宋" w:cs="仿宋_GB2312"/>
                <w:sz w:val="32"/>
                <w:szCs w:val="32"/>
              </w:rPr>
              <w:t>单位名称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仿宋" w:hAnsi="仿宋" w:eastAsia="仿宋" w:cs="仿宋_GB2312"/>
                <w:sz w:val="32"/>
                <w:szCs w:val="32"/>
              </w:rPr>
            </w:pPr>
            <w:r>
              <w:rPr>
                <w:rFonts w:ascii="仿宋" w:hAnsi="仿宋" w:eastAsia="仿宋" w:cs="仿宋_GB2312"/>
                <w:sz w:val="32"/>
                <w:szCs w:val="32"/>
              </w:rPr>
              <w:t>1</w:t>
            </w:r>
          </w:p>
        </w:tc>
        <w:tc>
          <w:tcPr>
            <w:tcW w:w="6923" w:type="dxa"/>
            <w:tcBorders>
              <w:top w:val="single" w:color="auto" w:sz="4" w:space="0"/>
              <w:left w:val="single" w:color="auto" w:sz="4" w:space="0"/>
              <w:bottom w:val="single" w:color="auto" w:sz="4" w:space="0"/>
              <w:right w:val="single" w:color="auto" w:sz="4" w:space="0"/>
            </w:tcBorders>
            <w:noWrap w:val="0"/>
            <w:vAlign w:val="top"/>
          </w:tcPr>
          <w:p>
            <w:pPr>
              <w:spacing w:line="480" w:lineRule="exact"/>
              <w:rPr>
                <w:rFonts w:ascii="仿宋" w:hAnsi="仿宋" w:eastAsia="仿宋" w:cs="仿宋_GB2312"/>
                <w:sz w:val="32"/>
                <w:szCs w:val="32"/>
              </w:rPr>
            </w:pPr>
            <w:r>
              <w:rPr>
                <w:rFonts w:hint="eastAsia" w:ascii="仿宋" w:hAnsi="仿宋" w:eastAsia="仿宋" w:cs="仿宋_GB2312"/>
                <w:sz w:val="32"/>
                <w:szCs w:val="32"/>
                <w:lang w:val="en-US" w:eastAsia="zh-CN"/>
              </w:rPr>
              <w:t>蓝田县应急管理局</w:t>
            </w:r>
            <w:r>
              <w:rPr>
                <w:rFonts w:hint="eastAsia" w:ascii="仿宋" w:hAnsi="仿宋" w:eastAsia="仿宋" w:cs="仿宋_GB2312"/>
                <w:sz w:val="32"/>
                <w:szCs w:val="32"/>
              </w:rPr>
              <w:t>本级（机关）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仿宋" w:hAnsi="仿宋" w:eastAsia="仿宋" w:cs="仿宋_GB2312"/>
                <w:sz w:val="32"/>
                <w:szCs w:val="32"/>
              </w:rPr>
            </w:pPr>
            <w:r>
              <w:rPr>
                <w:rFonts w:ascii="仿宋" w:hAnsi="仿宋" w:eastAsia="仿宋" w:cs="仿宋_GB2312"/>
                <w:sz w:val="32"/>
                <w:szCs w:val="32"/>
              </w:rPr>
              <w:t>2</w:t>
            </w:r>
          </w:p>
        </w:tc>
        <w:tc>
          <w:tcPr>
            <w:tcW w:w="6923" w:type="dxa"/>
            <w:tcBorders>
              <w:top w:val="single" w:color="auto" w:sz="4" w:space="0"/>
              <w:left w:val="single" w:color="auto" w:sz="4" w:space="0"/>
              <w:bottom w:val="single" w:color="auto" w:sz="4" w:space="0"/>
              <w:right w:val="single" w:color="auto" w:sz="4" w:space="0"/>
            </w:tcBorders>
            <w:noWrap w:val="0"/>
            <w:vAlign w:val="top"/>
          </w:tcPr>
          <w:p>
            <w:pPr>
              <w:spacing w:line="480" w:lineRule="exact"/>
              <w:rPr>
                <w:rFonts w:hint="eastAsia" w:ascii="仿宋" w:hAnsi="仿宋" w:eastAsia="仿宋_GB2312" w:cs="仿宋_GB2312"/>
                <w:sz w:val="32"/>
                <w:szCs w:val="32"/>
                <w:lang w:eastAsia="zh-CN"/>
              </w:rPr>
            </w:pPr>
            <w:r>
              <w:rPr>
                <w:rFonts w:hint="eastAsia" w:ascii="仿宋_GB2312" w:eastAsia="仿宋_GB2312"/>
                <w:sz w:val="32"/>
                <w:szCs w:val="32"/>
              </w:rPr>
              <w:t>蓝田县安全生产执法监察大队</w:t>
            </w:r>
            <w:r>
              <w:rPr>
                <w:rFonts w:hint="eastAsia" w:ascii="仿宋_GB2312" w:eastAsia="仿宋_GB2312"/>
                <w:sz w:val="32"/>
                <w:szCs w:val="32"/>
                <w:lang w:eastAsia="zh-CN"/>
              </w:rPr>
              <w:t>（</w:t>
            </w:r>
            <w:r>
              <w:rPr>
                <w:rFonts w:hint="eastAsia" w:ascii="仿宋_GB2312" w:eastAsia="仿宋_GB2312"/>
                <w:sz w:val="32"/>
                <w:szCs w:val="32"/>
                <w:lang w:val="en-US" w:eastAsia="zh-CN"/>
              </w:rPr>
              <w:t>非独立核算</w:t>
            </w:r>
            <w:r>
              <w:rPr>
                <w:rFonts w:hint="eastAsia" w:ascii="仿宋_GB2312" w:eastAsia="仿宋_GB2312"/>
                <w:sz w:val="32"/>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ascii="仿宋" w:hAnsi="仿宋" w:eastAsia="仿宋" w:cs="仿宋_GB2312"/>
                <w:sz w:val="32"/>
                <w:szCs w:val="32"/>
              </w:rPr>
            </w:pPr>
            <w:r>
              <w:rPr>
                <w:rFonts w:ascii="仿宋" w:hAnsi="仿宋" w:eastAsia="仿宋" w:cs="仿宋_GB2312"/>
                <w:sz w:val="32"/>
                <w:szCs w:val="32"/>
              </w:rPr>
              <w:t>3</w:t>
            </w:r>
          </w:p>
        </w:tc>
        <w:tc>
          <w:tcPr>
            <w:tcW w:w="6923" w:type="dxa"/>
            <w:tcBorders>
              <w:top w:val="single" w:color="auto" w:sz="4" w:space="0"/>
              <w:left w:val="single" w:color="auto" w:sz="4" w:space="0"/>
              <w:bottom w:val="single" w:color="auto" w:sz="4" w:space="0"/>
              <w:right w:val="single" w:color="auto" w:sz="4" w:space="0"/>
            </w:tcBorders>
            <w:noWrap w:val="0"/>
            <w:vAlign w:val="top"/>
          </w:tcPr>
          <w:p>
            <w:pPr>
              <w:spacing w:line="480" w:lineRule="exact"/>
              <w:rPr>
                <w:rFonts w:ascii="仿宋" w:hAnsi="仿宋" w:eastAsia="仿宋" w:cs="仿宋_GB2312"/>
                <w:sz w:val="32"/>
                <w:szCs w:val="32"/>
              </w:rPr>
            </w:pPr>
            <w:r>
              <w:rPr>
                <w:rFonts w:hint="eastAsia" w:ascii="仿宋" w:hAnsi="仿宋" w:eastAsia="仿宋" w:cs="仿宋"/>
                <w:sz w:val="32"/>
                <w:szCs w:val="32"/>
                <w:lang w:val="en-US" w:eastAsia="zh-CN"/>
              </w:rPr>
              <w:t>蓝田县防汛抗旱指挥部办公室</w:t>
            </w:r>
            <w:r>
              <w:rPr>
                <w:rFonts w:hint="eastAsia" w:ascii="仿宋_GB2312" w:eastAsia="仿宋_GB2312"/>
                <w:sz w:val="32"/>
                <w:szCs w:val="32"/>
                <w:lang w:eastAsia="zh-CN"/>
              </w:rPr>
              <w:t>（</w:t>
            </w:r>
            <w:r>
              <w:rPr>
                <w:rFonts w:hint="eastAsia" w:ascii="仿宋_GB2312" w:eastAsia="仿宋_GB2312"/>
                <w:sz w:val="32"/>
                <w:szCs w:val="32"/>
                <w:lang w:val="en-US" w:eastAsia="zh-CN"/>
              </w:rPr>
              <w:t>非独立核算</w:t>
            </w:r>
            <w:r>
              <w:rPr>
                <w:rFonts w:hint="eastAsia" w:ascii="仿宋_GB2312" w:eastAsia="仿宋_GB2312"/>
                <w:sz w:val="32"/>
                <w:szCs w:val="32"/>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599" w:type="dxa"/>
            <w:tcBorders>
              <w:top w:val="single" w:color="auto" w:sz="4" w:space="0"/>
              <w:left w:val="single" w:color="auto" w:sz="4" w:space="0"/>
              <w:bottom w:val="single" w:color="auto" w:sz="4" w:space="0"/>
              <w:right w:val="single" w:color="auto" w:sz="4" w:space="0"/>
            </w:tcBorders>
            <w:noWrap w:val="0"/>
            <w:vAlign w:val="top"/>
          </w:tcPr>
          <w:p>
            <w:pPr>
              <w:spacing w:line="480" w:lineRule="exact"/>
              <w:jc w:val="center"/>
              <w:rPr>
                <w:rFonts w:hint="eastAsia" w:ascii="仿宋" w:hAnsi="仿宋" w:eastAsia="仿宋" w:cs="仿宋_GB2312"/>
                <w:sz w:val="32"/>
                <w:szCs w:val="32"/>
                <w:lang w:eastAsia="zh-CN"/>
              </w:rPr>
            </w:pPr>
            <w:r>
              <w:rPr>
                <w:rFonts w:hint="eastAsia" w:ascii="仿宋" w:hAnsi="仿宋" w:eastAsia="仿宋" w:cs="仿宋_GB2312"/>
                <w:sz w:val="32"/>
                <w:szCs w:val="32"/>
                <w:lang w:val="en-US" w:eastAsia="zh-CN"/>
              </w:rPr>
              <w:t>4</w:t>
            </w:r>
          </w:p>
        </w:tc>
        <w:tc>
          <w:tcPr>
            <w:tcW w:w="6923" w:type="dxa"/>
            <w:tcBorders>
              <w:top w:val="single" w:color="auto" w:sz="4" w:space="0"/>
              <w:left w:val="single" w:color="auto" w:sz="4" w:space="0"/>
              <w:bottom w:val="single" w:color="auto" w:sz="4" w:space="0"/>
              <w:right w:val="single" w:color="auto" w:sz="4" w:space="0"/>
            </w:tcBorders>
            <w:noWrap w:val="0"/>
            <w:vAlign w:val="top"/>
          </w:tcPr>
          <w:p>
            <w:pPr>
              <w:spacing w:line="480" w:lineRule="exact"/>
              <w:rPr>
                <w:rFonts w:ascii="仿宋" w:hAnsi="仿宋" w:eastAsia="仿宋" w:cs="仿宋_GB2312"/>
                <w:sz w:val="32"/>
                <w:szCs w:val="32"/>
              </w:rPr>
            </w:pPr>
            <w:r>
              <w:rPr>
                <w:rFonts w:hint="eastAsia" w:ascii="仿宋_GB2312" w:eastAsia="仿宋_GB2312"/>
                <w:sz w:val="32"/>
                <w:szCs w:val="32"/>
                <w:lang w:val="en-US" w:eastAsia="zh-CN"/>
              </w:rPr>
              <w:t>蓝田县地震办公室</w:t>
            </w:r>
            <w:r>
              <w:rPr>
                <w:rFonts w:hint="eastAsia" w:ascii="仿宋_GB2312" w:eastAsia="仿宋_GB2312"/>
                <w:sz w:val="32"/>
                <w:szCs w:val="32"/>
                <w:lang w:eastAsia="zh-CN"/>
              </w:rPr>
              <w:t>（</w:t>
            </w:r>
            <w:r>
              <w:rPr>
                <w:rFonts w:hint="eastAsia" w:ascii="仿宋_GB2312" w:eastAsia="仿宋_GB2312"/>
                <w:sz w:val="32"/>
                <w:szCs w:val="32"/>
                <w:lang w:val="en-US" w:eastAsia="zh-CN"/>
              </w:rPr>
              <w:t>非独立核算</w:t>
            </w:r>
            <w:r>
              <w:rPr>
                <w:rFonts w:hint="eastAsia" w:ascii="仿宋_GB2312" w:eastAsia="仿宋_GB2312"/>
                <w:sz w:val="32"/>
                <w:szCs w:val="32"/>
                <w:lang w:eastAsia="zh-CN"/>
              </w:rPr>
              <w:t>）</w:t>
            </w:r>
          </w:p>
        </w:tc>
      </w:tr>
    </w:tbl>
    <w:p>
      <w:pPr>
        <w:ind w:firstLine="640"/>
        <w:rPr>
          <w:rFonts w:ascii="黑体" w:hAnsi="黑体" w:eastAsia="黑体"/>
          <w:b/>
          <w:bCs/>
          <w:szCs w:val="32"/>
        </w:rPr>
      </w:pPr>
      <w:r>
        <w:rPr>
          <w:rFonts w:hint="eastAsia" w:ascii="黑体" w:hAnsi="黑体" w:eastAsia="黑体"/>
          <w:b/>
          <w:bCs/>
          <w:szCs w:val="32"/>
        </w:rPr>
        <w:t>三、部门人员情况</w:t>
      </w:r>
    </w:p>
    <w:p>
      <w:pPr>
        <w:adjustRightInd w:val="0"/>
        <w:snapToGrid w:val="0"/>
        <w:spacing w:line="576" w:lineRule="exact"/>
        <w:ind w:firstLine="640" w:firstLineChars="200"/>
        <w:rPr>
          <w:rFonts w:hint="eastAsia" w:ascii="仿宋" w:hAnsi="仿宋" w:eastAsia="仿宋"/>
          <w:sz w:val="32"/>
          <w:szCs w:val="32"/>
        </w:rPr>
      </w:pPr>
      <w:r>
        <w:rPr>
          <w:rFonts w:hint="eastAsia" w:ascii="仿宋_GB2312" w:eastAsia="仿宋_GB2312"/>
          <w:sz w:val="32"/>
          <w:szCs w:val="32"/>
        </w:rPr>
        <w:t>截止201</w:t>
      </w:r>
      <w:r>
        <w:rPr>
          <w:rFonts w:hint="eastAsia" w:ascii="仿宋_GB2312" w:eastAsia="仿宋_GB2312"/>
          <w:sz w:val="32"/>
          <w:szCs w:val="32"/>
          <w:lang w:val="en-US" w:eastAsia="zh-CN"/>
        </w:rPr>
        <w:t>9</w:t>
      </w:r>
      <w:r>
        <w:rPr>
          <w:rFonts w:hint="eastAsia" w:ascii="仿宋_GB2312" w:eastAsia="仿宋_GB2312"/>
          <w:sz w:val="32"/>
          <w:szCs w:val="32"/>
        </w:rPr>
        <w:t>年底，本部门人员编制</w:t>
      </w:r>
      <w:r>
        <w:rPr>
          <w:rFonts w:hint="eastAsia" w:ascii="仿宋_GB2312" w:eastAsia="仿宋_GB2312"/>
          <w:sz w:val="32"/>
          <w:szCs w:val="32"/>
          <w:lang w:val="en-US" w:eastAsia="zh-CN"/>
        </w:rPr>
        <w:t>51</w:t>
      </w:r>
      <w:r>
        <w:rPr>
          <w:rFonts w:hint="eastAsia" w:ascii="仿宋_GB2312" w:eastAsia="仿宋_GB2312"/>
          <w:sz w:val="32"/>
          <w:szCs w:val="32"/>
        </w:rPr>
        <w:t>人，其中行政编制1</w:t>
      </w:r>
      <w:r>
        <w:rPr>
          <w:rFonts w:hint="eastAsia" w:ascii="仿宋_GB2312" w:eastAsia="仿宋_GB2312"/>
          <w:sz w:val="32"/>
          <w:szCs w:val="32"/>
          <w:lang w:val="en-US" w:eastAsia="zh-CN"/>
        </w:rPr>
        <w:t>8</w:t>
      </w:r>
      <w:r>
        <w:rPr>
          <w:rFonts w:hint="eastAsia" w:ascii="仿宋_GB2312" w:eastAsia="仿宋_GB2312"/>
          <w:sz w:val="32"/>
          <w:szCs w:val="32"/>
        </w:rPr>
        <w:t>人、</w:t>
      </w:r>
      <w:r>
        <w:rPr>
          <w:rFonts w:hint="eastAsia" w:ascii="仿宋_GB2312" w:eastAsia="仿宋_GB2312"/>
          <w:sz w:val="32"/>
          <w:szCs w:val="32"/>
          <w:lang w:val="en-US" w:eastAsia="zh-CN"/>
        </w:rPr>
        <w:t>参公编制10人、</w:t>
      </w:r>
      <w:r>
        <w:rPr>
          <w:rFonts w:hint="eastAsia" w:ascii="仿宋_GB2312" w:eastAsia="仿宋_GB2312"/>
          <w:sz w:val="32"/>
          <w:szCs w:val="32"/>
        </w:rPr>
        <w:t>事业编制</w:t>
      </w:r>
      <w:r>
        <w:rPr>
          <w:rFonts w:hint="eastAsia" w:ascii="仿宋_GB2312" w:eastAsia="仿宋_GB2312"/>
          <w:sz w:val="32"/>
          <w:szCs w:val="32"/>
          <w:lang w:val="en-US" w:eastAsia="zh-CN"/>
        </w:rPr>
        <w:t>23</w:t>
      </w:r>
      <w:r>
        <w:rPr>
          <w:rFonts w:hint="eastAsia" w:ascii="仿宋_GB2312" w:eastAsia="仿宋_GB2312"/>
          <w:sz w:val="32"/>
          <w:szCs w:val="32"/>
        </w:rPr>
        <w:t>人；实有人员</w:t>
      </w:r>
      <w:r>
        <w:rPr>
          <w:rFonts w:hint="eastAsia" w:ascii="仿宋_GB2312" w:eastAsia="仿宋_GB2312"/>
          <w:sz w:val="32"/>
          <w:szCs w:val="32"/>
          <w:lang w:val="en-US" w:eastAsia="zh-CN"/>
        </w:rPr>
        <w:t>49</w:t>
      </w:r>
      <w:r>
        <w:rPr>
          <w:rFonts w:hint="eastAsia" w:ascii="仿宋_GB2312" w:eastAsia="仿宋_GB2312"/>
          <w:sz w:val="32"/>
          <w:szCs w:val="32"/>
        </w:rPr>
        <w:t>人，其中行政</w:t>
      </w:r>
      <w:r>
        <w:rPr>
          <w:rFonts w:hint="eastAsia" w:ascii="仿宋_GB2312" w:eastAsia="仿宋_GB2312"/>
          <w:sz w:val="32"/>
          <w:szCs w:val="32"/>
          <w:lang w:val="en-US" w:eastAsia="zh-CN"/>
        </w:rPr>
        <w:t>12</w:t>
      </w:r>
      <w:r>
        <w:rPr>
          <w:rFonts w:hint="eastAsia" w:ascii="仿宋_GB2312" w:eastAsia="仿宋_GB2312"/>
          <w:sz w:val="32"/>
          <w:szCs w:val="32"/>
        </w:rPr>
        <w:t>人、</w:t>
      </w:r>
      <w:r>
        <w:rPr>
          <w:rFonts w:hint="eastAsia" w:ascii="仿宋_GB2312" w:eastAsia="仿宋_GB2312"/>
          <w:sz w:val="32"/>
          <w:szCs w:val="32"/>
          <w:lang w:val="en-US" w:eastAsia="zh-CN"/>
        </w:rPr>
        <w:t>参公12人、</w:t>
      </w:r>
      <w:r>
        <w:rPr>
          <w:rFonts w:hint="eastAsia" w:ascii="仿宋_GB2312" w:eastAsia="仿宋_GB2312"/>
          <w:sz w:val="32"/>
          <w:szCs w:val="32"/>
        </w:rPr>
        <w:t>事业</w:t>
      </w:r>
      <w:r>
        <w:rPr>
          <w:rFonts w:hint="eastAsia" w:ascii="仿宋_GB2312" w:eastAsia="仿宋_GB2312"/>
          <w:sz w:val="32"/>
          <w:szCs w:val="32"/>
          <w:lang w:val="en-US" w:eastAsia="zh-CN"/>
        </w:rPr>
        <w:t>25</w:t>
      </w:r>
      <w:r>
        <w:rPr>
          <w:rFonts w:hint="eastAsia" w:ascii="仿宋_GB2312" w:eastAsia="仿宋_GB2312"/>
          <w:sz w:val="32"/>
          <w:szCs w:val="32"/>
        </w:rPr>
        <w:t>人。</w:t>
      </w:r>
      <w:r>
        <w:rPr>
          <w:rFonts w:hint="eastAsia" w:ascii="仿宋" w:hAnsi="仿宋" w:eastAsia="仿宋"/>
          <w:sz w:val="32"/>
          <w:szCs w:val="32"/>
        </w:rPr>
        <w:t>单位管理的离退休人员</w:t>
      </w:r>
      <w:r>
        <w:rPr>
          <w:rFonts w:hint="eastAsia" w:ascii="仿宋" w:hAnsi="仿宋" w:eastAsia="仿宋"/>
          <w:sz w:val="32"/>
          <w:szCs w:val="32"/>
          <w:lang w:val="en-US" w:eastAsia="zh-CN"/>
        </w:rPr>
        <w:t>0</w:t>
      </w:r>
      <w:r>
        <w:rPr>
          <w:rFonts w:hint="eastAsia" w:ascii="仿宋" w:hAnsi="仿宋" w:eastAsia="仿宋"/>
          <w:sz w:val="32"/>
          <w:szCs w:val="32"/>
        </w:rPr>
        <w:t>人。</w:t>
      </w:r>
    </w:p>
    <w:p>
      <w:pPr>
        <w:adjustRightInd w:val="0"/>
        <w:snapToGrid w:val="0"/>
        <w:spacing w:line="240" w:lineRule="auto"/>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drawing>
          <wp:inline distT="0" distB="0" distL="114300" distR="114300">
            <wp:extent cx="4600575" cy="2733675"/>
            <wp:effectExtent l="0" t="0" r="9525" b="9525"/>
            <wp:docPr id="1" name="图片 1" descr="人员情况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人员情况图"/>
                    <pic:cNvPicPr>
                      <a:picLocks noChangeAspect="1"/>
                    </pic:cNvPicPr>
                  </pic:nvPicPr>
                  <pic:blipFill>
                    <a:blip r:embed="rId4"/>
                    <a:stretch>
                      <a:fillRect/>
                    </a:stretch>
                  </pic:blipFill>
                  <pic:spPr>
                    <a:xfrm>
                      <a:off x="0" y="0"/>
                      <a:ext cx="4600575" cy="2733675"/>
                    </a:xfrm>
                    <a:prstGeom prst="rect">
                      <a:avLst/>
                    </a:prstGeom>
                  </pic:spPr>
                </pic:pic>
              </a:graphicData>
            </a:graphic>
          </wp:inline>
        </w:drawing>
      </w:r>
    </w:p>
    <w:p>
      <w:pPr>
        <w:widowControl/>
        <w:jc w:val="center"/>
        <w:rPr>
          <w:rFonts w:hint="eastAsia" w:ascii="黑体" w:hAnsi="宋体" w:eastAsia="黑体"/>
          <w:color w:val="000000"/>
          <w:kern w:val="0"/>
          <w:sz w:val="44"/>
          <w:szCs w:val="44"/>
        </w:rPr>
      </w:pPr>
    </w:p>
    <w:p>
      <w:pPr>
        <w:widowControl/>
        <w:jc w:val="center"/>
        <w:rPr>
          <w:rFonts w:ascii="黑体" w:hAnsi="宋体" w:eastAsia="黑体"/>
          <w:color w:val="000000"/>
          <w:kern w:val="0"/>
          <w:sz w:val="44"/>
          <w:szCs w:val="44"/>
        </w:rPr>
      </w:pPr>
    </w:p>
    <w:p>
      <w:pPr>
        <w:widowControl/>
        <w:jc w:val="center"/>
        <w:rPr>
          <w:sz w:val="44"/>
          <w:szCs w:val="44"/>
        </w:rPr>
      </w:pPr>
      <w:r>
        <w:rPr>
          <w:rFonts w:ascii="黑体" w:hAnsi="宋体" w:eastAsia="黑体"/>
          <w:color w:val="000000"/>
          <w:kern w:val="0"/>
          <w:sz w:val="44"/>
          <w:szCs w:val="44"/>
        </w:rPr>
        <w:t>第二部分 2019年度部门决算表</w:t>
      </w:r>
    </w:p>
    <w:tbl>
      <w:tblPr>
        <w:tblStyle w:val="6"/>
        <w:tblpPr w:leftFromText="180" w:rightFromText="180" w:vertAnchor="text" w:horzAnchor="page" w:tblpX="1508" w:tblpY="1123"/>
        <w:tblOverlap w:val="never"/>
        <w:tblW w:w="9210" w:type="dxa"/>
        <w:tblInd w:w="0" w:type="dxa"/>
        <w:tblLayout w:type="fixed"/>
        <w:tblCellMar>
          <w:top w:w="0" w:type="dxa"/>
          <w:left w:w="0" w:type="dxa"/>
          <w:bottom w:w="0" w:type="dxa"/>
          <w:right w:w="0" w:type="dxa"/>
        </w:tblCellMar>
      </w:tblPr>
      <w:tblGrid>
        <w:gridCol w:w="570"/>
        <w:gridCol w:w="6240"/>
        <w:gridCol w:w="660"/>
        <w:gridCol w:w="1740"/>
      </w:tblGrid>
      <w:tr>
        <w:tblPrEx>
          <w:tblCellMar>
            <w:top w:w="0" w:type="dxa"/>
            <w:left w:w="0" w:type="dxa"/>
            <w:bottom w:w="0" w:type="dxa"/>
            <w:right w:w="0" w:type="dxa"/>
          </w:tblCellMar>
        </w:tblPrEx>
        <w:trPr>
          <w:trHeight w:val="645" w:hRule="atLeas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序号</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内容</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kern w:val="0"/>
                <w:sz w:val="24"/>
              </w:rPr>
            </w:pPr>
            <w:r>
              <w:rPr>
                <w:rFonts w:hint="eastAsia" w:ascii="黑体" w:hAnsi="宋体" w:eastAsia="黑体"/>
                <w:color w:val="000000"/>
                <w:kern w:val="0"/>
                <w:sz w:val="24"/>
              </w:rPr>
              <w:t>是否</w:t>
            </w:r>
          </w:p>
          <w:p>
            <w:pPr>
              <w:widowControl/>
              <w:jc w:val="center"/>
              <w:textAlignment w:val="center"/>
              <w:rPr>
                <w:rFonts w:ascii="黑体" w:hAnsi="宋体" w:eastAsia="黑体"/>
                <w:color w:val="000000"/>
                <w:sz w:val="24"/>
              </w:rPr>
            </w:pPr>
            <w:r>
              <w:rPr>
                <w:rFonts w:hint="eastAsia" w:ascii="黑体" w:hAnsi="宋体" w:eastAsia="黑体"/>
                <w:color w:val="000000"/>
                <w:kern w:val="0"/>
                <w:sz w:val="24"/>
              </w:rPr>
              <w:t>空表</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黑体" w:hAnsi="宋体" w:eastAsia="黑体"/>
                <w:color w:val="000000"/>
                <w:sz w:val="24"/>
              </w:rPr>
            </w:pPr>
            <w:r>
              <w:rPr>
                <w:rFonts w:hint="eastAsia" w:ascii="黑体" w:hAnsi="宋体" w:eastAsia="黑体"/>
                <w:color w:val="000000"/>
                <w:kern w:val="0"/>
                <w:sz w:val="24"/>
              </w:rPr>
              <w:t>表格为空的理由</w:t>
            </w: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表1</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表2</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收入决算表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表3</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支出决算表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p>
        </w:tc>
      </w:tr>
      <w:tr>
        <w:tblPrEx>
          <w:tblCellMar>
            <w:top w:w="0" w:type="dxa"/>
            <w:left w:w="0" w:type="dxa"/>
            <w:bottom w:w="0" w:type="dxa"/>
            <w:right w:w="0" w:type="dxa"/>
          </w:tblCellMar>
        </w:tblPrEx>
        <w:trPr>
          <w:trHeight w:val="737"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表4</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财政拨款收入支出决算总表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表5</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rPr>
                <w:rFonts w:ascii="宋体" w:hAnsi="宋体" w:cs="宋体"/>
                <w:color w:val="000000"/>
                <w:kern w:val="0"/>
                <w:sz w:val="21"/>
                <w:szCs w:val="21"/>
              </w:rPr>
            </w:pPr>
            <w:r>
              <w:rPr>
                <w:rFonts w:hint="eastAsia" w:ascii="宋体" w:hAnsi="宋体" w:cs="宋体"/>
                <w:color w:val="000000"/>
                <w:kern w:val="0"/>
                <w:sz w:val="21"/>
                <w:szCs w:val="21"/>
              </w:rPr>
              <w:t>一般公共预算财政拨款支出决算表（按功能分类科目）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p>
        </w:tc>
      </w:tr>
      <w:tr>
        <w:tblPrEx>
          <w:tblCellMar>
            <w:top w:w="0" w:type="dxa"/>
            <w:left w:w="0" w:type="dxa"/>
            <w:bottom w:w="0" w:type="dxa"/>
            <w:right w:w="0" w:type="dxa"/>
          </w:tblCellMar>
        </w:tblPrEx>
        <w:trPr>
          <w:trHeight w:val="851"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表6</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一般公共预算财政拨款基本支出决算表 （按经济分类科目）</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否</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p>
        </w:tc>
      </w:tr>
      <w:tr>
        <w:tblPrEx>
          <w:tblCellMar>
            <w:top w:w="0" w:type="dxa"/>
            <w:left w:w="0" w:type="dxa"/>
            <w:bottom w:w="0" w:type="dxa"/>
            <w:right w:w="0" w:type="dxa"/>
          </w:tblCellMar>
        </w:tblPrEx>
        <w:trPr>
          <w:trHeight w:val="786" w:hRule="exact"/>
        </w:trPr>
        <w:tc>
          <w:tcPr>
            <w:tcW w:w="57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表7</w:t>
            </w:r>
          </w:p>
        </w:tc>
        <w:tc>
          <w:tcPr>
            <w:tcW w:w="62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widowControl/>
              <w:jc w:val="left"/>
              <w:textAlignment w:val="center"/>
              <w:rPr>
                <w:rFonts w:ascii="宋体" w:hAnsi="宋体" w:cs="宋体"/>
                <w:color w:val="000000"/>
                <w:sz w:val="21"/>
                <w:szCs w:val="21"/>
              </w:rPr>
            </w:pPr>
            <w:r>
              <w:rPr>
                <w:rFonts w:hint="eastAsia" w:ascii="宋体" w:hAnsi="宋体" w:cs="宋体"/>
                <w:color w:val="000000"/>
                <w:kern w:val="0"/>
                <w:sz w:val="21"/>
                <w:szCs w:val="21"/>
              </w:rPr>
              <w:t>一般公共预算财政拨款“三公”经费及会议费、培训费支出决算表</w:t>
            </w:r>
          </w:p>
        </w:tc>
        <w:tc>
          <w:tcPr>
            <w:tcW w:w="66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sz w:val="21"/>
                <w:szCs w:val="21"/>
              </w:rPr>
              <w:t>否</w:t>
            </w:r>
          </w:p>
        </w:tc>
        <w:tc>
          <w:tcPr>
            <w:tcW w:w="1740" w:type="dxa"/>
            <w:tcBorders>
              <w:top w:val="single" w:color="000000" w:sz="4" w:space="0"/>
              <w:left w:val="single" w:color="000000" w:sz="4" w:space="0"/>
              <w:bottom w:val="nil"/>
              <w:right w:val="single" w:color="000000" w:sz="4" w:space="0"/>
            </w:tcBorders>
            <w:shd w:val="clear" w:color="auto" w:fill="auto"/>
            <w:tcMar>
              <w:top w:w="15" w:type="dxa"/>
              <w:left w:w="15" w:type="dxa"/>
              <w:right w:w="15" w:type="dxa"/>
            </w:tcMar>
            <w:vAlign w:val="center"/>
          </w:tcPr>
          <w:p>
            <w:pPr>
              <w:jc w:val="center"/>
              <w:rPr>
                <w:rFonts w:asciiTheme="minorEastAsia" w:hAnsiTheme="minorEastAsia" w:eastAsiaTheme="minorEastAsia" w:cstheme="minorEastAsia"/>
                <w:color w:val="000000"/>
                <w:kern w:val="2"/>
                <w:sz w:val="21"/>
                <w:szCs w:val="21"/>
                <w:lang w:val="en-US" w:eastAsia="zh-CN" w:bidi="ar-SA"/>
              </w:rPr>
            </w:pPr>
          </w:p>
        </w:tc>
      </w:tr>
      <w:tr>
        <w:tblPrEx>
          <w:tblCellMar>
            <w:top w:w="0" w:type="dxa"/>
            <w:left w:w="0" w:type="dxa"/>
            <w:bottom w:w="0" w:type="dxa"/>
            <w:right w:w="0" w:type="dxa"/>
          </w:tblCellMar>
        </w:tblPrEx>
        <w:trPr>
          <w:trHeight w:val="736" w:hRule="exact"/>
        </w:trPr>
        <w:tc>
          <w:tcPr>
            <w:tcW w:w="5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宋体" w:hAnsi="宋体" w:cs="宋体"/>
                <w:color w:val="000000"/>
                <w:sz w:val="21"/>
                <w:szCs w:val="21"/>
              </w:rPr>
            </w:pPr>
            <w:r>
              <w:rPr>
                <w:rFonts w:hint="eastAsia" w:ascii="宋体" w:hAnsi="宋体" w:cs="宋体"/>
                <w:color w:val="000000"/>
                <w:kern w:val="0"/>
                <w:sz w:val="21"/>
                <w:szCs w:val="21"/>
              </w:rPr>
              <w:t>表8</w:t>
            </w:r>
          </w:p>
        </w:tc>
        <w:tc>
          <w:tcPr>
            <w:tcW w:w="62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left"/>
              <w:rPr>
                <w:rFonts w:ascii="宋体" w:hAnsi="宋体" w:cs="宋体"/>
                <w:color w:val="000000"/>
                <w:kern w:val="0"/>
                <w:sz w:val="21"/>
                <w:szCs w:val="21"/>
              </w:rPr>
            </w:pPr>
            <w:r>
              <w:rPr>
                <w:rFonts w:hint="eastAsia" w:ascii="宋体" w:hAnsi="宋体" w:cs="宋体"/>
                <w:color w:val="000000"/>
                <w:kern w:val="0"/>
                <w:sz w:val="21"/>
                <w:szCs w:val="21"/>
              </w:rPr>
              <w:t>政府性基金预算财政拨款收入支出</w:t>
            </w:r>
          </w:p>
          <w:p>
            <w:pPr>
              <w:widowControl/>
              <w:jc w:val="left"/>
              <w:rPr>
                <w:rFonts w:ascii="宋体" w:hAnsi="宋体" w:cs="宋体"/>
                <w:color w:val="000000"/>
                <w:sz w:val="21"/>
                <w:szCs w:val="21"/>
              </w:rPr>
            </w:pPr>
            <w:r>
              <w:rPr>
                <w:rFonts w:hint="eastAsia" w:ascii="宋体" w:hAnsi="宋体" w:cs="宋体"/>
                <w:color w:val="000000"/>
                <w:kern w:val="0"/>
                <w:sz w:val="21"/>
                <w:szCs w:val="21"/>
              </w:rPr>
              <w:t>决算表</w:t>
            </w:r>
          </w:p>
        </w:tc>
        <w:tc>
          <w:tcPr>
            <w:tcW w:w="66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0"/>
                <w:sz w:val="21"/>
                <w:szCs w:val="21"/>
              </w:rPr>
              <w:t>是</w:t>
            </w:r>
          </w:p>
        </w:tc>
        <w:tc>
          <w:tcPr>
            <w:tcW w:w="174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Theme="minorEastAsia" w:hAnsiTheme="minorEastAsia" w:eastAsiaTheme="minorEastAsia" w:cstheme="minorEastAsia"/>
                <w:color w:val="000000"/>
                <w:kern w:val="2"/>
                <w:sz w:val="21"/>
                <w:szCs w:val="21"/>
                <w:lang w:val="en-US" w:eastAsia="zh-CN" w:bidi="ar-SA"/>
              </w:rPr>
            </w:pPr>
            <w:r>
              <w:rPr>
                <w:rFonts w:hint="eastAsia" w:asciiTheme="minorEastAsia" w:hAnsiTheme="minorEastAsia" w:eastAsiaTheme="minorEastAsia" w:cstheme="minorEastAsia"/>
                <w:color w:val="000000"/>
                <w:kern w:val="0"/>
                <w:sz w:val="21"/>
                <w:szCs w:val="21"/>
              </w:rPr>
              <w:t>2019年本部门无政府性基金预算收支</w:t>
            </w:r>
          </w:p>
        </w:tc>
      </w:tr>
    </w:tbl>
    <w:p>
      <w:pPr>
        <w:widowControl/>
        <w:rPr>
          <w:rFonts w:ascii="黑体" w:hAnsi="宋体" w:eastAsia="黑体"/>
          <w:color w:val="000000"/>
          <w:kern w:val="0"/>
          <w:sz w:val="44"/>
          <w:szCs w:val="44"/>
        </w:rPr>
      </w:pPr>
    </w:p>
    <w:p>
      <w:pPr>
        <w:widowControl/>
        <w:rPr>
          <w:rFonts w:ascii="黑体" w:hAnsi="宋体" w:eastAsia="黑体"/>
          <w:color w:val="000000"/>
          <w:kern w:val="0"/>
          <w:sz w:val="44"/>
          <w:szCs w:val="44"/>
        </w:rPr>
      </w:pPr>
    </w:p>
    <w:p>
      <w:pPr>
        <w:widowControl/>
        <w:jc w:val="center"/>
        <w:textAlignment w:val="center"/>
        <w:rPr>
          <w:rFonts w:ascii="宋体" w:hAnsi="宋体" w:cs="宋体"/>
          <w:b/>
          <w:color w:val="000000"/>
          <w:kern w:val="0"/>
          <w:sz w:val="40"/>
          <w:szCs w:val="40"/>
        </w:rPr>
      </w:pPr>
      <w:r>
        <w:rPr>
          <w:rFonts w:hint="eastAsia" w:ascii="宋体" w:hAnsi="宋体" w:cs="宋体"/>
          <w:b/>
          <w:color w:val="000000"/>
          <w:kern w:val="0"/>
          <w:sz w:val="40"/>
          <w:szCs w:val="40"/>
        </w:rPr>
        <w:br w:type="page"/>
      </w:r>
    </w:p>
    <w:p>
      <w:pPr>
        <w:jc w:val="center"/>
        <w:rPr>
          <w:rFonts w:ascii="宋体" w:hAnsi="宋体" w:eastAsia="宋体" w:cs="宋体"/>
          <w:b/>
          <w:bCs/>
          <w:szCs w:val="32"/>
        </w:rPr>
      </w:pPr>
      <w:r>
        <w:rPr>
          <w:rFonts w:hint="eastAsia" w:ascii="宋体" w:hAnsi="宋体" w:eastAsia="宋体" w:cs="宋体"/>
          <w:b/>
          <w:bCs/>
          <w:szCs w:val="32"/>
        </w:rPr>
        <w:t>收入支出决算总表</w:t>
      </w:r>
    </w:p>
    <w:p>
      <w:pPr>
        <w:jc w:val="right"/>
        <w:rPr>
          <w:rFonts w:ascii="宋体" w:hAnsi="宋体" w:eastAsia="宋体" w:cs="宋体"/>
          <w:b/>
          <w:bCs/>
          <w:sz w:val="21"/>
          <w:szCs w:val="21"/>
        </w:rPr>
      </w:pPr>
      <w:r>
        <w:rPr>
          <w:rFonts w:hint="eastAsia" w:ascii="宋体" w:hAnsi="宋体" w:eastAsia="宋体" w:cs="宋体"/>
          <w:b/>
          <w:bCs/>
          <w:sz w:val="21"/>
          <w:szCs w:val="21"/>
        </w:rPr>
        <w:t>公开01表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val="en-US" w:eastAsia="zh-CN"/>
        </w:rPr>
        <w:t>蓝田县应急管理局</w:t>
      </w:r>
      <w:r>
        <w:rPr>
          <w:rFonts w:hint="eastAsia" w:ascii="宋体" w:hAnsi="宋体" w:eastAsia="宋体" w:cs="宋体"/>
          <w:b/>
          <w:bCs/>
          <w:sz w:val="21"/>
          <w:szCs w:val="21"/>
        </w:rPr>
        <w:t xml:space="preserve">                                       金额单位：万元</w:t>
      </w:r>
    </w:p>
    <w:tbl>
      <w:tblPr>
        <w:tblStyle w:val="6"/>
        <w:tblW w:w="8884" w:type="dxa"/>
        <w:tblInd w:w="0" w:type="dxa"/>
        <w:tblLayout w:type="fixed"/>
        <w:tblCellMar>
          <w:top w:w="15" w:type="dxa"/>
          <w:left w:w="15" w:type="dxa"/>
          <w:bottom w:w="15" w:type="dxa"/>
          <w:right w:w="15" w:type="dxa"/>
        </w:tblCellMar>
      </w:tblPr>
      <w:tblGrid>
        <w:gridCol w:w="3388"/>
        <w:gridCol w:w="1080"/>
        <w:gridCol w:w="3090"/>
        <w:gridCol w:w="1326"/>
      </w:tblGrid>
      <w:tr>
        <w:tblPrEx>
          <w:tblCellMar>
            <w:top w:w="15" w:type="dxa"/>
            <w:left w:w="15" w:type="dxa"/>
            <w:bottom w:w="15" w:type="dxa"/>
            <w:right w:w="15" w:type="dxa"/>
          </w:tblCellMar>
        </w:tblPrEx>
        <w:trPr>
          <w:trHeight w:val="426" w:hRule="atLeast"/>
        </w:trPr>
        <w:tc>
          <w:tcPr>
            <w:tcW w:w="4468"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    入</w:t>
            </w:r>
          </w:p>
        </w:tc>
        <w:tc>
          <w:tcPr>
            <w:tcW w:w="4416"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    出</w:t>
            </w:r>
          </w:p>
        </w:tc>
      </w:tr>
      <w:tr>
        <w:tblPrEx>
          <w:tblCellMar>
            <w:top w:w="15" w:type="dxa"/>
            <w:left w:w="15" w:type="dxa"/>
            <w:bottom w:w="15" w:type="dxa"/>
            <w:right w:w="15" w:type="dxa"/>
          </w:tblCellMar>
        </w:tblPrEx>
        <w:trPr>
          <w:trHeight w:val="378"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132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1、一般公共预算财政拨款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528.12</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1、一般公共服务支出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2、政府性基金预算财政拨款</w:t>
            </w:r>
          </w:p>
        </w:tc>
        <w:tc>
          <w:tcPr>
            <w:tcW w:w="1080" w:type="dxa"/>
            <w:tcBorders>
              <w:top w:val="single" w:color="000000" w:sz="4" w:space="0"/>
              <w:left w:val="single" w:color="000000" w:sz="4" w:space="0"/>
              <w:bottom w:val="single" w:color="000000" w:sz="4" w:space="0"/>
              <w:right w:val="single" w:color="000000" w:sz="4" w:space="0"/>
            </w:tcBorders>
            <w:vAlign w:val="center"/>
          </w:tcPr>
          <w:p>
            <w:pPr>
              <w:tabs>
                <w:tab w:val="left" w:pos="548"/>
              </w:tabs>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ab/>
            </w: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2、外交支出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 xml:space="preserve">3、国有资本经营预算财政拨款 </w:t>
            </w:r>
          </w:p>
        </w:tc>
        <w:tc>
          <w:tcPr>
            <w:tcW w:w="1080" w:type="dxa"/>
            <w:tcBorders>
              <w:top w:val="single" w:color="000000" w:sz="4" w:space="0"/>
              <w:left w:val="single" w:color="000000" w:sz="4" w:space="0"/>
              <w:bottom w:val="single" w:color="000000" w:sz="4" w:space="0"/>
              <w:right w:val="single" w:color="000000" w:sz="4" w:space="0"/>
            </w:tcBorders>
            <w:vAlign w:val="center"/>
          </w:tcPr>
          <w:p>
            <w:pPr>
              <w:tabs>
                <w:tab w:val="left" w:pos="563"/>
              </w:tabs>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ab/>
            </w: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3、国防支出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4、上级补助收入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4、公共安全支出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5、事业收入</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5、教育支出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6、经营收入</w:t>
            </w:r>
          </w:p>
        </w:tc>
        <w:tc>
          <w:tcPr>
            <w:tcW w:w="1080" w:type="dxa"/>
            <w:tcBorders>
              <w:top w:val="single" w:color="000000" w:sz="4" w:space="0"/>
              <w:bottom w:val="single" w:color="000000" w:sz="4" w:space="0"/>
              <w:right w:val="single" w:color="000000" w:sz="4" w:space="0"/>
            </w:tcBorders>
            <w:vAlign w:val="center"/>
          </w:tcPr>
          <w:p>
            <w:pPr>
              <w:tabs>
                <w:tab w:val="left" w:pos="518"/>
              </w:tabs>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ab/>
            </w: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6、科学技术支出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7、附属单位上缴收入</w:t>
            </w:r>
          </w:p>
        </w:tc>
        <w:tc>
          <w:tcPr>
            <w:tcW w:w="1080" w:type="dxa"/>
            <w:tcBorders>
              <w:top w:val="single" w:color="000000" w:sz="4" w:space="0"/>
              <w:bottom w:val="single" w:color="000000" w:sz="4" w:space="0"/>
              <w:right w:val="single" w:color="000000" w:sz="4" w:space="0"/>
            </w:tcBorders>
            <w:vAlign w:val="center"/>
          </w:tcPr>
          <w:p>
            <w:pPr>
              <w:widowControl/>
              <w:tabs>
                <w:tab w:val="left" w:pos="428"/>
              </w:tabs>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eastAsia="zh-CN"/>
              </w:rPr>
              <w:tab/>
            </w: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7、文化旅游体育与传媒支出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0"/>
              </w:rPr>
              <w:t>8、其他收入</w:t>
            </w: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8、社会保障和就业支出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38.48</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9、卫生健康支出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8.90</w:t>
            </w:r>
          </w:p>
        </w:tc>
      </w:tr>
      <w:tr>
        <w:tblPrEx>
          <w:tblCellMar>
            <w:top w:w="15" w:type="dxa"/>
            <w:left w:w="15" w:type="dxa"/>
            <w:bottom w:w="15" w:type="dxa"/>
            <w:right w:w="15" w:type="dxa"/>
          </w:tblCellMar>
        </w:tblPrEx>
        <w:trPr>
          <w:trHeight w:val="249"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10、节能环保支出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3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p>
        </w:tc>
        <w:tc>
          <w:tcPr>
            <w:tcW w:w="1080" w:type="dxa"/>
            <w:tcBorders>
              <w:top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11、城乡社区支出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00"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12、农林水支出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73.84</w:t>
            </w:r>
          </w:p>
        </w:tc>
      </w:tr>
      <w:tr>
        <w:tblPrEx>
          <w:tblCellMar>
            <w:top w:w="15" w:type="dxa"/>
            <w:left w:w="15" w:type="dxa"/>
            <w:bottom w:w="15" w:type="dxa"/>
            <w:right w:w="15" w:type="dxa"/>
          </w:tblCellMar>
        </w:tblPrEx>
        <w:trPr>
          <w:trHeight w:val="317"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13、交通运输支出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14、资源勘探信息等支出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15、商业服务业等支出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298"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16、金融支出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1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17、援助其他地区支出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281"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18、自然资源海洋气象等支出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45"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19、住房保障支出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312"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20、粮油物资储备支出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宋体" w:hAnsi="宋体" w:eastAsia="宋体" w:cs="宋体"/>
                <w:color w:val="000000"/>
                <w:sz w:val="21"/>
                <w:szCs w:val="21"/>
              </w:rPr>
            </w:pPr>
            <w:r>
              <w:rPr>
                <w:rFonts w:hint="eastAsia" w:ascii="宋体" w:hAnsi="宋体" w:eastAsia="宋体" w:cs="宋体"/>
                <w:color w:val="000000"/>
                <w:kern w:val="0"/>
                <w:sz w:val="21"/>
                <w:szCs w:val="21"/>
              </w:rPr>
              <w:t xml:space="preserve">  21、灾害防治及应急管理支出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406.90</w:t>
            </w:r>
          </w:p>
        </w:tc>
      </w:tr>
      <w:tr>
        <w:tblPrEx>
          <w:tblCellMar>
            <w:top w:w="15" w:type="dxa"/>
            <w:left w:w="15" w:type="dxa"/>
            <w:bottom w:w="15" w:type="dxa"/>
            <w:right w:w="15" w:type="dxa"/>
          </w:tblCellMar>
        </w:tblPrEx>
        <w:trPr>
          <w:trHeight w:val="287" w:hRule="atLeast"/>
        </w:trPr>
        <w:tc>
          <w:tcPr>
            <w:tcW w:w="3388"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ind w:firstLine="210" w:firstLineChars="100"/>
              <w:jc w:val="left"/>
              <w:textAlignment w:val="center"/>
              <w:rPr>
                <w:rFonts w:ascii="宋体" w:hAnsi="宋体" w:eastAsia="宋体" w:cs="宋体"/>
                <w:color w:val="000000"/>
                <w:kern w:val="0"/>
                <w:sz w:val="21"/>
                <w:szCs w:val="21"/>
              </w:rPr>
            </w:pPr>
            <w:r>
              <w:rPr>
                <w:rFonts w:hint="eastAsia" w:ascii="宋体" w:hAnsi="宋体" w:eastAsia="宋体" w:cs="宋体"/>
                <w:color w:val="000000"/>
                <w:kern w:val="0"/>
                <w:sz w:val="21"/>
                <w:szCs w:val="21"/>
              </w:rPr>
              <w:t>22、其他支出</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r>
              <w:rPr>
                <w:rFonts w:hint="eastAsia" w:ascii="宋体" w:hAnsi="宋体" w:eastAsia="宋体" w:cs="宋体"/>
                <w:color w:val="000000"/>
                <w:sz w:val="21"/>
                <w:szCs w:val="21"/>
                <w:lang w:val="en-US" w:eastAsia="zh-CN"/>
              </w:rPr>
              <w:t>0.00</w:t>
            </w:r>
          </w:p>
        </w:tc>
      </w:tr>
      <w:tr>
        <w:tblPrEx>
          <w:tblCellMar>
            <w:top w:w="15" w:type="dxa"/>
            <w:left w:w="15" w:type="dxa"/>
            <w:bottom w:w="15" w:type="dxa"/>
            <w:right w:w="15" w:type="dxa"/>
          </w:tblCellMar>
        </w:tblPrEx>
        <w:trPr>
          <w:trHeight w:val="415" w:hRule="atLeast"/>
        </w:trPr>
        <w:tc>
          <w:tcPr>
            <w:tcW w:w="3388"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本年收入合计</w:t>
            </w:r>
          </w:p>
        </w:tc>
        <w:tc>
          <w:tcPr>
            <w:tcW w:w="1080" w:type="dxa"/>
            <w:tcBorders>
              <w:top w:val="single" w:color="000000" w:sz="4" w:space="0"/>
              <w:left w:val="single" w:color="000000" w:sz="4" w:space="0"/>
              <w:right w:val="single" w:color="000000" w:sz="4" w:space="0"/>
            </w:tcBorders>
            <w:vAlign w:val="center"/>
          </w:tcPr>
          <w:p>
            <w:pPr>
              <w:widowControl/>
              <w:jc w:val="right"/>
              <w:textAlignment w:val="center"/>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528.12</w:t>
            </w:r>
          </w:p>
        </w:tc>
        <w:tc>
          <w:tcPr>
            <w:tcW w:w="3090" w:type="dxa"/>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本年支出合计</w:t>
            </w:r>
          </w:p>
        </w:tc>
        <w:tc>
          <w:tcPr>
            <w:tcW w:w="1326" w:type="dxa"/>
            <w:tcBorders>
              <w:top w:val="single" w:color="000000" w:sz="4" w:space="0"/>
              <w:left w:val="single" w:color="000000" w:sz="4" w:space="0"/>
              <w:right w:val="single" w:color="000000" w:sz="4" w:space="0"/>
            </w:tcBorders>
            <w:vAlign w:val="center"/>
          </w:tcPr>
          <w:p>
            <w:pPr>
              <w:widowControl/>
              <w:jc w:val="right"/>
              <w:textAlignment w:val="center"/>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528.12</w:t>
            </w:r>
          </w:p>
        </w:tc>
      </w:tr>
      <w:tr>
        <w:tblPrEx>
          <w:tblCellMar>
            <w:top w:w="15" w:type="dxa"/>
            <w:left w:w="15" w:type="dxa"/>
            <w:bottom w:w="15" w:type="dxa"/>
            <w:right w:w="15" w:type="dxa"/>
          </w:tblCellMar>
        </w:tblPrEx>
        <w:trPr>
          <w:trHeight w:val="355"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用事业基金弥补收支差额</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 xml:space="preserve">结余分配 </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bCs/>
                <w:color w:val="000000"/>
                <w:kern w:val="2"/>
                <w:sz w:val="21"/>
                <w:szCs w:val="21"/>
                <w:lang w:val="en-US" w:eastAsia="zh-CN" w:bidi="ar-SA"/>
              </w:rPr>
            </w:pPr>
            <w:r>
              <w:rPr>
                <w:rFonts w:hint="eastAsia" w:ascii="宋体" w:hAnsi="宋体" w:eastAsia="宋体" w:cs="宋体"/>
                <w:bCs/>
                <w:color w:val="000000"/>
                <w:sz w:val="21"/>
                <w:szCs w:val="21"/>
                <w:lang w:val="en-US" w:eastAsia="zh-CN"/>
              </w:rPr>
              <w:t>0.00</w:t>
            </w:r>
          </w:p>
        </w:tc>
      </w:tr>
      <w:tr>
        <w:tblPrEx>
          <w:tblCellMar>
            <w:top w:w="15" w:type="dxa"/>
            <w:left w:w="15" w:type="dxa"/>
            <w:bottom w:w="15" w:type="dxa"/>
            <w:right w:w="15" w:type="dxa"/>
          </w:tblCellMar>
        </w:tblPrEx>
        <w:trPr>
          <w:trHeight w:val="371"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年初结转和结余</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bCs/>
                <w:color w:val="000000"/>
                <w:sz w:val="21"/>
                <w:szCs w:val="21"/>
                <w:lang w:val="en-US" w:eastAsia="zh-CN"/>
              </w:rPr>
            </w:pPr>
            <w:r>
              <w:rPr>
                <w:rFonts w:hint="eastAsia" w:ascii="宋体" w:hAnsi="宋体" w:eastAsia="宋体" w:cs="宋体"/>
                <w:bCs/>
                <w:color w:val="000000"/>
                <w:sz w:val="21"/>
                <w:szCs w:val="21"/>
                <w:lang w:val="en-US" w:eastAsia="zh-CN"/>
              </w:rPr>
              <w:t>0.00</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年末结转和结余</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bCs/>
                <w:color w:val="000000"/>
                <w:kern w:val="2"/>
                <w:sz w:val="21"/>
                <w:szCs w:val="21"/>
                <w:lang w:val="en-US" w:eastAsia="zh-CN" w:bidi="ar-SA"/>
              </w:rPr>
            </w:pPr>
            <w:r>
              <w:rPr>
                <w:rFonts w:hint="eastAsia" w:ascii="宋体" w:hAnsi="宋体" w:eastAsia="宋体" w:cs="宋体"/>
                <w:bCs/>
                <w:color w:val="000000"/>
                <w:sz w:val="21"/>
                <w:szCs w:val="21"/>
                <w:lang w:val="en-US" w:eastAsia="zh-CN"/>
              </w:rPr>
              <w:t>0.00</w:t>
            </w:r>
          </w:p>
        </w:tc>
      </w:tr>
      <w:tr>
        <w:tblPrEx>
          <w:tblCellMar>
            <w:top w:w="15" w:type="dxa"/>
            <w:left w:w="15" w:type="dxa"/>
            <w:bottom w:w="15" w:type="dxa"/>
            <w:right w:w="15" w:type="dxa"/>
          </w:tblCellMar>
        </w:tblPrEx>
        <w:trPr>
          <w:trHeight w:val="382" w:hRule="atLeast"/>
        </w:trPr>
        <w:tc>
          <w:tcPr>
            <w:tcW w:w="338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收入总计</w:t>
            </w:r>
          </w:p>
        </w:tc>
        <w:tc>
          <w:tcPr>
            <w:tcW w:w="1080"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sz w:val="21"/>
                <w:szCs w:val="21"/>
                <w:lang w:val="en-US" w:eastAsia="zh-CN"/>
              </w:rPr>
            </w:pPr>
            <w:r>
              <w:rPr>
                <w:rFonts w:hint="eastAsia" w:ascii="宋体" w:hAnsi="宋体" w:eastAsia="宋体" w:cs="宋体"/>
                <w:color w:val="000000"/>
                <w:sz w:val="21"/>
                <w:szCs w:val="21"/>
                <w:lang w:val="en-US" w:eastAsia="zh-CN"/>
              </w:rPr>
              <w:t>528.12</w:t>
            </w:r>
          </w:p>
        </w:tc>
        <w:tc>
          <w:tcPr>
            <w:tcW w:w="30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支出总计</w:t>
            </w:r>
          </w:p>
        </w:tc>
        <w:tc>
          <w:tcPr>
            <w:tcW w:w="1326"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color w:val="000000"/>
                <w:kern w:val="2"/>
                <w:sz w:val="21"/>
                <w:szCs w:val="21"/>
                <w:lang w:val="en-US" w:eastAsia="zh-CN" w:bidi="ar-SA"/>
              </w:rPr>
            </w:pPr>
            <w:r>
              <w:rPr>
                <w:rFonts w:hint="eastAsia" w:ascii="宋体" w:hAnsi="宋体" w:eastAsia="宋体" w:cs="宋体"/>
                <w:color w:val="000000"/>
                <w:sz w:val="21"/>
                <w:szCs w:val="21"/>
                <w:lang w:val="en-US" w:eastAsia="zh-CN"/>
              </w:rPr>
              <w:t>528.12</w:t>
            </w:r>
          </w:p>
        </w:tc>
      </w:tr>
    </w:tbl>
    <w:p>
      <w:pPr>
        <w:widowControl/>
        <w:ind w:left="420" w:hanging="420" w:hangingChars="200"/>
        <w:jc w:val="left"/>
        <w:rPr>
          <w:rFonts w:ascii="宋体" w:hAnsi="宋体" w:eastAsia="宋体" w:cs="宋体"/>
          <w:sz w:val="48"/>
          <w:szCs w:val="48"/>
        </w:rPr>
      </w:pPr>
      <w:r>
        <w:rPr>
          <w:rFonts w:hint="eastAsia" w:ascii="宋体" w:hAnsi="宋体" w:eastAsia="宋体" w:cs="宋体"/>
          <w:color w:val="000000"/>
          <w:kern w:val="0"/>
          <w:sz w:val="21"/>
          <w:szCs w:val="21"/>
        </w:rPr>
        <w:t>注：本表反映部门本年度的总收支和年末结转结余情况。本表金额转换为万元时，因四舍五入可能存在尾差。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收入决算表</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公开02表</w:t>
      </w:r>
    </w:p>
    <w:p>
      <w:pPr>
        <w:rPr>
          <w:rFonts w:hint="eastAsia"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val="en-US" w:eastAsia="zh-CN"/>
        </w:rPr>
        <w:t>蓝田县应急管理局</w:t>
      </w:r>
      <w:r>
        <w:rPr>
          <w:rFonts w:hint="eastAsia" w:ascii="宋体" w:hAnsi="宋体" w:eastAsia="宋体" w:cs="宋体"/>
          <w:b/>
          <w:bCs/>
          <w:sz w:val="21"/>
          <w:szCs w:val="21"/>
        </w:rPr>
        <w:t xml:space="preserve">                                       金额单位：万元</w:t>
      </w:r>
    </w:p>
    <w:tbl>
      <w:tblPr>
        <w:tblStyle w:val="6"/>
        <w:tblW w:w="8867" w:type="dxa"/>
        <w:tblInd w:w="0" w:type="dxa"/>
        <w:tblLayout w:type="fixed"/>
        <w:tblCellMar>
          <w:top w:w="15" w:type="dxa"/>
          <w:left w:w="15" w:type="dxa"/>
          <w:bottom w:w="15" w:type="dxa"/>
          <w:right w:w="15" w:type="dxa"/>
        </w:tblCellMar>
      </w:tblPr>
      <w:tblGrid>
        <w:gridCol w:w="927"/>
        <w:gridCol w:w="2066"/>
        <w:gridCol w:w="823"/>
        <w:gridCol w:w="1065"/>
        <w:gridCol w:w="720"/>
        <w:gridCol w:w="660"/>
        <w:gridCol w:w="705"/>
        <w:gridCol w:w="585"/>
        <w:gridCol w:w="735"/>
        <w:gridCol w:w="581"/>
      </w:tblGrid>
      <w:tr>
        <w:tblPrEx>
          <w:tblCellMar>
            <w:top w:w="15" w:type="dxa"/>
            <w:left w:w="15" w:type="dxa"/>
            <w:bottom w:w="15" w:type="dxa"/>
            <w:right w:w="15" w:type="dxa"/>
          </w:tblCellMar>
        </w:tblPrEx>
        <w:trPr>
          <w:trHeight w:val="439" w:hRule="atLeast"/>
        </w:trPr>
        <w:tc>
          <w:tcPr>
            <w:tcW w:w="299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项目</w:t>
            </w:r>
          </w:p>
        </w:tc>
        <w:tc>
          <w:tcPr>
            <w:tcW w:w="82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本年收入合计</w:t>
            </w:r>
          </w:p>
        </w:tc>
        <w:tc>
          <w:tcPr>
            <w:tcW w:w="106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财政拨款收入</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上级补助收入</w:t>
            </w:r>
          </w:p>
        </w:tc>
        <w:tc>
          <w:tcPr>
            <w:tcW w:w="136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kern w:val="0"/>
                <w:sz w:val="18"/>
                <w:szCs w:val="18"/>
              </w:rPr>
            </w:pPr>
            <w:r>
              <w:rPr>
                <w:rFonts w:hint="eastAsia" w:asciiTheme="minorEastAsia" w:hAnsiTheme="minorEastAsia" w:eastAsiaTheme="minorEastAsia" w:cstheme="minorEastAsia"/>
                <w:b/>
                <w:bCs/>
                <w:color w:val="000000"/>
                <w:kern w:val="0"/>
                <w:sz w:val="18"/>
                <w:szCs w:val="18"/>
              </w:rPr>
              <w:t>事业收入</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kern w:val="0"/>
                <w:sz w:val="18"/>
                <w:szCs w:val="18"/>
              </w:rPr>
            </w:pPr>
            <w:r>
              <w:rPr>
                <w:rFonts w:hint="eastAsia" w:asciiTheme="minorEastAsia" w:hAnsiTheme="minorEastAsia" w:eastAsiaTheme="minorEastAsia" w:cstheme="minorEastAsia"/>
                <w:b/>
                <w:bCs/>
                <w:color w:val="000000"/>
                <w:kern w:val="0"/>
                <w:sz w:val="18"/>
                <w:szCs w:val="18"/>
              </w:rPr>
              <w:t>经营</w:t>
            </w:r>
          </w:p>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收入</w:t>
            </w:r>
          </w:p>
        </w:tc>
        <w:tc>
          <w:tcPr>
            <w:tcW w:w="7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附属单位上缴收入</w:t>
            </w:r>
          </w:p>
        </w:tc>
        <w:tc>
          <w:tcPr>
            <w:tcW w:w="58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kern w:val="0"/>
                <w:sz w:val="18"/>
                <w:szCs w:val="18"/>
              </w:rPr>
            </w:pPr>
            <w:r>
              <w:rPr>
                <w:rFonts w:hint="eastAsia" w:asciiTheme="minorEastAsia" w:hAnsiTheme="minorEastAsia" w:eastAsiaTheme="minorEastAsia" w:cstheme="minorEastAsia"/>
                <w:b/>
                <w:bCs/>
                <w:color w:val="000000"/>
                <w:kern w:val="0"/>
                <w:sz w:val="18"/>
                <w:szCs w:val="18"/>
              </w:rPr>
              <w:t>其他</w:t>
            </w:r>
          </w:p>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收入</w:t>
            </w:r>
          </w:p>
        </w:tc>
      </w:tr>
      <w:tr>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功能分类科目编码</w:t>
            </w:r>
          </w:p>
        </w:tc>
        <w:tc>
          <w:tcPr>
            <w:tcW w:w="2066" w:type="dxa"/>
            <w:tcBorders>
              <w:top w:val="single" w:color="000000" w:sz="4" w:space="0"/>
              <w:left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科目</w:t>
            </w:r>
          </w:p>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名称</w:t>
            </w:r>
          </w:p>
        </w:tc>
        <w:tc>
          <w:tcPr>
            <w:tcW w:w="82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10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sz w:val="18"/>
                <w:szCs w:val="18"/>
              </w:rPr>
              <w:t>小计</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sz w:val="18"/>
                <w:szCs w:val="18"/>
              </w:rPr>
              <w:t>其中：教育收费</w:t>
            </w: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7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58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r>
      <w:tr>
        <w:tblPrEx>
          <w:tblCellMar>
            <w:top w:w="15" w:type="dxa"/>
            <w:left w:w="15" w:type="dxa"/>
            <w:bottom w:w="15" w:type="dxa"/>
            <w:right w:w="15" w:type="dxa"/>
          </w:tblCellMar>
        </w:tblPrEx>
        <w:trPr>
          <w:trHeight w:val="439" w:hRule="atLeast"/>
        </w:trPr>
        <w:tc>
          <w:tcPr>
            <w:tcW w:w="299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b/>
                <w:bCs/>
                <w:color w:val="000000"/>
                <w:kern w:val="0"/>
                <w:sz w:val="18"/>
                <w:szCs w:val="18"/>
              </w:rPr>
              <w:t>合计</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528.12</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528.12</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208</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社会保障和就业支出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20805</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行政事业单位离退休</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658"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2080505</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 xml:space="preserve">  机关事业单位基本养老保险缴费支出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卫生健康支出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8.90</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8.90</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21011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行政事业单位医疗</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8.20</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8.20</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2101101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 xml:space="preserve">  行政单位医疗</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6.81</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6.81</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2101102</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事业单位医疗</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1.01</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1.01</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2101103</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 xml:space="preserve">  公务员医疗补助</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0.38</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0.38</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21099</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其他卫生健康支出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2109901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 xml:space="preserve">  其他卫生健康支出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213</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农林水支出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21303</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水利</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2130301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行政运行</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灾害防治及应急管理支出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406.90</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406.90</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应急管理事务</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362.83</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362.83</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2240101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行政运行</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225.88</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225.88</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2240102</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一般行政管理事务</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49.45</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49.45</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2240106</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安全监管</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58.69</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58.69</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2240108</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应急救援</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28.81</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28.81</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22405</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地震事务</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44.07</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44.07</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2240501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行政运行</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4.52</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4.52</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2240504</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地震监测</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2.94</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2.94</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2240550</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地震事业机构</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36.61</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36.61</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bl>
    <w:p>
      <w:pPr>
        <w:widowControl/>
        <w:jc w:val="left"/>
      </w:pPr>
      <w:r>
        <w:rPr>
          <w:rFonts w:hint="eastAsia" w:ascii="宋体" w:hAnsi="宋体" w:eastAsia="宋体" w:cs="宋体"/>
          <w:sz w:val="21"/>
          <w:szCs w:val="21"/>
        </w:rPr>
        <w:t>注：本表反映部门本年度取得的各项收入情况。</w:t>
      </w:r>
      <w:r>
        <w:rPr>
          <w:rFonts w:hint="eastAsia" w:ascii="宋体" w:hAnsi="宋体" w:eastAsia="宋体" w:cs="宋体"/>
          <w:color w:val="000000"/>
          <w:kern w:val="0"/>
          <w:sz w:val="21"/>
          <w:szCs w:val="21"/>
        </w:rPr>
        <w:t>本表金额转换为万元时，因四舍五入可能存在尾差。</w:t>
      </w:r>
    </w:p>
    <w:p>
      <w:pPr>
        <w:jc w:val="center"/>
        <w:rPr>
          <w:rFonts w:ascii="宋体" w:hAnsi="宋体" w:eastAsia="宋体" w:cs="宋体"/>
          <w:b/>
          <w:bCs/>
          <w:szCs w:val="32"/>
        </w:rPr>
      </w:pPr>
      <w:r>
        <w:rPr>
          <w:rFonts w:hint="eastAsia" w:ascii="宋体" w:hAnsi="宋体" w:eastAsia="宋体" w:cs="宋体"/>
          <w:b/>
          <w:bCs/>
          <w:szCs w:val="32"/>
        </w:rPr>
        <w:t>支出决算表</w:t>
      </w:r>
    </w:p>
    <w:p>
      <w:pPr>
        <w:rPr>
          <w:rFonts w:ascii="宋体" w:hAnsi="宋体" w:eastAsia="宋体" w:cs="宋体"/>
          <w:b/>
          <w:bCs/>
          <w:sz w:val="21"/>
          <w:szCs w:val="21"/>
        </w:rPr>
      </w:pP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公开03表</w:t>
      </w:r>
    </w:p>
    <w:p>
      <w:pPr>
        <w:rPr>
          <w:rFonts w:ascii="宋体" w:hAnsi="宋体" w:eastAsia="宋体" w:cs="宋体"/>
          <w:b/>
          <w:bCs/>
          <w:sz w:val="48"/>
          <w:szCs w:val="48"/>
        </w:rPr>
      </w:pPr>
      <w:r>
        <w:rPr>
          <w:rFonts w:hint="eastAsia" w:ascii="宋体" w:hAnsi="宋体" w:eastAsia="宋体" w:cs="宋体"/>
          <w:b/>
          <w:bCs/>
          <w:sz w:val="21"/>
          <w:szCs w:val="21"/>
        </w:rPr>
        <w:t>编制部门：</w:t>
      </w:r>
      <w:r>
        <w:rPr>
          <w:rFonts w:hint="eastAsia" w:ascii="宋体" w:hAnsi="宋体" w:eastAsia="宋体" w:cs="宋体"/>
          <w:b/>
          <w:bCs/>
          <w:sz w:val="21"/>
          <w:szCs w:val="21"/>
          <w:lang w:val="en-US" w:eastAsia="zh-CN"/>
        </w:rPr>
        <w:t>蓝田县应急管理局</w:t>
      </w:r>
      <w:r>
        <w:rPr>
          <w:rFonts w:hint="eastAsia" w:ascii="宋体" w:hAnsi="宋体" w:eastAsia="宋体" w:cs="宋体"/>
          <w:b/>
          <w:bCs/>
          <w:sz w:val="21"/>
          <w:szCs w:val="21"/>
        </w:rPr>
        <w:t xml:space="preserve">                                       金额单位：万元</w:t>
      </w:r>
    </w:p>
    <w:tbl>
      <w:tblPr>
        <w:tblStyle w:val="6"/>
        <w:tblW w:w="8867" w:type="dxa"/>
        <w:tblInd w:w="0" w:type="dxa"/>
        <w:tblLayout w:type="fixed"/>
        <w:tblCellMar>
          <w:top w:w="15" w:type="dxa"/>
          <w:left w:w="15" w:type="dxa"/>
          <w:bottom w:w="15" w:type="dxa"/>
          <w:right w:w="15" w:type="dxa"/>
        </w:tblCellMar>
      </w:tblPr>
      <w:tblGrid>
        <w:gridCol w:w="927"/>
        <w:gridCol w:w="2066"/>
        <w:gridCol w:w="823"/>
        <w:gridCol w:w="1065"/>
        <w:gridCol w:w="720"/>
        <w:gridCol w:w="660"/>
        <w:gridCol w:w="705"/>
        <w:gridCol w:w="585"/>
        <w:gridCol w:w="735"/>
        <w:gridCol w:w="581"/>
      </w:tblGrid>
      <w:tr>
        <w:tblPrEx>
          <w:tblCellMar>
            <w:top w:w="15" w:type="dxa"/>
            <w:left w:w="15" w:type="dxa"/>
            <w:bottom w:w="15" w:type="dxa"/>
            <w:right w:w="15" w:type="dxa"/>
          </w:tblCellMar>
        </w:tblPrEx>
        <w:trPr>
          <w:trHeight w:val="439" w:hRule="atLeast"/>
        </w:trPr>
        <w:tc>
          <w:tcPr>
            <w:tcW w:w="299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项目</w:t>
            </w:r>
          </w:p>
        </w:tc>
        <w:tc>
          <w:tcPr>
            <w:tcW w:w="82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本年收入合计</w:t>
            </w:r>
          </w:p>
        </w:tc>
        <w:tc>
          <w:tcPr>
            <w:tcW w:w="106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财政拨款收入</w:t>
            </w:r>
          </w:p>
        </w:tc>
        <w:tc>
          <w:tcPr>
            <w:tcW w:w="72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上级补助收入</w:t>
            </w:r>
          </w:p>
        </w:tc>
        <w:tc>
          <w:tcPr>
            <w:tcW w:w="1365"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kern w:val="0"/>
                <w:sz w:val="18"/>
                <w:szCs w:val="18"/>
              </w:rPr>
            </w:pPr>
            <w:r>
              <w:rPr>
                <w:rFonts w:hint="eastAsia" w:asciiTheme="minorEastAsia" w:hAnsiTheme="minorEastAsia" w:eastAsiaTheme="minorEastAsia" w:cstheme="minorEastAsia"/>
                <w:b/>
                <w:bCs/>
                <w:color w:val="000000"/>
                <w:kern w:val="0"/>
                <w:sz w:val="18"/>
                <w:szCs w:val="18"/>
              </w:rPr>
              <w:t>事业收入</w:t>
            </w:r>
          </w:p>
        </w:tc>
        <w:tc>
          <w:tcPr>
            <w:tcW w:w="5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kern w:val="0"/>
                <w:sz w:val="18"/>
                <w:szCs w:val="18"/>
              </w:rPr>
            </w:pPr>
            <w:r>
              <w:rPr>
                <w:rFonts w:hint="eastAsia" w:asciiTheme="minorEastAsia" w:hAnsiTheme="minorEastAsia" w:eastAsiaTheme="minorEastAsia" w:cstheme="minorEastAsia"/>
                <w:b/>
                <w:bCs/>
                <w:color w:val="000000"/>
                <w:kern w:val="0"/>
                <w:sz w:val="18"/>
                <w:szCs w:val="18"/>
              </w:rPr>
              <w:t>经营</w:t>
            </w:r>
          </w:p>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收入</w:t>
            </w:r>
          </w:p>
        </w:tc>
        <w:tc>
          <w:tcPr>
            <w:tcW w:w="73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附属单位上缴收入</w:t>
            </w:r>
          </w:p>
        </w:tc>
        <w:tc>
          <w:tcPr>
            <w:tcW w:w="58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bCs/>
                <w:color w:val="000000"/>
                <w:kern w:val="0"/>
                <w:sz w:val="18"/>
                <w:szCs w:val="18"/>
              </w:rPr>
            </w:pPr>
            <w:r>
              <w:rPr>
                <w:rFonts w:hint="eastAsia" w:asciiTheme="minorEastAsia" w:hAnsiTheme="minorEastAsia" w:eastAsiaTheme="minorEastAsia" w:cstheme="minorEastAsia"/>
                <w:b/>
                <w:bCs/>
                <w:color w:val="000000"/>
                <w:kern w:val="0"/>
                <w:sz w:val="18"/>
                <w:szCs w:val="18"/>
              </w:rPr>
              <w:t>其他</w:t>
            </w:r>
          </w:p>
          <w:p>
            <w:pPr>
              <w:widowControl/>
              <w:jc w:val="center"/>
              <w:textAlignment w:val="center"/>
              <w:rPr>
                <w:rFonts w:asciiTheme="minorEastAsia" w:hAnsiTheme="minorEastAsia" w:eastAsiaTheme="minorEastAsia" w:cstheme="minorEastAsia"/>
                <w:b/>
                <w:bCs/>
                <w:color w:val="000000"/>
                <w:sz w:val="18"/>
                <w:szCs w:val="18"/>
              </w:rPr>
            </w:pPr>
            <w:r>
              <w:rPr>
                <w:rFonts w:hint="eastAsia" w:asciiTheme="minorEastAsia" w:hAnsiTheme="minorEastAsia" w:eastAsiaTheme="minorEastAsia" w:cstheme="minorEastAsia"/>
                <w:b/>
                <w:bCs/>
                <w:color w:val="000000"/>
                <w:kern w:val="0"/>
                <w:sz w:val="18"/>
                <w:szCs w:val="18"/>
              </w:rPr>
              <w:t>收入</w:t>
            </w:r>
          </w:p>
        </w:tc>
      </w:tr>
      <w:tr>
        <w:tblPrEx>
          <w:tblCellMar>
            <w:top w:w="15" w:type="dxa"/>
            <w:left w:w="15" w:type="dxa"/>
            <w:bottom w:w="15" w:type="dxa"/>
            <w:right w:w="15" w:type="dxa"/>
          </w:tblCellMar>
        </w:tblPrEx>
        <w:trPr>
          <w:trHeight w:val="1125" w:hRule="atLeast"/>
        </w:trPr>
        <w:tc>
          <w:tcPr>
            <w:tcW w:w="927" w:type="dxa"/>
            <w:tcBorders>
              <w:top w:val="single" w:color="000000" w:sz="4" w:space="0"/>
              <w:left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功能分类科目编码</w:t>
            </w:r>
          </w:p>
        </w:tc>
        <w:tc>
          <w:tcPr>
            <w:tcW w:w="2066" w:type="dxa"/>
            <w:tcBorders>
              <w:top w:val="single" w:color="000000" w:sz="4" w:space="0"/>
              <w:left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科目</w:t>
            </w:r>
          </w:p>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名称</w:t>
            </w:r>
          </w:p>
        </w:tc>
        <w:tc>
          <w:tcPr>
            <w:tcW w:w="82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106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72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660"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sz w:val="18"/>
                <w:szCs w:val="18"/>
              </w:rPr>
              <w:t>小计</w:t>
            </w:r>
          </w:p>
        </w:tc>
        <w:tc>
          <w:tcPr>
            <w:tcW w:w="705" w:type="dxa"/>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sz w:val="18"/>
                <w:szCs w:val="18"/>
              </w:rPr>
              <w:t>其中：教育收费</w:t>
            </w:r>
          </w:p>
        </w:tc>
        <w:tc>
          <w:tcPr>
            <w:tcW w:w="5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73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58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r>
      <w:tr>
        <w:tblPrEx>
          <w:tblCellMar>
            <w:top w:w="15" w:type="dxa"/>
            <w:left w:w="15" w:type="dxa"/>
            <w:bottom w:w="15" w:type="dxa"/>
            <w:right w:w="15" w:type="dxa"/>
          </w:tblCellMar>
        </w:tblPrEx>
        <w:trPr>
          <w:trHeight w:val="439" w:hRule="atLeast"/>
        </w:trPr>
        <w:tc>
          <w:tcPr>
            <w:tcW w:w="299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b/>
                <w:bCs/>
                <w:color w:val="000000"/>
                <w:kern w:val="0"/>
                <w:sz w:val="18"/>
                <w:szCs w:val="18"/>
              </w:rPr>
              <w:t>合计</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528.12</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528.12</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208</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社会保障和就业支出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20805</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行政事业单位离退休</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658"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2080505</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 xml:space="preserve">  机关事业单位基本养老保险缴费支出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卫生健康支出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8.90</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8.90</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21011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行政事业单位医疗</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8.20</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8.20</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2101101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 xml:space="preserve">  行政单位医疗</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6.81</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6.81</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2101102</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事业单位医疗</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1.01</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1.01</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2101103</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 xml:space="preserve">  公务员医疗补助</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0.38</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0.38</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21099</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其他卫生健康支出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2109901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 xml:space="preserve">  其他卫生健康支出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213</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农林水支出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21303</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水利</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2130301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行政运行</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灾害防治及应急管理支出</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406.90</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406.90</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应急管理事务</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362.83</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362.83</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2240101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行政运行</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225.88</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225.88</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2240102</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一般行政管理事务</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49.45</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49.45</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2240106</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安全监管</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58.69</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58.69</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2240108</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应急救援</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28.81</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28.81</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22405</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地震事务</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44.07</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44.07</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2240501</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行政运行</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4.52</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4.52</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2240504</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地震监测</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2.94</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2.94</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397" w:hRule="exact"/>
        </w:trPr>
        <w:tc>
          <w:tcPr>
            <w:tcW w:w="92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2240550</w:t>
            </w:r>
          </w:p>
        </w:tc>
        <w:tc>
          <w:tcPr>
            <w:tcW w:w="206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 xml:space="preserve">  地震事业机构</w:t>
            </w:r>
          </w:p>
        </w:tc>
        <w:tc>
          <w:tcPr>
            <w:tcW w:w="82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36.61</w:t>
            </w:r>
          </w:p>
        </w:tc>
        <w:tc>
          <w:tcPr>
            <w:tcW w:w="106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36.61</w:t>
            </w:r>
          </w:p>
        </w:tc>
        <w:tc>
          <w:tcPr>
            <w:tcW w:w="72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66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0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73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c>
          <w:tcPr>
            <w:tcW w:w="581"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kern w:val="0"/>
                <w:sz w:val="18"/>
                <w:szCs w:val="18"/>
              </w:rPr>
              <w:t>0.00</w:t>
            </w:r>
          </w:p>
        </w:tc>
      </w:tr>
    </w:tbl>
    <w:p>
      <w:pPr>
        <w:widowControl/>
        <w:jc w:val="left"/>
        <w:rPr>
          <w:rFonts w:eastAsia="宋体" w:cs="黑体"/>
          <w:sz w:val="21"/>
          <w:szCs w:val="24"/>
        </w:rPr>
      </w:pPr>
      <w:r>
        <w:rPr>
          <w:rFonts w:hint="eastAsia" w:ascii="宋体" w:hAnsi="宋体" w:eastAsia="宋体" w:cs="宋体"/>
          <w:sz w:val="21"/>
          <w:szCs w:val="21"/>
        </w:rPr>
        <w:t>注：本表反映部门本年度各项支出情况。</w:t>
      </w:r>
      <w:r>
        <w:rPr>
          <w:rFonts w:hint="eastAsia" w:ascii="宋体" w:hAnsi="宋体" w:eastAsia="宋体" w:cs="宋体"/>
          <w:color w:val="000000"/>
          <w:kern w:val="0"/>
          <w:sz w:val="21"/>
          <w:szCs w:val="21"/>
        </w:rPr>
        <w:t>本表金额转换为万元时，因四舍五入可能存在尾差。</w:t>
      </w:r>
    </w:p>
    <w:p/>
    <w:p>
      <w:pPr>
        <w:jc w:val="center"/>
        <w:rPr>
          <w:rFonts w:ascii="宋体" w:hAnsi="宋体" w:eastAsia="宋体" w:cs="宋体"/>
          <w:b/>
          <w:bCs/>
          <w:szCs w:val="32"/>
        </w:rPr>
      </w:pPr>
      <w:r>
        <w:rPr>
          <w:rFonts w:hint="eastAsia" w:ascii="宋体" w:hAnsi="宋体" w:eastAsia="宋体" w:cs="宋体"/>
          <w:b/>
          <w:bCs/>
          <w:szCs w:val="32"/>
        </w:rPr>
        <w:t>财政拨款收入支出决算总表</w:t>
      </w:r>
    </w:p>
    <w:p>
      <w:pPr>
        <w:ind w:firstLine="7379" w:firstLineChars="3500"/>
        <w:rPr>
          <w:rFonts w:ascii="宋体" w:hAnsi="宋体" w:eastAsia="宋体" w:cs="宋体"/>
          <w:b/>
          <w:bCs/>
          <w:sz w:val="21"/>
          <w:szCs w:val="21"/>
        </w:rPr>
      </w:pPr>
      <w:r>
        <w:rPr>
          <w:rFonts w:hint="eastAsia" w:ascii="宋体" w:hAnsi="宋体" w:eastAsia="宋体" w:cs="宋体"/>
          <w:b/>
          <w:bCs/>
          <w:sz w:val="21"/>
          <w:szCs w:val="21"/>
        </w:rPr>
        <w:t>公开04表</w:t>
      </w:r>
    </w:p>
    <w:p>
      <w:r>
        <w:rPr>
          <w:rFonts w:hint="eastAsia" w:ascii="宋体" w:hAnsi="宋体" w:eastAsia="宋体" w:cs="宋体"/>
          <w:b/>
          <w:bCs/>
          <w:sz w:val="21"/>
          <w:szCs w:val="21"/>
        </w:rPr>
        <w:t>编制部门：</w:t>
      </w:r>
      <w:r>
        <w:rPr>
          <w:rFonts w:hint="eastAsia" w:ascii="宋体" w:hAnsi="宋体" w:eastAsia="宋体" w:cs="宋体"/>
          <w:b/>
          <w:bCs/>
          <w:sz w:val="21"/>
          <w:szCs w:val="21"/>
          <w:lang w:val="en-US" w:eastAsia="zh-CN"/>
        </w:rPr>
        <w:t>蓝田县应急管理局</w:t>
      </w:r>
      <w:r>
        <w:rPr>
          <w:rFonts w:hint="eastAsia" w:ascii="宋体" w:hAnsi="宋体" w:eastAsia="宋体" w:cs="宋体"/>
          <w:b/>
          <w:bCs/>
          <w:sz w:val="21"/>
          <w:szCs w:val="21"/>
        </w:rPr>
        <w:t xml:space="preserve">                                      金额单位：万元</w:t>
      </w:r>
    </w:p>
    <w:tbl>
      <w:tblPr>
        <w:tblStyle w:val="6"/>
        <w:tblW w:w="8700" w:type="dxa"/>
        <w:tblInd w:w="0" w:type="dxa"/>
        <w:tblLayout w:type="fixed"/>
        <w:tblCellMar>
          <w:top w:w="15" w:type="dxa"/>
          <w:left w:w="15" w:type="dxa"/>
          <w:bottom w:w="15" w:type="dxa"/>
          <w:right w:w="15" w:type="dxa"/>
        </w:tblCellMar>
      </w:tblPr>
      <w:tblGrid>
        <w:gridCol w:w="1703"/>
        <w:gridCol w:w="1072"/>
        <w:gridCol w:w="23"/>
        <w:gridCol w:w="2683"/>
        <w:gridCol w:w="1145"/>
        <w:gridCol w:w="1090"/>
        <w:gridCol w:w="984"/>
      </w:tblGrid>
      <w:tr>
        <w:tblPrEx>
          <w:tblCellMar>
            <w:top w:w="15" w:type="dxa"/>
            <w:left w:w="15" w:type="dxa"/>
            <w:bottom w:w="15" w:type="dxa"/>
            <w:right w:w="15" w:type="dxa"/>
          </w:tblCellMar>
        </w:tblPrEx>
        <w:trPr>
          <w:trHeight w:val="367" w:hRule="atLeast"/>
        </w:trPr>
        <w:tc>
          <w:tcPr>
            <w:tcW w:w="2777"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sz w:val="18"/>
                <w:szCs w:val="18"/>
              </w:rPr>
              <w:t>收入</w:t>
            </w:r>
          </w:p>
        </w:tc>
        <w:tc>
          <w:tcPr>
            <w:tcW w:w="5923" w:type="dxa"/>
            <w:gridSpan w:val="5"/>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sz w:val="18"/>
                <w:szCs w:val="18"/>
              </w:rPr>
              <w:t>支出</w:t>
            </w:r>
          </w:p>
        </w:tc>
      </w:tr>
      <w:tr>
        <w:tblPrEx>
          <w:tblCellMar>
            <w:top w:w="15" w:type="dxa"/>
            <w:left w:w="15" w:type="dxa"/>
            <w:bottom w:w="15" w:type="dxa"/>
            <w:right w:w="15" w:type="dxa"/>
          </w:tblCellMar>
        </w:tblPrEx>
        <w:trPr>
          <w:trHeight w:val="806"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项    目</w:t>
            </w:r>
          </w:p>
        </w:tc>
        <w:tc>
          <w:tcPr>
            <w:tcW w:w="1072"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决算数</w:t>
            </w: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项目</w:t>
            </w:r>
          </w:p>
        </w:tc>
        <w:tc>
          <w:tcPr>
            <w:tcW w:w="1146"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合计</w:t>
            </w:r>
          </w:p>
        </w:tc>
        <w:tc>
          <w:tcPr>
            <w:tcW w:w="1090"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一般公共预算财政拨款</w:t>
            </w:r>
          </w:p>
        </w:tc>
        <w:tc>
          <w:tcPr>
            <w:tcW w:w="984"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政府性基金预算财政拨款</w:t>
            </w:r>
          </w:p>
        </w:tc>
      </w:tr>
      <w:tr>
        <w:tblPrEx>
          <w:tblCellMar>
            <w:top w:w="15" w:type="dxa"/>
            <w:left w:w="15" w:type="dxa"/>
            <w:bottom w:w="15" w:type="dxa"/>
            <w:right w:w="15" w:type="dxa"/>
          </w:tblCellMar>
        </w:tblPrEx>
        <w:trPr>
          <w:trHeight w:val="5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1、一般公共预算财政拨款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528.12</w:t>
            </w: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1、一般公共服务支出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1,070.02</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1,070.02</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5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2、政府性基金预算财政拨款</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2、外交支出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57" w:hRule="atLeas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rPr>
              <w:t>3、国有资本经营预算收入</w:t>
            </w:r>
          </w:p>
        </w:tc>
        <w:tc>
          <w:tcPr>
            <w:tcW w:w="10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3、国防支出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bottom"/>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4、公共安全支出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5、教育支出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6、科学技术支出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7、</w:t>
            </w:r>
            <w:r>
              <w:rPr>
                <w:rFonts w:hint="eastAsia" w:asciiTheme="minorEastAsia" w:hAnsiTheme="minorEastAsia" w:eastAsiaTheme="minorEastAsia" w:cstheme="minorEastAsia"/>
                <w:color w:val="000000"/>
                <w:spacing w:val="-11"/>
                <w:w w:val="98"/>
                <w:kern w:val="0"/>
                <w:sz w:val="18"/>
                <w:szCs w:val="18"/>
              </w:rPr>
              <w:t>文化旅游体育与传媒支出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8、社会保障和就业支出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38.48</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lang w:val="en-US" w:eastAsia="zh-CN"/>
              </w:rPr>
              <w:t>38.48</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9、卫生健康支出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8.9</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lang w:val="en-US" w:eastAsia="zh-CN"/>
              </w:rPr>
              <w:t>8.9</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10、节能环保支出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11、城乡社区支出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12、农林水支出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73.84</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73.84</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13、交通运输支出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14、资源勘探信息等支出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15、商业服务业等支出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16、金融支出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17、援助其他地区支出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18、</w:t>
            </w:r>
            <w:r>
              <w:rPr>
                <w:rFonts w:hint="eastAsia" w:asciiTheme="minorEastAsia" w:hAnsiTheme="minorEastAsia" w:eastAsiaTheme="minorEastAsia" w:cstheme="minorEastAsia"/>
                <w:color w:val="000000"/>
                <w:spacing w:val="-11"/>
                <w:w w:val="98"/>
                <w:kern w:val="0"/>
                <w:sz w:val="18"/>
                <w:szCs w:val="18"/>
              </w:rPr>
              <w:t>自然资源海洋气象等支出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19、住房保障支出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20、粮油物资储备支出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rPr>
                <w:rFonts w:asciiTheme="minorEastAsia" w:hAnsiTheme="minorEastAsia" w:eastAsiaTheme="minorEastAsia" w:cstheme="minorEastAsia"/>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21、灾害防治及应急管理支出</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406.9</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406.9</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p>
        </w:tc>
        <w:tc>
          <w:tcPr>
            <w:tcW w:w="1072"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c>
          <w:tcPr>
            <w:tcW w:w="2703" w:type="dxa"/>
            <w:gridSpan w:val="2"/>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22、其他支出</w:t>
            </w:r>
          </w:p>
        </w:tc>
        <w:tc>
          <w:tcPr>
            <w:tcW w:w="1146" w:type="dxa"/>
            <w:tcBorders>
              <w:top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283" w:hRule="exact"/>
        </w:trPr>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本年收入合计</w:t>
            </w:r>
          </w:p>
        </w:tc>
        <w:tc>
          <w:tcPr>
            <w:tcW w:w="1095" w:type="dxa"/>
            <w:gridSpan w:val="2"/>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528.12</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本年支出合计</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lang w:val="en-US" w:eastAsia="zh-CN"/>
              </w:rPr>
              <w:t>528.12</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lang w:val="en-US" w:eastAsia="zh-CN"/>
              </w:rPr>
              <w:t>528.12</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57"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年初财政拨款结转结</w:t>
            </w:r>
          </w:p>
        </w:tc>
        <w:tc>
          <w:tcPr>
            <w:tcW w:w="1095" w:type="dxa"/>
            <w:gridSpan w:val="2"/>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年末财政拨款结转和结余</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r>
      <w:tr>
        <w:tblPrEx>
          <w:tblCellMar>
            <w:top w:w="15" w:type="dxa"/>
            <w:left w:w="15" w:type="dxa"/>
            <w:bottom w:w="15" w:type="dxa"/>
            <w:right w:w="15" w:type="dxa"/>
          </w:tblCellMar>
        </w:tblPrEx>
        <w:trPr>
          <w:trHeight w:val="544"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一、一般公共预</w:t>
            </w:r>
          </w:p>
          <w:p>
            <w:pPr>
              <w:keepNext w:val="0"/>
              <w:keepLines w:val="0"/>
              <w:pageBreakBefore w:val="0"/>
              <w:widowControl/>
              <w:kinsoku/>
              <w:wordWrap/>
              <w:overflowPunct/>
              <w:topLinePunct w:val="0"/>
              <w:autoSpaceDE/>
              <w:autoSpaceDN/>
              <w:bidi w:val="0"/>
              <w:adjustRightInd/>
              <w:snapToGrid/>
              <w:spacing w:line="300" w:lineRule="exact"/>
              <w:ind w:firstLine="360" w:firstLineChars="200"/>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算财政拨款</w:t>
            </w:r>
          </w:p>
        </w:tc>
        <w:tc>
          <w:tcPr>
            <w:tcW w:w="109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c>
          <w:tcPr>
            <w:tcW w:w="109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r>
      <w:tr>
        <w:tblPrEx>
          <w:tblCellMar>
            <w:top w:w="15" w:type="dxa"/>
            <w:left w:w="15" w:type="dxa"/>
            <w:bottom w:w="15" w:type="dxa"/>
            <w:right w:w="15" w:type="dxa"/>
          </w:tblCellMar>
        </w:tblPrEx>
        <w:trPr>
          <w:trHeight w:val="57"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二、政府性基金预</w:t>
            </w:r>
          </w:p>
          <w:p>
            <w:pPr>
              <w:keepNext w:val="0"/>
              <w:keepLines w:val="0"/>
              <w:pageBreakBefore w:val="0"/>
              <w:widowControl/>
              <w:kinsoku/>
              <w:wordWrap/>
              <w:overflowPunct/>
              <w:topLinePunct w:val="0"/>
              <w:autoSpaceDE/>
              <w:autoSpaceDN/>
              <w:bidi w:val="0"/>
              <w:adjustRightInd/>
              <w:snapToGrid/>
              <w:spacing w:line="300" w:lineRule="exact"/>
              <w:ind w:firstLine="360" w:firstLineChars="200"/>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算财政拨款</w:t>
            </w:r>
          </w:p>
        </w:tc>
        <w:tc>
          <w:tcPr>
            <w:tcW w:w="1095"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pageBreakBefore w:val="0"/>
              <w:widowControl/>
              <w:kinsoku/>
              <w:wordWrap/>
              <w:overflowPunct/>
              <w:topLinePunct w:val="0"/>
              <w:autoSpaceDE/>
              <w:autoSpaceDN/>
              <w:bidi w:val="0"/>
              <w:adjustRightInd/>
              <w:snapToGrid/>
              <w:spacing w:line="300" w:lineRule="exact"/>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p>
        </w:tc>
        <w:tc>
          <w:tcPr>
            <w:tcW w:w="114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c>
          <w:tcPr>
            <w:tcW w:w="1090"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c>
          <w:tcPr>
            <w:tcW w:w="984"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b/>
                <w:color w:val="000000"/>
                <w:kern w:val="0"/>
                <w:sz w:val="18"/>
                <w:szCs w:val="18"/>
              </w:rPr>
            </w:pPr>
          </w:p>
        </w:tc>
      </w:tr>
      <w:tr>
        <w:tblPrEx>
          <w:tblCellMar>
            <w:top w:w="15" w:type="dxa"/>
            <w:left w:w="15" w:type="dxa"/>
            <w:bottom w:w="15" w:type="dxa"/>
            <w:right w:w="15" w:type="dxa"/>
          </w:tblCellMar>
        </w:tblPrEx>
        <w:trPr>
          <w:trHeight w:val="57" w:hRule="atLeast"/>
        </w:trPr>
        <w:tc>
          <w:tcPr>
            <w:tcW w:w="170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收入总计</w:t>
            </w:r>
          </w:p>
        </w:tc>
        <w:tc>
          <w:tcPr>
            <w:tcW w:w="1095" w:type="dxa"/>
            <w:gridSpan w:val="2"/>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b/>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528.12</w:t>
            </w:r>
          </w:p>
        </w:tc>
        <w:tc>
          <w:tcPr>
            <w:tcW w:w="268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b/>
                <w:color w:val="000000"/>
                <w:kern w:val="0"/>
                <w:sz w:val="18"/>
                <w:szCs w:val="18"/>
              </w:rPr>
              <w:t>支出总计</w:t>
            </w:r>
          </w:p>
        </w:tc>
        <w:tc>
          <w:tcPr>
            <w:tcW w:w="1146"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lang w:val="en-US" w:eastAsia="zh-CN"/>
              </w:rPr>
              <w:t>528.12</w:t>
            </w:r>
          </w:p>
        </w:tc>
        <w:tc>
          <w:tcPr>
            <w:tcW w:w="10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lang w:val="en-US" w:eastAsia="zh-CN"/>
              </w:rPr>
              <w:t>528.12</w:t>
            </w:r>
          </w:p>
        </w:tc>
        <w:tc>
          <w:tcPr>
            <w:tcW w:w="984"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b/>
                <w:color w:val="000000"/>
                <w:kern w:val="0"/>
                <w:sz w:val="18"/>
                <w:szCs w:val="18"/>
              </w:rPr>
            </w:pPr>
            <w:r>
              <w:rPr>
                <w:rFonts w:hint="eastAsia" w:asciiTheme="minorEastAsia" w:hAnsiTheme="minorEastAsia" w:eastAsiaTheme="minorEastAsia" w:cstheme="minorEastAsia"/>
                <w:color w:val="000000"/>
                <w:kern w:val="0"/>
                <w:sz w:val="18"/>
                <w:szCs w:val="18"/>
              </w:rPr>
              <w:t>0.00</w:t>
            </w:r>
          </w:p>
        </w:tc>
      </w:tr>
    </w:tbl>
    <w:p>
      <w:pPr>
        <w:rPr>
          <w:rFonts w:ascii="宋体" w:hAnsi="宋体" w:eastAsia="宋体" w:cs="宋体"/>
          <w:sz w:val="21"/>
          <w:szCs w:val="21"/>
        </w:rPr>
      </w:pPr>
    </w:p>
    <w:p>
      <w:pPr>
        <w:widowControl/>
        <w:ind w:left="210" w:hanging="210" w:hangingChars="100"/>
        <w:jc w:val="left"/>
        <w:rPr>
          <w:rFonts w:eastAsia="宋体" w:cs="黑体"/>
          <w:sz w:val="21"/>
          <w:szCs w:val="24"/>
        </w:rPr>
      </w:pPr>
      <w:r>
        <w:rPr>
          <w:rFonts w:hint="eastAsia" w:ascii="宋体" w:hAnsi="宋体" w:eastAsia="宋体" w:cs="宋体"/>
          <w:sz w:val="21"/>
          <w:szCs w:val="21"/>
        </w:rPr>
        <w:t>注：本表反映部门本年度一般公共预算财政拨款和政府性基金预算财政拨款的总收支和年末结转结余情况。</w:t>
      </w:r>
      <w:r>
        <w:rPr>
          <w:rFonts w:hint="eastAsia" w:ascii="宋体" w:hAnsi="宋体" w:eastAsia="宋体" w:cs="宋体"/>
          <w:color w:val="000000"/>
          <w:kern w:val="0"/>
          <w:sz w:val="21"/>
          <w:szCs w:val="21"/>
        </w:rPr>
        <w:t>本表金额转换为万元时，因四舍五入可能存在尾差。</w:t>
      </w:r>
    </w:p>
    <w:p/>
    <w:p>
      <w:pPr>
        <w:jc w:val="center"/>
        <w:rPr>
          <w:rFonts w:ascii="宋体" w:hAnsi="宋体" w:eastAsia="宋体" w:cs="宋体"/>
          <w:b/>
          <w:bCs/>
          <w:szCs w:val="32"/>
        </w:rPr>
      </w:pPr>
      <w:r>
        <w:rPr>
          <w:rFonts w:hint="eastAsia" w:ascii="宋体" w:hAnsi="宋体" w:eastAsia="宋体" w:cs="宋体"/>
          <w:b/>
          <w:bCs/>
          <w:szCs w:val="32"/>
        </w:rPr>
        <w:t>一般公共预算财政拨款支出决算表（按功能分类科目）</w:t>
      </w:r>
    </w:p>
    <w:p>
      <w:pPr>
        <w:rPr>
          <w:rFonts w:ascii="宋体" w:hAnsi="宋体" w:eastAsia="宋体" w:cs="宋体"/>
          <w:b/>
          <w:bCs/>
          <w:sz w:val="21"/>
          <w:szCs w:val="21"/>
        </w:rPr>
      </w:pPr>
      <w:r>
        <w:rPr>
          <w:rFonts w:hint="eastAsia" w:ascii="宋体" w:hAnsi="宋体" w:eastAsia="宋体" w:cs="宋体"/>
          <w:b/>
          <w:bCs/>
          <w:sz w:val="21"/>
          <w:szCs w:val="21"/>
        </w:rPr>
        <w:t xml:space="preserve">                                                                      公开05表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val="en-US" w:eastAsia="zh-CN"/>
        </w:rPr>
        <w:t xml:space="preserve">蓝田县应急管理局 </w:t>
      </w:r>
      <w:r>
        <w:rPr>
          <w:rFonts w:hint="eastAsia" w:ascii="宋体" w:hAnsi="宋体" w:eastAsia="宋体" w:cs="宋体"/>
          <w:b/>
          <w:bCs/>
          <w:sz w:val="21"/>
          <w:szCs w:val="21"/>
        </w:rPr>
        <w:t xml:space="preserve">                                      金额单位：万元</w:t>
      </w:r>
    </w:p>
    <w:tbl>
      <w:tblPr>
        <w:tblStyle w:val="6"/>
        <w:tblW w:w="8777" w:type="dxa"/>
        <w:tblInd w:w="0" w:type="dxa"/>
        <w:tblLayout w:type="fixed"/>
        <w:tblCellMar>
          <w:top w:w="15" w:type="dxa"/>
          <w:left w:w="15" w:type="dxa"/>
          <w:bottom w:w="15" w:type="dxa"/>
          <w:right w:w="15" w:type="dxa"/>
        </w:tblCellMar>
      </w:tblPr>
      <w:tblGrid>
        <w:gridCol w:w="951"/>
        <w:gridCol w:w="2220"/>
        <w:gridCol w:w="990"/>
        <w:gridCol w:w="930"/>
        <w:gridCol w:w="990"/>
        <w:gridCol w:w="990"/>
        <w:gridCol w:w="1080"/>
        <w:gridCol w:w="626"/>
      </w:tblGrid>
      <w:tr>
        <w:tblPrEx>
          <w:tblCellMar>
            <w:top w:w="15" w:type="dxa"/>
            <w:left w:w="15" w:type="dxa"/>
            <w:bottom w:w="15" w:type="dxa"/>
            <w:right w:w="15" w:type="dxa"/>
          </w:tblCellMar>
        </w:tblPrEx>
        <w:trPr>
          <w:trHeight w:val="414" w:hRule="atLeast"/>
        </w:trPr>
        <w:tc>
          <w:tcPr>
            <w:tcW w:w="317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项    目</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本年支出合计</w:t>
            </w:r>
          </w:p>
        </w:tc>
        <w:tc>
          <w:tcPr>
            <w:tcW w:w="2910"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基本支出</w:t>
            </w:r>
          </w:p>
        </w:tc>
        <w:tc>
          <w:tcPr>
            <w:tcW w:w="108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项目支出</w:t>
            </w:r>
          </w:p>
        </w:tc>
        <w:tc>
          <w:tcPr>
            <w:tcW w:w="626"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备注</w:t>
            </w:r>
          </w:p>
        </w:tc>
      </w:tr>
      <w:tr>
        <w:tblPrEx>
          <w:tblCellMar>
            <w:top w:w="15" w:type="dxa"/>
            <w:left w:w="15" w:type="dxa"/>
            <w:bottom w:w="15" w:type="dxa"/>
            <w:right w:w="15" w:type="dxa"/>
          </w:tblCellMar>
        </w:tblPrEx>
        <w:trPr>
          <w:trHeight w:val="781" w:hRule="atLeas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功能分类科目编码</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科目名称</w:t>
            </w: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小计</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人员经费</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公用经费</w:t>
            </w:r>
          </w:p>
        </w:tc>
        <w:tc>
          <w:tcPr>
            <w:tcW w:w="108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626"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r>
      <w:tr>
        <w:tblPrEx>
          <w:tblCellMar>
            <w:top w:w="15" w:type="dxa"/>
            <w:left w:w="15" w:type="dxa"/>
            <w:bottom w:w="15" w:type="dxa"/>
            <w:right w:w="15" w:type="dxa"/>
          </w:tblCellMar>
        </w:tblPrEx>
        <w:trPr>
          <w:trHeight w:val="414" w:hRule="atLeast"/>
        </w:trPr>
        <w:tc>
          <w:tcPr>
            <w:tcW w:w="3171"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b/>
                <w:bCs/>
                <w:color w:val="000000"/>
                <w:kern w:val="0"/>
                <w:sz w:val="18"/>
                <w:szCs w:val="18"/>
              </w:rPr>
              <w:t>合计</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528.12</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388.23</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382.63</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5.60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139.89</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208</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社会保障和就业支出</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38.48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38.48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20805</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行政事业单位离退休</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75"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2080505</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机关事业单位基本养老保险缴费支出</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210</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卫生健康支出</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8.90</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8.90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8.90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21011</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行政事业单位医疗</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8.20</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8.20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8.20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2101101</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行政单位医疗</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6.81</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6.81</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6.81</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lang w:val="en-US" w:eastAsia="zh-CN"/>
              </w:rPr>
              <w:t>2101102</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lang w:val="en-US" w:eastAsia="zh-CN"/>
              </w:rPr>
              <w:t xml:space="preserve">  事业单位医疗</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1.01</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1.01</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1.01</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2101103</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公务员医疗补助</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0.38</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0.38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0.38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21099</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其他卫生健康支出</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0.70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0.70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2109901</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其他卫生健康支出</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213</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农林水支出</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73.84</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73.84</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21303</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水利</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2130301</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 xml:space="preserve">  行政运行</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73.84</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224</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灾害防治及应急管理支出</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406.90</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267.01</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261.41</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lang w:val="en-US" w:eastAsia="zh-CN"/>
              </w:rPr>
              <w:t>5.6</w:t>
            </w:r>
            <w:r>
              <w:rPr>
                <w:rFonts w:hint="eastAsia" w:asciiTheme="minorEastAsia" w:hAnsiTheme="minorEastAsia" w:eastAsiaTheme="minorEastAsia" w:cstheme="minorEastAsia"/>
                <w:color w:val="000000"/>
                <w:kern w:val="0"/>
                <w:sz w:val="18"/>
                <w:szCs w:val="18"/>
              </w:rPr>
              <w:t>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139.89</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22401</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应急管理事务</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362.83</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225.88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220.68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lang w:val="en-US" w:eastAsia="zh-CN"/>
              </w:rPr>
              <w:t>5.2</w:t>
            </w:r>
            <w:r>
              <w:rPr>
                <w:rFonts w:hint="eastAsia" w:asciiTheme="minorEastAsia" w:hAnsiTheme="minorEastAsia" w:eastAsiaTheme="minorEastAsia" w:cstheme="minorEastAsia"/>
                <w:color w:val="000000"/>
                <w:kern w:val="0"/>
                <w:sz w:val="18"/>
                <w:szCs w:val="18"/>
              </w:rPr>
              <w:t>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136</w:t>
            </w:r>
            <w:r>
              <w:rPr>
                <w:rFonts w:hint="eastAsia" w:asciiTheme="minorEastAsia" w:hAnsiTheme="minorEastAsia" w:eastAsiaTheme="minorEastAsia" w:cstheme="minorEastAsia"/>
                <w:color w:val="000000"/>
                <w:kern w:val="0"/>
                <w:sz w:val="18"/>
                <w:szCs w:val="18"/>
              </w:rPr>
              <w:t>.</w:t>
            </w:r>
            <w:r>
              <w:rPr>
                <w:rFonts w:hint="eastAsia" w:asciiTheme="minorEastAsia" w:hAnsiTheme="minorEastAsia" w:eastAsiaTheme="minorEastAsia" w:cstheme="minorEastAsia"/>
                <w:color w:val="000000"/>
                <w:kern w:val="0"/>
                <w:sz w:val="18"/>
                <w:szCs w:val="18"/>
                <w:lang w:val="en-US" w:eastAsia="zh-CN"/>
              </w:rPr>
              <w:t>95</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2240101</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 xml:space="preserve">  行政运行</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225.88</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225.88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220.68</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5.20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2240102</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 xml:space="preserve">  一般行政管理事务</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49.45</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49.45</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2240106</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 xml:space="preserve">  安全监管</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58.69</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58.69</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2240108</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 xml:space="preserve">  应急救援</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28.81</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28.81</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22405</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地震事务</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44.07</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41.13</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40.73</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0.40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2.94</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2240501</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 xml:space="preserve">  行政运行</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4.52</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4.52</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4.52</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2240504</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 xml:space="preserve">  地震监测</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2.94</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0.00</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2.94</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397" w:hRule="exact"/>
        </w:trPr>
        <w:tc>
          <w:tcPr>
            <w:tcW w:w="951"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2240550</w:t>
            </w:r>
          </w:p>
        </w:tc>
        <w:tc>
          <w:tcPr>
            <w:tcW w:w="2220"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 xml:space="preserve">  地震事业机构</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36.61</w:t>
            </w: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36.61</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36.21</w:t>
            </w:r>
          </w:p>
        </w:tc>
        <w:tc>
          <w:tcPr>
            <w:tcW w:w="99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0.40</w:t>
            </w:r>
          </w:p>
        </w:tc>
        <w:tc>
          <w:tcPr>
            <w:tcW w:w="1080"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626"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注：本表反映部门本年度一般公共预算财政拨款实际支出情况。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一般公共预算财政拨款基本支出决算表（按经济分类科目）</w:t>
      </w:r>
    </w:p>
    <w:p>
      <w:pPr>
        <w:ind w:firstLine="7168" w:firstLineChars="3400"/>
        <w:rPr>
          <w:rFonts w:ascii="宋体" w:hAnsi="宋体" w:eastAsia="宋体" w:cs="宋体"/>
          <w:b/>
          <w:bCs/>
          <w:sz w:val="21"/>
          <w:szCs w:val="21"/>
        </w:rPr>
      </w:pPr>
      <w:r>
        <w:rPr>
          <w:rFonts w:hint="eastAsia" w:ascii="宋体" w:hAnsi="宋体" w:eastAsia="宋体" w:cs="宋体"/>
          <w:b/>
          <w:bCs/>
          <w:sz w:val="21"/>
          <w:szCs w:val="21"/>
        </w:rPr>
        <w:t>公开06表</w:t>
      </w:r>
    </w:p>
    <w:p>
      <w:pPr>
        <w:rPr>
          <w:rFonts w:ascii="宋体" w:hAnsi="宋体" w:eastAsia="宋体" w:cs="宋体"/>
          <w:b/>
          <w:bCs/>
          <w:sz w:val="21"/>
          <w:szCs w:val="21"/>
        </w:rPr>
      </w:pPr>
      <w:r>
        <w:rPr>
          <w:rFonts w:hint="eastAsia" w:ascii="宋体" w:hAnsi="宋体" w:eastAsia="宋体" w:cs="宋体"/>
          <w:b/>
          <w:bCs/>
          <w:sz w:val="21"/>
          <w:szCs w:val="21"/>
        </w:rPr>
        <w:t>编制部门：</w:t>
      </w:r>
      <w:r>
        <w:rPr>
          <w:rFonts w:hint="eastAsia" w:ascii="宋体" w:hAnsi="宋体" w:eastAsia="宋体" w:cs="宋体"/>
          <w:b/>
          <w:bCs/>
          <w:sz w:val="21"/>
          <w:szCs w:val="21"/>
          <w:lang w:val="en-US" w:eastAsia="zh-CN"/>
        </w:rPr>
        <w:t>蓝田县应急管理局</w:t>
      </w:r>
      <w:r>
        <w:rPr>
          <w:rFonts w:hint="eastAsia" w:ascii="宋体" w:hAnsi="宋体" w:eastAsia="宋体" w:cs="宋体"/>
          <w:b/>
          <w:bCs/>
          <w:sz w:val="21"/>
          <w:szCs w:val="21"/>
        </w:rPr>
        <w:t xml:space="preserve">                                       金额单位：万元</w:t>
      </w:r>
    </w:p>
    <w:tbl>
      <w:tblPr>
        <w:tblStyle w:val="6"/>
        <w:tblW w:w="8817" w:type="dxa"/>
        <w:tblInd w:w="0" w:type="dxa"/>
        <w:tblLayout w:type="fixed"/>
        <w:tblCellMar>
          <w:top w:w="15" w:type="dxa"/>
          <w:left w:w="15" w:type="dxa"/>
          <w:bottom w:w="15" w:type="dxa"/>
          <w:right w:w="15" w:type="dxa"/>
        </w:tblCellMar>
      </w:tblPr>
      <w:tblGrid>
        <w:gridCol w:w="1157"/>
        <w:gridCol w:w="2046"/>
        <w:gridCol w:w="1659"/>
        <w:gridCol w:w="1437"/>
        <w:gridCol w:w="1363"/>
        <w:gridCol w:w="1155"/>
      </w:tblGrid>
      <w:tr>
        <w:tblPrEx>
          <w:tblCellMar>
            <w:top w:w="15" w:type="dxa"/>
            <w:left w:w="15" w:type="dxa"/>
            <w:bottom w:w="15" w:type="dxa"/>
            <w:right w:w="15" w:type="dxa"/>
          </w:tblCellMar>
        </w:tblPrEx>
        <w:trPr>
          <w:trHeight w:val="434" w:hRule="atLeas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项    目</w:t>
            </w:r>
          </w:p>
        </w:tc>
        <w:tc>
          <w:tcPr>
            <w:tcW w:w="165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本年支出合计</w:t>
            </w:r>
          </w:p>
        </w:tc>
        <w:tc>
          <w:tcPr>
            <w:tcW w:w="143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人员经费</w:t>
            </w:r>
          </w:p>
        </w:tc>
        <w:tc>
          <w:tcPr>
            <w:tcW w:w="1363"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公用经费</w:t>
            </w:r>
          </w:p>
        </w:tc>
        <w:tc>
          <w:tcPr>
            <w:tcW w:w="115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备注</w:t>
            </w:r>
          </w:p>
        </w:tc>
      </w:tr>
      <w:tr>
        <w:tblPrEx>
          <w:tblCellMar>
            <w:top w:w="15" w:type="dxa"/>
            <w:left w:w="15" w:type="dxa"/>
            <w:bottom w:w="15" w:type="dxa"/>
            <w:right w:w="15" w:type="dxa"/>
          </w:tblCellMar>
        </w:tblPrEx>
        <w:trPr>
          <w:trHeight w:val="670" w:hRule="atLeas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经济分类科目编码</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科目名称</w:t>
            </w:r>
          </w:p>
        </w:tc>
        <w:tc>
          <w:tcPr>
            <w:tcW w:w="165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143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1363"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c>
          <w:tcPr>
            <w:tcW w:w="115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r>
      <w:tr>
        <w:tblPrEx>
          <w:tblCellMar>
            <w:top w:w="15" w:type="dxa"/>
            <w:left w:w="15" w:type="dxa"/>
            <w:bottom w:w="15" w:type="dxa"/>
            <w:right w:w="15" w:type="dxa"/>
          </w:tblCellMar>
        </w:tblPrEx>
        <w:trPr>
          <w:trHeight w:val="567" w:hRule="exact"/>
        </w:trPr>
        <w:tc>
          <w:tcPr>
            <w:tcW w:w="3203"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Theme="minorEastAsia" w:hAnsiTheme="minorEastAsia" w:eastAsiaTheme="minorEastAsia" w:cstheme="minorEastAsia"/>
                <w:b/>
                <w:color w:val="000000"/>
                <w:sz w:val="18"/>
                <w:szCs w:val="18"/>
              </w:rPr>
            </w:pPr>
            <w:r>
              <w:rPr>
                <w:rFonts w:hint="eastAsia" w:asciiTheme="minorEastAsia" w:hAnsiTheme="minorEastAsia" w:eastAsiaTheme="minorEastAsia" w:cstheme="minorEastAsia"/>
                <w:b/>
                <w:color w:val="000000"/>
                <w:kern w:val="0"/>
                <w:sz w:val="18"/>
                <w:szCs w:val="18"/>
              </w:rPr>
              <w:t>合计</w:t>
            </w:r>
          </w:p>
        </w:tc>
        <w:tc>
          <w:tcPr>
            <w:tcW w:w="1659" w:type="dxa"/>
            <w:tcBorders>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b/>
                <w:color w:val="000000"/>
                <w:sz w:val="18"/>
                <w:szCs w:val="18"/>
                <w:lang w:val="en-US" w:eastAsia="zh-CN"/>
              </w:rPr>
            </w:pPr>
            <w:r>
              <w:rPr>
                <w:rFonts w:hint="eastAsia" w:asciiTheme="minorEastAsia" w:hAnsiTheme="minorEastAsia" w:eastAsiaTheme="minorEastAsia" w:cstheme="minorEastAsia"/>
                <w:b/>
                <w:color w:val="000000"/>
                <w:sz w:val="18"/>
                <w:szCs w:val="18"/>
                <w:lang w:val="en-US" w:eastAsia="zh-CN"/>
              </w:rPr>
              <w:t>388.23</w:t>
            </w:r>
          </w:p>
        </w:tc>
        <w:tc>
          <w:tcPr>
            <w:tcW w:w="1437" w:type="dxa"/>
            <w:tcBorders>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b/>
                <w:color w:val="000000"/>
                <w:sz w:val="18"/>
                <w:szCs w:val="18"/>
                <w:lang w:val="en-US" w:eastAsia="zh-CN"/>
              </w:rPr>
            </w:pPr>
            <w:r>
              <w:rPr>
                <w:rFonts w:hint="eastAsia" w:asciiTheme="minorEastAsia" w:hAnsiTheme="minorEastAsia" w:eastAsiaTheme="minorEastAsia" w:cstheme="minorEastAsia"/>
                <w:b/>
                <w:color w:val="000000"/>
                <w:sz w:val="18"/>
                <w:szCs w:val="18"/>
                <w:lang w:val="en-US" w:eastAsia="zh-CN"/>
              </w:rPr>
              <w:t>382.63</w:t>
            </w:r>
          </w:p>
        </w:tc>
        <w:tc>
          <w:tcPr>
            <w:tcW w:w="1363" w:type="dxa"/>
            <w:tcBorders>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b/>
                <w:color w:val="000000"/>
                <w:sz w:val="18"/>
                <w:szCs w:val="18"/>
                <w:lang w:val="en-US" w:eastAsia="zh-CN"/>
              </w:rPr>
            </w:pPr>
            <w:r>
              <w:rPr>
                <w:rFonts w:hint="eastAsia" w:asciiTheme="minorEastAsia" w:hAnsiTheme="minorEastAsia" w:eastAsiaTheme="minorEastAsia" w:cstheme="minorEastAsia"/>
                <w:b/>
                <w:color w:val="000000"/>
                <w:sz w:val="18"/>
                <w:szCs w:val="18"/>
                <w:lang w:val="en-US" w:eastAsia="zh-CN"/>
              </w:rPr>
              <w:t>5.60</w:t>
            </w:r>
          </w:p>
        </w:tc>
        <w:tc>
          <w:tcPr>
            <w:tcW w:w="1155" w:type="dxa"/>
            <w:tcBorders>
              <w:left w:val="single" w:color="000000" w:sz="4" w:space="0"/>
              <w:bottom w:val="single" w:color="000000" w:sz="4" w:space="0"/>
              <w:right w:val="single" w:color="000000" w:sz="4" w:space="0"/>
            </w:tcBorders>
            <w:vAlign w:val="center"/>
          </w:tcPr>
          <w:p>
            <w:pPr>
              <w:jc w:val="center"/>
              <w:rPr>
                <w:rFonts w:asciiTheme="minorEastAsia" w:hAnsiTheme="minorEastAsia" w:eastAsiaTheme="minorEastAsia" w:cstheme="minorEastAsia"/>
                <w:b/>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工资福利支出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382.57</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382.57</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30101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基本工资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165.89</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165.89</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30102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津贴补贴</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103.43</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103.43</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30107</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绩效工资</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65.62</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65.62</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30108</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机关事业单位基本养老保险缴费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38.48</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38.48</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30109</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职业年金缴费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0.25</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0.25</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30110</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职工基本医疗保险缴费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7.82</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7.82</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30111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公务员医疗补助缴费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0.38</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0.38</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30112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其他社会保障缴费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2"/>
                <w:sz w:val="18"/>
                <w:szCs w:val="18"/>
                <w:lang w:val="en-US" w:eastAsia="zh-CN" w:bidi="ar-SA"/>
              </w:rPr>
            </w:pPr>
            <w:r>
              <w:rPr>
                <w:rFonts w:hint="eastAsia" w:asciiTheme="minorEastAsia" w:hAnsiTheme="minorEastAsia" w:eastAsiaTheme="minorEastAsia" w:cstheme="minorEastAsia"/>
                <w:color w:val="000000"/>
                <w:sz w:val="18"/>
                <w:szCs w:val="18"/>
                <w:lang w:val="en-US" w:eastAsia="zh-CN"/>
              </w:rPr>
              <w:t>0.70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0.70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302</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5.60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5.60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30201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办公费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2.20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30211</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差旅费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1.06</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sz w:val="18"/>
                <w:szCs w:val="18"/>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sz w:val="18"/>
                <w:szCs w:val="18"/>
                <w:lang w:val="en-US" w:eastAsia="zh-CN"/>
              </w:rPr>
            </w:pPr>
            <w:r>
              <w:rPr>
                <w:rFonts w:hint="eastAsia" w:asciiTheme="minorEastAsia" w:hAnsiTheme="minorEastAsia" w:eastAsiaTheme="minorEastAsia" w:cstheme="minorEastAsia"/>
                <w:color w:val="000000"/>
                <w:sz w:val="18"/>
                <w:szCs w:val="18"/>
                <w:lang w:val="en-US" w:eastAsia="zh-CN"/>
              </w:rPr>
              <w:t>1.06</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302</w:t>
            </w:r>
            <w:r>
              <w:rPr>
                <w:rFonts w:hint="eastAsia" w:asciiTheme="minorEastAsia" w:hAnsiTheme="minorEastAsia" w:eastAsiaTheme="minorEastAsia" w:cstheme="minorEastAsia"/>
                <w:color w:val="000000"/>
                <w:kern w:val="0"/>
                <w:sz w:val="18"/>
                <w:szCs w:val="18"/>
                <w:lang w:val="en-US" w:eastAsia="zh-CN"/>
              </w:rPr>
              <w:t>2</w:t>
            </w:r>
            <w:r>
              <w:rPr>
                <w:rFonts w:hint="eastAsia" w:asciiTheme="minorEastAsia" w:hAnsiTheme="minorEastAsia" w:eastAsiaTheme="minorEastAsia" w:cstheme="minorEastAsia"/>
                <w:color w:val="000000"/>
                <w:kern w:val="0"/>
                <w:sz w:val="18"/>
                <w:szCs w:val="18"/>
              </w:rPr>
              <w:t>9</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eastAsia" w:asciiTheme="minorEastAsia" w:hAnsiTheme="minorEastAsia" w:eastAsiaTheme="minorEastAsia" w:cstheme="minorEastAsia"/>
                <w:color w:val="000000"/>
                <w:sz w:val="18"/>
                <w:szCs w:val="18"/>
                <w:lang w:eastAsia="zh-CN"/>
              </w:rPr>
            </w:pPr>
            <w:r>
              <w:rPr>
                <w:rFonts w:hint="eastAsia" w:asciiTheme="minorEastAsia" w:hAnsiTheme="minorEastAsia" w:eastAsiaTheme="minorEastAsia" w:cstheme="minorEastAsia"/>
                <w:color w:val="000000"/>
                <w:kern w:val="0"/>
                <w:sz w:val="18"/>
                <w:szCs w:val="18"/>
              </w:rPr>
              <w:t xml:space="preserve">  </w:t>
            </w:r>
            <w:r>
              <w:rPr>
                <w:rFonts w:hint="eastAsia" w:asciiTheme="minorEastAsia" w:hAnsiTheme="minorEastAsia" w:eastAsiaTheme="minorEastAsia" w:cstheme="minorEastAsia"/>
                <w:color w:val="000000"/>
                <w:kern w:val="0"/>
                <w:sz w:val="18"/>
                <w:szCs w:val="18"/>
                <w:lang w:val="en-US" w:eastAsia="zh-CN"/>
              </w:rPr>
              <w:t>福利费</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2.24</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2.24</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30299</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 xml:space="preserve">  其他商品和服务支出</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0.10</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eastAsia"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sz w:val="18"/>
                <w:szCs w:val="18"/>
                <w:lang w:val="en-US" w:eastAsia="zh-CN"/>
              </w:rPr>
              <w:t>0.00</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0.10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303</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对个人和家庭的补助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0.06</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0"/>
                <w:sz w:val="18"/>
                <w:szCs w:val="18"/>
                <w:lang w:val="en-US"/>
              </w:rPr>
            </w:pPr>
            <w:r>
              <w:rPr>
                <w:rFonts w:hint="eastAsia" w:asciiTheme="minorEastAsia" w:hAnsiTheme="minorEastAsia" w:eastAsiaTheme="minorEastAsia" w:cstheme="minorEastAsia"/>
                <w:color w:val="000000"/>
                <w:kern w:val="0"/>
                <w:sz w:val="18"/>
                <w:szCs w:val="18"/>
                <w:lang w:val="en-US" w:eastAsia="zh-CN"/>
              </w:rPr>
              <w:t>0.06</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r>
        <w:tblPrEx>
          <w:tblCellMar>
            <w:top w:w="15" w:type="dxa"/>
            <w:left w:w="15" w:type="dxa"/>
            <w:bottom w:w="15" w:type="dxa"/>
            <w:right w:w="15" w:type="dxa"/>
          </w:tblCellMar>
        </w:tblPrEx>
        <w:trPr>
          <w:trHeight w:val="567" w:hRule="exact"/>
        </w:trPr>
        <w:tc>
          <w:tcPr>
            <w:tcW w:w="1157"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30305</w:t>
            </w:r>
          </w:p>
        </w:tc>
        <w:tc>
          <w:tcPr>
            <w:tcW w:w="2046" w:type="dxa"/>
            <w:tcBorders>
              <w:top w:val="single" w:color="000000" w:sz="4" w:space="0"/>
              <w:left w:val="single" w:color="000000" w:sz="4" w:space="0"/>
              <w:bottom w:val="single" w:color="000000" w:sz="4" w:space="0"/>
              <w:right w:val="single" w:color="000000" w:sz="4" w:space="0"/>
            </w:tcBorders>
            <w:vAlign w:val="center"/>
          </w:tcPr>
          <w:p>
            <w:pPr>
              <w:widowControl/>
              <w:jc w:val="left"/>
              <w:textAlignment w:val="center"/>
              <w:rPr>
                <w:rFonts w:asciiTheme="minorEastAsia" w:hAnsiTheme="minorEastAsia" w:eastAsiaTheme="minorEastAsia" w:cstheme="minorEastAsia"/>
                <w:color w:val="000000"/>
                <w:sz w:val="18"/>
                <w:szCs w:val="18"/>
              </w:rPr>
            </w:pPr>
            <w:r>
              <w:rPr>
                <w:rFonts w:hint="eastAsia" w:asciiTheme="minorEastAsia" w:hAnsiTheme="minorEastAsia" w:eastAsiaTheme="minorEastAsia" w:cstheme="minorEastAsia"/>
                <w:color w:val="000000"/>
                <w:kern w:val="0"/>
                <w:sz w:val="18"/>
                <w:szCs w:val="18"/>
              </w:rPr>
              <w:t xml:space="preserve">  生活补助</w:t>
            </w:r>
          </w:p>
        </w:tc>
        <w:tc>
          <w:tcPr>
            <w:tcW w:w="165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0.06</w:t>
            </w:r>
          </w:p>
        </w:tc>
        <w:tc>
          <w:tcPr>
            <w:tcW w:w="143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hint="default" w:asciiTheme="minorEastAsia" w:hAnsiTheme="minorEastAsia" w:eastAsiaTheme="minorEastAsia" w:cstheme="minorEastAsia"/>
                <w:color w:val="000000"/>
                <w:kern w:val="0"/>
                <w:sz w:val="18"/>
                <w:szCs w:val="18"/>
                <w:lang w:val="en-US" w:eastAsia="zh-CN"/>
              </w:rPr>
            </w:pPr>
            <w:r>
              <w:rPr>
                <w:rFonts w:hint="eastAsia" w:asciiTheme="minorEastAsia" w:hAnsiTheme="minorEastAsia" w:eastAsiaTheme="minorEastAsia" w:cstheme="minorEastAsia"/>
                <w:color w:val="000000"/>
                <w:kern w:val="0"/>
                <w:sz w:val="18"/>
                <w:szCs w:val="18"/>
                <w:lang w:val="en-US" w:eastAsia="zh-CN"/>
              </w:rPr>
              <w:t>0.06</w:t>
            </w:r>
          </w:p>
        </w:tc>
        <w:tc>
          <w:tcPr>
            <w:tcW w:w="1363"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Theme="minorEastAsia" w:hAnsiTheme="minorEastAsia" w:eastAsiaTheme="minorEastAsia" w:cstheme="minorEastAsia"/>
                <w:color w:val="000000"/>
                <w:kern w:val="0"/>
                <w:sz w:val="18"/>
                <w:szCs w:val="18"/>
              </w:rPr>
            </w:pPr>
            <w:r>
              <w:rPr>
                <w:rFonts w:hint="eastAsia" w:asciiTheme="minorEastAsia" w:hAnsiTheme="minorEastAsia" w:eastAsiaTheme="minorEastAsia" w:cstheme="minorEastAsia"/>
                <w:color w:val="000000"/>
                <w:kern w:val="0"/>
                <w:sz w:val="18"/>
                <w:szCs w:val="18"/>
              </w:rPr>
              <w:t>0.00</w:t>
            </w:r>
          </w:p>
        </w:tc>
        <w:tc>
          <w:tcPr>
            <w:tcW w:w="1155" w:type="dxa"/>
            <w:tcBorders>
              <w:top w:val="single" w:color="000000" w:sz="4" w:space="0"/>
              <w:left w:val="single" w:color="000000" w:sz="4" w:space="0"/>
              <w:bottom w:val="single" w:color="000000" w:sz="4" w:space="0"/>
              <w:right w:val="single" w:color="000000" w:sz="4" w:space="0"/>
            </w:tcBorders>
            <w:vAlign w:val="center"/>
          </w:tcPr>
          <w:p>
            <w:pPr>
              <w:jc w:val="right"/>
              <w:rPr>
                <w:rFonts w:asciiTheme="minorEastAsia" w:hAnsiTheme="minorEastAsia" w:eastAsiaTheme="minorEastAsia" w:cstheme="minorEastAsia"/>
                <w:color w:val="000000"/>
                <w:sz w:val="18"/>
                <w:szCs w:val="18"/>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注：本表反映部门本年度一般公共预算财政拨款基本支出明细情况。</w:t>
      </w:r>
      <w:r>
        <w:rPr>
          <w:rFonts w:hint="eastAsia" w:ascii="宋体" w:hAnsi="宋体" w:eastAsia="宋体" w:cs="宋体"/>
          <w:color w:val="000000"/>
          <w:kern w:val="0"/>
          <w:sz w:val="21"/>
          <w:szCs w:val="21"/>
        </w:rPr>
        <w:t>本表金额转换为万元时，因四舍五入可能存在尾差。</w:t>
      </w:r>
    </w:p>
    <w:p/>
    <w:p/>
    <w:p>
      <w:pPr>
        <w:jc w:val="center"/>
        <w:rPr>
          <w:rFonts w:ascii="宋体" w:hAnsi="宋体" w:eastAsia="宋体" w:cs="宋体"/>
          <w:b/>
          <w:bCs/>
          <w:szCs w:val="32"/>
        </w:rPr>
      </w:pPr>
      <w:r>
        <w:rPr>
          <w:rFonts w:hint="eastAsia" w:ascii="宋体" w:hAnsi="宋体" w:eastAsia="宋体" w:cs="宋体"/>
          <w:b/>
          <w:bCs/>
          <w:szCs w:val="32"/>
        </w:rPr>
        <w:t>一般公共预算财政拨款“三公”经费</w:t>
      </w:r>
    </w:p>
    <w:p>
      <w:pPr>
        <w:spacing w:line="520" w:lineRule="exact"/>
        <w:jc w:val="center"/>
        <w:rPr>
          <w:rFonts w:ascii="宋体" w:hAnsi="宋体" w:eastAsia="宋体" w:cs="宋体"/>
          <w:b/>
          <w:bCs/>
          <w:szCs w:val="32"/>
        </w:rPr>
      </w:pPr>
      <w:r>
        <w:rPr>
          <w:rFonts w:hint="eastAsia" w:ascii="宋体" w:hAnsi="宋体" w:eastAsia="宋体" w:cs="宋体"/>
          <w:b/>
          <w:bCs/>
          <w:szCs w:val="32"/>
        </w:rPr>
        <w:t>及会议费、培训费支出决算表</w:t>
      </w:r>
    </w:p>
    <w:p>
      <w:pPr>
        <w:rPr>
          <w:rFonts w:ascii="宋体" w:hAnsi="宋体" w:eastAsia="宋体" w:cs="宋体"/>
          <w:b/>
          <w:bCs/>
          <w:sz w:val="21"/>
          <w:szCs w:val="21"/>
        </w:rPr>
      </w:pPr>
      <w:r>
        <w:rPr>
          <w:rFonts w:hint="eastAsia" w:ascii="宋体" w:hAnsi="宋体" w:eastAsia="宋体" w:cs="宋体"/>
          <w:b/>
          <w:bCs/>
          <w:sz w:val="21"/>
          <w:szCs w:val="21"/>
        </w:rPr>
        <w:t xml:space="preserve"> </w:t>
      </w:r>
      <w:r>
        <w:rPr>
          <w:rFonts w:hint="eastAsia" w:ascii="宋体" w:hAnsi="宋体" w:eastAsia="宋体" w:cs="宋体"/>
          <w:b/>
          <w:bCs/>
          <w:sz w:val="21"/>
          <w:szCs w:val="21"/>
          <w:lang w:val="en-US" w:eastAsia="zh-CN"/>
        </w:rPr>
        <w:t xml:space="preserve">                                                                </w:t>
      </w:r>
      <w:r>
        <w:rPr>
          <w:rFonts w:hint="eastAsia" w:ascii="宋体" w:hAnsi="宋体" w:eastAsia="宋体" w:cs="宋体"/>
          <w:b/>
          <w:bCs/>
          <w:sz w:val="21"/>
          <w:szCs w:val="21"/>
        </w:rPr>
        <w:t xml:space="preserve">  公开07表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 xml:space="preserve">蓝田县应急管理局 </w:t>
      </w:r>
      <w:r>
        <w:rPr>
          <w:rFonts w:hint="eastAsia" w:ascii="宋体" w:hAnsi="宋体" w:eastAsia="宋体" w:cs="宋体"/>
          <w:b/>
          <w:bCs/>
          <w:sz w:val="21"/>
          <w:szCs w:val="21"/>
        </w:rPr>
        <w:t xml:space="preserve">                                     金额单位：万元</w:t>
      </w:r>
    </w:p>
    <w:tbl>
      <w:tblPr>
        <w:tblStyle w:val="6"/>
        <w:tblW w:w="8858" w:type="dxa"/>
        <w:tblInd w:w="0" w:type="dxa"/>
        <w:tblLayout w:type="fixed"/>
        <w:tblCellMar>
          <w:top w:w="15" w:type="dxa"/>
          <w:left w:w="15" w:type="dxa"/>
          <w:bottom w:w="15" w:type="dxa"/>
          <w:right w:w="15" w:type="dxa"/>
        </w:tblCellMar>
      </w:tblPr>
      <w:tblGrid>
        <w:gridCol w:w="1079"/>
        <w:gridCol w:w="985"/>
        <w:gridCol w:w="1117"/>
        <w:gridCol w:w="878"/>
        <w:gridCol w:w="878"/>
        <w:gridCol w:w="998"/>
        <w:gridCol w:w="1189"/>
        <w:gridCol w:w="772"/>
        <w:gridCol w:w="962"/>
      </w:tblGrid>
      <w:tr>
        <w:tblPrEx>
          <w:tblCellMar>
            <w:top w:w="15" w:type="dxa"/>
            <w:left w:w="15" w:type="dxa"/>
            <w:bottom w:w="15" w:type="dxa"/>
            <w:right w:w="15" w:type="dxa"/>
          </w:tblCellMar>
        </w:tblPrEx>
        <w:trPr>
          <w:trHeight w:val="726" w:hRule="atLeast"/>
        </w:trPr>
        <w:tc>
          <w:tcPr>
            <w:tcW w:w="107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w:t>
            </w:r>
          </w:p>
        </w:tc>
        <w:tc>
          <w:tcPr>
            <w:tcW w:w="6045" w:type="dxa"/>
            <w:gridSpan w:val="6"/>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一般公共预算财政拨款安排的“三公”经费</w:t>
            </w:r>
          </w:p>
        </w:tc>
        <w:tc>
          <w:tcPr>
            <w:tcW w:w="77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会议费</w:t>
            </w:r>
          </w:p>
        </w:tc>
        <w:tc>
          <w:tcPr>
            <w:tcW w:w="962"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培训费</w:t>
            </w: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117"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因公出国（境）费用</w:t>
            </w:r>
          </w:p>
        </w:tc>
        <w:tc>
          <w:tcPr>
            <w:tcW w:w="878"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公务接待费</w:t>
            </w:r>
          </w:p>
        </w:tc>
        <w:tc>
          <w:tcPr>
            <w:tcW w:w="3065" w:type="dxa"/>
            <w:gridSpan w:val="3"/>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公务用车购置及运行维护费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53"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117"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公务用车购置费</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公务用车运行维护费</w:t>
            </w:r>
          </w:p>
        </w:tc>
        <w:tc>
          <w:tcPr>
            <w:tcW w:w="77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62"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726" w:hRule="atLeast"/>
        </w:trPr>
        <w:tc>
          <w:tcPr>
            <w:tcW w:w="107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1</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2</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3</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4</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5</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6</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7</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Cs/>
                <w:color w:val="000000"/>
                <w:sz w:val="21"/>
                <w:szCs w:val="21"/>
              </w:rPr>
            </w:pPr>
            <w:r>
              <w:rPr>
                <w:rFonts w:hint="eastAsia" w:ascii="宋体" w:hAnsi="宋体" w:eastAsia="宋体" w:cs="宋体"/>
                <w:bCs/>
                <w:color w:val="000000"/>
                <w:kern w:val="0"/>
                <w:sz w:val="21"/>
                <w:szCs w:val="21"/>
              </w:rPr>
              <w:t>8</w:t>
            </w:r>
          </w:p>
        </w:tc>
      </w:tr>
      <w:tr>
        <w:tblPrEx>
          <w:tblCellMar>
            <w:top w:w="15" w:type="dxa"/>
            <w:left w:w="15" w:type="dxa"/>
            <w:bottom w:w="15" w:type="dxa"/>
            <w:right w:w="15" w:type="dxa"/>
          </w:tblCellMar>
        </w:tblPrEx>
        <w:trPr>
          <w:trHeight w:val="726"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预算数</w:t>
            </w:r>
          </w:p>
        </w:tc>
        <w:tc>
          <w:tcPr>
            <w:tcW w:w="985"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宋体" w:hAnsi="宋体" w:eastAsia="宋体" w:cs="宋体"/>
                <w:b/>
                <w:color w:val="000000"/>
                <w:sz w:val="21"/>
                <w:szCs w:val="21"/>
                <w:lang w:val="en-US" w:eastAsia="zh-CN"/>
              </w:rPr>
            </w:pPr>
            <w:r>
              <w:rPr>
                <w:rFonts w:hint="eastAsia" w:ascii="宋体" w:hAnsi="宋体" w:eastAsia="宋体" w:cs="宋体"/>
                <w:bCs/>
                <w:color w:val="000000"/>
                <w:kern w:val="0"/>
                <w:sz w:val="21"/>
                <w:szCs w:val="21"/>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998"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962"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r>
      <w:tr>
        <w:tblPrEx>
          <w:tblCellMar>
            <w:top w:w="15" w:type="dxa"/>
            <w:left w:w="15" w:type="dxa"/>
            <w:bottom w:w="15" w:type="dxa"/>
            <w:right w:w="15" w:type="dxa"/>
          </w:tblCellMar>
        </w:tblPrEx>
        <w:trPr>
          <w:trHeight w:val="738" w:hRule="atLeast"/>
        </w:trPr>
        <w:tc>
          <w:tcPr>
            <w:tcW w:w="107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决算数</w:t>
            </w:r>
          </w:p>
        </w:tc>
        <w:tc>
          <w:tcPr>
            <w:tcW w:w="985"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
                <w:color w:val="000000"/>
                <w:sz w:val="21"/>
                <w:szCs w:val="21"/>
              </w:rPr>
            </w:pPr>
            <w:r>
              <w:rPr>
                <w:rFonts w:hint="eastAsia" w:ascii="宋体" w:hAnsi="宋体" w:eastAsia="宋体" w:cs="宋体"/>
                <w:bCs/>
                <w:color w:val="000000"/>
                <w:kern w:val="0"/>
                <w:sz w:val="21"/>
                <w:szCs w:val="21"/>
              </w:rPr>
              <w:t>0.00</w:t>
            </w:r>
          </w:p>
        </w:tc>
        <w:tc>
          <w:tcPr>
            <w:tcW w:w="1117"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87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998"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1189"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77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c>
          <w:tcPr>
            <w:tcW w:w="962" w:type="dxa"/>
            <w:tcBorders>
              <w:top w:val="single" w:color="000000" w:sz="4" w:space="0"/>
              <w:left w:val="single" w:color="000000" w:sz="4" w:space="0"/>
              <w:bottom w:val="single" w:color="000000" w:sz="4" w:space="0"/>
              <w:right w:val="single" w:color="000000" w:sz="4" w:space="0"/>
            </w:tcBorders>
            <w:vAlign w:val="center"/>
          </w:tcPr>
          <w:p>
            <w:pPr>
              <w:widowControl/>
              <w:jc w:val="right"/>
              <w:textAlignment w:val="center"/>
              <w:rPr>
                <w:rFonts w:ascii="宋体" w:hAnsi="宋体" w:eastAsia="宋体" w:cs="宋体"/>
                <w:bCs/>
                <w:color w:val="000000"/>
                <w:kern w:val="2"/>
                <w:sz w:val="21"/>
                <w:szCs w:val="21"/>
                <w:lang w:val="en-US" w:eastAsia="zh-CN" w:bidi="ar-SA"/>
              </w:rPr>
            </w:pPr>
            <w:r>
              <w:rPr>
                <w:rFonts w:hint="eastAsia" w:ascii="宋体" w:hAnsi="宋体" w:eastAsia="宋体" w:cs="宋体"/>
                <w:bCs/>
                <w:color w:val="000000"/>
                <w:kern w:val="0"/>
                <w:sz w:val="21"/>
                <w:szCs w:val="21"/>
              </w:rPr>
              <w:t>0.00</w:t>
            </w: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注：本表反映部门本年度一般公共预算财政拨款“三公”经费、会议费、培训费的预算数和实际支出。预算数为调整预算数。</w:t>
      </w:r>
      <w:r>
        <w:rPr>
          <w:rFonts w:hint="eastAsia" w:ascii="宋体" w:hAnsi="宋体" w:eastAsia="宋体" w:cs="宋体"/>
          <w:color w:val="000000"/>
          <w:kern w:val="0"/>
          <w:sz w:val="21"/>
          <w:szCs w:val="21"/>
        </w:rPr>
        <w:t>本表金额转换为万元时，因四舍五入可能存在尾差。</w:t>
      </w:r>
    </w:p>
    <w:p/>
    <w:p/>
    <w:p/>
    <w:p/>
    <w:p/>
    <w:p/>
    <w:p/>
    <w:p/>
    <w:p/>
    <w:p>
      <w:pPr>
        <w:jc w:val="center"/>
        <w:rPr>
          <w:rFonts w:ascii="宋体" w:hAnsi="宋体" w:eastAsia="宋体" w:cs="宋体"/>
          <w:b/>
          <w:bCs/>
          <w:szCs w:val="32"/>
        </w:rPr>
      </w:pPr>
      <w:r>
        <w:rPr>
          <w:rFonts w:hint="eastAsia" w:ascii="宋体" w:hAnsi="宋体" w:eastAsia="宋体" w:cs="宋体"/>
          <w:b/>
          <w:bCs/>
          <w:szCs w:val="32"/>
        </w:rPr>
        <w:t>政府性基金预算财政拨款收入支出决算表</w:t>
      </w:r>
    </w:p>
    <w:p>
      <w:pPr>
        <w:ind w:firstLine="7168" w:firstLineChars="3400"/>
        <w:rPr>
          <w:rFonts w:ascii="宋体" w:hAnsi="宋体" w:eastAsia="宋体" w:cs="宋体"/>
          <w:b/>
          <w:bCs/>
          <w:sz w:val="21"/>
          <w:szCs w:val="21"/>
        </w:rPr>
      </w:pPr>
      <w:r>
        <w:rPr>
          <w:rFonts w:hint="eastAsia" w:ascii="宋体" w:hAnsi="宋体" w:eastAsia="宋体" w:cs="宋体"/>
          <w:b/>
          <w:bCs/>
          <w:sz w:val="21"/>
          <w:szCs w:val="21"/>
        </w:rPr>
        <w:t>公开08表</w:t>
      </w:r>
    </w:p>
    <w:p>
      <w:pPr>
        <w:rPr>
          <w:rFonts w:ascii="宋体" w:hAnsi="宋体" w:eastAsia="宋体" w:cs="宋体"/>
          <w:b/>
          <w:bCs/>
          <w:sz w:val="21"/>
          <w:szCs w:val="21"/>
        </w:rPr>
      </w:pPr>
      <w:r>
        <w:rPr>
          <w:rFonts w:hint="eastAsia" w:ascii="宋体" w:hAnsi="宋体" w:eastAsia="宋体" w:cs="宋体"/>
          <w:b/>
          <w:bCs/>
          <w:sz w:val="21"/>
          <w:szCs w:val="21"/>
        </w:rPr>
        <w:t xml:space="preserve">编制部门： </w:t>
      </w:r>
      <w:r>
        <w:rPr>
          <w:rFonts w:hint="eastAsia" w:ascii="宋体" w:hAnsi="宋体" w:eastAsia="宋体" w:cs="宋体"/>
          <w:b/>
          <w:bCs/>
          <w:sz w:val="21"/>
          <w:szCs w:val="21"/>
          <w:lang w:val="en-US" w:eastAsia="zh-CN"/>
        </w:rPr>
        <w:t>蓝田县应急管理局</w:t>
      </w:r>
      <w:r>
        <w:rPr>
          <w:rFonts w:hint="eastAsia" w:ascii="宋体" w:hAnsi="宋体" w:eastAsia="宋体" w:cs="宋体"/>
          <w:b/>
          <w:bCs/>
          <w:sz w:val="21"/>
          <w:szCs w:val="21"/>
        </w:rPr>
        <w:t xml:space="preserve">                                     金额单位：万元</w:t>
      </w:r>
    </w:p>
    <w:tbl>
      <w:tblPr>
        <w:tblStyle w:val="6"/>
        <w:tblW w:w="8877" w:type="dxa"/>
        <w:tblInd w:w="0" w:type="dxa"/>
        <w:tblLayout w:type="fixed"/>
        <w:tblCellMar>
          <w:top w:w="15" w:type="dxa"/>
          <w:left w:w="15" w:type="dxa"/>
          <w:bottom w:w="15" w:type="dxa"/>
          <w:right w:w="15" w:type="dxa"/>
        </w:tblCellMar>
      </w:tblPr>
      <w:tblGrid>
        <w:gridCol w:w="1023"/>
        <w:gridCol w:w="1341"/>
        <w:gridCol w:w="1049"/>
        <w:gridCol w:w="990"/>
        <w:gridCol w:w="930"/>
        <w:gridCol w:w="1049"/>
        <w:gridCol w:w="1024"/>
        <w:gridCol w:w="1471"/>
      </w:tblGrid>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    目</w:t>
            </w:r>
          </w:p>
        </w:tc>
        <w:tc>
          <w:tcPr>
            <w:tcW w:w="1049"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年初结转和结余</w:t>
            </w:r>
          </w:p>
        </w:tc>
        <w:tc>
          <w:tcPr>
            <w:tcW w:w="990"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本年收入</w:t>
            </w:r>
          </w:p>
        </w:tc>
        <w:tc>
          <w:tcPr>
            <w:tcW w:w="3003" w:type="dxa"/>
            <w:gridSpan w:val="3"/>
            <w:tcBorders>
              <w:top w:val="single" w:color="000000" w:sz="4" w:space="0"/>
              <w:left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本年支出</w:t>
            </w:r>
          </w:p>
        </w:tc>
        <w:tc>
          <w:tcPr>
            <w:tcW w:w="1471" w:type="dxa"/>
            <w:vMerge w:val="restart"/>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年末结转和结余</w:t>
            </w:r>
          </w:p>
        </w:tc>
      </w:tr>
      <w:tr>
        <w:tblPrEx>
          <w:tblCellMar>
            <w:top w:w="15" w:type="dxa"/>
            <w:left w:w="15" w:type="dxa"/>
            <w:bottom w:w="15" w:type="dxa"/>
            <w:right w:w="15" w:type="dxa"/>
          </w:tblCellMar>
        </w:tblPrEx>
        <w:trPr>
          <w:trHeight w:val="889"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功能分类科目编码</w:t>
            </w:r>
          </w:p>
        </w:tc>
        <w:tc>
          <w:tcPr>
            <w:tcW w:w="1341"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科目名称</w:t>
            </w:r>
          </w:p>
        </w:tc>
        <w:tc>
          <w:tcPr>
            <w:tcW w:w="1049"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小计</w:t>
            </w:r>
          </w:p>
        </w:tc>
        <w:tc>
          <w:tcPr>
            <w:tcW w:w="1049"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基本支出</w:t>
            </w:r>
          </w:p>
        </w:tc>
        <w:tc>
          <w:tcPr>
            <w:tcW w:w="1024" w:type="dxa"/>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项目支出</w:t>
            </w:r>
          </w:p>
        </w:tc>
        <w:tc>
          <w:tcPr>
            <w:tcW w:w="1471" w:type="dxa"/>
            <w:vMerge w:val="continue"/>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2364" w:type="dxa"/>
            <w:gridSpan w:val="2"/>
            <w:tcBorders>
              <w:top w:val="single" w:color="000000" w:sz="4" w:space="0"/>
              <w:left w:val="single" w:color="000000" w:sz="4" w:space="0"/>
              <w:bottom w:val="single" w:color="000000" w:sz="4" w:space="0"/>
              <w:right w:val="single" w:color="000000" w:sz="4" w:space="0"/>
            </w:tcBorders>
            <w:vAlign w:val="center"/>
          </w:tcPr>
          <w:p>
            <w:pPr>
              <w:widowControl/>
              <w:jc w:val="center"/>
              <w:textAlignment w:val="center"/>
              <w:rPr>
                <w:rFonts w:ascii="宋体" w:hAnsi="宋体" w:eastAsia="宋体" w:cs="宋体"/>
                <w:b/>
                <w:color w:val="000000"/>
                <w:sz w:val="21"/>
                <w:szCs w:val="21"/>
              </w:rPr>
            </w:pPr>
            <w:r>
              <w:rPr>
                <w:rFonts w:hint="eastAsia" w:ascii="宋体" w:hAnsi="宋体" w:eastAsia="宋体" w:cs="宋体"/>
                <w:b/>
                <w:color w:val="000000"/>
                <w:kern w:val="0"/>
                <w:sz w:val="21"/>
                <w:szCs w:val="21"/>
              </w:rPr>
              <w:t>合计</w:t>
            </w:r>
          </w:p>
        </w:tc>
        <w:tc>
          <w:tcPr>
            <w:tcW w:w="1049" w:type="dxa"/>
            <w:tcBorders>
              <w:top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center"/>
              <w:rPr>
                <w:rFonts w:ascii="宋体" w:hAnsi="宋体" w:eastAsia="宋体" w:cs="宋体"/>
                <w:b/>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b/>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bottom"/>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491"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r>
        <w:tblPrEx>
          <w:tblCellMar>
            <w:top w:w="15" w:type="dxa"/>
            <w:left w:w="15" w:type="dxa"/>
            <w:bottom w:w="15" w:type="dxa"/>
            <w:right w:w="15" w:type="dxa"/>
          </w:tblCellMar>
        </w:tblPrEx>
        <w:trPr>
          <w:trHeight w:val="514" w:hRule="atLeast"/>
        </w:trPr>
        <w:tc>
          <w:tcPr>
            <w:tcW w:w="1023" w:type="dxa"/>
            <w:tcBorders>
              <w:top w:val="single" w:color="000000" w:sz="4" w:space="0"/>
              <w:left w:val="single" w:color="000000" w:sz="4" w:space="0"/>
              <w:bottom w:val="single" w:color="000000" w:sz="4" w:space="0"/>
              <w:right w:val="single" w:color="000000" w:sz="4" w:space="0"/>
            </w:tcBorders>
            <w:vAlign w:val="center"/>
          </w:tcPr>
          <w:p>
            <w:pPr>
              <w:rPr>
                <w:rFonts w:ascii="宋体" w:hAnsi="宋体" w:eastAsia="宋体" w:cs="宋体"/>
                <w:color w:val="000000"/>
                <w:sz w:val="21"/>
                <w:szCs w:val="21"/>
              </w:rPr>
            </w:pPr>
          </w:p>
        </w:tc>
        <w:tc>
          <w:tcPr>
            <w:tcW w:w="134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990"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930"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49"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c>
          <w:tcPr>
            <w:tcW w:w="1024" w:type="dxa"/>
            <w:tcBorders>
              <w:top w:val="single" w:color="000000" w:sz="4" w:space="0"/>
              <w:left w:val="single" w:color="000000" w:sz="4" w:space="0"/>
              <w:bottom w:val="single" w:color="000000" w:sz="4" w:space="0"/>
              <w:right w:val="single" w:color="000000" w:sz="4" w:space="0"/>
            </w:tcBorders>
            <w:vAlign w:val="center"/>
          </w:tcPr>
          <w:p>
            <w:pPr>
              <w:jc w:val="left"/>
              <w:rPr>
                <w:rFonts w:ascii="宋体" w:hAnsi="宋体" w:eastAsia="宋体" w:cs="宋体"/>
                <w:color w:val="000000"/>
                <w:sz w:val="21"/>
                <w:szCs w:val="21"/>
              </w:rPr>
            </w:pPr>
          </w:p>
        </w:tc>
        <w:tc>
          <w:tcPr>
            <w:tcW w:w="1471" w:type="dxa"/>
            <w:tcBorders>
              <w:top w:val="single" w:color="000000" w:sz="4" w:space="0"/>
              <w:left w:val="single" w:color="000000" w:sz="4" w:space="0"/>
              <w:bottom w:val="single" w:color="000000" w:sz="4" w:space="0"/>
              <w:right w:val="single" w:color="000000" w:sz="4" w:space="0"/>
            </w:tcBorders>
            <w:vAlign w:val="center"/>
          </w:tcPr>
          <w:p>
            <w:pPr>
              <w:jc w:val="right"/>
              <w:rPr>
                <w:rFonts w:ascii="宋体" w:hAnsi="宋体" w:eastAsia="宋体" w:cs="宋体"/>
                <w:color w:val="000000"/>
                <w:sz w:val="21"/>
                <w:szCs w:val="21"/>
              </w:rPr>
            </w:pPr>
          </w:p>
        </w:tc>
      </w:tr>
    </w:tbl>
    <w:p>
      <w:pPr>
        <w:widowControl/>
        <w:ind w:left="420" w:hanging="420" w:hangingChars="200"/>
        <w:jc w:val="left"/>
        <w:rPr>
          <w:rFonts w:eastAsia="宋体" w:cs="黑体"/>
          <w:sz w:val="21"/>
          <w:szCs w:val="24"/>
        </w:rPr>
      </w:pPr>
      <w:r>
        <w:rPr>
          <w:rFonts w:hint="eastAsia" w:ascii="宋体" w:hAnsi="宋体" w:eastAsia="宋体" w:cs="宋体"/>
          <w:sz w:val="21"/>
          <w:szCs w:val="21"/>
        </w:rPr>
        <w:t>注：本表反映部门本年度政府性基金预算财政拨款收入支出及结转和结余情况。</w:t>
      </w:r>
      <w:r>
        <w:rPr>
          <w:rFonts w:hint="eastAsia" w:ascii="宋体" w:hAnsi="宋体" w:eastAsia="宋体" w:cs="宋体"/>
          <w:color w:val="000000"/>
          <w:kern w:val="0"/>
          <w:sz w:val="21"/>
          <w:szCs w:val="21"/>
        </w:rPr>
        <w:t>本表金额转换为万元时，因四舍五入可能存在尾差。</w:t>
      </w:r>
    </w:p>
    <w:p/>
    <w:p/>
    <w:p>
      <w:pPr>
        <w:jc w:val="center"/>
        <w:rPr>
          <w:rFonts w:ascii="黑体" w:hAnsi="宋体" w:eastAsia="黑体"/>
          <w:color w:val="000000"/>
          <w:kern w:val="0"/>
          <w:sz w:val="44"/>
          <w:szCs w:val="44"/>
        </w:rPr>
      </w:pPr>
      <w:r>
        <w:rPr>
          <w:rFonts w:hint="eastAsia" w:ascii="黑体" w:hAnsi="宋体" w:eastAsia="黑体"/>
          <w:color w:val="000000"/>
          <w:kern w:val="0"/>
          <w:sz w:val="44"/>
          <w:szCs w:val="44"/>
        </w:rPr>
        <w:t>第三部分 2019年度部门决算情况说明</w:t>
      </w:r>
    </w:p>
    <w:p>
      <w:pPr>
        <w:widowControl/>
        <w:rPr>
          <w:rFonts w:ascii="黑体" w:hAnsi="宋体" w:eastAsia="黑体"/>
          <w:color w:val="000000"/>
          <w:kern w:val="0"/>
          <w:sz w:val="44"/>
          <w:szCs w:val="44"/>
        </w:rPr>
      </w:pP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一、收入支出决算总体情况说明</w:t>
      </w:r>
    </w:p>
    <w:p>
      <w:pPr>
        <w:numPr>
          <w:ilvl w:val="0"/>
          <w:numId w:val="0"/>
        </w:numPr>
        <w:ind w:firstLine="640" w:firstLineChars="200"/>
        <w:rPr>
          <w:rFonts w:hint="eastAsia" w:ascii="仿宋_GB2312" w:eastAsia="仿宋_GB2312"/>
          <w:sz w:val="32"/>
          <w:szCs w:val="32"/>
        </w:rPr>
      </w:pPr>
      <w:r>
        <w:rPr>
          <w:rFonts w:hint="eastAsia" w:ascii="仿宋_GB2312" w:eastAsia="仿宋_GB2312"/>
          <w:sz w:val="32"/>
          <w:szCs w:val="32"/>
        </w:rPr>
        <w:t>本年度部门总收入</w:t>
      </w:r>
      <w:r>
        <w:rPr>
          <w:rFonts w:hint="eastAsia" w:ascii="仿宋_GB2312" w:eastAsia="仿宋_GB2312"/>
          <w:sz w:val="32"/>
          <w:szCs w:val="32"/>
          <w:lang w:val="en-US" w:eastAsia="zh-CN"/>
        </w:rPr>
        <w:t>528.12</w:t>
      </w:r>
      <w:r>
        <w:rPr>
          <w:rFonts w:hint="eastAsia" w:ascii="仿宋_GB2312" w:eastAsia="仿宋_GB2312"/>
          <w:sz w:val="32"/>
          <w:szCs w:val="32"/>
        </w:rPr>
        <w:t>万元，总支出</w:t>
      </w:r>
      <w:r>
        <w:rPr>
          <w:rFonts w:hint="eastAsia" w:ascii="仿宋_GB2312" w:eastAsia="仿宋_GB2312"/>
          <w:sz w:val="32"/>
          <w:szCs w:val="32"/>
          <w:lang w:val="en-US" w:eastAsia="zh-CN"/>
        </w:rPr>
        <w:t>528.12</w:t>
      </w:r>
      <w:r>
        <w:rPr>
          <w:rFonts w:hint="eastAsia" w:ascii="仿宋_GB2312" w:eastAsia="仿宋_GB2312"/>
          <w:sz w:val="32"/>
          <w:szCs w:val="32"/>
        </w:rPr>
        <w:t>万元，比上年</w:t>
      </w:r>
      <w:r>
        <w:rPr>
          <w:rFonts w:hint="eastAsia" w:ascii="仿宋_GB2312" w:eastAsia="仿宋_GB2312"/>
          <w:sz w:val="32"/>
          <w:szCs w:val="32"/>
          <w:lang w:val="en-US" w:eastAsia="zh-CN"/>
        </w:rPr>
        <w:t>增加</w:t>
      </w:r>
      <w:r>
        <w:rPr>
          <w:rFonts w:hint="eastAsia" w:ascii="仿宋_GB2312" w:eastAsia="仿宋_GB2312"/>
          <w:sz w:val="32"/>
          <w:szCs w:val="32"/>
        </w:rPr>
        <w:t>了</w:t>
      </w:r>
      <w:r>
        <w:rPr>
          <w:rFonts w:hint="eastAsia" w:ascii="仿宋_GB2312" w:eastAsia="仿宋_GB2312"/>
          <w:sz w:val="32"/>
          <w:szCs w:val="32"/>
          <w:lang w:val="en-US" w:eastAsia="zh-CN"/>
        </w:rPr>
        <w:t>253.89</w:t>
      </w:r>
      <w:r>
        <w:rPr>
          <w:rFonts w:hint="eastAsia" w:ascii="仿宋_GB2312" w:eastAsia="仿宋_GB2312"/>
          <w:sz w:val="32"/>
          <w:szCs w:val="32"/>
        </w:rPr>
        <w:t>万元。主要是</w:t>
      </w:r>
      <w:r>
        <w:rPr>
          <w:rFonts w:hint="eastAsia" w:ascii="仿宋_GB2312" w:eastAsia="仿宋_GB2312"/>
          <w:sz w:val="32"/>
          <w:szCs w:val="32"/>
          <w:lang w:val="en-US" w:eastAsia="zh-CN"/>
        </w:rPr>
        <w:t>机构改革人员增多、职能任务增加</w:t>
      </w:r>
      <w:r>
        <w:rPr>
          <w:rFonts w:hint="eastAsia" w:ascii="仿宋_GB2312" w:eastAsia="仿宋_GB2312"/>
          <w:sz w:val="32"/>
          <w:szCs w:val="32"/>
        </w:rPr>
        <w:t>。</w:t>
      </w:r>
    </w:p>
    <w:p>
      <w:pPr>
        <w:numPr>
          <w:ilvl w:val="0"/>
          <w:numId w:val="0"/>
        </w:numPr>
        <w:ind w:firstLine="640" w:firstLineChars="200"/>
        <w:rPr>
          <w:rFonts w:hint="eastAsia" w:ascii="仿宋_GB2312" w:eastAsia="仿宋_GB2312"/>
          <w:sz w:val="32"/>
          <w:szCs w:val="32"/>
          <w:lang w:eastAsia="zh-CN"/>
        </w:rPr>
      </w:pPr>
      <w:r>
        <w:rPr>
          <w:rFonts w:hint="eastAsia" w:ascii="仿宋_GB2312" w:eastAsia="仿宋_GB2312"/>
          <w:sz w:val="32"/>
          <w:szCs w:val="32"/>
          <w:lang w:eastAsia="zh-CN"/>
        </w:rPr>
        <w:drawing>
          <wp:inline distT="0" distB="0" distL="114300" distR="114300">
            <wp:extent cx="4591050" cy="2752725"/>
            <wp:effectExtent l="0" t="0" r="0" b="9525"/>
            <wp:docPr id="2" name="图片 2" descr="收支情况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收支情况图"/>
                    <pic:cNvPicPr>
                      <a:picLocks noChangeAspect="1"/>
                    </pic:cNvPicPr>
                  </pic:nvPicPr>
                  <pic:blipFill>
                    <a:blip r:embed="rId5"/>
                    <a:stretch>
                      <a:fillRect/>
                    </a:stretch>
                  </pic:blipFill>
                  <pic:spPr>
                    <a:xfrm>
                      <a:off x="0" y="0"/>
                      <a:ext cx="4591050" cy="2752725"/>
                    </a:xfrm>
                    <a:prstGeom prst="rect">
                      <a:avLst/>
                    </a:prstGeom>
                  </pic:spPr>
                </pic:pic>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二、收入决算情况说明</w:t>
      </w:r>
    </w:p>
    <w:p>
      <w:pPr>
        <w:ind w:firstLine="640" w:firstLineChars="200"/>
        <w:rPr>
          <w:rFonts w:hint="eastAsia" w:ascii="仿宋_GB2312" w:hAnsi="宋体" w:eastAsia="仿宋_GB2312" w:cs="仿宋_GB2312"/>
          <w:color w:val="000000"/>
          <w:kern w:val="0"/>
          <w:szCs w:val="32"/>
        </w:rPr>
      </w:pPr>
      <w:r>
        <w:rPr>
          <w:rFonts w:hint="eastAsia" w:ascii="仿宋_GB2312" w:eastAsia="仿宋_GB2312"/>
          <w:sz w:val="32"/>
          <w:szCs w:val="32"/>
          <w:lang w:eastAsia="zh-CN"/>
        </w:rPr>
        <w:t>2019</w:t>
      </w:r>
      <w:r>
        <w:rPr>
          <w:rFonts w:hint="eastAsia" w:ascii="仿宋_GB2312" w:eastAsia="仿宋_GB2312"/>
          <w:sz w:val="32"/>
          <w:szCs w:val="32"/>
        </w:rPr>
        <w:t>年度收入</w:t>
      </w:r>
      <w:r>
        <w:rPr>
          <w:rFonts w:hint="eastAsia" w:ascii="仿宋_GB2312" w:eastAsia="仿宋_GB2312"/>
          <w:sz w:val="32"/>
          <w:szCs w:val="32"/>
          <w:lang w:val="en-US" w:eastAsia="zh-CN"/>
        </w:rPr>
        <w:t>528.12</w:t>
      </w:r>
      <w:r>
        <w:rPr>
          <w:rFonts w:hint="eastAsia" w:ascii="仿宋_GB2312" w:eastAsia="仿宋_GB2312"/>
          <w:sz w:val="32"/>
          <w:szCs w:val="32"/>
        </w:rPr>
        <w:t>万元，系财政拨款收入</w:t>
      </w:r>
      <w:r>
        <w:rPr>
          <w:rFonts w:hint="eastAsia" w:ascii="仿宋_GB2312" w:eastAsia="仿宋_GB2312"/>
          <w:sz w:val="32"/>
          <w:szCs w:val="32"/>
          <w:lang w:eastAsia="zh-CN"/>
        </w:rPr>
        <w:t>，</w:t>
      </w:r>
      <w:r>
        <w:rPr>
          <w:rFonts w:ascii="仿宋_GB2312" w:hAnsi="宋体" w:eastAsia="仿宋_GB2312" w:cs="仿宋_GB2312"/>
          <w:color w:val="000000"/>
          <w:kern w:val="0"/>
          <w:szCs w:val="32"/>
        </w:rPr>
        <w:t>占</w:t>
      </w:r>
      <w:r>
        <w:rPr>
          <w:rFonts w:hint="eastAsia" w:ascii="仿宋_GB2312" w:hAnsi="宋体" w:eastAsia="仿宋_GB2312" w:cs="仿宋_GB2312"/>
          <w:color w:val="000000"/>
          <w:kern w:val="0"/>
          <w:szCs w:val="32"/>
        </w:rPr>
        <w:t>100</w:t>
      </w:r>
      <w:r>
        <w:rPr>
          <w:rFonts w:ascii="仿宋_GB2312" w:hAnsi="宋体" w:eastAsia="仿宋_GB2312" w:cs="仿宋_GB2312"/>
          <w:color w:val="000000"/>
          <w:kern w:val="0"/>
          <w:szCs w:val="32"/>
        </w:rPr>
        <w:t>%</w:t>
      </w:r>
      <w:r>
        <w:rPr>
          <w:rFonts w:hint="eastAsia" w:ascii="仿宋_GB2312" w:hAnsi="宋体" w:eastAsia="仿宋_GB2312" w:cs="仿宋_GB2312"/>
          <w:color w:val="000000"/>
          <w:kern w:val="0"/>
          <w:szCs w:val="32"/>
        </w:rPr>
        <w:t>。</w:t>
      </w:r>
    </w:p>
    <w:p>
      <w:pPr>
        <w:ind w:firstLine="640" w:firstLineChars="200"/>
        <w:rPr>
          <w:rFonts w:hint="eastAsia" w:ascii="仿宋_GB2312" w:hAnsi="宋体" w:eastAsia="仿宋_GB2312" w:cs="仿宋_GB2312"/>
          <w:color w:val="000000"/>
          <w:kern w:val="0"/>
          <w:szCs w:val="32"/>
          <w:lang w:eastAsia="zh-CN"/>
        </w:rPr>
      </w:pPr>
      <w:r>
        <w:rPr>
          <w:rFonts w:hint="eastAsia" w:ascii="仿宋_GB2312" w:hAnsi="宋体" w:eastAsia="仿宋_GB2312" w:cs="仿宋_GB2312"/>
          <w:color w:val="000000"/>
          <w:kern w:val="0"/>
          <w:szCs w:val="32"/>
          <w:lang w:eastAsia="zh-CN"/>
        </w:rPr>
        <w:drawing>
          <wp:inline distT="0" distB="0" distL="114300" distR="114300">
            <wp:extent cx="4600575" cy="2733675"/>
            <wp:effectExtent l="0" t="0" r="9525" b="9525"/>
            <wp:docPr id="3" name="图片 3" descr="收入构成情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收入构成情况"/>
                    <pic:cNvPicPr>
                      <a:picLocks noChangeAspect="1"/>
                    </pic:cNvPicPr>
                  </pic:nvPicPr>
                  <pic:blipFill>
                    <a:blip r:embed="rId6"/>
                    <a:stretch>
                      <a:fillRect/>
                    </a:stretch>
                  </pic:blipFill>
                  <pic:spPr>
                    <a:xfrm>
                      <a:off x="0" y="0"/>
                      <a:ext cx="4600575" cy="2733675"/>
                    </a:xfrm>
                    <a:prstGeom prst="rect">
                      <a:avLst/>
                    </a:prstGeom>
                  </pic:spPr>
                </pic:pic>
              </a:graphicData>
            </a:graphic>
          </wp:inline>
        </w:drawing>
      </w:r>
    </w:p>
    <w:p>
      <w:pPr>
        <w:widowControl/>
        <w:ind w:firstLine="640" w:firstLineChars="200"/>
        <w:jc w:val="left"/>
        <w:rPr>
          <w:rFonts w:ascii="黑体" w:hAnsi="黑体" w:eastAsia="黑体"/>
        </w:rPr>
      </w:pPr>
      <w:r>
        <w:rPr>
          <w:rFonts w:hint="eastAsia" w:ascii="黑体" w:hAnsi="黑体" w:eastAsia="黑体"/>
          <w:color w:val="000000"/>
          <w:kern w:val="0"/>
          <w:szCs w:val="32"/>
        </w:rPr>
        <w:t>三、支出决算情况说明</w:t>
      </w:r>
    </w:p>
    <w:p>
      <w:pPr>
        <w:widowControl/>
        <w:ind w:firstLine="640" w:firstLineChars="200"/>
        <w:jc w:val="left"/>
        <w:rPr>
          <w:rFonts w:hint="eastAsia" w:ascii="仿宋_GB2312" w:eastAsia="仿宋_GB2312"/>
          <w:sz w:val="32"/>
          <w:szCs w:val="32"/>
          <w:lang w:val="en-US" w:eastAsia="zh-CN"/>
        </w:rPr>
      </w:pPr>
      <w:r>
        <w:rPr>
          <w:rFonts w:hint="eastAsia" w:ascii="仿宋_GB2312" w:eastAsia="仿宋_GB2312"/>
          <w:sz w:val="32"/>
          <w:szCs w:val="32"/>
          <w:lang w:eastAsia="zh-CN"/>
        </w:rPr>
        <w:t>2019</w:t>
      </w:r>
      <w:r>
        <w:rPr>
          <w:rFonts w:hint="eastAsia" w:ascii="仿宋_GB2312" w:eastAsia="仿宋_GB2312"/>
          <w:sz w:val="32"/>
          <w:szCs w:val="32"/>
        </w:rPr>
        <w:t>年度支出</w:t>
      </w:r>
      <w:r>
        <w:rPr>
          <w:rFonts w:hint="eastAsia" w:ascii="仿宋_GB2312" w:eastAsia="仿宋_GB2312"/>
          <w:sz w:val="32"/>
          <w:szCs w:val="32"/>
          <w:lang w:val="en-US" w:eastAsia="zh-CN"/>
        </w:rPr>
        <w:t>528.12</w:t>
      </w:r>
      <w:r>
        <w:rPr>
          <w:rFonts w:hint="eastAsia" w:ascii="仿宋_GB2312" w:eastAsia="仿宋_GB2312"/>
          <w:sz w:val="32"/>
          <w:szCs w:val="32"/>
        </w:rPr>
        <w:t>万元，其中基本支出</w:t>
      </w:r>
      <w:r>
        <w:rPr>
          <w:rFonts w:hint="eastAsia" w:ascii="仿宋_GB2312" w:eastAsia="仿宋_GB2312"/>
          <w:sz w:val="32"/>
          <w:szCs w:val="32"/>
          <w:lang w:val="en-US" w:eastAsia="zh-CN"/>
        </w:rPr>
        <w:t>388.23</w:t>
      </w:r>
      <w:r>
        <w:rPr>
          <w:rFonts w:hint="eastAsia" w:ascii="仿宋_GB2312" w:eastAsia="仿宋_GB2312"/>
          <w:sz w:val="32"/>
          <w:szCs w:val="32"/>
        </w:rPr>
        <w:t>万元，</w:t>
      </w:r>
      <w:r>
        <w:rPr>
          <w:rFonts w:hint="eastAsia" w:ascii="仿宋_GB2312" w:eastAsia="仿宋_GB2312"/>
          <w:sz w:val="32"/>
          <w:szCs w:val="32"/>
          <w:lang w:val="en-US" w:eastAsia="zh-CN"/>
        </w:rPr>
        <w:t>占73.51%；</w:t>
      </w:r>
      <w:r>
        <w:rPr>
          <w:rFonts w:hint="eastAsia" w:ascii="仿宋_GB2312" w:eastAsia="仿宋_GB2312"/>
          <w:sz w:val="32"/>
          <w:szCs w:val="32"/>
        </w:rPr>
        <w:t>项目支出</w:t>
      </w:r>
      <w:r>
        <w:rPr>
          <w:rFonts w:hint="eastAsia" w:ascii="仿宋_GB2312" w:eastAsia="仿宋_GB2312"/>
          <w:sz w:val="32"/>
          <w:szCs w:val="32"/>
          <w:lang w:val="en-US" w:eastAsia="zh-CN"/>
        </w:rPr>
        <w:t>139.89</w:t>
      </w:r>
      <w:r>
        <w:rPr>
          <w:rFonts w:hint="eastAsia" w:ascii="仿宋_GB2312" w:eastAsia="仿宋_GB2312"/>
          <w:sz w:val="32"/>
          <w:szCs w:val="32"/>
        </w:rPr>
        <w:t>万元</w:t>
      </w:r>
      <w:r>
        <w:rPr>
          <w:rFonts w:hint="eastAsia" w:ascii="仿宋_GB2312" w:eastAsia="仿宋_GB2312"/>
          <w:sz w:val="32"/>
          <w:szCs w:val="32"/>
          <w:lang w:eastAsia="zh-CN"/>
        </w:rPr>
        <w:t>，</w:t>
      </w:r>
      <w:r>
        <w:rPr>
          <w:rFonts w:hint="eastAsia" w:ascii="仿宋_GB2312" w:eastAsia="仿宋_GB2312"/>
          <w:sz w:val="32"/>
          <w:szCs w:val="32"/>
          <w:lang w:val="en-US" w:eastAsia="zh-CN"/>
        </w:rPr>
        <w:t>占26.49%。</w:t>
      </w:r>
    </w:p>
    <w:p>
      <w:pPr>
        <w:widowControl/>
        <w:ind w:firstLine="640" w:firstLineChars="200"/>
        <w:jc w:val="left"/>
        <w:rPr>
          <w:rFonts w:hint="default" w:ascii="仿宋_GB2312" w:eastAsia="仿宋_GB2312"/>
          <w:sz w:val="32"/>
          <w:szCs w:val="32"/>
          <w:lang w:val="en-US" w:eastAsia="zh-CN"/>
        </w:rPr>
      </w:pPr>
      <w:r>
        <w:rPr>
          <w:rFonts w:hint="default" w:ascii="仿宋_GB2312" w:eastAsia="仿宋_GB2312"/>
          <w:sz w:val="32"/>
          <w:szCs w:val="32"/>
          <w:lang w:val="en-US" w:eastAsia="zh-CN"/>
        </w:rPr>
        <w:drawing>
          <wp:inline distT="0" distB="0" distL="114300" distR="114300">
            <wp:extent cx="4600575" cy="2762250"/>
            <wp:effectExtent l="0" t="0" r="9525" b="0"/>
            <wp:docPr id="4" name="图片 4" descr="支出构成情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支出构成情况"/>
                    <pic:cNvPicPr>
                      <a:picLocks noChangeAspect="1"/>
                    </pic:cNvPicPr>
                  </pic:nvPicPr>
                  <pic:blipFill>
                    <a:blip r:embed="rId7"/>
                    <a:stretch>
                      <a:fillRect/>
                    </a:stretch>
                  </pic:blipFill>
                  <pic:spPr>
                    <a:xfrm>
                      <a:off x="0" y="0"/>
                      <a:ext cx="4600575" cy="2762250"/>
                    </a:xfrm>
                    <a:prstGeom prst="rect">
                      <a:avLst/>
                    </a:prstGeom>
                  </pic:spPr>
                </pic:pic>
              </a:graphicData>
            </a:graphic>
          </wp:inline>
        </w:drawing>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四、财政拨款收入支出决算总体情况说明</w:t>
      </w:r>
    </w:p>
    <w:p>
      <w:pPr>
        <w:numPr>
          <w:ilvl w:val="0"/>
          <w:numId w:val="0"/>
        </w:numPr>
        <w:ind w:firstLine="640" w:firstLineChars="200"/>
        <w:rPr>
          <w:rFonts w:hint="eastAsia" w:ascii="仿宋_GB2312" w:eastAsia="仿宋_GB2312"/>
          <w:sz w:val="32"/>
          <w:szCs w:val="32"/>
        </w:rPr>
      </w:pPr>
      <w:r>
        <w:rPr>
          <w:rFonts w:hint="eastAsia" w:ascii="仿宋_GB2312" w:eastAsia="仿宋_GB2312"/>
          <w:sz w:val="32"/>
          <w:szCs w:val="32"/>
          <w:lang w:eastAsia="zh-CN"/>
        </w:rPr>
        <w:t>2019</w:t>
      </w:r>
      <w:r>
        <w:rPr>
          <w:rFonts w:hint="eastAsia" w:ascii="仿宋_GB2312" w:eastAsia="仿宋_GB2312"/>
          <w:sz w:val="32"/>
          <w:szCs w:val="32"/>
        </w:rPr>
        <w:t>年财政拨款</w:t>
      </w:r>
      <w:r>
        <w:rPr>
          <w:rFonts w:hint="eastAsia" w:ascii="仿宋_GB2312" w:eastAsia="仿宋_GB2312"/>
          <w:sz w:val="32"/>
          <w:szCs w:val="32"/>
          <w:highlight w:val="none"/>
        </w:rPr>
        <w:t>收入</w:t>
      </w:r>
      <w:r>
        <w:rPr>
          <w:rFonts w:hint="eastAsia" w:ascii="仿宋_GB2312" w:eastAsia="仿宋_GB2312"/>
          <w:sz w:val="32"/>
          <w:szCs w:val="32"/>
          <w:lang w:val="en-US" w:eastAsia="zh-CN"/>
        </w:rPr>
        <w:t>528.12</w:t>
      </w:r>
      <w:r>
        <w:rPr>
          <w:rFonts w:hint="eastAsia" w:ascii="仿宋_GB2312" w:eastAsia="仿宋_GB2312"/>
          <w:sz w:val="32"/>
          <w:szCs w:val="32"/>
        </w:rPr>
        <w:t>万元，支出</w:t>
      </w:r>
      <w:r>
        <w:rPr>
          <w:rFonts w:hint="eastAsia" w:ascii="仿宋_GB2312" w:eastAsia="仿宋_GB2312"/>
          <w:sz w:val="32"/>
          <w:szCs w:val="32"/>
          <w:lang w:val="en-US" w:eastAsia="zh-CN"/>
        </w:rPr>
        <w:t>528.12</w:t>
      </w:r>
      <w:r>
        <w:rPr>
          <w:rFonts w:hint="eastAsia" w:ascii="仿宋_GB2312" w:eastAsia="仿宋_GB2312"/>
          <w:sz w:val="32"/>
          <w:szCs w:val="32"/>
        </w:rPr>
        <w:t>万元，比上年</w:t>
      </w:r>
      <w:r>
        <w:rPr>
          <w:rFonts w:hint="eastAsia" w:ascii="仿宋_GB2312" w:eastAsia="仿宋_GB2312"/>
          <w:sz w:val="32"/>
          <w:szCs w:val="32"/>
          <w:lang w:val="en-US" w:eastAsia="zh-CN"/>
        </w:rPr>
        <w:t>增加</w:t>
      </w:r>
      <w:r>
        <w:rPr>
          <w:rFonts w:hint="eastAsia" w:ascii="仿宋_GB2312" w:eastAsia="仿宋_GB2312"/>
          <w:sz w:val="32"/>
          <w:szCs w:val="32"/>
        </w:rPr>
        <w:t>9</w:t>
      </w:r>
      <w:r>
        <w:rPr>
          <w:rFonts w:hint="eastAsia" w:ascii="仿宋_GB2312" w:eastAsia="仿宋_GB2312"/>
          <w:sz w:val="32"/>
          <w:szCs w:val="32"/>
          <w:lang w:val="en-US" w:eastAsia="zh-CN"/>
        </w:rPr>
        <w:t>3</w:t>
      </w:r>
      <w:r>
        <w:rPr>
          <w:rFonts w:hint="eastAsia" w:ascii="仿宋_GB2312" w:eastAsia="仿宋_GB2312"/>
          <w:sz w:val="32"/>
          <w:szCs w:val="32"/>
        </w:rPr>
        <w:t>%，主要是</w:t>
      </w:r>
      <w:r>
        <w:rPr>
          <w:rFonts w:hint="eastAsia" w:ascii="仿宋_GB2312" w:eastAsia="仿宋_GB2312"/>
          <w:sz w:val="32"/>
          <w:szCs w:val="32"/>
          <w:lang w:val="en-US" w:eastAsia="zh-CN"/>
        </w:rPr>
        <w:t>机构改革人员增多、职能任务增加</w:t>
      </w:r>
      <w:r>
        <w:rPr>
          <w:rFonts w:hint="eastAsia" w:ascii="仿宋_GB2312" w:eastAsia="仿宋_GB2312"/>
          <w:sz w:val="32"/>
          <w:szCs w:val="32"/>
        </w:rPr>
        <w:t>。</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五、一般公共预算财政拨款支出决算情况说明</w:t>
      </w:r>
    </w:p>
    <w:p>
      <w:pPr>
        <w:widowControl/>
        <w:ind w:firstLine="643" w:firstLineChars="200"/>
        <w:jc w:val="left"/>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numPr>
          <w:ilvl w:val="0"/>
          <w:numId w:val="0"/>
        </w:numPr>
        <w:ind w:firstLine="640" w:firstLineChars="200"/>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财政拨款支出</w:t>
      </w:r>
      <w:r>
        <w:rPr>
          <w:rFonts w:hint="eastAsia" w:ascii="仿宋_GB2312" w:hAnsi="宋体" w:eastAsia="仿宋_GB2312" w:cs="仿宋_GB2312"/>
          <w:color w:val="000000"/>
          <w:kern w:val="0"/>
          <w:szCs w:val="32"/>
          <w:lang w:val="en-US" w:eastAsia="zh-CN"/>
        </w:rPr>
        <w:t>528.12</w:t>
      </w:r>
      <w:r>
        <w:rPr>
          <w:rFonts w:ascii="仿宋_GB2312" w:hAnsi="宋体" w:eastAsia="仿宋_GB2312" w:cs="仿宋_GB2312"/>
          <w:color w:val="000000"/>
          <w:kern w:val="0"/>
          <w:szCs w:val="32"/>
        </w:rPr>
        <w:t>万元，占本年支出合计的</w:t>
      </w:r>
      <w:r>
        <w:rPr>
          <w:rFonts w:hint="eastAsia" w:ascii="仿宋_GB2312" w:hAnsi="宋体" w:eastAsia="仿宋_GB2312" w:cs="仿宋_GB2312"/>
          <w:color w:val="000000"/>
          <w:kern w:val="0"/>
          <w:szCs w:val="32"/>
          <w:lang w:val="en-US" w:eastAsia="zh-CN"/>
        </w:rPr>
        <w:t>100</w:t>
      </w:r>
      <w:r>
        <w:rPr>
          <w:rFonts w:ascii="仿宋_GB2312" w:hAnsi="宋体" w:eastAsia="仿宋_GB2312" w:cs="仿宋_GB2312"/>
          <w:color w:val="000000"/>
          <w:kern w:val="0"/>
          <w:szCs w:val="32"/>
        </w:rPr>
        <w:t>%。与</w:t>
      </w:r>
      <w:r>
        <w:rPr>
          <w:rFonts w:hint="eastAsia" w:ascii="仿宋_GB2312" w:hAnsi="宋体" w:eastAsia="仿宋_GB2312" w:cs="仿宋_GB2312"/>
          <w:color w:val="000000"/>
          <w:kern w:val="0"/>
          <w:szCs w:val="32"/>
        </w:rPr>
        <w:t>上年</w:t>
      </w:r>
      <w:r>
        <w:rPr>
          <w:rFonts w:ascii="仿宋_GB2312" w:hAnsi="宋体" w:eastAsia="仿宋_GB2312" w:cs="仿宋_GB2312"/>
          <w:color w:val="000000"/>
          <w:kern w:val="0"/>
          <w:szCs w:val="32"/>
        </w:rPr>
        <w:t>相比，财政拨款支出增加</w:t>
      </w:r>
      <w:r>
        <w:rPr>
          <w:rFonts w:hint="eastAsia" w:ascii="仿宋_GB2312" w:hAnsi="宋体" w:eastAsia="仿宋_GB2312" w:cs="仿宋_GB2312"/>
          <w:color w:val="000000"/>
          <w:kern w:val="0"/>
          <w:szCs w:val="32"/>
          <w:lang w:val="en-US" w:eastAsia="zh-CN"/>
        </w:rPr>
        <w:t>253.89</w:t>
      </w:r>
      <w:r>
        <w:rPr>
          <w:rFonts w:ascii="仿宋_GB2312" w:hAnsi="宋体" w:eastAsia="仿宋_GB2312" w:cs="仿宋_GB2312"/>
          <w:color w:val="000000"/>
          <w:kern w:val="0"/>
          <w:szCs w:val="32"/>
        </w:rPr>
        <w:t>万元，增长</w:t>
      </w:r>
      <w:r>
        <w:rPr>
          <w:rFonts w:hint="eastAsia" w:ascii="仿宋_GB2312" w:hAnsi="宋体" w:eastAsia="仿宋_GB2312" w:cs="仿宋_GB2312"/>
          <w:color w:val="000000"/>
          <w:kern w:val="0"/>
          <w:szCs w:val="32"/>
          <w:lang w:val="en-US" w:eastAsia="zh-CN"/>
        </w:rPr>
        <w:t>93</w:t>
      </w:r>
      <w:r>
        <w:rPr>
          <w:rFonts w:ascii="仿宋_GB2312" w:hAnsi="宋体" w:eastAsia="仿宋_GB2312" w:cs="仿宋_GB2312"/>
          <w:color w:val="000000"/>
          <w:kern w:val="0"/>
          <w:szCs w:val="32"/>
        </w:rPr>
        <w:t>%，主要</w:t>
      </w:r>
      <w:r>
        <w:rPr>
          <w:rFonts w:hint="eastAsia" w:ascii="仿宋_GB2312" w:hAnsi="宋体" w:eastAsia="仿宋_GB2312" w:cs="仿宋_GB2312"/>
          <w:color w:val="000000"/>
          <w:kern w:val="0"/>
          <w:szCs w:val="32"/>
        </w:rPr>
        <w:t>原因是</w:t>
      </w:r>
      <w:r>
        <w:rPr>
          <w:rFonts w:hint="eastAsia" w:ascii="仿宋_GB2312" w:eastAsia="仿宋_GB2312"/>
          <w:sz w:val="32"/>
          <w:szCs w:val="32"/>
          <w:lang w:val="en-US" w:eastAsia="zh-CN"/>
        </w:rPr>
        <w:t>机构改革人员增多、职能任务增加</w:t>
      </w:r>
      <w:r>
        <w:rPr>
          <w:rFonts w:hint="eastAsia" w:ascii="仿宋_GB2312" w:eastAsia="仿宋_GB2312"/>
          <w:sz w:val="32"/>
          <w:szCs w:val="32"/>
        </w:rPr>
        <w:t>。</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color w:val="auto"/>
        </w:rPr>
      </w:pPr>
      <w:r>
        <w:rPr>
          <w:rFonts w:ascii="仿宋_GB2312" w:hAnsi="宋体" w:eastAsia="仿宋_GB2312" w:cs="仿宋_GB2312"/>
          <w:color w:val="auto"/>
          <w:kern w:val="0"/>
          <w:szCs w:val="32"/>
        </w:rPr>
        <w:t>2019年</w:t>
      </w:r>
      <w:r>
        <w:rPr>
          <w:rFonts w:hint="eastAsia" w:ascii="仿宋_GB2312" w:hAnsi="仿宋" w:eastAsia="仿宋_GB2312"/>
          <w:color w:val="auto"/>
          <w:szCs w:val="32"/>
        </w:rPr>
        <w:t>度</w:t>
      </w:r>
      <w:r>
        <w:rPr>
          <w:rFonts w:ascii="仿宋_GB2312" w:hAnsi="宋体" w:eastAsia="仿宋_GB2312" w:cs="仿宋_GB2312"/>
          <w:color w:val="auto"/>
          <w:kern w:val="0"/>
          <w:szCs w:val="32"/>
        </w:rPr>
        <w:t>财政拨款支出年初预算为</w:t>
      </w:r>
      <w:r>
        <w:rPr>
          <w:rFonts w:hint="eastAsia" w:ascii="仿宋_GB2312" w:hAnsi="宋体" w:eastAsia="仿宋_GB2312" w:cs="仿宋_GB2312"/>
          <w:color w:val="auto"/>
          <w:kern w:val="0"/>
          <w:szCs w:val="32"/>
          <w:lang w:val="en-US" w:eastAsia="zh-CN"/>
        </w:rPr>
        <w:t>158.77</w:t>
      </w:r>
      <w:r>
        <w:rPr>
          <w:rFonts w:ascii="仿宋_GB2312" w:hAnsi="宋体" w:eastAsia="仿宋_GB2312" w:cs="仿宋_GB2312"/>
          <w:color w:val="auto"/>
          <w:kern w:val="0"/>
          <w:szCs w:val="32"/>
        </w:rPr>
        <w:t>万元，支出决算为</w:t>
      </w:r>
      <w:r>
        <w:rPr>
          <w:rFonts w:hint="eastAsia" w:ascii="仿宋_GB2312" w:hAnsi="宋体" w:eastAsia="仿宋_GB2312" w:cs="仿宋_GB2312"/>
          <w:color w:val="auto"/>
          <w:kern w:val="0"/>
          <w:szCs w:val="32"/>
          <w:lang w:val="en-US" w:eastAsia="zh-CN"/>
        </w:rPr>
        <w:t>528.12</w:t>
      </w:r>
      <w:r>
        <w:rPr>
          <w:rFonts w:ascii="仿宋_GB2312" w:hAnsi="宋体" w:eastAsia="仿宋_GB2312" w:cs="仿宋_GB2312"/>
          <w:color w:val="auto"/>
          <w:kern w:val="0"/>
          <w:szCs w:val="32"/>
        </w:rPr>
        <w:t>万元，完成年初预算的</w:t>
      </w:r>
      <w:r>
        <w:rPr>
          <w:rFonts w:hint="eastAsia" w:ascii="仿宋_GB2312" w:hAnsi="宋体" w:eastAsia="仿宋_GB2312" w:cs="仿宋_GB2312"/>
          <w:color w:val="auto"/>
          <w:kern w:val="0"/>
          <w:szCs w:val="32"/>
          <w:lang w:val="en-US" w:eastAsia="zh-CN"/>
        </w:rPr>
        <w:t>333</w:t>
      </w:r>
      <w:r>
        <w:rPr>
          <w:rFonts w:ascii="仿宋_GB2312" w:hAnsi="宋体" w:eastAsia="仿宋_GB2312" w:cs="仿宋_GB2312"/>
          <w:color w:val="auto"/>
          <w:kern w:val="0"/>
          <w:szCs w:val="32"/>
        </w:rPr>
        <w:t>%。</w:t>
      </w:r>
      <w:r>
        <w:rPr>
          <w:rFonts w:hint="eastAsia" w:ascii="仿宋_GB2312" w:hAnsi="宋体" w:eastAsia="仿宋_GB2312" w:cs="仿宋_GB2312"/>
          <w:color w:val="auto"/>
          <w:kern w:val="0"/>
          <w:szCs w:val="32"/>
        </w:rPr>
        <w:t>按照政府功能分类科目，</w:t>
      </w:r>
      <w:r>
        <w:rPr>
          <w:rFonts w:ascii="仿宋_GB2312" w:hAnsi="宋体" w:eastAsia="仿宋_GB2312" w:cs="仿宋_GB2312"/>
          <w:color w:val="auto"/>
          <w:kern w:val="0"/>
          <w:szCs w:val="32"/>
        </w:rPr>
        <w:t xml:space="preserve">其中： </w:t>
      </w:r>
    </w:p>
    <w:p>
      <w:pPr>
        <w:widowControl/>
        <w:ind w:firstLine="643" w:firstLineChars="200"/>
        <w:jc w:val="left"/>
        <w:rPr>
          <w:rFonts w:ascii="仿宋_GB2312" w:hAnsi="宋体" w:eastAsia="仿宋_GB2312" w:cs="仿宋_GB2312"/>
          <w:b/>
          <w:color w:val="000000"/>
          <w:kern w:val="0"/>
          <w:szCs w:val="32"/>
        </w:rPr>
      </w:pPr>
      <w:r>
        <w:rPr>
          <w:rFonts w:ascii="仿宋_GB2312" w:hAnsi="宋体" w:eastAsia="仿宋_GB2312" w:cs="仿宋_GB2312"/>
          <w:b/>
          <w:color w:val="000000"/>
          <w:kern w:val="0"/>
          <w:szCs w:val="32"/>
        </w:rPr>
        <w:t>1.</w:t>
      </w:r>
      <w:r>
        <w:rPr>
          <w:rFonts w:hint="eastAsia" w:ascii="仿宋_GB2312" w:hAnsi="宋体" w:eastAsia="仿宋_GB2312" w:cs="仿宋_GB2312"/>
          <w:b/>
          <w:color w:val="000000"/>
          <w:kern w:val="0"/>
          <w:szCs w:val="32"/>
        </w:rPr>
        <w:t>社会保障和就业支出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行政事业单位离退休</w:t>
      </w:r>
      <w:r>
        <w:rPr>
          <w:rFonts w:ascii="仿宋_GB2312" w:hAnsi="宋体" w:eastAsia="仿宋_GB2312" w:cs="仿宋_GB2312"/>
          <w:b/>
          <w:color w:val="000000"/>
          <w:kern w:val="0"/>
          <w:szCs w:val="32"/>
        </w:rPr>
        <w:t>（款）</w:t>
      </w:r>
      <w:r>
        <w:rPr>
          <w:rFonts w:hint="eastAsia" w:ascii="仿宋_GB2312" w:eastAsia="仿宋_GB2312"/>
          <w:b/>
          <w:bCs/>
          <w:szCs w:val="32"/>
        </w:rPr>
        <w:t>机关事业单位基本养老保险缴费支出</w:t>
      </w:r>
      <w:r>
        <w:rPr>
          <w:rFonts w:ascii="仿宋_GB2312" w:hAnsi="宋体" w:eastAsia="仿宋_GB2312" w:cs="仿宋_GB2312"/>
          <w:b/>
          <w:bCs/>
          <w:color w:val="000000"/>
          <w:kern w:val="0"/>
          <w:szCs w:val="32"/>
        </w:rPr>
        <w:t>（</w:t>
      </w:r>
      <w:r>
        <w:rPr>
          <w:rFonts w:ascii="仿宋_GB2312" w:hAnsi="宋体" w:eastAsia="仿宋_GB2312" w:cs="仿宋_GB2312"/>
          <w:b/>
          <w:color w:val="000000"/>
          <w:kern w:val="0"/>
          <w:szCs w:val="32"/>
        </w:rPr>
        <w:t>项）。</w:t>
      </w:r>
    </w:p>
    <w:p>
      <w:pPr>
        <w:widowControl/>
        <w:ind w:firstLine="640" w:firstLineChars="200"/>
        <w:jc w:val="left"/>
        <w:rPr>
          <w:rFonts w:ascii="仿宋_GB2312" w:eastAsia="仿宋_GB2312"/>
          <w:color w:val="auto"/>
          <w:szCs w:val="32"/>
        </w:rPr>
      </w:pPr>
      <w:r>
        <w:rPr>
          <w:rFonts w:hint="eastAsia" w:ascii="仿宋_GB2312" w:eastAsia="仿宋_GB2312"/>
          <w:color w:val="auto"/>
          <w:szCs w:val="32"/>
        </w:rPr>
        <w:t>机关事业单位基本养老保险缴费支出</w:t>
      </w:r>
      <w:r>
        <w:rPr>
          <w:rFonts w:ascii="仿宋_GB2312" w:hAnsi="宋体" w:eastAsia="仿宋_GB2312" w:cs="仿宋_GB2312"/>
          <w:color w:val="auto"/>
          <w:kern w:val="0"/>
          <w:szCs w:val="32"/>
        </w:rPr>
        <w:t>年初预算为</w:t>
      </w:r>
      <w:r>
        <w:rPr>
          <w:rFonts w:hint="eastAsia" w:ascii="仿宋_GB2312" w:eastAsia="仿宋_GB2312"/>
          <w:color w:val="auto"/>
          <w:szCs w:val="32"/>
          <w:lang w:val="en-US" w:eastAsia="zh-CN"/>
        </w:rPr>
        <w:t>14.74</w:t>
      </w:r>
      <w:r>
        <w:rPr>
          <w:rFonts w:hint="eastAsia" w:ascii="仿宋_GB2312" w:eastAsia="仿宋_GB2312"/>
          <w:color w:val="auto"/>
          <w:szCs w:val="32"/>
        </w:rPr>
        <w:t>万元，</w:t>
      </w:r>
      <w:r>
        <w:rPr>
          <w:rFonts w:ascii="仿宋_GB2312" w:hAnsi="宋体" w:eastAsia="仿宋_GB2312" w:cs="仿宋_GB2312"/>
          <w:color w:val="auto"/>
          <w:kern w:val="0"/>
          <w:szCs w:val="32"/>
        </w:rPr>
        <w:t>支出决算为</w:t>
      </w:r>
      <w:r>
        <w:rPr>
          <w:rFonts w:hint="eastAsia" w:ascii="仿宋_GB2312" w:hAnsi="宋体" w:eastAsia="仿宋_GB2312" w:cs="仿宋_GB2312"/>
          <w:color w:val="auto"/>
          <w:kern w:val="0"/>
          <w:szCs w:val="32"/>
          <w:lang w:val="en-US" w:eastAsia="zh-CN"/>
        </w:rPr>
        <w:t>38.48</w:t>
      </w:r>
      <w:r>
        <w:rPr>
          <w:rFonts w:ascii="仿宋_GB2312" w:hAnsi="宋体" w:eastAsia="仿宋_GB2312" w:cs="仿宋_GB2312"/>
          <w:color w:val="auto"/>
          <w:kern w:val="0"/>
          <w:szCs w:val="32"/>
        </w:rPr>
        <w:t>万元，完成年初预算的</w:t>
      </w:r>
      <w:r>
        <w:rPr>
          <w:rFonts w:hint="eastAsia" w:ascii="仿宋_GB2312" w:hAnsi="宋体" w:eastAsia="仿宋_GB2312" w:cs="仿宋_GB2312"/>
          <w:color w:val="auto"/>
          <w:kern w:val="0"/>
          <w:szCs w:val="32"/>
          <w:lang w:val="en-US" w:eastAsia="zh-CN"/>
        </w:rPr>
        <w:t>236</w:t>
      </w:r>
      <w:r>
        <w:rPr>
          <w:rFonts w:ascii="仿宋_GB2312" w:hAnsi="宋体" w:eastAsia="仿宋_GB2312" w:cs="仿宋_GB2312"/>
          <w:color w:val="auto"/>
          <w:kern w:val="0"/>
          <w:szCs w:val="32"/>
        </w:rPr>
        <w:t>%。决算数</w:t>
      </w:r>
      <w:r>
        <w:rPr>
          <w:rFonts w:hint="eastAsia" w:ascii="仿宋_GB2312" w:hAnsi="宋体" w:eastAsia="仿宋_GB2312" w:cs="仿宋_GB2312"/>
          <w:color w:val="auto"/>
          <w:kern w:val="0"/>
          <w:szCs w:val="32"/>
          <w:lang w:val="en-US" w:eastAsia="zh-CN"/>
        </w:rPr>
        <w:t>大</w:t>
      </w:r>
      <w:r>
        <w:rPr>
          <w:rFonts w:ascii="仿宋_GB2312" w:hAnsi="宋体" w:eastAsia="仿宋_GB2312" w:cs="仿宋_GB2312"/>
          <w:color w:val="auto"/>
          <w:kern w:val="0"/>
          <w:szCs w:val="32"/>
        </w:rPr>
        <w:t>于预算数的主要原因是</w:t>
      </w:r>
      <w:r>
        <w:rPr>
          <w:rFonts w:hint="eastAsia" w:ascii="仿宋_GB2312" w:eastAsia="仿宋_GB2312"/>
          <w:color w:val="auto"/>
          <w:szCs w:val="32"/>
          <w:lang w:val="en-US" w:eastAsia="zh-CN"/>
        </w:rPr>
        <w:t>机构改革人员增多</w:t>
      </w:r>
      <w:r>
        <w:rPr>
          <w:rFonts w:hint="eastAsia" w:ascii="仿宋_GB2312" w:hAnsi="宋体" w:eastAsia="仿宋_GB2312" w:cs="仿宋_GB2312"/>
          <w:color w:val="auto"/>
          <w:kern w:val="0"/>
          <w:szCs w:val="32"/>
        </w:rPr>
        <w:t>。</w:t>
      </w:r>
    </w:p>
    <w:p>
      <w:pPr>
        <w:widowControl/>
        <w:numPr>
          <w:ilvl w:val="0"/>
          <w:numId w:val="0"/>
        </w:numPr>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2.</w:t>
      </w:r>
      <w:r>
        <w:rPr>
          <w:rFonts w:hint="eastAsia" w:ascii="仿宋_GB2312" w:hAnsi="宋体" w:eastAsia="仿宋_GB2312" w:cs="仿宋_GB2312"/>
          <w:b/>
          <w:color w:val="000000"/>
          <w:kern w:val="0"/>
          <w:szCs w:val="32"/>
        </w:rPr>
        <w:t>卫生健康支出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行政事业单位医疗</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行政单位医疗</w:t>
      </w:r>
      <w:r>
        <w:rPr>
          <w:rFonts w:ascii="仿宋_GB2312" w:hAnsi="宋体" w:eastAsia="仿宋_GB2312" w:cs="仿宋_GB2312"/>
          <w:b/>
          <w:color w:val="000000"/>
          <w:kern w:val="0"/>
          <w:szCs w:val="32"/>
        </w:rPr>
        <w:t>（项）。</w:t>
      </w:r>
    </w:p>
    <w:p>
      <w:pPr>
        <w:widowControl/>
        <w:ind w:firstLine="640" w:firstLineChars="200"/>
        <w:jc w:val="left"/>
        <w:rPr>
          <w:rFonts w:hint="eastAsia" w:ascii="仿宋_GB2312" w:hAnsi="宋体" w:eastAsia="仿宋_GB2312" w:cs="仿宋_GB2312"/>
          <w:color w:val="auto"/>
          <w:kern w:val="0"/>
          <w:szCs w:val="32"/>
        </w:rPr>
      </w:pPr>
      <w:r>
        <w:rPr>
          <w:rFonts w:hint="eastAsia" w:ascii="仿宋_GB2312" w:eastAsia="仿宋_GB2312"/>
          <w:color w:val="auto"/>
          <w:szCs w:val="32"/>
        </w:rPr>
        <w:t>行政单位医疗</w:t>
      </w:r>
      <w:r>
        <w:rPr>
          <w:rFonts w:ascii="仿宋_GB2312" w:hAnsi="宋体" w:eastAsia="仿宋_GB2312" w:cs="仿宋_GB2312"/>
          <w:color w:val="auto"/>
          <w:kern w:val="0"/>
          <w:szCs w:val="32"/>
        </w:rPr>
        <w:t>年初预算为</w:t>
      </w:r>
      <w:r>
        <w:rPr>
          <w:rFonts w:hint="eastAsia" w:ascii="仿宋_GB2312" w:hAnsi="宋体" w:eastAsia="仿宋_GB2312" w:cs="仿宋_GB2312"/>
          <w:color w:val="auto"/>
          <w:kern w:val="0"/>
          <w:szCs w:val="32"/>
        </w:rPr>
        <w:t>0</w:t>
      </w:r>
      <w:r>
        <w:rPr>
          <w:rFonts w:hint="eastAsia" w:ascii="仿宋_GB2312" w:eastAsia="仿宋_GB2312"/>
          <w:color w:val="auto"/>
          <w:szCs w:val="32"/>
        </w:rPr>
        <w:t>元，</w:t>
      </w:r>
      <w:r>
        <w:rPr>
          <w:rFonts w:ascii="仿宋_GB2312" w:hAnsi="宋体" w:eastAsia="仿宋_GB2312" w:cs="仿宋_GB2312"/>
          <w:color w:val="auto"/>
          <w:kern w:val="0"/>
          <w:szCs w:val="32"/>
        </w:rPr>
        <w:t>支出决算为</w:t>
      </w:r>
      <w:r>
        <w:rPr>
          <w:rFonts w:hint="eastAsia" w:ascii="仿宋_GB2312" w:hAnsi="宋体" w:eastAsia="仿宋_GB2312" w:cs="仿宋_GB2312"/>
          <w:color w:val="auto"/>
          <w:kern w:val="0"/>
          <w:szCs w:val="32"/>
          <w:lang w:val="en-US" w:eastAsia="zh-CN"/>
        </w:rPr>
        <w:t>6.81</w:t>
      </w:r>
      <w:r>
        <w:rPr>
          <w:rFonts w:ascii="仿宋_GB2312" w:hAnsi="宋体" w:eastAsia="仿宋_GB2312" w:cs="仿宋_GB2312"/>
          <w:color w:val="auto"/>
          <w:kern w:val="0"/>
          <w:szCs w:val="32"/>
        </w:rPr>
        <w:t>万元，决算数大于预算数的主要原因是</w:t>
      </w:r>
      <w:r>
        <w:rPr>
          <w:rFonts w:hint="eastAsia" w:ascii="仿宋_GB2312" w:eastAsia="仿宋_GB2312"/>
          <w:color w:val="auto"/>
          <w:szCs w:val="32"/>
        </w:rPr>
        <w:t>年初未安排行政单位医疗，本年因预算增加导致</w:t>
      </w:r>
      <w:r>
        <w:rPr>
          <w:rFonts w:ascii="仿宋_GB2312" w:hAnsi="宋体" w:eastAsia="仿宋_GB2312" w:cs="仿宋_GB2312"/>
          <w:color w:val="auto"/>
          <w:kern w:val="0"/>
          <w:szCs w:val="32"/>
        </w:rPr>
        <w:t>决算数大于预算数</w:t>
      </w:r>
      <w:r>
        <w:rPr>
          <w:rFonts w:hint="eastAsia" w:ascii="仿宋_GB2312" w:hAnsi="宋体" w:eastAsia="仿宋_GB2312" w:cs="仿宋_GB2312"/>
          <w:color w:val="auto"/>
          <w:kern w:val="0"/>
          <w:szCs w:val="32"/>
        </w:rPr>
        <w:t>。</w:t>
      </w:r>
    </w:p>
    <w:p>
      <w:pPr>
        <w:widowControl/>
        <w:numPr>
          <w:ilvl w:val="0"/>
          <w:numId w:val="0"/>
        </w:numPr>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3.</w:t>
      </w:r>
      <w:r>
        <w:rPr>
          <w:rFonts w:hint="eastAsia" w:ascii="仿宋_GB2312" w:hAnsi="宋体" w:eastAsia="仿宋_GB2312" w:cs="仿宋_GB2312"/>
          <w:b/>
          <w:color w:val="000000"/>
          <w:kern w:val="0"/>
          <w:szCs w:val="32"/>
        </w:rPr>
        <w:t>卫生健康支出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行政事业单位医疗</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val="en-US" w:eastAsia="zh-CN"/>
        </w:rPr>
        <w:t>事业</w:t>
      </w:r>
      <w:r>
        <w:rPr>
          <w:rFonts w:hint="eastAsia" w:ascii="仿宋_GB2312" w:hAnsi="宋体" w:eastAsia="仿宋_GB2312" w:cs="仿宋_GB2312"/>
          <w:b/>
          <w:color w:val="000000"/>
          <w:kern w:val="0"/>
          <w:szCs w:val="32"/>
        </w:rPr>
        <w:t>单位医疗</w:t>
      </w:r>
      <w:r>
        <w:rPr>
          <w:rFonts w:ascii="仿宋_GB2312" w:hAnsi="宋体" w:eastAsia="仿宋_GB2312" w:cs="仿宋_GB2312"/>
          <w:b/>
          <w:color w:val="000000"/>
          <w:kern w:val="0"/>
          <w:szCs w:val="32"/>
        </w:rPr>
        <w:t>（项）。</w:t>
      </w:r>
    </w:p>
    <w:p>
      <w:pPr>
        <w:widowControl/>
        <w:ind w:firstLine="640" w:firstLineChars="200"/>
        <w:jc w:val="left"/>
        <w:rPr>
          <w:rFonts w:hint="eastAsia" w:ascii="仿宋_GB2312" w:hAnsi="宋体" w:eastAsia="仿宋_GB2312" w:cs="仿宋_GB2312"/>
          <w:color w:val="auto"/>
          <w:kern w:val="0"/>
          <w:szCs w:val="32"/>
        </w:rPr>
      </w:pPr>
      <w:r>
        <w:rPr>
          <w:rFonts w:hint="eastAsia" w:ascii="仿宋_GB2312" w:eastAsia="仿宋_GB2312"/>
          <w:color w:val="auto"/>
          <w:szCs w:val="32"/>
          <w:lang w:val="en-US" w:eastAsia="zh-CN"/>
        </w:rPr>
        <w:t>事业</w:t>
      </w:r>
      <w:r>
        <w:rPr>
          <w:rFonts w:hint="eastAsia" w:ascii="仿宋_GB2312" w:eastAsia="仿宋_GB2312"/>
          <w:color w:val="auto"/>
          <w:szCs w:val="32"/>
        </w:rPr>
        <w:t>单位医疗</w:t>
      </w:r>
      <w:r>
        <w:rPr>
          <w:rFonts w:ascii="仿宋_GB2312" w:hAnsi="宋体" w:eastAsia="仿宋_GB2312" w:cs="仿宋_GB2312"/>
          <w:color w:val="auto"/>
          <w:kern w:val="0"/>
          <w:szCs w:val="32"/>
        </w:rPr>
        <w:t>年初预算为</w:t>
      </w:r>
      <w:r>
        <w:rPr>
          <w:rFonts w:hint="eastAsia" w:ascii="仿宋_GB2312" w:hAnsi="宋体" w:eastAsia="仿宋_GB2312" w:cs="仿宋_GB2312"/>
          <w:color w:val="auto"/>
          <w:kern w:val="0"/>
          <w:szCs w:val="32"/>
        </w:rPr>
        <w:t>0</w:t>
      </w:r>
      <w:r>
        <w:rPr>
          <w:rFonts w:hint="eastAsia" w:ascii="仿宋_GB2312" w:eastAsia="仿宋_GB2312"/>
          <w:color w:val="auto"/>
          <w:szCs w:val="32"/>
        </w:rPr>
        <w:t>元，</w:t>
      </w:r>
      <w:r>
        <w:rPr>
          <w:rFonts w:ascii="仿宋_GB2312" w:hAnsi="宋体" w:eastAsia="仿宋_GB2312" w:cs="仿宋_GB2312"/>
          <w:color w:val="auto"/>
          <w:kern w:val="0"/>
          <w:szCs w:val="32"/>
        </w:rPr>
        <w:t>支出决算为</w:t>
      </w:r>
      <w:r>
        <w:rPr>
          <w:rFonts w:hint="eastAsia" w:ascii="仿宋_GB2312" w:hAnsi="宋体" w:eastAsia="仿宋_GB2312" w:cs="仿宋_GB2312"/>
          <w:color w:val="auto"/>
          <w:kern w:val="0"/>
          <w:szCs w:val="32"/>
          <w:lang w:val="en-US" w:eastAsia="zh-CN"/>
        </w:rPr>
        <w:t>1.01</w:t>
      </w:r>
      <w:r>
        <w:rPr>
          <w:rFonts w:ascii="仿宋_GB2312" w:hAnsi="宋体" w:eastAsia="仿宋_GB2312" w:cs="仿宋_GB2312"/>
          <w:color w:val="auto"/>
          <w:kern w:val="0"/>
          <w:szCs w:val="32"/>
        </w:rPr>
        <w:t>万元，决算数大于预算数的主要原因是</w:t>
      </w:r>
      <w:r>
        <w:rPr>
          <w:rFonts w:hint="eastAsia" w:ascii="仿宋_GB2312" w:eastAsia="仿宋_GB2312"/>
          <w:color w:val="auto"/>
          <w:szCs w:val="32"/>
        </w:rPr>
        <w:t>年初未安排</w:t>
      </w:r>
      <w:r>
        <w:rPr>
          <w:rFonts w:hint="eastAsia" w:ascii="仿宋_GB2312" w:eastAsia="仿宋_GB2312"/>
          <w:color w:val="auto"/>
          <w:szCs w:val="32"/>
          <w:lang w:val="en-US" w:eastAsia="zh-CN"/>
        </w:rPr>
        <w:t>事业</w:t>
      </w:r>
      <w:r>
        <w:rPr>
          <w:rFonts w:hint="eastAsia" w:ascii="仿宋_GB2312" w:eastAsia="仿宋_GB2312"/>
          <w:color w:val="auto"/>
          <w:szCs w:val="32"/>
        </w:rPr>
        <w:t>单位医疗，本年因预算增加导致</w:t>
      </w:r>
      <w:r>
        <w:rPr>
          <w:rFonts w:ascii="仿宋_GB2312" w:hAnsi="宋体" w:eastAsia="仿宋_GB2312" w:cs="仿宋_GB2312"/>
          <w:color w:val="auto"/>
          <w:kern w:val="0"/>
          <w:szCs w:val="32"/>
        </w:rPr>
        <w:t>决算数大于预算数</w:t>
      </w:r>
      <w:r>
        <w:rPr>
          <w:rFonts w:hint="eastAsia" w:ascii="仿宋_GB2312" w:hAnsi="宋体" w:eastAsia="仿宋_GB2312" w:cs="仿宋_GB2312"/>
          <w:color w:val="auto"/>
          <w:kern w:val="0"/>
          <w:szCs w:val="32"/>
        </w:rPr>
        <w:t>。</w:t>
      </w:r>
    </w:p>
    <w:p>
      <w:pPr>
        <w:widowControl/>
        <w:numPr>
          <w:ilvl w:val="0"/>
          <w:numId w:val="0"/>
        </w:numPr>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4.</w:t>
      </w:r>
      <w:r>
        <w:rPr>
          <w:rFonts w:hint="eastAsia" w:ascii="仿宋_GB2312" w:hAnsi="宋体" w:eastAsia="仿宋_GB2312" w:cs="仿宋_GB2312"/>
          <w:b/>
          <w:color w:val="000000"/>
          <w:kern w:val="0"/>
          <w:szCs w:val="32"/>
        </w:rPr>
        <w:t>卫生健康支出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行政事业单位医疗</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公务员医疗补助</w:t>
      </w:r>
      <w:r>
        <w:rPr>
          <w:rFonts w:ascii="仿宋_GB2312" w:hAnsi="宋体" w:eastAsia="仿宋_GB2312" w:cs="仿宋_GB2312"/>
          <w:b/>
          <w:color w:val="000000"/>
          <w:kern w:val="0"/>
          <w:szCs w:val="32"/>
        </w:rPr>
        <w:t>（项）。</w:t>
      </w:r>
    </w:p>
    <w:p>
      <w:pPr>
        <w:widowControl/>
        <w:ind w:firstLine="640" w:firstLineChars="200"/>
        <w:jc w:val="left"/>
        <w:rPr>
          <w:rFonts w:ascii="仿宋_GB2312" w:hAnsi="宋体" w:eastAsia="仿宋_GB2312" w:cs="仿宋_GB2312"/>
          <w:b/>
          <w:color w:val="auto"/>
          <w:kern w:val="0"/>
          <w:szCs w:val="32"/>
        </w:rPr>
      </w:pPr>
      <w:r>
        <w:rPr>
          <w:rFonts w:hint="eastAsia" w:ascii="仿宋_GB2312" w:eastAsia="仿宋_GB2312"/>
          <w:color w:val="auto"/>
          <w:szCs w:val="32"/>
        </w:rPr>
        <w:t>公务员医疗补助</w:t>
      </w:r>
      <w:r>
        <w:rPr>
          <w:rFonts w:ascii="仿宋_GB2312" w:hAnsi="宋体" w:eastAsia="仿宋_GB2312" w:cs="仿宋_GB2312"/>
          <w:color w:val="auto"/>
          <w:kern w:val="0"/>
          <w:szCs w:val="32"/>
        </w:rPr>
        <w:t>年初预算为</w:t>
      </w:r>
      <w:r>
        <w:rPr>
          <w:rFonts w:hint="eastAsia" w:ascii="仿宋_GB2312" w:hAnsi="宋体" w:eastAsia="仿宋_GB2312" w:cs="仿宋_GB2312"/>
          <w:color w:val="auto"/>
          <w:kern w:val="0"/>
          <w:szCs w:val="32"/>
        </w:rPr>
        <w:t>0</w:t>
      </w:r>
      <w:r>
        <w:rPr>
          <w:rFonts w:hint="eastAsia" w:ascii="仿宋_GB2312" w:eastAsia="仿宋_GB2312"/>
          <w:color w:val="auto"/>
          <w:szCs w:val="32"/>
        </w:rPr>
        <w:t>元，</w:t>
      </w:r>
      <w:r>
        <w:rPr>
          <w:rFonts w:ascii="仿宋_GB2312" w:hAnsi="宋体" w:eastAsia="仿宋_GB2312" w:cs="仿宋_GB2312"/>
          <w:color w:val="auto"/>
          <w:kern w:val="0"/>
          <w:szCs w:val="32"/>
        </w:rPr>
        <w:t>支出决算为</w:t>
      </w:r>
      <w:r>
        <w:rPr>
          <w:rFonts w:hint="eastAsia" w:ascii="仿宋_GB2312" w:hAnsi="宋体" w:eastAsia="仿宋_GB2312" w:cs="仿宋_GB2312"/>
          <w:color w:val="auto"/>
          <w:kern w:val="0"/>
          <w:szCs w:val="32"/>
        </w:rPr>
        <w:t>0.</w:t>
      </w:r>
      <w:r>
        <w:rPr>
          <w:rFonts w:hint="eastAsia" w:ascii="仿宋_GB2312" w:hAnsi="宋体" w:eastAsia="仿宋_GB2312" w:cs="仿宋_GB2312"/>
          <w:color w:val="auto"/>
          <w:kern w:val="0"/>
          <w:szCs w:val="32"/>
          <w:lang w:val="en-US" w:eastAsia="zh-CN"/>
        </w:rPr>
        <w:t>38</w:t>
      </w:r>
      <w:r>
        <w:rPr>
          <w:rFonts w:ascii="仿宋_GB2312" w:hAnsi="宋体" w:eastAsia="仿宋_GB2312" w:cs="仿宋_GB2312"/>
          <w:color w:val="auto"/>
          <w:kern w:val="0"/>
          <w:szCs w:val="32"/>
        </w:rPr>
        <w:t>万元，决算数大于预算数的主要原因是</w:t>
      </w:r>
      <w:r>
        <w:rPr>
          <w:rFonts w:hint="eastAsia" w:ascii="仿宋_GB2312" w:eastAsia="仿宋_GB2312"/>
          <w:color w:val="auto"/>
          <w:szCs w:val="32"/>
        </w:rPr>
        <w:t>年初未安排公务员医疗补助，本年因预算增加导致</w:t>
      </w:r>
      <w:r>
        <w:rPr>
          <w:rFonts w:ascii="仿宋_GB2312" w:hAnsi="宋体" w:eastAsia="仿宋_GB2312" w:cs="仿宋_GB2312"/>
          <w:color w:val="auto"/>
          <w:kern w:val="0"/>
          <w:szCs w:val="32"/>
        </w:rPr>
        <w:t>决算数大于预算数</w:t>
      </w:r>
      <w:r>
        <w:rPr>
          <w:rFonts w:hint="eastAsia" w:ascii="仿宋_GB2312" w:hAnsi="宋体" w:eastAsia="仿宋_GB2312" w:cs="仿宋_GB2312"/>
          <w:color w:val="auto"/>
          <w:kern w:val="0"/>
          <w:szCs w:val="32"/>
        </w:rPr>
        <w:t>。</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5</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rPr>
        <w:t>卫生健康支出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rPr>
        <w:t>其他卫生健康支出</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rPr>
        <w:t>其他卫生健康支出</w:t>
      </w:r>
      <w:r>
        <w:rPr>
          <w:rFonts w:ascii="仿宋_GB2312" w:hAnsi="宋体" w:eastAsia="仿宋_GB2312" w:cs="仿宋_GB2312"/>
          <w:b/>
          <w:color w:val="000000"/>
          <w:kern w:val="0"/>
          <w:szCs w:val="32"/>
        </w:rPr>
        <w:t>（项）。</w:t>
      </w:r>
    </w:p>
    <w:p>
      <w:pPr>
        <w:widowControl/>
        <w:ind w:firstLine="640" w:firstLineChars="200"/>
        <w:jc w:val="left"/>
        <w:rPr>
          <w:rFonts w:hint="eastAsia" w:ascii="仿宋_GB2312" w:hAnsi="宋体" w:eastAsia="仿宋_GB2312" w:cs="仿宋_GB2312"/>
          <w:color w:val="auto"/>
          <w:kern w:val="0"/>
          <w:szCs w:val="32"/>
        </w:rPr>
      </w:pPr>
      <w:r>
        <w:rPr>
          <w:rFonts w:hint="eastAsia" w:ascii="仿宋_GB2312" w:eastAsia="仿宋_GB2312"/>
          <w:color w:val="auto"/>
          <w:szCs w:val="32"/>
        </w:rPr>
        <w:t>其他卫生健康支出</w:t>
      </w:r>
      <w:r>
        <w:rPr>
          <w:rFonts w:ascii="仿宋_GB2312" w:hAnsi="宋体" w:eastAsia="仿宋_GB2312" w:cs="仿宋_GB2312"/>
          <w:color w:val="auto"/>
          <w:kern w:val="0"/>
          <w:szCs w:val="32"/>
        </w:rPr>
        <w:t>年初预算为</w:t>
      </w:r>
      <w:r>
        <w:rPr>
          <w:rFonts w:hint="eastAsia" w:ascii="仿宋_GB2312" w:hAnsi="宋体" w:eastAsia="仿宋_GB2312" w:cs="仿宋_GB2312"/>
          <w:color w:val="auto"/>
          <w:kern w:val="0"/>
          <w:szCs w:val="32"/>
        </w:rPr>
        <w:t>0</w:t>
      </w:r>
      <w:r>
        <w:rPr>
          <w:rFonts w:hint="eastAsia" w:ascii="仿宋_GB2312" w:eastAsia="仿宋_GB2312"/>
          <w:color w:val="auto"/>
          <w:szCs w:val="32"/>
        </w:rPr>
        <w:t>元，</w:t>
      </w:r>
      <w:r>
        <w:rPr>
          <w:rFonts w:ascii="仿宋_GB2312" w:hAnsi="宋体" w:eastAsia="仿宋_GB2312" w:cs="仿宋_GB2312"/>
          <w:color w:val="auto"/>
          <w:kern w:val="0"/>
          <w:szCs w:val="32"/>
        </w:rPr>
        <w:t>支出决算为</w:t>
      </w:r>
      <w:r>
        <w:rPr>
          <w:rFonts w:hint="eastAsia" w:ascii="仿宋_GB2312" w:hAnsi="宋体" w:eastAsia="仿宋_GB2312" w:cs="仿宋_GB2312"/>
          <w:color w:val="auto"/>
          <w:kern w:val="0"/>
          <w:szCs w:val="32"/>
          <w:lang w:val="en-US" w:eastAsia="zh-CN"/>
        </w:rPr>
        <w:t>0.70</w:t>
      </w:r>
      <w:r>
        <w:rPr>
          <w:rFonts w:ascii="仿宋_GB2312" w:hAnsi="宋体" w:eastAsia="仿宋_GB2312" w:cs="仿宋_GB2312"/>
          <w:color w:val="auto"/>
          <w:kern w:val="0"/>
          <w:szCs w:val="32"/>
        </w:rPr>
        <w:t>万元，决算数大于预算数的主要原因是</w:t>
      </w:r>
      <w:r>
        <w:rPr>
          <w:rFonts w:hint="eastAsia" w:ascii="仿宋_GB2312" w:eastAsia="仿宋_GB2312"/>
          <w:color w:val="auto"/>
          <w:szCs w:val="32"/>
        </w:rPr>
        <w:t>年初未安排其他卫生健康支出，本年因预算增加导致</w:t>
      </w:r>
      <w:r>
        <w:rPr>
          <w:rFonts w:ascii="仿宋_GB2312" w:hAnsi="宋体" w:eastAsia="仿宋_GB2312" w:cs="仿宋_GB2312"/>
          <w:color w:val="auto"/>
          <w:kern w:val="0"/>
          <w:szCs w:val="32"/>
        </w:rPr>
        <w:t>决算数大于预算数</w:t>
      </w:r>
      <w:r>
        <w:rPr>
          <w:rFonts w:hint="eastAsia" w:ascii="仿宋_GB2312" w:hAnsi="宋体" w:eastAsia="仿宋_GB2312" w:cs="仿宋_GB2312"/>
          <w:color w:val="auto"/>
          <w:kern w:val="0"/>
          <w:szCs w:val="32"/>
        </w:rPr>
        <w:t>。</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6</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lang w:val="en-US" w:eastAsia="zh-CN"/>
        </w:rPr>
        <w:t>农林水支出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val="en-US" w:eastAsia="zh-CN"/>
        </w:rPr>
        <w:t>水利</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val="en-US" w:eastAsia="zh-CN"/>
        </w:rPr>
        <w:t>行政运行</w:t>
      </w:r>
      <w:r>
        <w:rPr>
          <w:rFonts w:ascii="仿宋_GB2312" w:hAnsi="宋体" w:eastAsia="仿宋_GB2312" w:cs="仿宋_GB2312"/>
          <w:b/>
          <w:color w:val="000000"/>
          <w:kern w:val="0"/>
          <w:szCs w:val="32"/>
        </w:rPr>
        <w:t>（项）。</w:t>
      </w:r>
    </w:p>
    <w:p>
      <w:pPr>
        <w:widowControl/>
        <w:ind w:firstLine="640" w:firstLineChars="200"/>
        <w:jc w:val="left"/>
        <w:rPr>
          <w:rFonts w:hint="default" w:ascii="仿宋_GB2312" w:hAnsi="宋体" w:eastAsia="仿宋_GB2312" w:cs="仿宋_GB2312"/>
          <w:color w:val="000000"/>
          <w:kern w:val="0"/>
          <w:szCs w:val="32"/>
          <w:lang w:val="en-US" w:eastAsia="zh-CN"/>
        </w:rPr>
      </w:pPr>
      <w:r>
        <w:rPr>
          <w:rFonts w:hint="eastAsia" w:ascii="仿宋_GB2312" w:eastAsia="仿宋_GB2312"/>
          <w:szCs w:val="32"/>
          <w:lang w:val="en-US" w:eastAsia="zh-CN"/>
        </w:rPr>
        <w:t>行政运行</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hint="eastAsia" w:ascii="仿宋_GB2312" w:eastAsia="仿宋_GB2312"/>
          <w:szCs w:val="32"/>
        </w:rPr>
        <w:t>元，</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73.84</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lang w:val="en-US" w:eastAsia="zh-CN"/>
        </w:rPr>
        <w:t>机构改革职能划转人员转隶，年初预算未安排防汛抗旱指挥部行政运行。</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7</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lang w:val="en-US" w:eastAsia="zh-CN"/>
        </w:rPr>
        <w:t>灾害防治及应急管理支出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val="en-US" w:eastAsia="zh-CN"/>
        </w:rPr>
        <w:t>应急管理事务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val="en-US" w:eastAsia="zh-CN"/>
        </w:rPr>
        <w:t>行政运行</w:t>
      </w:r>
      <w:r>
        <w:rPr>
          <w:rFonts w:ascii="仿宋_GB2312" w:hAnsi="宋体" w:eastAsia="仿宋_GB2312" w:cs="仿宋_GB2312"/>
          <w:b/>
          <w:color w:val="000000"/>
          <w:kern w:val="0"/>
          <w:szCs w:val="32"/>
        </w:rPr>
        <w:t>（项）。</w:t>
      </w:r>
    </w:p>
    <w:p>
      <w:pPr>
        <w:widowControl/>
        <w:ind w:firstLine="640" w:firstLineChars="200"/>
        <w:jc w:val="left"/>
        <w:rPr>
          <w:rFonts w:hint="default" w:ascii="仿宋_GB2312" w:hAnsi="宋体" w:eastAsia="仿宋_GB2312" w:cs="仿宋_GB2312"/>
          <w:color w:val="auto"/>
          <w:kern w:val="0"/>
          <w:szCs w:val="32"/>
          <w:lang w:val="en-US" w:eastAsia="zh-CN"/>
        </w:rPr>
      </w:pPr>
      <w:r>
        <w:rPr>
          <w:rFonts w:hint="eastAsia" w:ascii="仿宋_GB2312" w:eastAsia="仿宋_GB2312"/>
          <w:color w:val="auto"/>
          <w:szCs w:val="32"/>
          <w:lang w:val="en-US" w:eastAsia="zh-CN"/>
        </w:rPr>
        <w:t>行政运行</w:t>
      </w:r>
      <w:r>
        <w:rPr>
          <w:rFonts w:ascii="仿宋_GB2312" w:hAnsi="宋体" w:eastAsia="仿宋_GB2312" w:cs="仿宋_GB2312"/>
          <w:color w:val="auto"/>
          <w:kern w:val="0"/>
          <w:szCs w:val="32"/>
        </w:rPr>
        <w:t>年初预算为</w:t>
      </w:r>
      <w:r>
        <w:rPr>
          <w:rFonts w:hint="eastAsia" w:ascii="仿宋_GB2312" w:hAnsi="宋体" w:eastAsia="仿宋_GB2312" w:cs="仿宋_GB2312"/>
          <w:color w:val="auto"/>
          <w:kern w:val="0"/>
          <w:szCs w:val="32"/>
          <w:lang w:val="en-US" w:eastAsia="zh-CN"/>
        </w:rPr>
        <w:t>144.03万</w:t>
      </w:r>
      <w:r>
        <w:rPr>
          <w:rFonts w:hint="eastAsia" w:ascii="仿宋_GB2312" w:eastAsia="仿宋_GB2312"/>
          <w:color w:val="auto"/>
          <w:szCs w:val="32"/>
        </w:rPr>
        <w:t>元，</w:t>
      </w:r>
      <w:r>
        <w:rPr>
          <w:rFonts w:ascii="仿宋_GB2312" w:hAnsi="宋体" w:eastAsia="仿宋_GB2312" w:cs="仿宋_GB2312"/>
          <w:color w:val="auto"/>
          <w:kern w:val="0"/>
          <w:szCs w:val="32"/>
        </w:rPr>
        <w:t>支出决算为</w:t>
      </w:r>
      <w:r>
        <w:rPr>
          <w:rFonts w:hint="eastAsia" w:ascii="仿宋_GB2312" w:hAnsi="宋体" w:eastAsia="仿宋_GB2312" w:cs="仿宋_GB2312"/>
          <w:color w:val="auto"/>
          <w:kern w:val="0"/>
          <w:szCs w:val="32"/>
          <w:lang w:val="en-US" w:eastAsia="zh-CN"/>
        </w:rPr>
        <w:t>225.88</w:t>
      </w:r>
      <w:r>
        <w:rPr>
          <w:rFonts w:ascii="仿宋_GB2312" w:hAnsi="宋体" w:eastAsia="仿宋_GB2312" w:cs="仿宋_GB2312"/>
          <w:color w:val="auto"/>
          <w:kern w:val="0"/>
          <w:szCs w:val="32"/>
        </w:rPr>
        <w:t>万元，决算数大于预算数的主要原因是</w:t>
      </w:r>
      <w:r>
        <w:rPr>
          <w:rFonts w:hint="eastAsia" w:ascii="仿宋_GB2312" w:hAnsi="宋体" w:eastAsia="仿宋_GB2312" w:cs="仿宋_GB2312"/>
          <w:color w:val="auto"/>
          <w:kern w:val="0"/>
          <w:szCs w:val="32"/>
          <w:lang w:val="en-US" w:eastAsia="zh-CN"/>
        </w:rPr>
        <w:t>机构改革人员增加。</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8</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lang w:val="en-US" w:eastAsia="zh-CN"/>
        </w:rPr>
        <w:t>灾害防治及应急管理支出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val="en-US" w:eastAsia="zh-CN"/>
        </w:rPr>
        <w:t>应急管理事务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val="en-US" w:eastAsia="zh-CN"/>
        </w:rPr>
        <w:t>一般行政管理事务</w:t>
      </w:r>
      <w:r>
        <w:rPr>
          <w:rFonts w:ascii="仿宋_GB2312" w:hAnsi="宋体" w:eastAsia="仿宋_GB2312" w:cs="仿宋_GB2312"/>
          <w:b/>
          <w:color w:val="000000"/>
          <w:kern w:val="0"/>
          <w:szCs w:val="32"/>
        </w:rPr>
        <w:t>（项）。</w:t>
      </w:r>
    </w:p>
    <w:p>
      <w:pPr>
        <w:widowControl/>
        <w:ind w:firstLine="640" w:firstLineChars="200"/>
        <w:jc w:val="left"/>
        <w:rPr>
          <w:rFonts w:ascii="仿宋_GB2312" w:hAnsi="宋体" w:eastAsia="仿宋_GB2312" w:cs="仿宋_GB2312"/>
          <w:b/>
          <w:color w:val="000000"/>
          <w:kern w:val="0"/>
          <w:szCs w:val="32"/>
        </w:rPr>
      </w:pPr>
      <w:r>
        <w:rPr>
          <w:rFonts w:hint="eastAsia" w:ascii="仿宋_GB2312" w:eastAsia="仿宋_GB2312"/>
          <w:szCs w:val="32"/>
          <w:lang w:val="en-US" w:eastAsia="zh-CN"/>
        </w:rPr>
        <w:t>一般行政管理事务</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hint="eastAsia" w:ascii="仿宋_GB2312" w:eastAsia="仿宋_GB2312"/>
          <w:szCs w:val="32"/>
        </w:rPr>
        <w:t>元，</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49.45</w:t>
      </w:r>
      <w:r>
        <w:rPr>
          <w:rFonts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年初未安排</w:t>
      </w:r>
      <w:r>
        <w:rPr>
          <w:rFonts w:hint="eastAsia" w:ascii="仿宋_GB2312" w:eastAsia="仿宋_GB2312"/>
          <w:szCs w:val="32"/>
          <w:lang w:val="en-US" w:eastAsia="zh-CN"/>
        </w:rPr>
        <w:t>一般行政管理事务</w:t>
      </w:r>
      <w:r>
        <w:rPr>
          <w:rFonts w:hint="eastAsia" w:ascii="仿宋_GB2312" w:eastAsia="仿宋_GB2312"/>
          <w:szCs w:val="32"/>
        </w:rPr>
        <w:t>，本年因</w:t>
      </w:r>
      <w:r>
        <w:rPr>
          <w:rFonts w:hint="eastAsia" w:ascii="仿宋_GB2312" w:eastAsia="仿宋_GB2312"/>
          <w:szCs w:val="32"/>
          <w:lang w:val="en-US" w:eastAsia="zh-CN"/>
        </w:rPr>
        <w:t>追加</w:t>
      </w:r>
      <w:r>
        <w:rPr>
          <w:rFonts w:hint="eastAsia" w:ascii="仿宋_GB2312" w:eastAsia="仿宋_GB2312"/>
          <w:szCs w:val="32"/>
        </w:rPr>
        <w:t>导致</w:t>
      </w:r>
      <w:r>
        <w:rPr>
          <w:rFonts w:ascii="仿宋_GB2312" w:hAnsi="宋体" w:eastAsia="仿宋_GB2312" w:cs="仿宋_GB2312"/>
          <w:color w:val="000000"/>
          <w:kern w:val="0"/>
          <w:szCs w:val="32"/>
        </w:rPr>
        <w:t>决算数大于预算数</w:t>
      </w:r>
      <w:r>
        <w:rPr>
          <w:rFonts w:hint="eastAsia" w:ascii="仿宋_GB2312" w:hAnsi="宋体" w:eastAsia="仿宋_GB2312" w:cs="仿宋_GB2312"/>
          <w:color w:val="000000"/>
          <w:kern w:val="0"/>
          <w:szCs w:val="32"/>
        </w:rPr>
        <w:t>。</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9</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lang w:val="en-US" w:eastAsia="zh-CN"/>
        </w:rPr>
        <w:t>灾害防治及应急管理支出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val="en-US" w:eastAsia="zh-CN"/>
        </w:rPr>
        <w:t>应急管理事务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val="en-US" w:eastAsia="zh-CN"/>
        </w:rPr>
        <w:t>安全监管</w:t>
      </w:r>
      <w:r>
        <w:rPr>
          <w:rFonts w:ascii="仿宋_GB2312" w:hAnsi="宋体" w:eastAsia="仿宋_GB2312" w:cs="仿宋_GB2312"/>
          <w:b/>
          <w:color w:val="000000"/>
          <w:kern w:val="0"/>
          <w:szCs w:val="32"/>
        </w:rPr>
        <w:t>（项）。</w:t>
      </w:r>
    </w:p>
    <w:p>
      <w:pPr>
        <w:widowControl/>
        <w:ind w:firstLine="640" w:firstLineChars="200"/>
        <w:jc w:val="left"/>
        <w:rPr>
          <w:rFonts w:ascii="仿宋_GB2312" w:hAnsi="宋体" w:eastAsia="仿宋_GB2312" w:cs="仿宋_GB2312"/>
          <w:b/>
          <w:color w:val="000000"/>
          <w:kern w:val="0"/>
          <w:szCs w:val="32"/>
        </w:rPr>
      </w:pPr>
      <w:r>
        <w:rPr>
          <w:rFonts w:hint="eastAsia" w:ascii="仿宋_GB2312" w:eastAsia="仿宋_GB2312"/>
          <w:szCs w:val="32"/>
          <w:lang w:val="en-US" w:eastAsia="zh-CN"/>
        </w:rPr>
        <w:t>安全监管</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hint="eastAsia" w:ascii="仿宋_GB2312" w:eastAsia="仿宋_GB2312"/>
          <w:szCs w:val="32"/>
        </w:rPr>
        <w:t>元，</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58.69</w:t>
      </w:r>
      <w:r>
        <w:rPr>
          <w:rFonts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年初未安排</w:t>
      </w:r>
      <w:r>
        <w:rPr>
          <w:rFonts w:hint="eastAsia" w:ascii="仿宋_GB2312" w:eastAsia="仿宋_GB2312"/>
          <w:szCs w:val="32"/>
          <w:lang w:val="en-US" w:eastAsia="zh-CN"/>
        </w:rPr>
        <w:t>安全监管</w:t>
      </w:r>
      <w:r>
        <w:rPr>
          <w:rFonts w:hint="eastAsia" w:ascii="仿宋_GB2312" w:eastAsia="仿宋_GB2312"/>
          <w:szCs w:val="32"/>
        </w:rPr>
        <w:t>，本年因</w:t>
      </w:r>
      <w:r>
        <w:rPr>
          <w:rFonts w:hint="eastAsia" w:ascii="仿宋_GB2312" w:eastAsia="仿宋_GB2312"/>
          <w:szCs w:val="32"/>
          <w:lang w:val="en-US" w:eastAsia="zh-CN"/>
        </w:rPr>
        <w:t>追加</w:t>
      </w:r>
      <w:r>
        <w:rPr>
          <w:rFonts w:hint="eastAsia" w:ascii="仿宋_GB2312" w:eastAsia="仿宋_GB2312"/>
          <w:szCs w:val="32"/>
        </w:rPr>
        <w:t>导致</w:t>
      </w:r>
      <w:r>
        <w:rPr>
          <w:rFonts w:ascii="仿宋_GB2312" w:hAnsi="宋体" w:eastAsia="仿宋_GB2312" w:cs="仿宋_GB2312"/>
          <w:color w:val="000000"/>
          <w:kern w:val="0"/>
          <w:szCs w:val="32"/>
        </w:rPr>
        <w:t>决算数大于预算数</w:t>
      </w:r>
      <w:r>
        <w:rPr>
          <w:rFonts w:hint="eastAsia" w:ascii="仿宋_GB2312" w:hAnsi="宋体" w:eastAsia="仿宋_GB2312" w:cs="仿宋_GB2312"/>
          <w:color w:val="000000"/>
          <w:kern w:val="0"/>
          <w:szCs w:val="32"/>
        </w:rPr>
        <w:t>。</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10</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lang w:val="en-US" w:eastAsia="zh-CN"/>
        </w:rPr>
        <w:t>灾害防治及应急管理支出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val="en-US" w:eastAsia="zh-CN"/>
        </w:rPr>
        <w:t>应急管理事务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val="en-US" w:eastAsia="zh-CN"/>
        </w:rPr>
        <w:t>应急救援</w:t>
      </w:r>
      <w:r>
        <w:rPr>
          <w:rFonts w:ascii="仿宋_GB2312" w:hAnsi="宋体" w:eastAsia="仿宋_GB2312" w:cs="仿宋_GB2312"/>
          <w:b/>
          <w:color w:val="000000"/>
          <w:kern w:val="0"/>
          <w:szCs w:val="32"/>
        </w:rPr>
        <w:t>（项）。</w:t>
      </w:r>
    </w:p>
    <w:p>
      <w:pPr>
        <w:widowControl/>
        <w:ind w:firstLine="640" w:firstLineChars="200"/>
        <w:jc w:val="left"/>
        <w:rPr>
          <w:rFonts w:ascii="仿宋_GB2312" w:hAnsi="宋体" w:eastAsia="仿宋_GB2312" w:cs="仿宋_GB2312"/>
          <w:b/>
          <w:color w:val="000000"/>
          <w:kern w:val="0"/>
          <w:szCs w:val="32"/>
        </w:rPr>
      </w:pPr>
      <w:r>
        <w:rPr>
          <w:rFonts w:hint="eastAsia" w:ascii="仿宋_GB2312" w:eastAsia="仿宋_GB2312"/>
          <w:szCs w:val="32"/>
          <w:lang w:val="en-US" w:eastAsia="zh-CN"/>
        </w:rPr>
        <w:t>应急救援</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hint="eastAsia" w:ascii="仿宋_GB2312" w:eastAsia="仿宋_GB2312"/>
          <w:szCs w:val="32"/>
        </w:rPr>
        <w:t>元，</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28.81</w:t>
      </w:r>
      <w:r>
        <w:rPr>
          <w:rFonts w:ascii="仿宋_GB2312" w:hAnsi="宋体" w:eastAsia="仿宋_GB2312" w:cs="仿宋_GB2312"/>
          <w:color w:val="000000"/>
          <w:kern w:val="0"/>
          <w:szCs w:val="32"/>
        </w:rPr>
        <w:t>万元，决算数大于预算数的主要原因是</w:t>
      </w:r>
      <w:r>
        <w:rPr>
          <w:rFonts w:hint="eastAsia" w:ascii="仿宋_GB2312" w:eastAsia="仿宋_GB2312"/>
          <w:szCs w:val="32"/>
        </w:rPr>
        <w:t>年初未安排</w:t>
      </w:r>
      <w:r>
        <w:rPr>
          <w:rFonts w:hint="eastAsia" w:ascii="仿宋_GB2312" w:eastAsia="仿宋_GB2312"/>
          <w:szCs w:val="32"/>
          <w:lang w:val="en-US" w:eastAsia="zh-CN"/>
        </w:rPr>
        <w:t>应急救援</w:t>
      </w:r>
      <w:r>
        <w:rPr>
          <w:rFonts w:hint="eastAsia" w:ascii="仿宋_GB2312" w:eastAsia="仿宋_GB2312"/>
          <w:szCs w:val="32"/>
        </w:rPr>
        <w:t>，本年因</w:t>
      </w:r>
      <w:r>
        <w:rPr>
          <w:rFonts w:hint="eastAsia" w:ascii="仿宋_GB2312" w:eastAsia="仿宋_GB2312"/>
          <w:szCs w:val="32"/>
          <w:lang w:val="en-US" w:eastAsia="zh-CN"/>
        </w:rPr>
        <w:t>追加</w:t>
      </w:r>
      <w:r>
        <w:rPr>
          <w:rFonts w:hint="eastAsia" w:ascii="仿宋_GB2312" w:eastAsia="仿宋_GB2312"/>
          <w:szCs w:val="32"/>
        </w:rPr>
        <w:t>导致</w:t>
      </w:r>
      <w:r>
        <w:rPr>
          <w:rFonts w:ascii="仿宋_GB2312" w:hAnsi="宋体" w:eastAsia="仿宋_GB2312" w:cs="仿宋_GB2312"/>
          <w:color w:val="000000"/>
          <w:kern w:val="0"/>
          <w:szCs w:val="32"/>
        </w:rPr>
        <w:t>决算数大于预算数</w:t>
      </w:r>
      <w:r>
        <w:rPr>
          <w:rFonts w:hint="eastAsia" w:ascii="仿宋_GB2312" w:hAnsi="宋体" w:eastAsia="仿宋_GB2312" w:cs="仿宋_GB2312"/>
          <w:color w:val="000000"/>
          <w:kern w:val="0"/>
          <w:szCs w:val="32"/>
        </w:rPr>
        <w:t>。</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11</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lang w:val="en-US" w:eastAsia="zh-CN"/>
        </w:rPr>
        <w:t>灾害防治及应急管理支出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val="en-US" w:eastAsia="zh-CN"/>
        </w:rPr>
        <w:t>地震事务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val="en-US" w:eastAsia="zh-CN"/>
        </w:rPr>
        <w:t>行政运行</w:t>
      </w:r>
      <w:r>
        <w:rPr>
          <w:rFonts w:ascii="仿宋_GB2312" w:hAnsi="宋体" w:eastAsia="仿宋_GB2312" w:cs="仿宋_GB2312"/>
          <w:b/>
          <w:color w:val="000000"/>
          <w:kern w:val="0"/>
          <w:szCs w:val="32"/>
        </w:rPr>
        <w:t>（项）。</w:t>
      </w:r>
    </w:p>
    <w:p>
      <w:pPr>
        <w:widowControl/>
        <w:ind w:firstLine="640" w:firstLineChars="200"/>
        <w:jc w:val="left"/>
        <w:rPr>
          <w:rFonts w:ascii="仿宋_GB2312" w:hAnsi="宋体" w:eastAsia="仿宋_GB2312" w:cs="仿宋_GB2312"/>
          <w:b/>
          <w:color w:val="000000"/>
          <w:kern w:val="0"/>
          <w:szCs w:val="32"/>
        </w:rPr>
      </w:pPr>
      <w:r>
        <w:rPr>
          <w:rFonts w:hint="eastAsia" w:ascii="仿宋_GB2312" w:eastAsia="仿宋_GB2312"/>
          <w:szCs w:val="32"/>
          <w:lang w:val="en-US" w:eastAsia="zh-CN"/>
        </w:rPr>
        <w:t>行政运行</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hint="eastAsia" w:ascii="仿宋_GB2312" w:eastAsia="仿宋_GB2312"/>
          <w:szCs w:val="32"/>
        </w:rPr>
        <w:t>元，</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4.52</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lang w:val="en-US" w:eastAsia="zh-CN"/>
        </w:rPr>
        <w:t>机构改革职能划转人员转隶</w:t>
      </w:r>
      <w:r>
        <w:rPr>
          <w:rFonts w:hint="eastAsia" w:ascii="仿宋_GB2312" w:eastAsia="仿宋_GB2312"/>
          <w:szCs w:val="32"/>
        </w:rPr>
        <w:t>，导致</w:t>
      </w:r>
      <w:r>
        <w:rPr>
          <w:rFonts w:ascii="仿宋_GB2312" w:hAnsi="宋体" w:eastAsia="仿宋_GB2312" w:cs="仿宋_GB2312"/>
          <w:color w:val="000000"/>
          <w:kern w:val="0"/>
          <w:szCs w:val="32"/>
        </w:rPr>
        <w:t>决算数大于预算数</w:t>
      </w:r>
      <w:r>
        <w:rPr>
          <w:rFonts w:hint="eastAsia" w:ascii="仿宋_GB2312" w:hAnsi="宋体" w:eastAsia="仿宋_GB2312" w:cs="仿宋_GB2312"/>
          <w:color w:val="000000"/>
          <w:kern w:val="0"/>
          <w:szCs w:val="32"/>
        </w:rPr>
        <w:t>。</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12</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lang w:val="en-US" w:eastAsia="zh-CN"/>
        </w:rPr>
        <w:t>灾害防治及应急管理支出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val="en-US" w:eastAsia="zh-CN"/>
        </w:rPr>
        <w:t>地震事务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val="en-US" w:eastAsia="zh-CN"/>
        </w:rPr>
        <w:t>地震监测</w:t>
      </w:r>
      <w:r>
        <w:rPr>
          <w:rFonts w:ascii="仿宋_GB2312" w:hAnsi="宋体" w:eastAsia="仿宋_GB2312" w:cs="仿宋_GB2312"/>
          <w:b/>
          <w:color w:val="000000"/>
          <w:kern w:val="0"/>
          <w:szCs w:val="32"/>
        </w:rPr>
        <w:t>（项）。</w:t>
      </w:r>
    </w:p>
    <w:p>
      <w:pPr>
        <w:widowControl/>
        <w:ind w:firstLine="640" w:firstLineChars="200"/>
        <w:jc w:val="left"/>
        <w:rPr>
          <w:rFonts w:ascii="仿宋_GB2312" w:hAnsi="宋体" w:eastAsia="仿宋_GB2312" w:cs="仿宋_GB2312"/>
          <w:b/>
          <w:color w:val="000000"/>
          <w:kern w:val="0"/>
          <w:szCs w:val="32"/>
        </w:rPr>
      </w:pPr>
      <w:r>
        <w:rPr>
          <w:rFonts w:hint="eastAsia" w:ascii="仿宋_GB2312" w:eastAsia="仿宋_GB2312"/>
          <w:szCs w:val="32"/>
          <w:lang w:val="en-US" w:eastAsia="zh-CN"/>
        </w:rPr>
        <w:t>地震监测</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hint="eastAsia" w:ascii="仿宋_GB2312" w:eastAsia="仿宋_GB2312"/>
          <w:szCs w:val="32"/>
        </w:rPr>
        <w:t>元，</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2.94</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lang w:val="en-US" w:eastAsia="zh-CN"/>
        </w:rPr>
        <w:t>机构改革职能划转人员转隶</w:t>
      </w:r>
      <w:r>
        <w:rPr>
          <w:rFonts w:hint="eastAsia" w:ascii="仿宋_GB2312" w:eastAsia="仿宋_GB2312"/>
          <w:szCs w:val="32"/>
        </w:rPr>
        <w:t>，本年因</w:t>
      </w:r>
      <w:r>
        <w:rPr>
          <w:rFonts w:hint="eastAsia" w:ascii="仿宋_GB2312" w:eastAsia="仿宋_GB2312"/>
          <w:szCs w:val="32"/>
          <w:lang w:val="en-US" w:eastAsia="zh-CN"/>
        </w:rPr>
        <w:t>追加</w:t>
      </w:r>
      <w:r>
        <w:rPr>
          <w:rFonts w:hint="eastAsia" w:ascii="仿宋_GB2312" w:eastAsia="仿宋_GB2312"/>
          <w:szCs w:val="32"/>
        </w:rPr>
        <w:t>导致</w:t>
      </w:r>
      <w:r>
        <w:rPr>
          <w:rFonts w:ascii="仿宋_GB2312" w:hAnsi="宋体" w:eastAsia="仿宋_GB2312" w:cs="仿宋_GB2312"/>
          <w:color w:val="000000"/>
          <w:kern w:val="0"/>
          <w:szCs w:val="32"/>
        </w:rPr>
        <w:t>决算数大于预算数</w:t>
      </w:r>
      <w:r>
        <w:rPr>
          <w:rFonts w:hint="eastAsia" w:ascii="仿宋_GB2312" w:hAnsi="宋体" w:eastAsia="仿宋_GB2312" w:cs="仿宋_GB2312"/>
          <w:color w:val="000000"/>
          <w:kern w:val="0"/>
          <w:szCs w:val="32"/>
        </w:rPr>
        <w:t>。</w:t>
      </w:r>
    </w:p>
    <w:p>
      <w:pPr>
        <w:widowControl/>
        <w:ind w:firstLine="643" w:firstLineChars="200"/>
        <w:jc w:val="left"/>
        <w:rPr>
          <w:rFonts w:ascii="仿宋_GB2312" w:hAnsi="宋体" w:eastAsia="仿宋_GB2312" w:cs="仿宋_GB2312"/>
          <w:b/>
          <w:color w:val="000000"/>
          <w:kern w:val="0"/>
          <w:szCs w:val="32"/>
        </w:rPr>
      </w:pPr>
      <w:r>
        <w:rPr>
          <w:rFonts w:hint="eastAsia" w:ascii="仿宋_GB2312" w:hAnsi="宋体" w:eastAsia="仿宋_GB2312" w:cs="仿宋_GB2312"/>
          <w:b/>
          <w:color w:val="000000"/>
          <w:kern w:val="0"/>
          <w:szCs w:val="32"/>
          <w:lang w:val="en-US" w:eastAsia="zh-CN"/>
        </w:rPr>
        <w:t>13</w:t>
      </w:r>
      <w:r>
        <w:rPr>
          <w:rFonts w:ascii="仿宋_GB2312" w:hAnsi="宋体" w:eastAsia="仿宋_GB2312" w:cs="仿宋_GB2312"/>
          <w:b/>
          <w:color w:val="000000"/>
          <w:kern w:val="0"/>
          <w:szCs w:val="32"/>
        </w:rPr>
        <w:t>.</w:t>
      </w:r>
      <w:r>
        <w:rPr>
          <w:rFonts w:hint="eastAsia" w:ascii="仿宋_GB2312" w:hAnsi="宋体" w:eastAsia="仿宋_GB2312" w:cs="仿宋_GB2312"/>
          <w:b/>
          <w:color w:val="000000"/>
          <w:kern w:val="0"/>
          <w:szCs w:val="32"/>
          <w:lang w:val="en-US" w:eastAsia="zh-CN"/>
        </w:rPr>
        <w:t>灾害防治及应急管理支出</w:t>
      </w:r>
      <w:r>
        <w:rPr>
          <w:rFonts w:ascii="仿宋_GB2312" w:hAnsi="宋体" w:eastAsia="仿宋_GB2312" w:cs="仿宋_GB2312"/>
          <w:b/>
          <w:color w:val="000000"/>
          <w:kern w:val="0"/>
          <w:szCs w:val="32"/>
        </w:rPr>
        <w:t>（类）</w:t>
      </w:r>
      <w:r>
        <w:rPr>
          <w:rFonts w:hint="eastAsia" w:ascii="仿宋_GB2312" w:hAnsi="宋体" w:eastAsia="仿宋_GB2312" w:cs="仿宋_GB2312"/>
          <w:b/>
          <w:color w:val="000000"/>
          <w:kern w:val="0"/>
          <w:szCs w:val="32"/>
          <w:lang w:val="en-US" w:eastAsia="zh-CN"/>
        </w:rPr>
        <w:t>地震事务</w:t>
      </w:r>
      <w:r>
        <w:rPr>
          <w:rFonts w:ascii="仿宋_GB2312" w:hAnsi="宋体" w:eastAsia="仿宋_GB2312" w:cs="仿宋_GB2312"/>
          <w:b/>
          <w:color w:val="000000"/>
          <w:kern w:val="0"/>
          <w:szCs w:val="32"/>
        </w:rPr>
        <w:t>（款）</w:t>
      </w:r>
      <w:r>
        <w:rPr>
          <w:rFonts w:hint="eastAsia" w:ascii="仿宋_GB2312" w:hAnsi="宋体" w:eastAsia="仿宋_GB2312" w:cs="仿宋_GB2312"/>
          <w:b/>
          <w:color w:val="000000"/>
          <w:kern w:val="0"/>
          <w:szCs w:val="32"/>
          <w:lang w:val="en-US" w:eastAsia="zh-CN"/>
        </w:rPr>
        <w:t>地震事业机构</w:t>
      </w:r>
      <w:r>
        <w:rPr>
          <w:rFonts w:ascii="仿宋_GB2312" w:hAnsi="宋体" w:eastAsia="仿宋_GB2312" w:cs="仿宋_GB2312"/>
          <w:b/>
          <w:color w:val="000000"/>
          <w:kern w:val="0"/>
          <w:szCs w:val="32"/>
        </w:rPr>
        <w:t>（项）。</w:t>
      </w:r>
    </w:p>
    <w:p>
      <w:pPr>
        <w:widowControl/>
        <w:ind w:firstLine="640" w:firstLineChars="200"/>
        <w:jc w:val="left"/>
        <w:rPr>
          <w:rFonts w:hint="eastAsia" w:ascii="仿宋_GB2312" w:hAnsi="宋体" w:eastAsia="仿宋_GB2312" w:cs="仿宋_GB2312"/>
          <w:color w:val="000000"/>
          <w:kern w:val="0"/>
          <w:szCs w:val="32"/>
        </w:rPr>
      </w:pPr>
      <w:r>
        <w:rPr>
          <w:rFonts w:hint="eastAsia" w:ascii="仿宋_GB2312" w:eastAsia="仿宋_GB2312"/>
          <w:szCs w:val="32"/>
          <w:lang w:val="en-US" w:eastAsia="zh-CN"/>
        </w:rPr>
        <w:t>地震事业机构</w:t>
      </w:r>
      <w:r>
        <w:rPr>
          <w:rFonts w:ascii="仿宋_GB2312" w:hAnsi="宋体" w:eastAsia="仿宋_GB2312" w:cs="仿宋_GB2312"/>
          <w:color w:val="000000"/>
          <w:kern w:val="0"/>
          <w:szCs w:val="32"/>
        </w:rPr>
        <w:t>年初预算为</w:t>
      </w:r>
      <w:r>
        <w:rPr>
          <w:rFonts w:hint="eastAsia" w:ascii="仿宋_GB2312" w:hAnsi="宋体" w:eastAsia="仿宋_GB2312" w:cs="仿宋_GB2312"/>
          <w:color w:val="000000"/>
          <w:kern w:val="0"/>
          <w:szCs w:val="32"/>
        </w:rPr>
        <w:t>0</w:t>
      </w:r>
      <w:r>
        <w:rPr>
          <w:rFonts w:hint="eastAsia" w:ascii="仿宋_GB2312" w:eastAsia="仿宋_GB2312"/>
          <w:szCs w:val="32"/>
        </w:rPr>
        <w:t>元，</w:t>
      </w:r>
      <w:r>
        <w:rPr>
          <w:rFonts w:ascii="仿宋_GB2312" w:hAnsi="宋体" w:eastAsia="仿宋_GB2312" w:cs="仿宋_GB2312"/>
          <w:color w:val="000000"/>
          <w:kern w:val="0"/>
          <w:szCs w:val="32"/>
        </w:rPr>
        <w:t>支出决算为</w:t>
      </w:r>
      <w:r>
        <w:rPr>
          <w:rFonts w:hint="eastAsia" w:ascii="仿宋_GB2312" w:hAnsi="宋体" w:eastAsia="仿宋_GB2312" w:cs="仿宋_GB2312"/>
          <w:color w:val="000000"/>
          <w:kern w:val="0"/>
          <w:szCs w:val="32"/>
          <w:lang w:val="en-US" w:eastAsia="zh-CN"/>
        </w:rPr>
        <w:t>36.61</w:t>
      </w:r>
      <w:r>
        <w:rPr>
          <w:rFonts w:ascii="仿宋_GB2312" w:hAnsi="宋体" w:eastAsia="仿宋_GB2312" w:cs="仿宋_GB2312"/>
          <w:color w:val="000000"/>
          <w:kern w:val="0"/>
          <w:szCs w:val="32"/>
        </w:rPr>
        <w:t>万元，决算数大于预算数的主要原因是</w:t>
      </w:r>
      <w:r>
        <w:rPr>
          <w:rFonts w:hint="eastAsia" w:ascii="仿宋_GB2312" w:hAnsi="宋体" w:eastAsia="仿宋_GB2312" w:cs="仿宋_GB2312"/>
          <w:color w:val="000000"/>
          <w:kern w:val="0"/>
          <w:szCs w:val="32"/>
          <w:lang w:val="en-US" w:eastAsia="zh-CN"/>
        </w:rPr>
        <w:t>机构改革职能划转人员转隶，</w:t>
      </w:r>
      <w:r>
        <w:rPr>
          <w:rFonts w:hint="eastAsia" w:ascii="仿宋_GB2312" w:eastAsia="仿宋_GB2312"/>
          <w:szCs w:val="32"/>
        </w:rPr>
        <w:t>导致</w:t>
      </w:r>
      <w:r>
        <w:rPr>
          <w:rFonts w:ascii="仿宋_GB2312" w:hAnsi="宋体" w:eastAsia="仿宋_GB2312" w:cs="仿宋_GB2312"/>
          <w:color w:val="000000"/>
          <w:kern w:val="0"/>
          <w:szCs w:val="32"/>
        </w:rPr>
        <w:t>决算数大于预算数</w:t>
      </w:r>
      <w:r>
        <w:rPr>
          <w:rFonts w:hint="eastAsia" w:ascii="仿宋_GB2312" w:hAnsi="宋体" w:eastAsia="仿宋_GB2312" w:cs="仿宋_GB2312"/>
          <w:color w:val="000000"/>
          <w:kern w:val="0"/>
          <w:szCs w:val="32"/>
        </w:rPr>
        <w:t>。</w:t>
      </w:r>
    </w:p>
    <w:p>
      <w:pPr>
        <w:spacing w:line="360" w:lineRule="auto"/>
        <w:ind w:firstLine="640" w:firstLineChars="200"/>
        <w:rPr>
          <w:rFonts w:ascii="仿宋_GB2312" w:hAnsi="仿宋" w:eastAsia="仿宋_GB2312"/>
          <w:szCs w:val="32"/>
        </w:rPr>
      </w:pPr>
      <w:r>
        <w:rPr>
          <w:rFonts w:hint="eastAsia" w:ascii="黑体" w:hAnsi="黑体" w:eastAsia="黑体"/>
          <w:color w:val="000000"/>
          <w:kern w:val="0"/>
          <w:szCs w:val="32"/>
        </w:rPr>
        <w:t>六、一般公共预算财政拨款基本支出决算情况说明</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201</w:t>
      </w:r>
      <w:r>
        <w:rPr>
          <w:rFonts w:hint="eastAsia" w:ascii="仿宋_GB2312" w:hAnsi="仿宋_GB2312" w:eastAsia="仿宋_GB2312" w:cs="仿宋_GB2312"/>
          <w:color w:val="000000"/>
          <w:kern w:val="0"/>
          <w:sz w:val="31"/>
          <w:szCs w:val="31"/>
        </w:rPr>
        <w:t>9</w:t>
      </w:r>
      <w:r>
        <w:rPr>
          <w:rFonts w:ascii="仿宋_GB2312" w:hAnsi="仿宋_GB2312" w:eastAsia="仿宋_GB2312" w:cs="仿宋_GB2312"/>
          <w:color w:val="000000"/>
          <w:kern w:val="0"/>
          <w:sz w:val="31"/>
          <w:szCs w:val="31"/>
        </w:rPr>
        <w:t>年</w:t>
      </w:r>
      <w:r>
        <w:rPr>
          <w:rFonts w:hint="eastAsia" w:ascii="仿宋_GB2312" w:hAnsi="仿宋" w:eastAsia="仿宋_GB2312"/>
          <w:szCs w:val="32"/>
        </w:rPr>
        <w:t>度</w:t>
      </w:r>
      <w:r>
        <w:rPr>
          <w:rFonts w:ascii="仿宋_GB2312" w:hAnsi="仿宋_GB2312" w:eastAsia="仿宋_GB2312" w:cs="仿宋_GB2312"/>
          <w:color w:val="000000"/>
          <w:kern w:val="0"/>
          <w:sz w:val="31"/>
          <w:szCs w:val="31"/>
        </w:rPr>
        <w:t>一般公共预算财政拨款基本支出</w:t>
      </w:r>
      <w:r>
        <w:rPr>
          <w:rFonts w:hint="eastAsia" w:ascii="仿宋_GB2312" w:hAnsi="仿宋_GB2312" w:eastAsia="仿宋_GB2312" w:cs="仿宋_GB2312"/>
          <w:color w:val="000000"/>
          <w:kern w:val="0"/>
          <w:sz w:val="31"/>
          <w:szCs w:val="31"/>
          <w:lang w:val="en-US" w:eastAsia="zh-CN"/>
        </w:rPr>
        <w:t>388.23</w:t>
      </w:r>
      <w:r>
        <w:rPr>
          <w:rFonts w:ascii="仿宋_GB2312" w:hAnsi="仿宋_GB2312" w:eastAsia="仿宋_GB2312" w:cs="仿宋_GB2312"/>
          <w:color w:val="000000"/>
          <w:kern w:val="0"/>
          <w:sz w:val="31"/>
          <w:szCs w:val="31"/>
        </w:rPr>
        <w:t>万元，包括：人员经费支出</w:t>
      </w:r>
      <w:r>
        <w:rPr>
          <w:rFonts w:hint="eastAsia" w:ascii="仿宋_GB2312" w:hAnsi="仿宋_GB2312" w:eastAsia="仿宋_GB2312" w:cs="仿宋_GB2312"/>
          <w:color w:val="000000"/>
          <w:kern w:val="0"/>
          <w:sz w:val="31"/>
          <w:szCs w:val="31"/>
          <w:lang w:val="en-US" w:eastAsia="zh-CN"/>
        </w:rPr>
        <w:t>382.63</w:t>
      </w:r>
      <w:r>
        <w:rPr>
          <w:rFonts w:ascii="仿宋_GB2312" w:hAnsi="仿宋_GB2312" w:eastAsia="仿宋_GB2312" w:cs="仿宋_GB2312"/>
          <w:color w:val="000000"/>
          <w:kern w:val="0"/>
          <w:sz w:val="31"/>
          <w:szCs w:val="31"/>
        </w:rPr>
        <w:t>万元和公用经费支出</w:t>
      </w:r>
      <w:r>
        <w:rPr>
          <w:rFonts w:hint="eastAsia" w:ascii="仿宋_GB2312" w:hAnsi="仿宋_GB2312" w:eastAsia="仿宋_GB2312" w:cs="仿宋_GB2312"/>
          <w:color w:val="000000"/>
          <w:kern w:val="0"/>
          <w:sz w:val="31"/>
          <w:szCs w:val="31"/>
          <w:lang w:val="en-US" w:eastAsia="zh-CN"/>
        </w:rPr>
        <w:t>5.6</w:t>
      </w:r>
      <w:r>
        <w:rPr>
          <w:rFonts w:ascii="仿宋_GB2312" w:hAnsi="仿宋_GB2312" w:eastAsia="仿宋_GB2312" w:cs="仿宋_GB2312"/>
          <w:color w:val="000000"/>
          <w:kern w:val="0"/>
          <w:sz w:val="31"/>
          <w:szCs w:val="31"/>
        </w:rPr>
        <w:t>万元。</w:t>
      </w:r>
    </w:p>
    <w:p>
      <w:pPr>
        <w:widowControl/>
        <w:ind w:firstLine="643" w:firstLineChars="200"/>
        <w:jc w:val="left"/>
        <w:rPr>
          <w:rFonts w:ascii="仿宋_GB2312" w:hAnsi="宋体" w:eastAsia="仿宋_GB2312" w:cs="仿宋_GB2312"/>
          <w:color w:val="000000"/>
          <w:kern w:val="0"/>
          <w:szCs w:val="32"/>
        </w:rPr>
      </w:pPr>
      <w:r>
        <w:rPr>
          <w:rFonts w:ascii="仿宋_GB2312" w:hAnsi="宋体" w:eastAsia="仿宋_GB2312" w:cs="仿宋_GB2312"/>
          <w:b/>
          <w:bCs/>
          <w:color w:val="000000"/>
          <w:kern w:val="0"/>
          <w:szCs w:val="32"/>
        </w:rPr>
        <w:t>人员经费</w:t>
      </w:r>
      <w:r>
        <w:rPr>
          <w:rFonts w:hint="eastAsia" w:ascii="仿宋_GB2312" w:hAnsi="宋体" w:eastAsia="仿宋_GB2312" w:cs="仿宋_GB2312"/>
          <w:color w:val="000000"/>
          <w:kern w:val="0"/>
          <w:szCs w:val="32"/>
          <w:lang w:val="en-US" w:eastAsia="zh-CN"/>
        </w:rPr>
        <w:t>382.63</w:t>
      </w:r>
      <w:r>
        <w:rPr>
          <w:rFonts w:ascii="仿宋_GB2312" w:hAnsi="宋体" w:eastAsia="仿宋_GB2312" w:cs="仿宋_GB2312"/>
          <w:color w:val="000000"/>
          <w:kern w:val="0"/>
          <w:szCs w:val="32"/>
        </w:rPr>
        <w:t>万元，主要包括基本工资</w:t>
      </w:r>
      <w:r>
        <w:rPr>
          <w:rFonts w:hint="eastAsia" w:ascii="仿宋_GB2312" w:hAnsi="宋体" w:eastAsia="仿宋_GB2312" w:cs="仿宋_GB2312"/>
          <w:color w:val="000000"/>
          <w:kern w:val="0"/>
          <w:szCs w:val="32"/>
          <w:lang w:val="en-US" w:eastAsia="zh-CN"/>
        </w:rPr>
        <w:t>165.89</w:t>
      </w:r>
      <w:r>
        <w:rPr>
          <w:rFonts w:hint="eastAsia" w:ascii="仿宋_GB2312" w:hAnsi="宋体" w:eastAsia="仿宋_GB2312" w:cs="仿宋_GB2312"/>
          <w:color w:val="000000"/>
          <w:kern w:val="0"/>
          <w:szCs w:val="32"/>
        </w:rPr>
        <w:t>万元、  津贴补贴</w:t>
      </w:r>
      <w:r>
        <w:rPr>
          <w:rFonts w:hint="eastAsia" w:ascii="仿宋_GB2312" w:hAnsi="宋体" w:eastAsia="仿宋_GB2312" w:cs="仿宋_GB2312"/>
          <w:color w:val="000000"/>
          <w:kern w:val="0"/>
          <w:szCs w:val="32"/>
          <w:lang w:val="en-US" w:eastAsia="zh-CN"/>
        </w:rPr>
        <w:t>103.43</w:t>
      </w:r>
      <w:r>
        <w:rPr>
          <w:rFonts w:hint="eastAsia" w:ascii="仿宋_GB2312" w:hAnsi="宋体" w:eastAsia="仿宋_GB2312" w:cs="仿宋_GB2312"/>
          <w:color w:val="000000"/>
          <w:kern w:val="0"/>
          <w:szCs w:val="32"/>
        </w:rPr>
        <w:t>万元、绩效工资</w:t>
      </w:r>
      <w:r>
        <w:rPr>
          <w:rFonts w:hint="eastAsia" w:ascii="仿宋_GB2312" w:hAnsi="宋体" w:eastAsia="仿宋_GB2312" w:cs="仿宋_GB2312"/>
          <w:color w:val="000000"/>
          <w:kern w:val="0"/>
          <w:szCs w:val="32"/>
          <w:lang w:val="en-US" w:eastAsia="zh-CN"/>
        </w:rPr>
        <w:t>65.62</w:t>
      </w:r>
      <w:r>
        <w:rPr>
          <w:rFonts w:hint="eastAsia" w:ascii="仿宋_GB2312" w:hAnsi="宋体" w:eastAsia="仿宋_GB2312" w:cs="仿宋_GB2312"/>
          <w:color w:val="000000"/>
          <w:kern w:val="0"/>
          <w:szCs w:val="32"/>
        </w:rPr>
        <w:t>万元、机关事业单位基本养老保险缴费</w:t>
      </w:r>
      <w:r>
        <w:rPr>
          <w:rFonts w:hint="eastAsia" w:ascii="仿宋_GB2312" w:hAnsi="宋体" w:eastAsia="仿宋_GB2312" w:cs="仿宋_GB2312"/>
          <w:color w:val="000000"/>
          <w:kern w:val="0"/>
          <w:szCs w:val="32"/>
          <w:lang w:val="en-US" w:eastAsia="zh-CN"/>
        </w:rPr>
        <w:t>38.48</w:t>
      </w:r>
      <w:r>
        <w:rPr>
          <w:rFonts w:hint="eastAsia" w:ascii="仿宋_GB2312" w:hAnsi="宋体" w:eastAsia="仿宋_GB2312" w:cs="仿宋_GB2312"/>
          <w:color w:val="000000"/>
          <w:kern w:val="0"/>
          <w:szCs w:val="32"/>
        </w:rPr>
        <w:t>万元、职业年金缴费</w:t>
      </w:r>
      <w:r>
        <w:rPr>
          <w:rFonts w:hint="eastAsia" w:ascii="仿宋_GB2312" w:hAnsi="宋体" w:eastAsia="仿宋_GB2312" w:cs="仿宋_GB2312"/>
          <w:color w:val="000000"/>
          <w:kern w:val="0"/>
          <w:szCs w:val="32"/>
          <w:lang w:val="en-US" w:eastAsia="zh-CN"/>
        </w:rPr>
        <w:t>0.25</w:t>
      </w:r>
      <w:r>
        <w:rPr>
          <w:rFonts w:hint="eastAsia" w:ascii="仿宋_GB2312" w:hAnsi="宋体" w:eastAsia="仿宋_GB2312" w:cs="仿宋_GB2312"/>
          <w:color w:val="000000"/>
          <w:kern w:val="0"/>
          <w:szCs w:val="32"/>
        </w:rPr>
        <w:t>万元、职工基本医疗保险缴费</w:t>
      </w:r>
      <w:r>
        <w:rPr>
          <w:rFonts w:hint="eastAsia" w:ascii="仿宋_GB2312" w:hAnsi="宋体" w:eastAsia="仿宋_GB2312" w:cs="仿宋_GB2312"/>
          <w:color w:val="000000"/>
          <w:kern w:val="0"/>
          <w:szCs w:val="32"/>
          <w:lang w:val="en-US" w:eastAsia="zh-CN"/>
        </w:rPr>
        <w:t>7.82</w:t>
      </w:r>
      <w:r>
        <w:rPr>
          <w:rFonts w:hint="eastAsia" w:ascii="仿宋_GB2312" w:hAnsi="宋体" w:eastAsia="仿宋_GB2312" w:cs="仿宋_GB2312"/>
          <w:color w:val="000000"/>
          <w:kern w:val="0"/>
          <w:szCs w:val="32"/>
        </w:rPr>
        <w:t>万元、公务员医疗补助缴费0.</w:t>
      </w:r>
      <w:r>
        <w:rPr>
          <w:rFonts w:hint="eastAsia" w:ascii="仿宋_GB2312" w:hAnsi="宋体" w:eastAsia="仿宋_GB2312" w:cs="仿宋_GB2312"/>
          <w:color w:val="000000"/>
          <w:kern w:val="0"/>
          <w:szCs w:val="32"/>
          <w:lang w:val="en-US" w:eastAsia="zh-CN"/>
        </w:rPr>
        <w:t>3</w:t>
      </w:r>
      <w:r>
        <w:rPr>
          <w:rFonts w:hint="eastAsia" w:ascii="仿宋_GB2312" w:hAnsi="宋体" w:eastAsia="仿宋_GB2312" w:cs="仿宋_GB2312"/>
          <w:color w:val="000000"/>
          <w:kern w:val="0"/>
          <w:szCs w:val="32"/>
        </w:rPr>
        <w:t>8万元、其他社会保障缴费</w:t>
      </w:r>
      <w:r>
        <w:rPr>
          <w:rFonts w:hint="eastAsia" w:ascii="仿宋_GB2312" w:hAnsi="宋体" w:eastAsia="仿宋_GB2312" w:cs="仿宋_GB2312"/>
          <w:color w:val="000000"/>
          <w:kern w:val="0"/>
          <w:szCs w:val="32"/>
          <w:lang w:val="en-US" w:eastAsia="zh-CN"/>
        </w:rPr>
        <w:t>0.70</w:t>
      </w:r>
      <w:r>
        <w:rPr>
          <w:rFonts w:hint="eastAsia" w:ascii="仿宋_GB2312" w:hAnsi="宋体" w:eastAsia="仿宋_GB2312" w:cs="仿宋_GB2312"/>
          <w:color w:val="000000"/>
          <w:kern w:val="0"/>
          <w:szCs w:val="32"/>
        </w:rPr>
        <w:t>万元、对个人和家庭的补助</w:t>
      </w:r>
      <w:r>
        <w:rPr>
          <w:rFonts w:hint="eastAsia" w:ascii="仿宋_GB2312" w:hAnsi="宋体" w:eastAsia="仿宋_GB2312" w:cs="仿宋_GB2312"/>
          <w:color w:val="000000"/>
          <w:kern w:val="0"/>
          <w:szCs w:val="32"/>
          <w:lang w:val="en-US" w:eastAsia="zh-CN"/>
        </w:rPr>
        <w:t>0.06</w:t>
      </w:r>
      <w:r>
        <w:rPr>
          <w:rFonts w:hint="eastAsia" w:ascii="仿宋_GB2312" w:hAnsi="宋体" w:eastAsia="仿宋_GB2312" w:cs="仿宋_GB2312"/>
          <w:color w:val="000000"/>
          <w:kern w:val="0"/>
          <w:szCs w:val="32"/>
        </w:rPr>
        <w:t>万元（其中：生活补助</w:t>
      </w:r>
      <w:r>
        <w:rPr>
          <w:rFonts w:hint="eastAsia" w:ascii="仿宋_GB2312" w:hAnsi="宋体" w:eastAsia="仿宋_GB2312" w:cs="仿宋_GB2312"/>
          <w:color w:val="000000"/>
          <w:kern w:val="0"/>
          <w:szCs w:val="32"/>
          <w:lang w:val="en-US" w:eastAsia="zh-CN"/>
        </w:rPr>
        <w:t>0.06</w:t>
      </w:r>
      <w:r>
        <w:rPr>
          <w:rFonts w:hint="eastAsia" w:ascii="仿宋_GB2312" w:hAnsi="宋体" w:eastAsia="仿宋_GB2312" w:cs="仿宋_GB2312"/>
          <w:color w:val="000000"/>
          <w:kern w:val="0"/>
          <w:szCs w:val="32"/>
        </w:rPr>
        <w:t>万元）。</w:t>
      </w:r>
    </w:p>
    <w:p>
      <w:pPr>
        <w:widowControl/>
        <w:ind w:firstLine="643" w:firstLineChars="200"/>
        <w:jc w:val="left"/>
        <w:rPr>
          <w:rFonts w:ascii="仿宋_GB2312" w:hAnsi="宋体" w:eastAsia="仿宋_GB2312" w:cs="仿宋_GB2312"/>
          <w:color w:val="000000"/>
          <w:kern w:val="0"/>
          <w:szCs w:val="32"/>
        </w:rPr>
      </w:pPr>
      <w:r>
        <w:rPr>
          <w:rFonts w:ascii="仿宋_GB2312" w:hAnsi="宋体" w:eastAsia="仿宋_GB2312" w:cs="仿宋_GB2312"/>
          <w:b/>
          <w:bCs/>
          <w:color w:val="000000"/>
          <w:kern w:val="0"/>
          <w:szCs w:val="32"/>
        </w:rPr>
        <w:t>公用经费</w:t>
      </w:r>
      <w:r>
        <w:rPr>
          <w:rFonts w:hint="eastAsia" w:ascii="仿宋_GB2312" w:hAnsi="宋体" w:eastAsia="仿宋_GB2312" w:cs="仿宋_GB2312"/>
          <w:color w:val="000000"/>
          <w:kern w:val="0"/>
          <w:szCs w:val="32"/>
          <w:lang w:val="en-US" w:eastAsia="zh-CN"/>
        </w:rPr>
        <w:t>5.60</w:t>
      </w:r>
      <w:r>
        <w:rPr>
          <w:rFonts w:ascii="仿宋_GB2312" w:hAnsi="宋体" w:eastAsia="仿宋_GB2312" w:cs="仿宋_GB2312"/>
          <w:color w:val="000000"/>
          <w:kern w:val="0"/>
          <w:szCs w:val="32"/>
        </w:rPr>
        <w:t>万元，主要包括办公费</w:t>
      </w:r>
      <w:r>
        <w:rPr>
          <w:rFonts w:hint="eastAsia" w:ascii="仿宋_GB2312" w:hAnsi="宋体" w:eastAsia="仿宋_GB2312" w:cs="仿宋_GB2312"/>
          <w:color w:val="000000"/>
          <w:kern w:val="0"/>
          <w:szCs w:val="32"/>
          <w:lang w:val="en-US" w:eastAsia="zh-CN"/>
        </w:rPr>
        <w:t>2.20</w:t>
      </w:r>
      <w:r>
        <w:rPr>
          <w:rFonts w:hint="eastAsia" w:ascii="仿宋_GB2312" w:hAnsi="宋体" w:eastAsia="仿宋_GB2312" w:cs="仿宋_GB2312"/>
          <w:color w:val="000000"/>
          <w:kern w:val="0"/>
          <w:szCs w:val="32"/>
        </w:rPr>
        <w:t>万元、差旅费</w:t>
      </w:r>
      <w:r>
        <w:rPr>
          <w:rFonts w:hint="eastAsia" w:ascii="仿宋_GB2312" w:hAnsi="宋体" w:eastAsia="仿宋_GB2312" w:cs="仿宋_GB2312"/>
          <w:color w:val="000000"/>
          <w:kern w:val="0"/>
          <w:szCs w:val="32"/>
          <w:lang w:val="en-US" w:eastAsia="zh-CN"/>
        </w:rPr>
        <w:t>1.06</w:t>
      </w:r>
      <w:r>
        <w:rPr>
          <w:rFonts w:hint="eastAsia"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lang w:val="en-US" w:eastAsia="zh-CN"/>
        </w:rPr>
        <w:t>福利费2.24万元、</w:t>
      </w:r>
      <w:r>
        <w:rPr>
          <w:rFonts w:hint="eastAsia" w:ascii="仿宋_GB2312" w:hAnsi="宋体" w:eastAsia="仿宋_GB2312" w:cs="仿宋_GB2312"/>
          <w:color w:val="000000"/>
          <w:kern w:val="0"/>
          <w:szCs w:val="32"/>
        </w:rPr>
        <w:t>其他</w:t>
      </w:r>
      <w:r>
        <w:rPr>
          <w:rFonts w:hint="eastAsia" w:ascii="仿宋_GB2312" w:hAnsi="宋体" w:eastAsia="仿宋_GB2312" w:cs="仿宋_GB2312"/>
          <w:color w:val="000000"/>
          <w:kern w:val="0"/>
          <w:szCs w:val="32"/>
          <w:lang w:val="en-US" w:eastAsia="zh-CN"/>
        </w:rPr>
        <w:t>商品和服务支出</w:t>
      </w:r>
      <w:r>
        <w:rPr>
          <w:rFonts w:hint="eastAsia" w:ascii="仿宋_GB2312" w:hAnsi="宋体" w:eastAsia="仿宋_GB2312" w:cs="仿宋_GB2312"/>
          <w:color w:val="000000"/>
          <w:kern w:val="0"/>
          <w:szCs w:val="32"/>
        </w:rPr>
        <w:t>0.</w:t>
      </w:r>
      <w:r>
        <w:rPr>
          <w:rFonts w:hint="eastAsia" w:ascii="仿宋_GB2312" w:hAnsi="宋体" w:eastAsia="仿宋_GB2312" w:cs="仿宋_GB2312"/>
          <w:color w:val="000000"/>
          <w:kern w:val="0"/>
          <w:szCs w:val="32"/>
          <w:lang w:val="en-US" w:eastAsia="zh-CN"/>
        </w:rPr>
        <w:t>10</w:t>
      </w:r>
      <w:r>
        <w:rPr>
          <w:rFonts w:hint="eastAsia" w:ascii="仿宋_GB2312" w:hAnsi="宋体" w:eastAsia="仿宋_GB2312" w:cs="仿宋_GB2312"/>
          <w:color w:val="000000"/>
          <w:kern w:val="0"/>
          <w:szCs w:val="32"/>
        </w:rPr>
        <w:t>万元。</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七、一般公共预算财政拨款“三公”经费及会议费、培训费支出决算情况说明</w:t>
      </w:r>
    </w:p>
    <w:p>
      <w:pPr>
        <w:keepNext w:val="0"/>
        <w:keepLines w:val="0"/>
        <w:pageBreakBefore w:val="0"/>
        <w:widowControl/>
        <w:kinsoku/>
        <w:wordWrap/>
        <w:overflowPunct/>
        <w:topLinePunct w:val="0"/>
        <w:autoSpaceDE/>
        <w:autoSpaceDN/>
        <w:bidi w:val="0"/>
        <w:adjustRightInd/>
        <w:snapToGrid/>
        <w:ind w:left="0" w:leftChars="0" w:firstLine="643" w:firstLineChars="200"/>
        <w:jc w:val="left"/>
        <w:textAlignment w:val="auto"/>
        <w:rPr>
          <w:rFonts w:ascii="楷体_GB2312" w:hAnsi="宋体" w:eastAsia="楷体_GB2312" w:cs="楷体_GB2312"/>
          <w:b/>
          <w:color w:val="000000"/>
          <w:kern w:val="0"/>
          <w:szCs w:val="32"/>
        </w:rPr>
      </w:pPr>
      <w:r>
        <w:rPr>
          <w:rFonts w:ascii="楷体_GB2312" w:hAnsi="宋体" w:eastAsia="楷体_GB2312" w:cs="楷体_GB2312"/>
          <w:b/>
          <w:color w:val="000000"/>
          <w:kern w:val="0"/>
          <w:szCs w:val="32"/>
        </w:rPr>
        <w:t>（一）“三公”经费财政拨款支出决算总体情况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keepNext w:val="0"/>
        <w:keepLines w:val="0"/>
        <w:pageBreakBefore w:val="0"/>
        <w:widowControl/>
        <w:kinsoku/>
        <w:wordWrap/>
        <w:overflowPunct/>
        <w:topLinePunct w:val="0"/>
        <w:autoSpaceDE/>
        <w:autoSpaceDN/>
        <w:bidi w:val="0"/>
        <w:adjustRightInd/>
        <w:snapToGrid/>
        <w:ind w:left="0" w:leftChars="0" w:firstLine="643" w:firstLineChars="200"/>
        <w:jc w:val="left"/>
        <w:textAlignment w:val="auto"/>
        <w:rPr>
          <w:rFonts w:hint="eastAsia" w:eastAsia="仿宋_GB2312"/>
          <w:lang w:val="en-US" w:eastAsia="zh-CN"/>
        </w:rPr>
      </w:pPr>
      <w:r>
        <w:rPr>
          <w:rFonts w:ascii="楷体_GB2312" w:hAnsi="宋体" w:eastAsia="楷体_GB2312" w:cs="楷体_GB2312"/>
          <w:b/>
          <w:color w:val="000000"/>
          <w:kern w:val="0"/>
          <w:szCs w:val="32"/>
        </w:rPr>
        <w:t xml:space="preserve"> </w:t>
      </w: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万元，决算数</w:t>
      </w:r>
      <w:r>
        <w:rPr>
          <w:rFonts w:hint="eastAsia" w:ascii="仿宋_GB2312" w:hAnsi="宋体" w:eastAsia="仿宋_GB2312" w:cs="仿宋_GB2312"/>
          <w:color w:val="000000"/>
          <w:kern w:val="0"/>
          <w:szCs w:val="32"/>
          <w:lang w:val="en-US" w:eastAsia="zh-CN"/>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持平。</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w:t>
      </w:r>
      <w:r>
        <w:rPr>
          <w:rFonts w:ascii="楷体_GB2312" w:hAnsi="宋体" w:eastAsia="楷体_GB2312" w:cs="楷体_GB2312"/>
          <w:b/>
          <w:color w:val="000000"/>
          <w:kern w:val="0"/>
          <w:szCs w:val="32"/>
        </w:rPr>
        <w:t>“三公”经费财政拨款支出决算具体情况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pPr>
      <w:r>
        <w:rPr>
          <w:rFonts w:ascii="仿宋_GB2312" w:hAnsi="宋体" w:eastAsia="仿宋_GB2312" w:cs="仿宋_GB2312"/>
          <w:color w:val="000000"/>
          <w:kern w:val="0"/>
          <w:szCs w:val="32"/>
        </w:rPr>
        <w:t>2019年</w:t>
      </w:r>
      <w:r>
        <w:rPr>
          <w:rFonts w:hint="eastAsia" w:ascii="仿宋_GB2312" w:hAnsi="仿宋" w:eastAsia="仿宋_GB2312"/>
          <w:szCs w:val="32"/>
        </w:rPr>
        <w:t>度</w:t>
      </w:r>
      <w:r>
        <w:rPr>
          <w:rFonts w:ascii="仿宋_GB2312" w:hAnsi="宋体" w:eastAsia="仿宋_GB2312" w:cs="仿宋_GB2312"/>
          <w:color w:val="000000"/>
          <w:kern w:val="0"/>
          <w:szCs w:val="32"/>
        </w:rPr>
        <w:t>“三公”经费财政拨款支出决算中，因公出国（境）费支出决算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万元；公务用车购置</w:t>
      </w:r>
      <w:r>
        <w:rPr>
          <w:rFonts w:hint="eastAsia" w:ascii="仿宋_GB2312" w:hAnsi="宋体" w:eastAsia="仿宋_GB2312" w:cs="仿宋_GB2312"/>
          <w:color w:val="000000"/>
          <w:kern w:val="0"/>
          <w:szCs w:val="32"/>
        </w:rPr>
        <w:t>费支出</w:t>
      </w:r>
      <w:r>
        <w:rPr>
          <w:rFonts w:hint="eastAsia" w:ascii="仿宋_GB2312" w:hAnsi="宋体" w:eastAsia="仿宋_GB2312" w:cs="仿宋_GB2312"/>
          <w:color w:val="000000"/>
          <w:kern w:val="0"/>
          <w:szCs w:val="32"/>
          <w:lang w:val="en-US" w:eastAsia="zh-CN"/>
        </w:rPr>
        <w:t>0</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；公务用车运行</w:t>
      </w:r>
      <w:r>
        <w:rPr>
          <w:rFonts w:hint="eastAsia" w:ascii="仿宋_GB2312" w:hAnsi="仿宋" w:eastAsia="仿宋_GB2312"/>
          <w:szCs w:val="32"/>
        </w:rPr>
        <w:t>维护</w:t>
      </w:r>
      <w:r>
        <w:rPr>
          <w:rFonts w:ascii="仿宋_GB2312" w:hAnsi="宋体" w:eastAsia="仿宋_GB2312" w:cs="仿宋_GB2312"/>
          <w:color w:val="000000"/>
          <w:kern w:val="0"/>
          <w:szCs w:val="32"/>
        </w:rPr>
        <w:t>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万元；公务接待费支出决算</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万元。具体情况如下：</w:t>
      </w:r>
    </w:p>
    <w:p>
      <w:pPr>
        <w:ind w:firstLine="643" w:firstLineChars="200"/>
        <w:rPr>
          <w:rFonts w:ascii="仿宋_GB2312" w:hAnsi="仿宋" w:eastAsia="仿宋_GB2312"/>
          <w:b/>
          <w:bCs/>
          <w:szCs w:val="32"/>
        </w:rPr>
      </w:pPr>
      <w:r>
        <w:rPr>
          <w:rFonts w:hint="eastAsia" w:ascii="仿宋_GB2312" w:hAnsi="仿宋" w:eastAsia="仿宋_GB2312"/>
          <w:b/>
          <w:bCs/>
          <w:szCs w:val="32"/>
        </w:rPr>
        <w:t>1.因公出国（境）支出情况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hint="eastAsia" w:eastAsia="仿宋_GB2312"/>
          <w:lang w:val="en-US" w:eastAsia="zh-CN"/>
        </w:rPr>
      </w:pPr>
      <w:r>
        <w:rPr>
          <w:rFonts w:hint="eastAsia" w:ascii="仿宋_GB2312" w:hAnsi="仿宋" w:eastAsia="仿宋_GB2312"/>
          <w:szCs w:val="32"/>
        </w:rPr>
        <w:t>2019年度因公出国（境）团组</w:t>
      </w:r>
      <w:r>
        <w:rPr>
          <w:rFonts w:hint="eastAsia" w:ascii="仿宋_GB2312" w:hAnsi="仿宋" w:eastAsia="仿宋_GB2312"/>
          <w:szCs w:val="32"/>
          <w:lang w:val="en-US" w:eastAsia="zh-CN"/>
        </w:rPr>
        <w:t>0</w:t>
      </w:r>
      <w:r>
        <w:rPr>
          <w:rFonts w:hint="eastAsia" w:ascii="仿宋_GB2312" w:hAnsi="仿宋_GB2312" w:eastAsia="仿宋_GB2312" w:cs="仿宋_GB2312"/>
          <w:szCs w:val="32"/>
        </w:rPr>
        <w:t>个，</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人次，</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万元，决算数</w:t>
      </w:r>
      <w:r>
        <w:rPr>
          <w:rFonts w:hint="eastAsia" w:ascii="仿宋_GB2312" w:hAnsi="宋体" w:eastAsia="仿宋_GB2312" w:cs="仿宋_GB2312"/>
          <w:color w:val="000000"/>
          <w:kern w:val="0"/>
          <w:szCs w:val="32"/>
          <w:lang w:val="en-US" w:eastAsia="zh-CN"/>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持平。</w:t>
      </w:r>
    </w:p>
    <w:p>
      <w:pPr>
        <w:ind w:firstLine="643" w:firstLineChars="200"/>
        <w:rPr>
          <w:rFonts w:ascii="仿宋_GB2312" w:hAnsi="仿宋" w:eastAsia="仿宋_GB2312"/>
          <w:b/>
          <w:bCs/>
          <w:szCs w:val="32"/>
        </w:rPr>
      </w:pPr>
      <w:r>
        <w:rPr>
          <w:rFonts w:hint="eastAsia" w:ascii="仿宋_GB2312" w:hAnsi="仿宋" w:eastAsia="仿宋_GB2312"/>
          <w:b/>
          <w:bCs/>
          <w:szCs w:val="32"/>
        </w:rPr>
        <w:t>2.公务用车购置费用支出情况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pPr>
      <w:r>
        <w:rPr>
          <w:rFonts w:hint="eastAsia" w:ascii="仿宋_GB2312" w:hAnsi="仿宋" w:eastAsia="仿宋_GB2312"/>
          <w:szCs w:val="32"/>
        </w:rPr>
        <w:t>2019年度购置车辆</w:t>
      </w:r>
      <w:r>
        <w:rPr>
          <w:rFonts w:hint="eastAsia" w:ascii="仿宋_GB2312" w:hAnsi="仿宋_GB2312" w:eastAsia="仿宋_GB2312" w:cs="仿宋_GB2312"/>
          <w:szCs w:val="32"/>
        </w:rPr>
        <w:t>0台，</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元，支出决算为</w:t>
      </w:r>
      <w:r>
        <w:rPr>
          <w:rFonts w:hint="eastAsia" w:ascii="仿宋_GB2312" w:hAnsi="宋体" w:eastAsia="仿宋_GB2312" w:cs="仿宋_GB2312"/>
          <w:color w:val="000000"/>
          <w:kern w:val="0"/>
          <w:szCs w:val="32"/>
        </w:rPr>
        <w:t>0</w:t>
      </w:r>
      <w:r>
        <w:rPr>
          <w:rFonts w:ascii="仿宋_GB2312" w:hAnsi="宋体" w:eastAsia="仿宋_GB2312" w:cs="仿宋_GB2312"/>
          <w:color w:val="000000"/>
          <w:kern w:val="0"/>
          <w:szCs w:val="32"/>
        </w:rPr>
        <w:t>元</w:t>
      </w:r>
      <w:r>
        <w:rPr>
          <w:rFonts w:hint="eastAsia"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lang w:eastAsia="zh-CN"/>
        </w:rPr>
        <w:t>与</w:t>
      </w:r>
      <w:r>
        <w:rPr>
          <w:rFonts w:hint="eastAsia" w:ascii="仿宋_GB2312" w:hAnsi="宋体" w:eastAsia="仿宋_GB2312" w:cs="仿宋_GB2312"/>
          <w:color w:val="000000"/>
          <w:kern w:val="0"/>
          <w:szCs w:val="32"/>
        </w:rPr>
        <w:t>预算数持平。</w:t>
      </w:r>
    </w:p>
    <w:p>
      <w:pPr>
        <w:ind w:firstLine="643" w:firstLineChars="200"/>
        <w:rPr>
          <w:rFonts w:ascii="仿宋_GB2312" w:hAnsi="仿宋" w:eastAsia="仿宋_GB2312"/>
          <w:b/>
          <w:bCs/>
          <w:szCs w:val="32"/>
        </w:rPr>
      </w:pPr>
      <w:r>
        <w:rPr>
          <w:rFonts w:hint="eastAsia" w:ascii="仿宋_GB2312" w:hAnsi="仿宋" w:eastAsia="仿宋_GB2312"/>
          <w:b/>
          <w:bCs/>
          <w:szCs w:val="32"/>
        </w:rPr>
        <w:t>3.公务用车运行维护费用支出情况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spacing w:line="550" w:lineRule="exact"/>
        <w:ind w:firstLine="640" w:firstLineChars="200"/>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公务用车运行维护费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 w:hAnsi="仿宋" w:eastAsia="仿宋"/>
          <w:color w:val="auto"/>
          <w:sz w:val="32"/>
          <w:szCs w:val="32"/>
        </w:rPr>
        <w:t>公务用车运行维护费支出</w:t>
      </w:r>
      <w:r>
        <w:rPr>
          <w:rFonts w:hint="eastAsia" w:ascii="仿宋" w:hAnsi="仿宋" w:eastAsia="仿宋"/>
          <w:color w:val="auto"/>
          <w:sz w:val="32"/>
          <w:szCs w:val="32"/>
          <w:lang w:val="en-US" w:eastAsia="zh-CN"/>
        </w:rPr>
        <w:t>0</w:t>
      </w:r>
      <w:r>
        <w:rPr>
          <w:rFonts w:hint="eastAsia" w:ascii="仿宋" w:hAnsi="仿宋" w:eastAsia="仿宋"/>
          <w:color w:val="auto"/>
          <w:sz w:val="32"/>
          <w:szCs w:val="32"/>
        </w:rPr>
        <w:t>万元，比上年决算</w:t>
      </w:r>
      <w:r>
        <w:rPr>
          <w:rFonts w:hint="eastAsia" w:ascii="仿宋" w:hAnsi="仿宋" w:eastAsia="仿宋"/>
          <w:color w:val="auto"/>
          <w:sz w:val="32"/>
          <w:szCs w:val="32"/>
          <w:lang w:val="en-US" w:eastAsia="zh-CN"/>
        </w:rPr>
        <w:t>减少5</w:t>
      </w:r>
      <w:r>
        <w:rPr>
          <w:rFonts w:hint="eastAsia" w:ascii="仿宋" w:hAnsi="仿宋" w:eastAsia="仿宋"/>
          <w:color w:val="auto"/>
          <w:sz w:val="32"/>
          <w:szCs w:val="32"/>
        </w:rPr>
        <w:t>万元，主要原因为</w:t>
      </w:r>
      <w:r>
        <w:rPr>
          <w:rFonts w:hint="eastAsia" w:ascii="仿宋" w:hAnsi="仿宋" w:eastAsia="仿宋"/>
          <w:color w:val="auto"/>
          <w:sz w:val="32"/>
          <w:szCs w:val="32"/>
          <w:lang w:val="en-US" w:eastAsia="zh-CN"/>
        </w:rPr>
        <w:t>节俭开支，与</w:t>
      </w:r>
      <w:r>
        <w:rPr>
          <w:rFonts w:hint="eastAsia" w:ascii="仿宋" w:hAnsi="仿宋" w:eastAsia="仿宋"/>
          <w:color w:val="auto"/>
          <w:sz w:val="32"/>
          <w:szCs w:val="32"/>
        </w:rPr>
        <w:t>当年预算</w:t>
      </w:r>
      <w:r>
        <w:rPr>
          <w:rFonts w:hint="eastAsia" w:ascii="仿宋" w:hAnsi="仿宋" w:eastAsia="仿宋"/>
          <w:color w:val="auto"/>
          <w:sz w:val="32"/>
          <w:szCs w:val="32"/>
          <w:lang w:val="en-US" w:eastAsia="zh-CN"/>
        </w:rPr>
        <w:t>持平</w:t>
      </w:r>
      <w:r>
        <w:rPr>
          <w:rFonts w:hint="eastAsia" w:ascii="仿宋" w:hAnsi="仿宋" w:eastAsia="仿宋"/>
          <w:color w:val="auto"/>
          <w:sz w:val="32"/>
          <w:szCs w:val="32"/>
        </w:rPr>
        <w:t>。</w:t>
      </w:r>
    </w:p>
    <w:p>
      <w:pPr>
        <w:ind w:firstLine="643" w:firstLineChars="200"/>
        <w:rPr>
          <w:rFonts w:ascii="仿宋_GB2312" w:hAnsi="仿宋" w:eastAsia="仿宋_GB2312"/>
          <w:szCs w:val="32"/>
        </w:rPr>
      </w:pPr>
      <w:r>
        <w:rPr>
          <w:rFonts w:hint="eastAsia" w:ascii="仿宋_GB2312" w:hAnsi="仿宋" w:eastAsia="仿宋_GB2312"/>
          <w:b/>
          <w:bCs/>
          <w:szCs w:val="32"/>
        </w:rPr>
        <w:t>4.公务接待费支出情况</w:t>
      </w:r>
      <w:r>
        <w:rPr>
          <w:rFonts w:hint="eastAsia" w:ascii="楷体_GB2312" w:hAnsi="宋体" w:eastAsia="楷体_GB2312" w:cs="楷体_GB2312"/>
          <w:b/>
          <w:color w:val="000000"/>
          <w:kern w:val="0"/>
          <w:szCs w:val="32"/>
        </w:rPr>
        <w:t>说明</w:t>
      </w:r>
      <w:r>
        <w:rPr>
          <w:rFonts w:hint="eastAsia" w:ascii="仿宋_GB2312" w:hAnsi="仿宋" w:eastAsia="仿宋_GB2312"/>
          <w:b/>
          <w:bCs/>
          <w:szCs w:val="32"/>
        </w:rPr>
        <w:t>。</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2019年度公务接待</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决</w:t>
      </w:r>
      <w:r>
        <w:rPr>
          <w:rFonts w:ascii="仿宋_GB2312" w:hAnsi="宋体" w:eastAsia="仿宋_GB2312" w:cs="仿宋_GB2312"/>
          <w:color w:val="000000"/>
          <w:kern w:val="0"/>
          <w:szCs w:val="32"/>
        </w:rPr>
        <w:t>算数</w:t>
      </w:r>
      <w:r>
        <w:rPr>
          <w:rFonts w:hint="eastAsia" w:ascii="仿宋_GB2312" w:hAnsi="宋体" w:eastAsia="仿宋_GB2312" w:cs="仿宋_GB2312"/>
          <w:color w:val="000000"/>
          <w:kern w:val="0"/>
          <w:szCs w:val="32"/>
          <w:lang w:val="en-US" w:eastAsia="zh-CN"/>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持平</w:t>
      </w:r>
      <w:r>
        <w:rPr>
          <w:rFonts w:hint="eastAsia" w:ascii="仿宋_GB2312" w:hAnsi="宋体" w:eastAsia="仿宋_GB2312" w:cs="仿宋_GB2312"/>
          <w:color w:val="000000"/>
          <w:kern w:val="0"/>
          <w:szCs w:val="32"/>
        </w:rPr>
        <w:t>。</w:t>
      </w:r>
    </w:p>
    <w:p>
      <w:pPr>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（三）培训费支出情况说明。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培训费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万元，决算数</w:t>
      </w:r>
      <w:r>
        <w:rPr>
          <w:rFonts w:hint="eastAsia" w:ascii="仿宋_GB2312" w:hAnsi="宋体" w:eastAsia="仿宋_GB2312" w:cs="仿宋_GB2312"/>
          <w:color w:val="000000"/>
          <w:kern w:val="0"/>
          <w:szCs w:val="32"/>
          <w:lang w:val="en-US" w:eastAsia="zh-CN"/>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持平</w:t>
      </w:r>
      <w:r>
        <w:rPr>
          <w:rFonts w:hint="eastAsia" w:ascii="仿宋_GB2312" w:hAnsi="宋体" w:eastAsia="仿宋_GB2312" w:cs="仿宋_GB2312"/>
          <w:color w:val="000000"/>
          <w:kern w:val="0"/>
          <w:szCs w:val="32"/>
        </w:rPr>
        <w:t>。</w:t>
      </w:r>
    </w:p>
    <w:p>
      <w:pPr>
        <w:spacing w:line="360" w:lineRule="auto"/>
        <w:ind w:firstLine="643" w:firstLineChars="200"/>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（四）会议费支出情况说明。</w:t>
      </w:r>
    </w:p>
    <w:p>
      <w:pPr>
        <w:widowControl/>
        <w:ind w:firstLine="640" w:firstLineChars="200"/>
        <w:jc w:val="left"/>
        <w:rPr>
          <w:rFonts w:ascii="仿宋_GB2312" w:hAnsi="宋体" w:eastAsia="仿宋_GB2312" w:cs="仿宋_GB2312"/>
          <w:color w:val="000000"/>
          <w:kern w:val="0"/>
          <w:szCs w:val="32"/>
        </w:rPr>
      </w:pPr>
      <w:r>
        <w:rPr>
          <w:rFonts w:hint="eastAsia" w:ascii="仿宋_GB2312" w:hAnsi="仿宋" w:eastAsia="仿宋_GB2312"/>
          <w:szCs w:val="32"/>
        </w:rPr>
        <w:t>2019年度</w:t>
      </w:r>
      <w:r>
        <w:rPr>
          <w:rFonts w:hint="eastAsia" w:ascii="仿宋_GB2312" w:hAnsi="仿宋_GB2312" w:eastAsia="仿宋_GB2312" w:cs="仿宋_GB2312"/>
          <w:szCs w:val="32"/>
        </w:rPr>
        <w:t>会议费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0</w:t>
      </w:r>
      <w:r>
        <w:rPr>
          <w:rFonts w:ascii="仿宋_GB2312" w:hAnsi="宋体" w:eastAsia="仿宋_GB2312" w:cs="仿宋_GB2312"/>
          <w:color w:val="000000"/>
          <w:kern w:val="0"/>
          <w:szCs w:val="32"/>
        </w:rPr>
        <w:t>万元</w:t>
      </w:r>
      <w:r>
        <w:rPr>
          <w:rFonts w:hint="eastAsia" w:ascii="仿宋_GB2312" w:hAnsi="宋体" w:eastAsia="仿宋_GB2312" w:cs="仿宋_GB2312"/>
          <w:color w:val="000000"/>
          <w:kern w:val="0"/>
          <w:szCs w:val="32"/>
        </w:rPr>
        <w:t>，</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lang w:val="en-US" w:eastAsia="zh-CN"/>
        </w:rPr>
        <w:t>与</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lang w:val="en-US" w:eastAsia="zh-CN"/>
        </w:rPr>
        <w:t>持平</w:t>
      </w:r>
      <w:r>
        <w:rPr>
          <w:rFonts w:hint="eastAsia" w:ascii="仿宋_GB2312" w:hAnsi="宋体" w:eastAsia="仿宋_GB2312" w:cs="仿宋_GB2312"/>
          <w:color w:val="000000"/>
          <w:kern w:val="0"/>
          <w:szCs w:val="32"/>
        </w:rPr>
        <w:t>。</w:t>
      </w:r>
    </w:p>
    <w:p>
      <w:pPr>
        <w:ind w:firstLine="640" w:firstLineChars="200"/>
        <w:rPr>
          <w:rFonts w:ascii="黑体" w:hAnsi="黑体" w:eastAsia="黑体"/>
          <w:color w:val="000000"/>
          <w:kern w:val="0"/>
          <w:szCs w:val="32"/>
        </w:rPr>
      </w:pPr>
      <w:r>
        <w:rPr>
          <w:rFonts w:hint="eastAsia" w:ascii="黑体" w:hAnsi="黑体" w:eastAsia="黑体"/>
          <w:color w:val="000000"/>
          <w:kern w:val="0"/>
          <w:szCs w:val="32"/>
        </w:rPr>
        <w:t>八、政府性基金预算财政拨款收入支出情况说明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本部门无政府性基金决算收支，并已公开空表。</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九、国有资本经营财政拨款收入支出情况说明</w:t>
      </w:r>
    </w:p>
    <w:p>
      <w:pPr>
        <w:ind w:firstLine="640"/>
        <w:rPr>
          <w:rFonts w:ascii="仿宋_GB2312" w:hAnsi="仿宋_GB2312" w:eastAsia="仿宋_GB2312" w:cs="仿宋_GB2312"/>
          <w:szCs w:val="32"/>
        </w:rPr>
      </w:pPr>
      <w:r>
        <w:rPr>
          <w:rFonts w:hint="eastAsia" w:ascii="仿宋_GB2312" w:hAnsi="仿宋_GB2312" w:eastAsia="仿宋_GB2312" w:cs="仿宋_GB2312"/>
          <w:szCs w:val="32"/>
        </w:rPr>
        <w:t>本部门无国有资本经营决算拨款收支。</w:t>
      </w:r>
    </w:p>
    <w:p>
      <w:pPr>
        <w:widowControl/>
        <w:ind w:firstLine="640" w:firstLineChars="200"/>
        <w:jc w:val="left"/>
        <w:rPr>
          <w:rFonts w:ascii="黑体" w:hAnsi="黑体" w:eastAsia="黑体"/>
          <w:color w:val="000000"/>
          <w:kern w:val="0"/>
          <w:szCs w:val="32"/>
        </w:rPr>
      </w:pPr>
      <w:r>
        <w:rPr>
          <w:rFonts w:hint="eastAsia" w:ascii="黑体" w:hAnsi="黑体" w:eastAsia="黑体"/>
          <w:color w:val="000000"/>
          <w:kern w:val="0"/>
          <w:szCs w:val="32"/>
        </w:rPr>
        <w:t>十、预算绩效情况说明</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（一）</w:t>
      </w:r>
      <w:r>
        <w:rPr>
          <w:rFonts w:ascii="楷体_GB2312" w:hAnsi="宋体" w:eastAsia="楷体_GB2312" w:cs="楷体_GB2312"/>
          <w:b/>
          <w:color w:val="000000"/>
          <w:kern w:val="0"/>
          <w:szCs w:val="32"/>
        </w:rPr>
        <w:t>预算绩效管理工作开展情况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w:t>
      </w:r>
    </w:p>
    <w:p>
      <w:pPr>
        <w:widowControl/>
        <w:ind w:firstLine="640" w:firstLineChars="200"/>
        <w:jc w:val="left"/>
        <w:rPr>
          <w:rFonts w:ascii="仿宋_GB2312" w:hAnsi="仿宋_GB2312" w:eastAsia="仿宋_GB2312" w:cs="仿宋_GB2312"/>
          <w:color w:val="000000"/>
          <w:kern w:val="0"/>
          <w:sz w:val="31"/>
          <w:szCs w:val="31"/>
        </w:rPr>
      </w:pPr>
      <w:r>
        <w:rPr>
          <w:rFonts w:hint="eastAsia" w:ascii="仿宋_GB2312" w:hAnsi="仿宋_GB2312" w:eastAsia="仿宋_GB2312" w:cs="仿宋_GB2312"/>
          <w:szCs w:val="32"/>
        </w:rPr>
        <w:t>根据预算绩效管理要求，本部门组织对2</w:t>
      </w:r>
      <w:r>
        <w:rPr>
          <w:rFonts w:ascii="仿宋_GB2312" w:hAnsi="仿宋_GB2312" w:eastAsia="仿宋_GB2312" w:cs="仿宋_GB2312"/>
          <w:szCs w:val="32"/>
        </w:rPr>
        <w:t>019</w:t>
      </w:r>
      <w:r>
        <w:rPr>
          <w:rFonts w:hint="eastAsia" w:ascii="仿宋_GB2312" w:hAnsi="仿宋_GB2312" w:eastAsia="仿宋_GB2312" w:cs="仿宋_GB2312"/>
          <w:szCs w:val="32"/>
        </w:rPr>
        <w:t>年度部门整体进行了绩效自评，涉及资金</w:t>
      </w:r>
      <w:r>
        <w:rPr>
          <w:rFonts w:hint="eastAsia" w:ascii="仿宋_GB2312" w:hAnsi="仿宋_GB2312" w:eastAsia="仿宋_GB2312" w:cs="仿宋_GB2312"/>
          <w:color w:val="000000"/>
          <w:kern w:val="0"/>
          <w:sz w:val="31"/>
          <w:szCs w:val="31"/>
          <w:lang w:val="en-US" w:eastAsia="zh-CN"/>
        </w:rPr>
        <w:t>528.12</w:t>
      </w:r>
      <w:r>
        <w:rPr>
          <w:rFonts w:hint="eastAsia" w:ascii="仿宋_GB2312" w:hAnsi="仿宋_GB2312" w:eastAsia="仿宋_GB2312" w:cs="仿宋_GB2312"/>
          <w:szCs w:val="32"/>
        </w:rPr>
        <w:t>万元。</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w:t>
      </w:r>
      <w:r>
        <w:rPr>
          <w:rFonts w:hint="eastAsia" w:ascii="楷体_GB2312" w:hAnsi="宋体" w:eastAsia="楷体_GB2312" w:cs="楷体_GB2312"/>
          <w:b/>
          <w:color w:val="000000"/>
          <w:kern w:val="0"/>
          <w:szCs w:val="32"/>
          <w:lang w:val="en-US" w:eastAsia="zh-CN"/>
        </w:rPr>
        <w:t>二</w:t>
      </w:r>
      <w:r>
        <w:rPr>
          <w:rFonts w:hint="eastAsia" w:ascii="楷体_GB2312" w:hAnsi="宋体" w:eastAsia="楷体_GB2312" w:cs="楷体_GB2312"/>
          <w:b/>
          <w:color w:val="000000"/>
          <w:kern w:val="0"/>
          <w:szCs w:val="32"/>
        </w:rPr>
        <w:t>）部门决算中整体支出绩效自评结果。</w:t>
      </w:r>
    </w:p>
    <w:p>
      <w:pPr>
        <w:widowControl/>
        <w:ind w:firstLine="620" w:firstLineChars="200"/>
        <w:jc w:val="left"/>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根据年初设定的绩效目标，</w:t>
      </w:r>
      <w:r>
        <w:rPr>
          <w:rFonts w:hint="eastAsia" w:ascii="仿宋_GB2312" w:hAnsi="仿宋_GB2312" w:eastAsia="仿宋_GB2312" w:cs="仿宋_GB2312"/>
          <w:color w:val="000000"/>
          <w:kern w:val="0"/>
          <w:sz w:val="31"/>
          <w:szCs w:val="31"/>
        </w:rPr>
        <w:t>本部门整体2019年度整体</w:t>
      </w:r>
      <w:r>
        <w:rPr>
          <w:rFonts w:ascii="仿宋_GB2312" w:hAnsi="仿宋_GB2312" w:eastAsia="仿宋_GB2312" w:cs="仿宋_GB2312"/>
          <w:color w:val="000000"/>
          <w:kern w:val="0"/>
          <w:sz w:val="31"/>
          <w:szCs w:val="31"/>
        </w:rPr>
        <w:t>自评得分</w:t>
      </w:r>
      <w:r>
        <w:rPr>
          <w:rFonts w:hint="eastAsia" w:ascii="仿宋_GB2312" w:hAnsi="仿宋_GB2312" w:eastAsia="仿宋_GB2312" w:cs="仿宋_GB2312"/>
          <w:color w:val="000000"/>
          <w:kern w:val="0"/>
          <w:sz w:val="31"/>
          <w:szCs w:val="31"/>
          <w:lang w:val="en-US" w:eastAsia="zh-CN"/>
        </w:rPr>
        <w:t>87.5</w:t>
      </w:r>
      <w:r>
        <w:rPr>
          <w:rFonts w:ascii="仿宋_GB2312" w:hAnsi="仿宋_GB2312" w:eastAsia="仿宋_GB2312" w:cs="仿宋_GB2312"/>
          <w:color w:val="000000"/>
          <w:kern w:val="0"/>
          <w:sz w:val="31"/>
          <w:szCs w:val="31"/>
        </w:rPr>
        <w:t>分。全年预算数</w:t>
      </w:r>
      <w:r>
        <w:rPr>
          <w:rFonts w:hint="eastAsia" w:ascii="仿宋_GB2312" w:hAnsi="仿宋_GB2312" w:eastAsia="仿宋_GB2312" w:cs="仿宋_GB2312"/>
          <w:color w:val="000000"/>
          <w:kern w:val="0"/>
          <w:sz w:val="31"/>
          <w:szCs w:val="31"/>
          <w:lang w:val="en-US" w:eastAsia="zh-CN"/>
        </w:rPr>
        <w:t>158.77</w:t>
      </w:r>
      <w:r>
        <w:rPr>
          <w:rFonts w:ascii="仿宋_GB2312" w:hAnsi="仿宋_GB2312" w:eastAsia="仿宋_GB2312" w:cs="仿宋_GB2312"/>
          <w:color w:val="000000"/>
          <w:kern w:val="0"/>
          <w:sz w:val="31"/>
          <w:szCs w:val="31"/>
        </w:rPr>
        <w:t>万元，执行数</w:t>
      </w:r>
      <w:r>
        <w:rPr>
          <w:rFonts w:hint="eastAsia" w:ascii="仿宋_GB2312" w:hAnsi="仿宋_GB2312" w:eastAsia="仿宋_GB2312" w:cs="仿宋_GB2312"/>
          <w:color w:val="000000"/>
          <w:kern w:val="0"/>
          <w:sz w:val="31"/>
          <w:szCs w:val="31"/>
          <w:lang w:val="en-US" w:eastAsia="zh-CN"/>
        </w:rPr>
        <w:t>528.12</w:t>
      </w:r>
      <w:r>
        <w:rPr>
          <w:rFonts w:ascii="仿宋_GB2312" w:hAnsi="仿宋_GB2312" w:eastAsia="仿宋_GB2312" w:cs="仿宋_GB2312"/>
          <w:color w:val="000000"/>
          <w:kern w:val="0"/>
          <w:sz w:val="31"/>
          <w:szCs w:val="31"/>
        </w:rPr>
        <w:t>万元，完成预算的</w:t>
      </w:r>
      <w:r>
        <w:rPr>
          <w:rFonts w:hint="eastAsia" w:ascii="仿宋_GB2312" w:hAnsi="仿宋_GB2312" w:eastAsia="仿宋_GB2312" w:cs="仿宋_GB2312"/>
          <w:color w:val="000000"/>
          <w:kern w:val="0"/>
          <w:sz w:val="31"/>
          <w:szCs w:val="31"/>
          <w:lang w:val="en-US" w:eastAsia="zh-CN"/>
        </w:rPr>
        <w:t>333</w:t>
      </w:r>
      <w:r>
        <w:rPr>
          <w:rFonts w:ascii="仿宋_GB2312" w:hAnsi="仿宋_GB2312" w:eastAsia="仿宋_GB2312" w:cs="仿宋_GB2312"/>
          <w:color w:val="000000"/>
          <w:kern w:val="0"/>
          <w:sz w:val="31"/>
          <w:szCs w:val="31"/>
        </w:rPr>
        <w:t>%。</w:t>
      </w:r>
    </w:p>
    <w:p>
      <w:pPr>
        <w:widowControl/>
        <w:ind w:firstLine="620" w:firstLineChars="200"/>
        <w:jc w:val="left"/>
        <w:rPr>
          <w:rFonts w:hint="eastAsia" w:ascii="仿宋_GB2312" w:hAnsi="微软雅黑" w:eastAsia="仿宋_GB2312" w:cs="仿宋_GB2312"/>
          <w:i w:val="0"/>
          <w:caps w:val="0"/>
          <w:color w:val="000000"/>
          <w:spacing w:val="0"/>
          <w:kern w:val="0"/>
          <w:sz w:val="32"/>
          <w:szCs w:val="32"/>
          <w:lang w:val="en-US" w:eastAsia="zh-CN" w:bidi="ar"/>
        </w:rPr>
      </w:pPr>
      <w:r>
        <w:rPr>
          <w:rFonts w:ascii="仿宋_GB2312" w:hAnsi="仿宋_GB2312" w:eastAsia="仿宋_GB2312" w:cs="仿宋_GB2312"/>
          <w:color w:val="000000"/>
          <w:kern w:val="0"/>
          <w:sz w:val="31"/>
          <w:szCs w:val="31"/>
        </w:rPr>
        <w:t>主要产出和效果：</w:t>
      </w:r>
      <w:r>
        <w:rPr>
          <w:rFonts w:hint="eastAsia" w:ascii="仿宋_GB2312" w:hAnsi="微软雅黑" w:eastAsia="仿宋_GB2312" w:cs="仿宋_GB2312"/>
          <w:i w:val="0"/>
          <w:caps w:val="0"/>
          <w:color w:val="000000"/>
          <w:spacing w:val="0"/>
          <w:kern w:val="0"/>
          <w:sz w:val="32"/>
          <w:szCs w:val="32"/>
          <w:lang w:val="en-US" w:eastAsia="zh-CN" w:bidi="ar"/>
        </w:rPr>
        <w:t>2019年，县应急管理局全面深化机构改革，</w:t>
      </w:r>
      <w:r>
        <w:rPr>
          <w:rFonts w:hint="eastAsia" w:ascii="仿宋_GB2312" w:eastAsia="仿宋_GB2312"/>
          <w:color w:val="000000"/>
          <w:sz w:val="32"/>
          <w:szCs w:val="32"/>
        </w:rPr>
        <w:t>进一步建立健全和捋顺应急管理工作体制机制，</w:t>
      </w:r>
      <w:r>
        <w:rPr>
          <w:rFonts w:hint="eastAsia" w:ascii="仿宋_GB2312" w:hAnsi="微软雅黑" w:eastAsia="仿宋_GB2312" w:cs="仿宋_GB2312"/>
          <w:i w:val="0"/>
          <w:caps w:val="0"/>
          <w:color w:val="000000"/>
          <w:spacing w:val="0"/>
          <w:kern w:val="0"/>
          <w:sz w:val="32"/>
          <w:szCs w:val="32"/>
          <w:lang w:val="en-US" w:eastAsia="zh-CN" w:bidi="ar"/>
        </w:rPr>
        <w:t>全县应急管理工作整体稳步发展，亮点纷呈。</w:t>
      </w:r>
    </w:p>
    <w:p>
      <w:pPr>
        <w:keepNext w:val="0"/>
        <w:keepLines w:val="0"/>
        <w:pageBreakBefore w:val="0"/>
        <w:widowControl/>
        <w:kinsoku/>
        <w:wordWrap/>
        <w:overflowPunct/>
        <w:topLinePunct w:val="0"/>
        <w:autoSpaceDE/>
        <w:autoSpaceDN/>
        <w:bidi w:val="0"/>
        <w:adjustRightInd/>
        <w:snapToGrid/>
        <w:spacing w:line="576" w:lineRule="exact"/>
        <w:ind w:firstLine="620" w:firstLineChars="200"/>
        <w:rPr>
          <w:rFonts w:ascii="仿宋_GB2312" w:hAnsi="仿宋_GB2312" w:eastAsia="仿宋_GB2312" w:cs="仿宋_GB2312"/>
          <w:color w:val="000000"/>
          <w:kern w:val="0"/>
          <w:sz w:val="31"/>
          <w:szCs w:val="31"/>
        </w:rPr>
      </w:pPr>
      <w:r>
        <w:rPr>
          <w:rFonts w:hint="eastAsia" w:ascii="仿宋_GB2312" w:hAnsi="仿宋_GB2312" w:eastAsia="仿宋_GB2312" w:cs="仿宋_GB2312"/>
          <w:color w:val="000000"/>
          <w:kern w:val="0"/>
          <w:sz w:val="31"/>
          <w:szCs w:val="31"/>
        </w:rPr>
        <w:t>主要工作绩效是</w:t>
      </w:r>
      <w:r>
        <w:rPr>
          <w:rFonts w:ascii="仿宋_GB2312" w:hAnsi="仿宋_GB2312" w:eastAsia="仿宋_GB2312" w:cs="仿宋_GB2312"/>
          <w:color w:val="000000"/>
          <w:kern w:val="0"/>
          <w:sz w:val="31"/>
          <w:szCs w:val="31"/>
        </w:rPr>
        <w:t>：</w:t>
      </w:r>
      <w:r>
        <w:rPr>
          <w:rFonts w:hint="eastAsia" w:ascii="仿宋_GB2312" w:hAnsi="仿宋_GB2312" w:eastAsia="仿宋_GB2312" w:cs="仿宋_GB2312"/>
          <w:color w:val="000000"/>
          <w:kern w:val="0"/>
          <w:sz w:val="31"/>
          <w:szCs w:val="31"/>
          <w:lang w:val="en-US" w:eastAsia="zh-CN"/>
        </w:rPr>
        <w:t>一是</w:t>
      </w:r>
      <w:r>
        <w:rPr>
          <w:rFonts w:hint="eastAsia" w:ascii="仿宋_GB2312" w:hAnsi="仿宋_GB2312" w:eastAsia="仿宋_GB2312" w:cs="仿宋_GB2312"/>
          <w:b w:val="0"/>
          <w:bCs/>
          <w:color w:val="000000"/>
          <w:sz w:val="32"/>
          <w:szCs w:val="32"/>
        </w:rPr>
        <w:t>安全生产责任体系更加健全</w:t>
      </w: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b w:val="0"/>
          <w:bCs/>
          <w:color w:val="000000"/>
          <w:sz w:val="32"/>
          <w:szCs w:val="32"/>
          <w:lang w:val="en-US" w:eastAsia="zh-CN"/>
        </w:rPr>
        <w:t>二是防控风险隐患治理成效显著；三是</w:t>
      </w:r>
      <w:r>
        <w:rPr>
          <w:rFonts w:hint="eastAsia" w:ascii="仿宋_GB2312" w:hAnsi="仿宋_GB2312" w:eastAsia="仿宋_GB2312" w:cs="仿宋_GB2312"/>
          <w:b w:val="0"/>
          <w:bCs/>
          <w:color w:val="000000"/>
          <w:sz w:val="32"/>
          <w:szCs w:val="32"/>
        </w:rPr>
        <w:t>安全基础保障水平大幅提升</w:t>
      </w:r>
      <w:r>
        <w:rPr>
          <w:rFonts w:hint="eastAsia" w:ascii="仿宋_GB2312" w:hAnsi="仿宋_GB2312" w:eastAsia="仿宋_GB2312" w:cs="仿宋_GB2312"/>
          <w:b w:val="0"/>
          <w:bCs/>
          <w:color w:val="000000"/>
          <w:sz w:val="32"/>
          <w:szCs w:val="32"/>
          <w:lang w:eastAsia="zh-CN"/>
        </w:rPr>
        <w:t>；</w:t>
      </w:r>
      <w:r>
        <w:rPr>
          <w:rFonts w:hint="eastAsia" w:ascii="仿宋_GB2312" w:hAnsi="仿宋_GB2312" w:eastAsia="仿宋_GB2312" w:cs="仿宋_GB2312"/>
          <w:b w:val="0"/>
          <w:bCs/>
          <w:color w:val="000000"/>
          <w:sz w:val="32"/>
          <w:szCs w:val="32"/>
          <w:lang w:val="en-US" w:eastAsia="zh-CN"/>
        </w:rPr>
        <w:t>四是</w:t>
      </w:r>
      <w:r>
        <w:rPr>
          <w:rFonts w:hint="eastAsia" w:ascii="仿宋_GB2312" w:hAnsi="仿宋_GB2312" w:eastAsia="仿宋_GB2312" w:cs="仿宋_GB2312"/>
          <w:b w:val="0"/>
          <w:bCs/>
          <w:color w:val="000000"/>
          <w:sz w:val="32"/>
          <w:szCs w:val="32"/>
        </w:rPr>
        <w:t>安全生产监管效能大幅提升</w:t>
      </w:r>
      <w:r>
        <w:rPr>
          <w:rFonts w:hint="eastAsia" w:ascii="仿宋_GB2312" w:hAnsi="仿宋_GB2312" w:eastAsia="仿宋_GB2312" w:cs="仿宋_GB2312"/>
          <w:b w:val="0"/>
          <w:bCs/>
          <w:color w:val="000000"/>
          <w:sz w:val="32"/>
          <w:szCs w:val="32"/>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76" w:lineRule="exact"/>
        <w:ind w:right="0" w:firstLine="620" w:firstLineChars="200"/>
        <w:textAlignment w:val="auto"/>
        <w:rPr>
          <w:rFonts w:ascii="仿宋_GB2312" w:hAnsi="仿宋_GB2312" w:eastAsia="仿宋_GB2312" w:cs="仿宋_GB2312"/>
          <w:color w:val="000000"/>
          <w:kern w:val="0"/>
          <w:sz w:val="31"/>
          <w:szCs w:val="31"/>
        </w:rPr>
      </w:pPr>
      <w:r>
        <w:rPr>
          <w:rFonts w:ascii="仿宋_GB2312" w:hAnsi="仿宋_GB2312" w:eastAsia="仿宋_GB2312" w:cs="仿宋_GB2312"/>
          <w:color w:val="000000"/>
          <w:kern w:val="0"/>
          <w:sz w:val="31"/>
          <w:szCs w:val="31"/>
        </w:rPr>
        <w:t>发现的问题及原因：</w:t>
      </w:r>
      <w:r>
        <w:rPr>
          <w:rFonts w:hint="eastAsia" w:ascii="仿宋_GB2312" w:hAnsi="仿宋_GB2312" w:eastAsia="仿宋_GB2312" w:cs="仿宋_GB2312"/>
          <w:b w:val="0"/>
          <w:bCs/>
          <w:color w:val="000000"/>
          <w:kern w:val="2"/>
          <w:sz w:val="32"/>
          <w:szCs w:val="32"/>
          <w:lang w:val="en-US" w:eastAsia="zh-CN" w:bidi="ar-SA"/>
        </w:rPr>
        <w:t>预算编制与实际支出项目有的存在差异。</w:t>
      </w:r>
    </w:p>
    <w:p>
      <w:pPr>
        <w:widowControl/>
        <w:ind w:firstLine="620" w:firstLineChars="200"/>
        <w:jc w:val="left"/>
        <w:rPr>
          <w:rFonts w:hint="eastAsia" w:ascii="仿宋_GB2312" w:hAnsi="仿宋_GB2312" w:eastAsia="仿宋_GB2312" w:cs="仿宋_GB2312"/>
          <w:color w:val="000000"/>
          <w:kern w:val="0"/>
          <w:sz w:val="31"/>
          <w:szCs w:val="31"/>
          <w:lang w:eastAsia="zh-CN"/>
        </w:rPr>
      </w:pPr>
      <w:r>
        <w:rPr>
          <w:rFonts w:ascii="仿宋_GB2312" w:hAnsi="仿宋_GB2312" w:eastAsia="仿宋_GB2312" w:cs="仿宋_GB2312"/>
          <w:color w:val="000000"/>
          <w:kern w:val="0"/>
          <w:sz w:val="31"/>
          <w:szCs w:val="31"/>
        </w:rPr>
        <w:t>下一步改进措施：</w:t>
      </w:r>
      <w:r>
        <w:rPr>
          <w:rFonts w:hint="eastAsia" w:ascii="仿宋_GB2312" w:hAnsi="仿宋_GB2312" w:eastAsia="仿宋_GB2312" w:cs="仿宋_GB2312"/>
          <w:color w:val="000000"/>
          <w:kern w:val="0"/>
          <w:sz w:val="31"/>
          <w:szCs w:val="31"/>
          <w:lang w:val="en-US" w:eastAsia="zh-CN"/>
        </w:rPr>
        <w:t>一是</w:t>
      </w:r>
      <w:r>
        <w:rPr>
          <w:rFonts w:hint="default" w:ascii="仿宋_GB2312" w:hAnsi="Times New Roman" w:eastAsia="仿宋_GB2312" w:cs="仿宋_GB2312"/>
          <w:color w:val="000000"/>
          <w:sz w:val="32"/>
          <w:szCs w:val="32"/>
        </w:rPr>
        <w:t>科学合理编制预算，严格执行预算</w:t>
      </w:r>
      <w:r>
        <w:rPr>
          <w:rFonts w:hint="eastAsia" w:ascii="仿宋_GB2312" w:hAnsi="Times New Roman" w:eastAsia="仿宋_GB2312" w:cs="仿宋_GB2312"/>
          <w:color w:val="000000"/>
          <w:sz w:val="32"/>
          <w:szCs w:val="32"/>
          <w:lang w:eastAsia="zh-CN"/>
        </w:rPr>
        <w:t>；</w:t>
      </w:r>
      <w:r>
        <w:rPr>
          <w:rFonts w:hint="eastAsia" w:ascii="仿宋_GB2312" w:hAnsi="Times New Roman" w:eastAsia="仿宋_GB2312" w:cs="仿宋_GB2312"/>
          <w:color w:val="000000"/>
          <w:sz w:val="32"/>
          <w:szCs w:val="32"/>
          <w:lang w:val="en-US" w:eastAsia="zh-CN"/>
        </w:rPr>
        <w:t>二是</w:t>
      </w:r>
      <w:r>
        <w:rPr>
          <w:rFonts w:hint="default" w:ascii="仿宋_GB2312" w:hAnsi="Times New Roman" w:eastAsia="仿宋_GB2312" w:cs="仿宋_GB2312"/>
          <w:color w:val="000000"/>
          <w:sz w:val="32"/>
          <w:szCs w:val="32"/>
        </w:rPr>
        <w:t>规范账务处理，提高财务信息质量</w:t>
      </w:r>
      <w:r>
        <w:rPr>
          <w:rFonts w:hint="eastAsia" w:ascii="仿宋_GB2312" w:hAnsi="Times New Roman" w:eastAsia="仿宋_GB2312" w:cs="仿宋_GB2312"/>
          <w:color w:val="000000"/>
          <w:sz w:val="32"/>
          <w:szCs w:val="32"/>
          <w:lang w:eastAsia="zh-CN"/>
        </w:rPr>
        <w:t>；</w:t>
      </w:r>
      <w:r>
        <w:rPr>
          <w:rFonts w:hint="eastAsia" w:ascii="仿宋_GB2312" w:hAnsi="Times New Roman" w:eastAsia="仿宋_GB2312" w:cs="仿宋_GB2312"/>
          <w:color w:val="000000"/>
          <w:sz w:val="32"/>
          <w:szCs w:val="32"/>
          <w:lang w:val="en-US" w:eastAsia="zh-CN"/>
        </w:rPr>
        <w:t>三是</w:t>
      </w:r>
      <w:r>
        <w:rPr>
          <w:rFonts w:hint="default" w:ascii="仿宋_GB2312" w:hAnsi="Times New Roman" w:eastAsia="仿宋_GB2312" w:cs="仿宋_GB2312"/>
          <w:color w:val="000000"/>
          <w:sz w:val="32"/>
          <w:szCs w:val="32"/>
        </w:rPr>
        <w:t>加强新行政事业单位会计制度和预算法学习</w:t>
      </w:r>
      <w:r>
        <w:rPr>
          <w:rFonts w:hint="eastAsia" w:ascii="仿宋_GB2312" w:hAnsi="Times New Roman" w:eastAsia="仿宋_GB2312" w:cs="仿宋_GB2312"/>
          <w:color w:val="000000"/>
          <w:sz w:val="32"/>
          <w:szCs w:val="32"/>
          <w:lang w:eastAsia="zh-CN"/>
        </w:rPr>
        <w:t>。</w:t>
      </w: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sectPr>
          <w:pgSz w:w="11906" w:h="16838"/>
          <w:pgMar w:top="1440" w:right="1800" w:bottom="1440" w:left="1800" w:header="851" w:footer="992" w:gutter="0"/>
          <w:cols w:space="425" w:num="1"/>
          <w:docGrid w:type="lines" w:linePitch="312" w:charSpace="0"/>
        </w:sectPr>
      </w:pPr>
    </w:p>
    <w:tbl>
      <w:tblPr>
        <w:tblStyle w:val="6"/>
        <w:tblpPr w:leftFromText="180" w:rightFromText="180" w:vertAnchor="page" w:horzAnchor="page" w:tblpXSpec="center" w:tblpY="1381"/>
        <w:tblW w:w="14708" w:type="dxa"/>
        <w:tblInd w:w="0" w:type="dxa"/>
        <w:tblLayout w:type="fixed"/>
        <w:tblCellMar>
          <w:top w:w="0" w:type="dxa"/>
          <w:left w:w="108" w:type="dxa"/>
          <w:bottom w:w="0" w:type="dxa"/>
          <w:right w:w="108" w:type="dxa"/>
        </w:tblCellMar>
      </w:tblPr>
      <w:tblGrid>
        <w:gridCol w:w="541"/>
        <w:gridCol w:w="633"/>
        <w:gridCol w:w="684"/>
        <w:gridCol w:w="360"/>
        <w:gridCol w:w="3251"/>
        <w:gridCol w:w="2579"/>
        <w:gridCol w:w="424"/>
        <w:gridCol w:w="672"/>
        <w:gridCol w:w="357"/>
        <w:gridCol w:w="479"/>
        <w:gridCol w:w="249"/>
        <w:gridCol w:w="587"/>
        <w:gridCol w:w="349"/>
        <w:gridCol w:w="249"/>
        <w:gridCol w:w="508"/>
        <w:gridCol w:w="1128"/>
        <w:gridCol w:w="118"/>
        <w:gridCol w:w="1540"/>
      </w:tblGrid>
      <w:tr>
        <w:tblPrEx>
          <w:tblCellMar>
            <w:top w:w="0" w:type="dxa"/>
            <w:left w:w="108" w:type="dxa"/>
            <w:bottom w:w="0" w:type="dxa"/>
            <w:right w:w="108" w:type="dxa"/>
          </w:tblCellMar>
        </w:tblPrEx>
        <w:trPr>
          <w:trHeight w:val="107" w:hRule="atLeast"/>
        </w:trPr>
        <w:tc>
          <w:tcPr>
            <w:tcW w:w="14708" w:type="dxa"/>
            <w:gridSpan w:val="18"/>
            <w:tcBorders>
              <w:top w:val="nil"/>
              <w:left w:val="nil"/>
              <w:bottom w:val="nil"/>
              <w:right w:val="nil"/>
            </w:tcBorders>
            <w:shd w:val="clear" w:color="auto" w:fill="auto"/>
            <w:vAlign w:val="center"/>
          </w:tcPr>
          <w:p>
            <w:pPr>
              <w:widowControl/>
              <w:jc w:val="center"/>
              <w:rPr>
                <w:rFonts w:ascii="黑体" w:hAnsi="黑体" w:eastAsia="黑体" w:cs="宋体"/>
                <w:kern w:val="0"/>
                <w:sz w:val="40"/>
                <w:szCs w:val="40"/>
              </w:rPr>
            </w:pPr>
            <w:r>
              <w:rPr>
                <w:rFonts w:hint="eastAsia" w:ascii="黑体" w:hAnsi="黑体" w:eastAsia="黑体" w:cs="宋体"/>
                <w:kern w:val="0"/>
                <w:sz w:val="40"/>
                <w:szCs w:val="40"/>
              </w:rPr>
              <w:t>部门整体支出绩效自评表</w:t>
            </w:r>
            <w:r>
              <w:rPr>
                <w:rFonts w:hint="eastAsia" w:ascii="黑体" w:hAnsi="黑体" w:eastAsia="黑体" w:cs="宋体"/>
                <w:kern w:val="0"/>
                <w:sz w:val="40"/>
                <w:szCs w:val="40"/>
              </w:rPr>
              <w:br w:type="textWrapping"/>
            </w:r>
            <w:r>
              <w:rPr>
                <w:rFonts w:hint="eastAsia" w:ascii="黑体" w:hAnsi="黑体" w:eastAsia="黑体" w:cs="宋体"/>
                <w:kern w:val="0"/>
                <w:sz w:val="20"/>
              </w:rPr>
              <w:t>（2019年度）</w:t>
            </w:r>
          </w:p>
        </w:tc>
      </w:tr>
      <w:tr>
        <w:tblPrEx>
          <w:tblCellMar>
            <w:top w:w="0" w:type="dxa"/>
            <w:left w:w="108" w:type="dxa"/>
            <w:bottom w:w="0" w:type="dxa"/>
            <w:right w:w="108" w:type="dxa"/>
          </w:tblCellMar>
        </w:tblPrEx>
        <w:trPr>
          <w:trHeight w:val="203" w:hRule="atLeast"/>
        </w:trPr>
        <w:tc>
          <w:tcPr>
            <w:tcW w:w="5469" w:type="dxa"/>
            <w:gridSpan w:val="5"/>
            <w:tcBorders>
              <w:top w:val="nil"/>
              <w:left w:val="nil"/>
              <w:bottom w:val="nil"/>
              <w:right w:val="nil"/>
            </w:tcBorders>
            <w:shd w:val="clear" w:color="auto" w:fill="auto"/>
            <w:vAlign w:val="center"/>
          </w:tcPr>
          <w:p>
            <w:pPr>
              <w:widowControl/>
              <w:jc w:val="left"/>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rPr>
              <w:t>填报单位:</w:t>
            </w:r>
            <w:r>
              <w:rPr>
                <w:rFonts w:hint="eastAsia" w:ascii="仿宋_GB2312" w:hAnsi="宋体" w:eastAsia="仿宋_GB2312" w:cs="宋体"/>
                <w:kern w:val="0"/>
                <w:sz w:val="24"/>
                <w:szCs w:val="24"/>
                <w:lang w:val="en-US" w:eastAsia="zh-CN"/>
              </w:rPr>
              <w:t>蓝田县应急管理局</w:t>
            </w:r>
          </w:p>
        </w:tc>
        <w:tc>
          <w:tcPr>
            <w:tcW w:w="2579" w:type="dxa"/>
            <w:tcBorders>
              <w:top w:val="nil"/>
              <w:left w:val="nil"/>
              <w:bottom w:val="nil"/>
              <w:right w:val="nil"/>
            </w:tcBorders>
            <w:shd w:val="clear" w:color="auto" w:fill="auto"/>
            <w:vAlign w:val="center"/>
          </w:tcPr>
          <w:p>
            <w:pPr>
              <w:widowControl/>
              <w:jc w:val="center"/>
              <w:rPr>
                <w:rFonts w:hint="default" w:ascii="仿宋_GB2312" w:hAnsi="宋体" w:eastAsia="仿宋_GB2312" w:cs="宋体"/>
                <w:kern w:val="0"/>
                <w:sz w:val="24"/>
                <w:szCs w:val="24"/>
                <w:lang w:val="en-US" w:eastAsia="zh-CN"/>
              </w:rPr>
            </w:pPr>
            <w:r>
              <w:rPr>
                <w:rFonts w:hint="eastAsia" w:ascii="仿宋_GB2312" w:hAnsi="宋体" w:eastAsia="仿宋_GB2312" w:cs="宋体"/>
                <w:kern w:val="0"/>
                <w:sz w:val="24"/>
                <w:szCs w:val="24"/>
              </w:rPr>
              <w:t>自评得分：</w:t>
            </w:r>
            <w:r>
              <w:rPr>
                <w:rFonts w:hint="eastAsia" w:ascii="仿宋_GB2312" w:hAnsi="宋体" w:eastAsia="仿宋_GB2312" w:cs="宋体"/>
                <w:kern w:val="0"/>
                <w:sz w:val="24"/>
                <w:szCs w:val="24"/>
                <w:lang w:val="en-US" w:eastAsia="zh-CN"/>
              </w:rPr>
              <w:t>87.5</w:t>
            </w:r>
          </w:p>
        </w:tc>
        <w:tc>
          <w:tcPr>
            <w:tcW w:w="109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836"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598" w:type="dxa"/>
            <w:gridSpan w:val="2"/>
            <w:tcBorders>
              <w:top w:val="nil"/>
              <w:left w:val="nil"/>
              <w:bottom w:val="nil"/>
              <w:right w:val="nil"/>
            </w:tcBorders>
            <w:shd w:val="clear" w:color="auto" w:fill="auto"/>
            <w:vAlign w:val="center"/>
          </w:tcPr>
          <w:p>
            <w:pPr>
              <w:widowControl/>
              <w:jc w:val="center"/>
              <w:rPr>
                <w:rFonts w:ascii="仿宋_GB2312" w:hAnsi="宋体" w:eastAsia="仿宋_GB2312" w:cs="宋体"/>
                <w:kern w:val="0"/>
                <w:sz w:val="24"/>
                <w:szCs w:val="24"/>
              </w:rPr>
            </w:pPr>
          </w:p>
        </w:tc>
        <w:tc>
          <w:tcPr>
            <w:tcW w:w="1636" w:type="dxa"/>
            <w:gridSpan w:val="2"/>
            <w:tcBorders>
              <w:top w:val="nil"/>
              <w:left w:val="nil"/>
              <w:bottom w:val="nil"/>
              <w:right w:val="nil"/>
            </w:tcBorders>
            <w:shd w:val="clear" w:color="auto" w:fill="auto"/>
            <w:noWrap/>
            <w:vAlign w:val="center"/>
          </w:tcPr>
          <w:p>
            <w:pPr>
              <w:widowControl/>
              <w:jc w:val="center"/>
              <w:rPr>
                <w:rFonts w:ascii="宋体" w:hAnsi="宋体" w:eastAsia="宋体" w:cs="宋体"/>
                <w:kern w:val="0"/>
                <w:sz w:val="24"/>
                <w:szCs w:val="24"/>
              </w:rPr>
            </w:pPr>
          </w:p>
        </w:tc>
        <w:tc>
          <w:tcPr>
            <w:tcW w:w="1658" w:type="dxa"/>
            <w:gridSpan w:val="2"/>
            <w:tcBorders>
              <w:top w:val="nil"/>
              <w:left w:val="nil"/>
              <w:bottom w:val="nil"/>
              <w:right w:val="nil"/>
            </w:tcBorders>
            <w:shd w:val="clear" w:color="auto" w:fill="auto"/>
            <w:noWrap/>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1"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rPr>
            </w:pPr>
            <w:r>
              <w:rPr>
                <w:rFonts w:hint="eastAsia" w:ascii="仿宋_GB2312" w:hAnsi="宋体" w:eastAsia="仿宋_GB2312" w:cs="宋体"/>
                <w:kern w:val="0"/>
                <w:sz w:val="20"/>
              </w:rPr>
              <w:t>（一）简要概述部门职能与职责。</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_GB2312" w:hAnsi="宋体" w:eastAsia="仿宋_GB2312" w:cs="宋体"/>
                <w:kern w:val="0"/>
                <w:sz w:val="20"/>
              </w:rPr>
            </w:pPr>
          </w:p>
        </w:tc>
      </w:tr>
      <w:tr>
        <w:tblPrEx>
          <w:tblCellMar>
            <w:top w:w="0" w:type="dxa"/>
            <w:left w:w="108" w:type="dxa"/>
            <w:bottom w:w="0" w:type="dxa"/>
            <w:right w:w="108" w:type="dxa"/>
          </w:tblCellMar>
        </w:tblPrEx>
        <w:trPr>
          <w:trHeight w:val="530"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（二）简要概述部门支出情况，按活动内容分类。</w:t>
            </w:r>
          </w:p>
        </w:tc>
        <w:tc>
          <w:tcPr>
            <w:tcW w:w="9239" w:type="dxa"/>
            <w:gridSpan w:val="13"/>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szCs w:val="22"/>
                <w:lang w:eastAsia="zh-CN"/>
              </w:rPr>
              <w:t>2019</w:t>
            </w:r>
            <w:r>
              <w:rPr>
                <w:rFonts w:hint="eastAsia" w:ascii="仿宋_GB2312" w:hAnsi="宋体" w:eastAsia="仿宋_GB2312" w:cs="宋体"/>
                <w:kern w:val="0"/>
                <w:sz w:val="20"/>
                <w:szCs w:val="22"/>
              </w:rPr>
              <w:t>年度支出</w:t>
            </w:r>
            <w:r>
              <w:rPr>
                <w:rFonts w:hint="eastAsia" w:ascii="仿宋_GB2312" w:hAnsi="宋体" w:eastAsia="仿宋_GB2312" w:cs="宋体"/>
                <w:kern w:val="0"/>
                <w:sz w:val="20"/>
                <w:szCs w:val="22"/>
                <w:lang w:val="en-US" w:eastAsia="zh-CN"/>
              </w:rPr>
              <w:t>528.12</w:t>
            </w:r>
            <w:r>
              <w:rPr>
                <w:rFonts w:hint="eastAsia" w:ascii="仿宋_GB2312" w:hAnsi="宋体" w:eastAsia="仿宋_GB2312" w:cs="宋体"/>
                <w:kern w:val="0"/>
                <w:sz w:val="20"/>
                <w:szCs w:val="22"/>
              </w:rPr>
              <w:t>万元，其中基本支出</w:t>
            </w:r>
            <w:r>
              <w:rPr>
                <w:rFonts w:hint="eastAsia" w:ascii="仿宋_GB2312" w:hAnsi="宋体" w:eastAsia="仿宋_GB2312" w:cs="宋体"/>
                <w:kern w:val="0"/>
                <w:sz w:val="20"/>
                <w:szCs w:val="22"/>
                <w:lang w:val="en-US" w:eastAsia="zh-CN"/>
              </w:rPr>
              <w:t>388.23</w:t>
            </w:r>
            <w:r>
              <w:rPr>
                <w:rFonts w:hint="eastAsia" w:ascii="仿宋_GB2312" w:hAnsi="宋体" w:eastAsia="仿宋_GB2312" w:cs="宋体"/>
                <w:kern w:val="0"/>
                <w:sz w:val="20"/>
                <w:szCs w:val="22"/>
              </w:rPr>
              <w:t>万元，</w:t>
            </w:r>
            <w:r>
              <w:rPr>
                <w:rFonts w:hint="eastAsia" w:ascii="仿宋_GB2312" w:hAnsi="宋体" w:eastAsia="仿宋_GB2312" w:cs="宋体"/>
                <w:kern w:val="0"/>
                <w:sz w:val="20"/>
                <w:szCs w:val="22"/>
                <w:lang w:val="en-US" w:eastAsia="zh-CN"/>
              </w:rPr>
              <w:t>占73.51%；</w:t>
            </w:r>
            <w:r>
              <w:rPr>
                <w:rFonts w:hint="eastAsia" w:ascii="仿宋_GB2312" w:hAnsi="宋体" w:eastAsia="仿宋_GB2312" w:cs="宋体"/>
                <w:kern w:val="0"/>
                <w:sz w:val="20"/>
                <w:szCs w:val="22"/>
              </w:rPr>
              <w:t>项目支出</w:t>
            </w:r>
            <w:r>
              <w:rPr>
                <w:rFonts w:hint="eastAsia" w:ascii="仿宋_GB2312" w:hAnsi="宋体" w:eastAsia="仿宋_GB2312" w:cs="宋体"/>
                <w:kern w:val="0"/>
                <w:sz w:val="20"/>
                <w:szCs w:val="22"/>
                <w:lang w:val="en-US" w:eastAsia="zh-CN"/>
              </w:rPr>
              <w:t>139.89</w:t>
            </w:r>
            <w:r>
              <w:rPr>
                <w:rFonts w:hint="eastAsia" w:ascii="仿宋_GB2312" w:hAnsi="宋体" w:eastAsia="仿宋_GB2312" w:cs="宋体"/>
                <w:kern w:val="0"/>
                <w:sz w:val="20"/>
                <w:szCs w:val="22"/>
              </w:rPr>
              <w:t>万元</w:t>
            </w:r>
            <w:r>
              <w:rPr>
                <w:rFonts w:hint="eastAsia" w:ascii="仿宋_GB2312" w:hAnsi="宋体" w:eastAsia="仿宋_GB2312" w:cs="宋体"/>
                <w:kern w:val="0"/>
                <w:sz w:val="20"/>
                <w:szCs w:val="22"/>
                <w:lang w:eastAsia="zh-CN"/>
              </w:rPr>
              <w:t>，</w:t>
            </w:r>
            <w:r>
              <w:rPr>
                <w:rFonts w:hint="eastAsia" w:ascii="仿宋_GB2312" w:hAnsi="宋体" w:eastAsia="仿宋_GB2312" w:cs="宋体"/>
                <w:kern w:val="0"/>
                <w:sz w:val="20"/>
                <w:szCs w:val="22"/>
                <w:lang w:val="en-US" w:eastAsia="zh-CN"/>
              </w:rPr>
              <w:t>占26.49%。</w:t>
            </w:r>
          </w:p>
        </w:tc>
      </w:tr>
      <w:tr>
        <w:tblPrEx>
          <w:tblCellMar>
            <w:top w:w="0" w:type="dxa"/>
            <w:left w:w="108" w:type="dxa"/>
            <w:bottom w:w="0" w:type="dxa"/>
            <w:right w:w="108" w:type="dxa"/>
          </w:tblCellMar>
        </w:tblPrEx>
        <w:trPr>
          <w:trHeight w:val="87" w:hRule="atLeast"/>
        </w:trPr>
        <w:tc>
          <w:tcPr>
            <w:tcW w:w="5469" w:type="dxa"/>
            <w:gridSpan w:val="5"/>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left"/>
              <w:rPr>
                <w:rFonts w:ascii="仿宋_GB2312" w:hAnsi="宋体" w:eastAsia="仿宋_GB2312" w:cs="宋体"/>
                <w:kern w:val="0"/>
                <w:sz w:val="20"/>
              </w:rPr>
            </w:pPr>
            <w:r>
              <w:rPr>
                <w:rFonts w:hint="eastAsia" w:ascii="仿宋_GB2312" w:hAnsi="宋体" w:eastAsia="仿宋_GB2312" w:cs="宋体"/>
                <w:kern w:val="0"/>
                <w:sz w:val="20"/>
              </w:rPr>
              <w:t>（三）简要概述当年市委市政府下达的重点工作。</w:t>
            </w:r>
          </w:p>
        </w:tc>
        <w:tc>
          <w:tcPr>
            <w:tcW w:w="9239" w:type="dxa"/>
            <w:gridSpan w:val="13"/>
            <w:tcBorders>
              <w:top w:val="single" w:color="auto" w:sz="4" w:space="0"/>
              <w:left w:val="nil"/>
              <w:bottom w:val="single" w:color="auto" w:sz="4" w:space="0"/>
              <w:right w:val="single" w:color="000000" w:sz="4" w:space="0"/>
            </w:tcBorders>
            <w:shd w:val="clear" w:color="auto" w:fill="auto"/>
            <w:vAlign w:val="center"/>
          </w:tcPr>
          <w:p>
            <w:pPr>
              <w:widowControl/>
              <w:spacing w:line="240" w:lineRule="exact"/>
              <w:jc w:val="left"/>
              <w:rPr>
                <w:rFonts w:ascii="仿宋_GB2312" w:hAnsi="宋体" w:eastAsia="仿宋_GB2312" w:cs="宋体"/>
                <w:kern w:val="0"/>
                <w:sz w:val="20"/>
              </w:rPr>
            </w:pPr>
          </w:p>
        </w:tc>
      </w:tr>
      <w:tr>
        <w:tblPrEx>
          <w:tblCellMar>
            <w:top w:w="0" w:type="dxa"/>
            <w:left w:w="108" w:type="dxa"/>
            <w:bottom w:w="0" w:type="dxa"/>
            <w:right w:w="108" w:type="dxa"/>
          </w:tblCellMar>
        </w:tblPrEx>
        <w:trPr>
          <w:trHeight w:val="124" w:hRule="atLeast"/>
        </w:trPr>
        <w:tc>
          <w:tcPr>
            <w:tcW w:w="541" w:type="dxa"/>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335"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完成率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预算完成率=（预算完成数/预算数）×100%，用以反映和考核部门（单位）预算完成程度。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预算完成数：部门（单位）本年度实际完成的预算数。</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预算数：财政部门批复的本年度部门（单位）预算数。</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预算完成率＝100%的，得10分。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预算完成率≥95%的，得9分。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预算完成率在90%（含）和95%之间，得8分。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预算完成率在85%（含）和90%之间，得7分。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预算完成率在80%（含）和85%之间，得6分。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预算完成率在70%（含）和80%之间，得4分。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预算完成率＜70%的，得0分。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rPr>
              <w:t>100%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10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02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预算调整率=（预算调整数/预算数）×100%，用以反映和考核部门（单位）预算的调整程度。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预算调整数：部门（单位）在本年度内涉及预算的追加、追减或结构调整的资金总和（因落实国家政策、发生不可抗力、上级部门或本级党委政府临时交办而产生的调整除外）。</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预算包括一般公共预算与政府性基金预算。</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预算调整率绝对值≤5%，得5分。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预算调整率绝对值＞5%的，每增加0.1个百分点扣0.1分，扣完为止。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2019年决算取数。</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Arial" w:hAnsi="Arial" w:eastAsia="宋体" w:cs="Arial"/>
                <w:kern w:val="0"/>
                <w:sz w:val="20"/>
              </w:rPr>
            </w:pPr>
            <w:r>
              <w:rPr>
                <w:rFonts w:ascii="Arial" w:hAnsi="Arial" w:eastAsia="宋体" w:cs="Arial"/>
                <w:kern w:val="0"/>
                <w:sz w:val="20"/>
              </w:rPr>
              <w:t>≤</w:t>
            </w:r>
            <w:r>
              <w:rPr>
                <w:rFonts w:hint="eastAsia" w:ascii="楷体_GB2312" w:hAnsi="Arial" w:eastAsia="楷体_GB2312" w:cs="Arial"/>
                <w:kern w:val="0"/>
                <w:sz w:val="20"/>
              </w:rPr>
              <w:t>5%</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right"/>
              <w:rPr>
                <w:rFonts w:ascii="楷体_GB2312" w:hAnsi="宋体" w:eastAsia="楷体_GB2312" w:cs="宋体"/>
                <w:kern w:val="0"/>
                <w:sz w:val="20"/>
              </w:rPr>
            </w:pPr>
            <w:r>
              <w:rPr>
                <w:rFonts w:hint="eastAsia" w:ascii="楷体_GB2312" w:hAnsi="宋体" w:eastAsia="楷体_GB2312" w:cs="宋体"/>
                <w:kern w:val="0"/>
                <w:sz w:val="20"/>
                <w:lang w:val="en-US" w:eastAsia="zh-CN"/>
              </w:rPr>
              <w:t>233</w:t>
            </w:r>
            <w:r>
              <w:rPr>
                <w:rFonts w:hint="eastAsia" w:ascii="楷体_GB2312" w:hAnsi="宋体" w:eastAsia="楷体_GB2312" w:cs="宋体"/>
                <w:kern w:val="0"/>
                <w:sz w:val="20"/>
              </w:rPr>
              <w:t>%</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lang w:val="en-US" w:eastAsia="zh-CN"/>
              </w:rPr>
              <w:t>机构改革和项目追加</w:t>
            </w:r>
            <w:r>
              <w:rPr>
                <w:rFonts w:hint="eastAsia" w:ascii="仿宋_GB2312" w:hAnsi="宋体" w:eastAsia="仿宋_GB2312" w:cs="宋体"/>
                <w:kern w:val="0"/>
                <w:sz w:val="20"/>
              </w:rPr>
              <w:t>。</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建议年初增加部门项目预算。</w:t>
            </w:r>
          </w:p>
        </w:tc>
      </w:tr>
      <w:tr>
        <w:tblPrEx>
          <w:tblCellMar>
            <w:top w:w="0" w:type="dxa"/>
            <w:left w:w="108" w:type="dxa"/>
            <w:bottom w:w="0" w:type="dxa"/>
            <w:right w:w="108" w:type="dxa"/>
          </w:tblCellMar>
        </w:tblPrEx>
        <w:trPr>
          <w:trHeight w:val="75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p>
            <w:pPr>
              <w:rPr>
                <w:rFonts w:ascii="楷体_GB2312" w:hAnsi="宋体" w:eastAsia="楷体_GB2312" w:cs="宋体"/>
                <w:sz w:val="20"/>
              </w:rPr>
            </w:pPr>
          </w:p>
          <w:p>
            <w:pPr>
              <w:rPr>
                <w:rFonts w:ascii="楷体_GB2312" w:hAnsi="宋体" w:eastAsia="楷体_GB2312" w:cs="宋体"/>
                <w:sz w:val="20"/>
              </w:rPr>
            </w:pP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2187"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投入</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预算执行（25分）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支出进度率=（实际支出/支出预算）×100%，用以反映和考核部门（单位）预算执行的及时性和均衡性程度。</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半年支出进度＝部门上半年实际支出/（上年结余结转+本年部门预算安排+上半年执行中追加追减）*100%。</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前三季度支出进度＝部门前三季度实际支出/（上年结余结转+本年部门预算安排+前三季度执行中追加追减）*100%。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半年进度：进度率≥45%，得2分；进度率在40%（含）和45%之间，得1分；进度率＜40%，得0分。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前三季度进度：进度率≥75%，得3分；进度率在60%（含）和75%之间，得2分；进度率＜60%，得0分。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国库集中支付系统。</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半年支出进度</w:t>
            </w:r>
            <w:r>
              <w:rPr>
                <w:rFonts w:ascii="Arial" w:hAnsi="Arial" w:eastAsia="楷体_GB2312" w:cs="Arial"/>
                <w:kern w:val="0"/>
                <w:sz w:val="20"/>
              </w:rPr>
              <w:t>≥</w:t>
            </w:r>
            <w:r>
              <w:rPr>
                <w:rFonts w:hint="eastAsia" w:ascii="楷体_GB2312" w:hAnsi="宋体" w:eastAsia="楷体_GB2312" w:cs="宋体"/>
                <w:kern w:val="0"/>
                <w:sz w:val="20"/>
              </w:rPr>
              <w:t>50%，第三季度支出进度≥</w:t>
            </w:r>
            <w:r>
              <w:rPr>
                <w:rFonts w:hint="eastAsia" w:ascii="楷体_GB2312" w:hAnsi="宋体" w:eastAsia="楷体_GB2312" w:cs="宋体"/>
                <w:kern w:val="0"/>
                <w:sz w:val="20"/>
                <w:lang w:val="en-US" w:eastAsia="zh-CN"/>
              </w:rPr>
              <w:t>75</w:t>
            </w:r>
            <w:r>
              <w:rPr>
                <w:rFonts w:hint="eastAsia" w:ascii="楷体_GB2312" w:hAnsi="宋体" w:eastAsia="楷体_GB2312" w:cs="宋体"/>
                <w:kern w:val="0"/>
                <w:sz w:val="20"/>
              </w:rPr>
              <w:t>%。</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第三季度支出进度≥50%。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default" w:ascii="楷体_GB2312" w:hAnsi="宋体" w:eastAsia="楷体_GB2312" w:cs="宋体"/>
                <w:kern w:val="0"/>
                <w:sz w:val="20"/>
                <w:lang w:val="en-US" w:eastAsia="zh-CN"/>
              </w:rPr>
            </w:pPr>
            <w:r>
              <w:rPr>
                <w:rFonts w:hint="eastAsia" w:ascii="楷体_GB2312" w:hAnsi="宋体" w:eastAsia="楷体_GB2312" w:cs="宋体"/>
                <w:kern w:val="0"/>
                <w:sz w:val="20"/>
                <w:lang w:val="en-US" w:eastAsia="zh-CN"/>
              </w:rPr>
              <w:t>2.5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105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部门预算中除财政拨款外的其他收入预算与决算差异率。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预算编制准确率＝其他收入决算数/其他收入预算数×100%-100%。</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预算编制准确率≤20%，得5分。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预算编制准确率在20%和40%（含）之间，得3分。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预算编制准确率＞40%，得0分。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2019年初预算和决算数。</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预算编制准确率≤20%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楷体_GB2312" w:hAnsi="宋体" w:eastAsia="楷体_GB2312" w:cs="宋体"/>
                <w:kern w:val="0"/>
                <w:sz w:val="20"/>
                <w:lang w:eastAsia="zh-CN"/>
              </w:rPr>
            </w:pPr>
            <w:r>
              <w:rPr>
                <w:rFonts w:hint="eastAsia" w:ascii="楷体_GB2312" w:hAnsi="宋体" w:eastAsia="楷体_GB2312" w:cs="宋体"/>
                <w:kern w:val="0"/>
                <w:sz w:val="20"/>
                <w:lang w:val="en-US" w:eastAsia="zh-CN"/>
              </w:rPr>
              <w:t>0</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lang w:val="en-US" w:eastAsia="zh-CN"/>
              </w:rPr>
              <w:t>机构改革和项目追加</w:t>
            </w:r>
            <w:r>
              <w:rPr>
                <w:rFonts w:hint="eastAsia" w:ascii="仿宋_GB2312" w:hAnsi="宋体" w:eastAsia="仿宋_GB2312" w:cs="宋体"/>
                <w:kern w:val="0"/>
                <w:sz w:val="20"/>
              </w:rPr>
              <w:t>。</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仿宋_GB2312" w:hAnsi="宋体" w:eastAsia="仿宋_GB2312" w:cs="宋体"/>
                <w:kern w:val="0"/>
                <w:sz w:val="20"/>
              </w:rPr>
            </w:pPr>
            <w:r>
              <w:rPr>
                <w:rFonts w:hint="eastAsia" w:ascii="仿宋_GB2312" w:hAnsi="宋体" w:eastAsia="仿宋_GB2312" w:cs="宋体"/>
                <w:kern w:val="0"/>
                <w:sz w:val="20"/>
              </w:rPr>
              <w:t>建议年初增加部门项目预算。</w:t>
            </w:r>
          </w:p>
        </w:tc>
      </w:tr>
      <w:tr>
        <w:tblPrEx>
          <w:tblCellMar>
            <w:top w:w="0" w:type="dxa"/>
            <w:left w:w="108" w:type="dxa"/>
            <w:bottom w:w="0" w:type="dxa"/>
            <w:right w:w="108" w:type="dxa"/>
          </w:tblCellMar>
        </w:tblPrEx>
        <w:trPr>
          <w:trHeight w:val="2206"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“三公经费”控制率=（“三公经费”实际支出数/“三公经费”预算安排数）×100%，用以反映和考核部门（单位）对“三公经费”的实际控制程度。</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 ≤100%，得5分，每增加0.1个百分点扣0.5分，扣完为止。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hint="eastAsia" w:ascii="楷体_GB2312" w:hAnsi="宋体" w:eastAsia="楷体_GB2312" w:cs="宋体"/>
                <w:kern w:val="0"/>
                <w:sz w:val="20"/>
                <w:lang w:val="en-US" w:eastAsia="zh-CN"/>
              </w:rPr>
            </w:pPr>
            <w:r>
              <w:rPr>
                <w:rFonts w:hint="eastAsia" w:ascii="楷体_GB2312" w:hAnsi="宋体" w:eastAsia="楷体_GB2312" w:cs="宋体"/>
                <w:kern w:val="0"/>
                <w:sz w:val="20"/>
              </w:rPr>
              <w:t>2019年预算和决算数</w:t>
            </w:r>
            <w:r>
              <w:rPr>
                <w:rFonts w:hint="eastAsia" w:ascii="楷体_GB2312" w:hAnsi="宋体" w:eastAsia="楷体_GB2312" w:cs="宋体"/>
                <w:kern w:val="0"/>
                <w:sz w:val="20"/>
                <w:lang w:eastAsia="zh-CN"/>
              </w:rPr>
              <w:t>。</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三公经费控制率≤100%</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楷体_GB2312" w:hAnsi="宋体" w:eastAsia="楷体_GB2312" w:cs="宋体"/>
                <w:kern w:val="0"/>
                <w:sz w:val="20"/>
                <w:lang w:eastAsia="zh-CN"/>
              </w:rPr>
            </w:pPr>
            <w:r>
              <w:rPr>
                <w:rFonts w:hint="eastAsia" w:ascii="楷体_GB2312" w:hAnsi="宋体" w:eastAsia="楷体_GB2312" w:cs="宋体"/>
                <w:kern w:val="0"/>
                <w:sz w:val="20"/>
                <w:lang w:val="en-US" w:eastAsia="zh-CN"/>
              </w:rPr>
              <w:t>0</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hint="eastAsia" w:ascii="楷体_GB2312" w:hAnsi="宋体" w:eastAsia="楷体_GB2312" w:cs="宋体"/>
                <w:kern w:val="0"/>
                <w:sz w:val="20"/>
                <w:lang w:eastAsia="zh-CN"/>
              </w:rPr>
            </w:pPr>
            <w:r>
              <w:rPr>
                <w:rFonts w:hint="eastAsia" w:ascii="楷体_GB2312" w:hAnsi="宋体" w:eastAsia="楷体_GB2312" w:cs="宋体"/>
                <w:kern w:val="0"/>
                <w:sz w:val="20"/>
                <w:lang w:val="en-US" w:eastAsia="zh-CN"/>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　</w:t>
            </w:r>
          </w:p>
        </w:tc>
      </w:tr>
      <w:tr>
        <w:tblPrEx>
          <w:tblCellMar>
            <w:top w:w="0" w:type="dxa"/>
            <w:left w:w="108" w:type="dxa"/>
            <w:bottom w:w="0" w:type="dxa"/>
            <w:right w:w="108" w:type="dxa"/>
          </w:tblCellMar>
        </w:tblPrEx>
        <w:trPr>
          <w:trHeight w:val="216"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资产管理规范性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部门（单位）资产管理是否规范，用以反映和考核部门（单位）资产管理情况。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1.新增资产配置按预算执行。</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2.资产有偿使用、处置按规定程序审批。</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3.资产收益及时、足额上缴财政。</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全部符合5分，有1项不符扣2分,扣完为止。</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按照行政事业单位国有资产管理规定</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资产管理严格按照规定执行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加快资产购置和处置审批，提高资产管理效率。</w:t>
            </w:r>
          </w:p>
        </w:tc>
      </w:tr>
      <w:tr>
        <w:tblPrEx>
          <w:tblCellMar>
            <w:top w:w="0" w:type="dxa"/>
            <w:left w:w="108" w:type="dxa"/>
            <w:bottom w:w="0" w:type="dxa"/>
            <w:right w:w="108" w:type="dxa"/>
          </w:tblCellMar>
        </w:tblPrEx>
        <w:trPr>
          <w:trHeight w:val="216" w:hRule="atLeast"/>
        </w:trPr>
        <w:tc>
          <w:tcPr>
            <w:tcW w:w="541" w:type="dxa"/>
            <w:tcBorders>
              <w:top w:val="nil"/>
              <w:left w:val="nil"/>
              <w:bottom w:val="nil"/>
              <w:right w:val="nil"/>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p>
        </w:tc>
        <w:tc>
          <w:tcPr>
            <w:tcW w:w="633"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684" w:type="dxa"/>
            <w:tcBorders>
              <w:top w:val="nil"/>
              <w:left w:val="nil"/>
              <w:bottom w:val="nil"/>
              <w:right w:val="nil"/>
            </w:tcBorders>
            <w:shd w:val="clear" w:color="auto" w:fill="auto"/>
            <w:vAlign w:val="center"/>
          </w:tcPr>
          <w:p>
            <w:pPr>
              <w:widowControl/>
              <w:spacing w:line="240" w:lineRule="exact"/>
              <w:jc w:val="left"/>
              <w:rPr>
                <w:rFonts w:ascii="楷体_GB2312" w:hAnsi="宋体" w:eastAsia="楷体_GB2312" w:cs="宋体"/>
                <w:kern w:val="0"/>
                <w:sz w:val="20"/>
              </w:rPr>
            </w:pPr>
          </w:p>
        </w:tc>
        <w:tc>
          <w:tcPr>
            <w:tcW w:w="360" w:type="dxa"/>
            <w:tcBorders>
              <w:top w:val="nil"/>
              <w:left w:val="nil"/>
              <w:bottom w:val="nil"/>
              <w:right w:val="nil"/>
            </w:tcBorders>
            <w:shd w:val="clear" w:color="auto" w:fill="auto"/>
            <w:vAlign w:val="center"/>
          </w:tcPr>
          <w:p>
            <w:pPr>
              <w:widowControl/>
              <w:spacing w:line="240" w:lineRule="exact"/>
              <w:jc w:val="center"/>
              <w:rPr>
                <w:rFonts w:ascii="楷体_GB2312" w:hAnsi="宋体" w:eastAsia="楷体_GB2312" w:cs="宋体"/>
                <w:kern w:val="0"/>
                <w:sz w:val="20"/>
              </w:rPr>
            </w:pPr>
          </w:p>
        </w:tc>
        <w:tc>
          <w:tcPr>
            <w:tcW w:w="3251" w:type="dxa"/>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3003"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28"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936" w:type="dxa"/>
            <w:gridSpan w:val="2"/>
            <w:tcBorders>
              <w:top w:val="nil"/>
              <w:left w:val="nil"/>
              <w:bottom w:val="nil"/>
              <w:right w:val="nil"/>
            </w:tcBorders>
            <w:shd w:val="clear" w:color="auto" w:fill="auto"/>
            <w:vAlign w:val="center"/>
          </w:tcPr>
          <w:p>
            <w:pPr>
              <w:widowControl/>
              <w:spacing w:line="200" w:lineRule="exact"/>
              <w:jc w:val="left"/>
              <w:rPr>
                <w:rFonts w:ascii="楷体_GB2312" w:hAnsi="宋体" w:eastAsia="楷体_GB2312" w:cs="宋体"/>
                <w:kern w:val="0"/>
                <w:sz w:val="20"/>
              </w:rPr>
            </w:pPr>
          </w:p>
        </w:tc>
        <w:tc>
          <w:tcPr>
            <w:tcW w:w="757" w:type="dxa"/>
            <w:gridSpan w:val="2"/>
            <w:tcBorders>
              <w:top w:val="nil"/>
              <w:left w:val="nil"/>
              <w:bottom w:val="nil"/>
              <w:right w:val="nil"/>
            </w:tcBorders>
            <w:shd w:val="clear" w:color="auto" w:fill="auto"/>
            <w:vAlign w:val="center"/>
          </w:tcPr>
          <w:p>
            <w:pPr>
              <w:widowControl/>
              <w:spacing w:line="200" w:lineRule="exact"/>
              <w:jc w:val="center"/>
              <w:rPr>
                <w:rFonts w:ascii="楷体_GB2312" w:hAnsi="宋体" w:eastAsia="楷体_GB2312" w:cs="宋体"/>
                <w:kern w:val="0"/>
                <w:sz w:val="20"/>
              </w:rPr>
            </w:pPr>
          </w:p>
        </w:tc>
        <w:tc>
          <w:tcPr>
            <w:tcW w:w="1246" w:type="dxa"/>
            <w:gridSpan w:val="2"/>
            <w:tcBorders>
              <w:top w:val="nil"/>
              <w:left w:val="nil"/>
              <w:bottom w:val="nil"/>
              <w:right w:val="nil"/>
            </w:tcBorders>
            <w:shd w:val="clear" w:color="auto" w:fill="auto"/>
            <w:noWrap/>
            <w:vAlign w:val="center"/>
          </w:tcPr>
          <w:p>
            <w:pPr>
              <w:widowControl/>
              <w:spacing w:line="200" w:lineRule="exact"/>
              <w:jc w:val="center"/>
              <w:rPr>
                <w:rFonts w:ascii="宋体" w:hAnsi="宋体" w:eastAsia="宋体" w:cs="宋体"/>
                <w:kern w:val="0"/>
                <w:sz w:val="24"/>
                <w:szCs w:val="24"/>
              </w:rPr>
            </w:pPr>
          </w:p>
        </w:tc>
        <w:tc>
          <w:tcPr>
            <w:tcW w:w="1540" w:type="dxa"/>
            <w:tcBorders>
              <w:top w:val="nil"/>
              <w:left w:val="nil"/>
              <w:bottom w:val="nil"/>
              <w:right w:val="nil"/>
            </w:tcBorders>
            <w:shd w:val="clear" w:color="auto" w:fill="auto"/>
            <w:noWrap/>
            <w:vAlign w:val="center"/>
          </w:tcPr>
          <w:p>
            <w:pPr>
              <w:widowControl/>
              <w:spacing w:line="200" w:lineRule="exact"/>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96" w:hRule="atLeast"/>
        </w:trPr>
        <w:tc>
          <w:tcPr>
            <w:tcW w:w="54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一级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33"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二级</w:t>
            </w:r>
            <w:r>
              <w:rPr>
                <w:rFonts w:hint="eastAsia" w:ascii="楷体_GB2312" w:hAnsi="宋体" w:eastAsia="楷体_GB2312" w:cs="宋体"/>
                <w:b/>
                <w:bCs/>
                <w:kern w:val="0"/>
                <w:sz w:val="20"/>
              </w:rPr>
              <w:br w:type="textWrapping"/>
            </w:r>
            <w:r>
              <w:rPr>
                <w:rFonts w:hint="eastAsia" w:ascii="楷体_GB2312" w:hAnsi="宋体" w:eastAsia="楷体_GB2312" w:cs="宋体"/>
                <w:b/>
                <w:bCs/>
                <w:kern w:val="0"/>
                <w:sz w:val="20"/>
              </w:rPr>
              <w:t>指标</w:t>
            </w:r>
          </w:p>
        </w:tc>
        <w:tc>
          <w:tcPr>
            <w:tcW w:w="684"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三级指标</w:t>
            </w:r>
          </w:p>
        </w:tc>
        <w:tc>
          <w:tcPr>
            <w:tcW w:w="360" w:type="dxa"/>
            <w:tcBorders>
              <w:top w:val="single" w:color="auto" w:sz="4" w:space="0"/>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分值</w:t>
            </w:r>
          </w:p>
        </w:tc>
        <w:tc>
          <w:tcPr>
            <w:tcW w:w="3251"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指标说明</w:t>
            </w:r>
          </w:p>
        </w:tc>
        <w:tc>
          <w:tcPr>
            <w:tcW w:w="3003"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评分标准</w:t>
            </w:r>
          </w:p>
        </w:tc>
        <w:tc>
          <w:tcPr>
            <w:tcW w:w="1029"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指标值计算公式和数据获取方式</w:t>
            </w:r>
          </w:p>
        </w:tc>
        <w:tc>
          <w:tcPr>
            <w:tcW w:w="728"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年初目标值</w:t>
            </w:r>
          </w:p>
        </w:tc>
        <w:tc>
          <w:tcPr>
            <w:tcW w:w="93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实际完成值</w:t>
            </w:r>
          </w:p>
        </w:tc>
        <w:tc>
          <w:tcPr>
            <w:tcW w:w="757"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b/>
                <w:bCs/>
                <w:kern w:val="0"/>
                <w:sz w:val="20"/>
              </w:rPr>
            </w:pPr>
            <w:r>
              <w:rPr>
                <w:rFonts w:hint="eastAsia" w:ascii="楷体_GB2312" w:hAnsi="宋体" w:eastAsia="楷体_GB2312" w:cs="宋体"/>
                <w:b/>
                <w:bCs/>
                <w:kern w:val="0"/>
                <w:sz w:val="20"/>
              </w:rPr>
              <w:t>得分</w:t>
            </w:r>
          </w:p>
        </w:tc>
        <w:tc>
          <w:tcPr>
            <w:tcW w:w="1246" w:type="dxa"/>
            <w:gridSpan w:val="2"/>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未完成原因分析与改进措施</w:t>
            </w:r>
          </w:p>
        </w:tc>
        <w:tc>
          <w:tcPr>
            <w:tcW w:w="1540" w:type="dxa"/>
            <w:tcBorders>
              <w:top w:val="single" w:color="auto" w:sz="4" w:space="0"/>
              <w:left w:val="nil"/>
              <w:bottom w:val="single" w:color="auto" w:sz="4" w:space="0"/>
              <w:right w:val="single" w:color="auto" w:sz="4" w:space="0"/>
            </w:tcBorders>
            <w:shd w:val="clear" w:color="auto" w:fill="auto"/>
            <w:vAlign w:val="center"/>
          </w:tcPr>
          <w:p>
            <w:pPr>
              <w:widowControl/>
              <w:spacing w:line="200" w:lineRule="exact"/>
              <w:jc w:val="center"/>
              <w:rPr>
                <w:rFonts w:ascii="仿宋_GB2312" w:hAnsi="宋体" w:eastAsia="仿宋_GB2312" w:cs="宋体"/>
                <w:b/>
                <w:bCs/>
                <w:kern w:val="0"/>
                <w:sz w:val="20"/>
              </w:rPr>
            </w:pPr>
            <w:r>
              <w:rPr>
                <w:rFonts w:hint="eastAsia" w:ascii="仿宋_GB2312" w:hAnsi="宋体" w:eastAsia="仿宋_GB2312" w:cs="宋体"/>
                <w:b/>
                <w:bCs/>
                <w:kern w:val="0"/>
                <w:sz w:val="20"/>
              </w:rPr>
              <w:t>绩效指标分析与建议</w:t>
            </w:r>
          </w:p>
        </w:tc>
      </w:tr>
      <w:tr>
        <w:tblPrEx>
          <w:tblCellMar>
            <w:top w:w="0" w:type="dxa"/>
            <w:left w:w="108" w:type="dxa"/>
            <w:bottom w:w="0" w:type="dxa"/>
            <w:right w:w="108" w:type="dxa"/>
          </w:tblCellMar>
        </w:tblPrEx>
        <w:trPr>
          <w:trHeight w:val="349" w:hRule="atLeast"/>
        </w:trPr>
        <w:tc>
          <w:tcPr>
            <w:tcW w:w="541" w:type="dxa"/>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过程</w:t>
            </w:r>
          </w:p>
        </w:tc>
        <w:tc>
          <w:tcPr>
            <w:tcW w:w="633"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预算管理（15分）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资金使用合规性</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部门（单位）使用预算资金是否符合相关的预算财务管理制度的规定，用以反映和考核部门（单位）预算资金的规范运行情况。</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1.符合国家财经法规和财务管理制度规定以及有关专项资金管理办法的规定；</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2.资金的拨付有完整的审批程序和手续；</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3.重大项目开支经过评估论证；</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4.符合部门预算批复的用途；</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5.不存在截留、挤占、挪用、虚列支出等情况。</w:t>
            </w:r>
          </w:p>
        </w:tc>
        <w:tc>
          <w:tcPr>
            <w:tcW w:w="3003"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全部符合5分,有1项不符扣2分。</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根据本年度资产实际情况分析</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资金使用严格按照相关法律法规执行</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5</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p>
        </w:tc>
      </w:tr>
      <w:tr>
        <w:tblPrEx>
          <w:tblCellMar>
            <w:top w:w="0" w:type="dxa"/>
            <w:left w:w="108" w:type="dxa"/>
            <w:bottom w:w="0" w:type="dxa"/>
            <w:right w:w="108" w:type="dxa"/>
          </w:tblCellMar>
        </w:tblPrEx>
        <w:trPr>
          <w:trHeight w:val="198" w:hRule="atLeast"/>
        </w:trPr>
        <w:tc>
          <w:tcPr>
            <w:tcW w:w="541" w:type="dxa"/>
            <w:vMerge w:val="restart"/>
            <w:tcBorders>
              <w:top w:val="nil"/>
              <w:left w:val="single" w:color="auto" w:sz="4" w:space="0"/>
              <w:bottom w:val="single" w:color="auto" w:sz="4" w:space="0"/>
              <w:right w:val="single" w:color="auto" w:sz="4" w:space="0"/>
            </w:tcBorders>
            <w:shd w:val="clear" w:color="auto" w:fill="auto"/>
            <w:noWrap/>
            <w:textDirection w:val="tbRlV"/>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效果</w:t>
            </w:r>
          </w:p>
        </w:tc>
        <w:tc>
          <w:tcPr>
            <w:tcW w:w="633" w:type="dxa"/>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履职尽责（60分）</w:t>
            </w: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项目产出</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（40分）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1.若为定性指标，根据“三档”原则分别按照指标分值的100-80%（含）、80-50%（含）、50-10%来记分；</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若为定量指标，完成值达到指标值，记满分；未达到指标值，按完成比率计分，正向指标（即指标值为≥*）得分＝实际完成值/年初目标值*该指标分值，反向指标（即指标值为≤*）得分＝年初目标值/实际完成值*该指标分值。</w:t>
            </w: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2019年决算数并与年初预算目标绩效表对比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定性指标部分完成，定量指标全部完成。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40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p>
        </w:tc>
      </w:tr>
      <w:tr>
        <w:tblPrEx>
          <w:tblCellMar>
            <w:top w:w="0" w:type="dxa"/>
            <w:left w:w="108" w:type="dxa"/>
            <w:bottom w:w="0" w:type="dxa"/>
            <w:right w:w="108" w:type="dxa"/>
          </w:tblCellMar>
        </w:tblPrEx>
        <w:trPr>
          <w:trHeight w:val="198" w:hRule="atLeast"/>
        </w:trPr>
        <w:tc>
          <w:tcPr>
            <w:tcW w:w="541"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33" w:type="dxa"/>
            <w:vMerge w:val="continue"/>
            <w:tcBorders>
              <w:top w:val="nil"/>
              <w:left w:val="single" w:color="auto" w:sz="4" w:space="0"/>
              <w:bottom w:val="single" w:color="auto" w:sz="4" w:space="0"/>
              <w:right w:val="single" w:color="auto" w:sz="4" w:space="0"/>
            </w:tcBorders>
            <w:vAlign w:val="center"/>
          </w:tcPr>
          <w:p>
            <w:pPr>
              <w:widowControl/>
              <w:spacing w:line="240" w:lineRule="exact"/>
              <w:jc w:val="left"/>
              <w:rPr>
                <w:rFonts w:ascii="楷体_GB2312" w:hAnsi="宋体" w:eastAsia="楷体_GB2312" w:cs="宋体"/>
                <w:kern w:val="0"/>
                <w:sz w:val="20"/>
              </w:rPr>
            </w:pPr>
          </w:p>
        </w:tc>
        <w:tc>
          <w:tcPr>
            <w:tcW w:w="684" w:type="dxa"/>
            <w:tcBorders>
              <w:top w:val="nil"/>
              <w:left w:val="nil"/>
              <w:bottom w:val="single" w:color="auto" w:sz="4" w:space="0"/>
              <w:right w:val="single" w:color="auto" w:sz="4" w:space="0"/>
            </w:tcBorders>
            <w:shd w:val="clear" w:color="auto" w:fill="auto"/>
            <w:vAlign w:val="center"/>
          </w:tcPr>
          <w:p>
            <w:pPr>
              <w:widowControl/>
              <w:spacing w:line="240" w:lineRule="exact"/>
              <w:jc w:val="left"/>
              <w:rPr>
                <w:rFonts w:ascii="楷体_GB2312" w:hAnsi="宋体" w:eastAsia="楷体_GB2312" w:cs="宋体"/>
                <w:kern w:val="0"/>
                <w:sz w:val="20"/>
              </w:rPr>
            </w:pPr>
            <w:r>
              <w:rPr>
                <w:rFonts w:hint="eastAsia" w:ascii="楷体_GB2312" w:hAnsi="宋体" w:eastAsia="楷体_GB2312" w:cs="宋体"/>
                <w:kern w:val="0"/>
                <w:sz w:val="20"/>
              </w:rPr>
              <w:t>项目效益</w:t>
            </w:r>
            <w:r>
              <w:rPr>
                <w:rFonts w:hint="eastAsia" w:ascii="楷体_GB2312" w:hAnsi="宋体" w:eastAsia="楷体_GB2312" w:cs="宋体"/>
                <w:kern w:val="0"/>
                <w:sz w:val="20"/>
              </w:rPr>
              <w:br w:type="textWrapping"/>
            </w:r>
            <w:r>
              <w:rPr>
                <w:rFonts w:hint="eastAsia" w:ascii="楷体_GB2312" w:hAnsi="宋体" w:eastAsia="楷体_GB2312" w:cs="宋体"/>
                <w:kern w:val="0"/>
                <w:sz w:val="20"/>
              </w:rPr>
              <w:t>（20分）</w:t>
            </w:r>
          </w:p>
        </w:tc>
        <w:tc>
          <w:tcPr>
            <w:tcW w:w="360" w:type="dxa"/>
            <w:tcBorders>
              <w:top w:val="nil"/>
              <w:left w:val="nil"/>
              <w:bottom w:val="single" w:color="auto" w:sz="4" w:space="0"/>
              <w:right w:val="single" w:color="auto" w:sz="4" w:space="0"/>
            </w:tcBorders>
            <w:shd w:val="clear" w:color="auto" w:fill="auto"/>
            <w:vAlign w:val="center"/>
          </w:tcPr>
          <w:p>
            <w:pPr>
              <w:widowControl/>
              <w:spacing w:line="24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3251" w:type="dxa"/>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　</w:t>
            </w:r>
          </w:p>
        </w:tc>
        <w:tc>
          <w:tcPr>
            <w:tcW w:w="3003" w:type="dxa"/>
            <w:gridSpan w:val="2"/>
            <w:vMerge w:val="continue"/>
            <w:tcBorders>
              <w:top w:val="nil"/>
              <w:left w:val="single" w:color="auto" w:sz="4" w:space="0"/>
              <w:bottom w:val="single" w:color="auto" w:sz="4" w:space="0"/>
              <w:right w:val="single" w:color="auto" w:sz="4" w:space="0"/>
            </w:tcBorders>
            <w:vAlign w:val="center"/>
          </w:tcPr>
          <w:p>
            <w:pPr>
              <w:widowControl/>
              <w:spacing w:line="200" w:lineRule="exact"/>
              <w:jc w:val="left"/>
              <w:rPr>
                <w:rFonts w:ascii="楷体_GB2312" w:hAnsi="宋体" w:eastAsia="楷体_GB2312" w:cs="宋体"/>
                <w:kern w:val="0"/>
                <w:sz w:val="20"/>
              </w:rPr>
            </w:pPr>
          </w:p>
        </w:tc>
        <w:tc>
          <w:tcPr>
            <w:tcW w:w="1029"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根据工作实际与年初预算目标绩效表对比</w:t>
            </w:r>
          </w:p>
        </w:tc>
        <w:tc>
          <w:tcPr>
            <w:tcW w:w="728"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936"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left"/>
              <w:rPr>
                <w:rFonts w:ascii="楷体_GB2312" w:hAnsi="宋体" w:eastAsia="楷体_GB2312" w:cs="宋体"/>
                <w:kern w:val="0"/>
                <w:sz w:val="20"/>
              </w:rPr>
            </w:pPr>
            <w:r>
              <w:rPr>
                <w:rFonts w:hint="eastAsia" w:ascii="楷体_GB2312" w:hAnsi="宋体" w:eastAsia="楷体_GB2312" w:cs="宋体"/>
                <w:kern w:val="0"/>
                <w:sz w:val="20"/>
              </w:rPr>
              <w:t>定性指标全部完成。</w:t>
            </w:r>
          </w:p>
        </w:tc>
        <w:tc>
          <w:tcPr>
            <w:tcW w:w="757" w:type="dxa"/>
            <w:gridSpan w:val="2"/>
            <w:tcBorders>
              <w:top w:val="nil"/>
              <w:left w:val="nil"/>
              <w:bottom w:val="single" w:color="auto" w:sz="4" w:space="0"/>
              <w:right w:val="single" w:color="auto" w:sz="4" w:space="0"/>
            </w:tcBorders>
            <w:shd w:val="clear" w:color="auto" w:fill="auto"/>
            <w:vAlign w:val="center"/>
          </w:tcPr>
          <w:p>
            <w:pPr>
              <w:widowControl/>
              <w:spacing w:line="200" w:lineRule="exact"/>
              <w:jc w:val="center"/>
              <w:rPr>
                <w:rFonts w:ascii="楷体_GB2312" w:hAnsi="宋体" w:eastAsia="楷体_GB2312" w:cs="宋体"/>
                <w:kern w:val="0"/>
                <w:sz w:val="20"/>
              </w:rPr>
            </w:pPr>
            <w:r>
              <w:rPr>
                <w:rFonts w:hint="eastAsia" w:ascii="楷体_GB2312" w:hAnsi="宋体" w:eastAsia="楷体_GB2312" w:cs="宋体"/>
                <w:kern w:val="0"/>
                <w:sz w:val="20"/>
              </w:rPr>
              <w:t>20</w:t>
            </w:r>
          </w:p>
        </w:tc>
        <w:tc>
          <w:tcPr>
            <w:tcW w:w="1246"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hint="eastAsia" w:ascii="仿宋" w:hAnsi="仿宋" w:eastAsia="仿宋" w:cs="仿宋"/>
                <w:kern w:val="0"/>
                <w:sz w:val="20"/>
              </w:rPr>
            </w:pPr>
            <w:r>
              <w:rPr>
                <w:rFonts w:hint="eastAsia" w:ascii="仿宋_GB2312" w:hAnsi="宋体" w:eastAsia="仿宋_GB2312" w:cs="宋体"/>
                <w:kern w:val="0"/>
                <w:sz w:val="20"/>
              </w:rPr>
              <w:t>已完成</w:t>
            </w:r>
          </w:p>
        </w:tc>
        <w:tc>
          <w:tcPr>
            <w:tcW w:w="1540" w:type="dxa"/>
            <w:tcBorders>
              <w:top w:val="nil"/>
              <w:left w:val="nil"/>
              <w:bottom w:val="single" w:color="auto" w:sz="4" w:space="0"/>
              <w:right w:val="single" w:color="auto" w:sz="4" w:space="0"/>
            </w:tcBorders>
            <w:shd w:val="clear" w:color="auto" w:fill="auto"/>
            <w:vAlign w:val="center"/>
          </w:tcPr>
          <w:p>
            <w:pPr>
              <w:widowControl/>
              <w:spacing w:line="180" w:lineRule="exact"/>
              <w:jc w:val="left"/>
              <w:rPr>
                <w:rFonts w:ascii="楷体_GB2312" w:hAnsi="宋体" w:eastAsia="楷体_GB2312" w:cs="宋体"/>
                <w:kern w:val="0"/>
                <w:sz w:val="20"/>
              </w:rPr>
            </w:pPr>
          </w:p>
        </w:tc>
      </w:tr>
      <w:tr>
        <w:tblPrEx>
          <w:tblCellMar>
            <w:top w:w="0" w:type="dxa"/>
            <w:left w:w="108" w:type="dxa"/>
            <w:bottom w:w="0" w:type="dxa"/>
            <w:right w:w="108" w:type="dxa"/>
          </w:tblCellMar>
        </w:tblPrEx>
        <w:trPr>
          <w:trHeight w:val="1194" w:hRule="atLeast"/>
        </w:trPr>
        <w:tc>
          <w:tcPr>
            <w:tcW w:w="14708" w:type="dxa"/>
            <w:gridSpan w:val="18"/>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200" w:lineRule="exact"/>
              <w:jc w:val="left"/>
              <w:rPr>
                <w:rFonts w:ascii="宋体" w:hAnsi="宋体" w:eastAsia="宋体" w:cs="宋体"/>
                <w:kern w:val="0"/>
                <w:sz w:val="20"/>
              </w:rPr>
            </w:pPr>
            <w:r>
              <w:rPr>
                <w:rFonts w:hint="eastAsia" w:ascii="宋体" w:hAnsi="宋体" w:eastAsia="宋体" w:cs="宋体"/>
                <w:kern w:val="0"/>
                <w:sz w:val="20"/>
              </w:rPr>
              <w:t>备注：</w:t>
            </w:r>
            <w:r>
              <w:rPr>
                <w:rFonts w:hint="eastAsia" w:ascii="宋体" w:hAnsi="宋体" w:eastAsia="宋体" w:cs="宋体"/>
                <w:kern w:val="0"/>
                <w:sz w:val="20"/>
              </w:rPr>
              <w:br w:type="textWrapping"/>
            </w:r>
            <w:r>
              <w:rPr>
                <w:rFonts w:hint="eastAsia" w:ascii="宋体" w:hAnsi="宋体" w:eastAsia="宋体" w:cs="宋体"/>
                <w:kern w:val="0"/>
                <w:sz w:val="20"/>
              </w:rPr>
              <w:t>1.“项目产出”和“项目效果”直接细化成部门年初绩效目标中的指标，并根据重要程度赋权。</w:t>
            </w:r>
            <w:r>
              <w:rPr>
                <w:rFonts w:hint="eastAsia" w:ascii="宋体" w:hAnsi="宋体" w:eastAsia="宋体" w:cs="宋体"/>
                <w:kern w:val="0"/>
                <w:sz w:val="20"/>
              </w:rPr>
              <w:br w:type="textWrapping"/>
            </w:r>
            <w:r>
              <w:rPr>
                <w:rFonts w:hint="eastAsia" w:ascii="宋体" w:hAnsi="宋体" w:eastAsia="宋体" w:cs="宋体"/>
                <w:kern w:val="0"/>
                <w:sz w:val="20"/>
              </w:rPr>
              <w:t>2.“绩效指标分析”是指参考历史数据、行业标准及绩效目标实际完成情况等相关资料，从“是否与项目密切相关，指标值是否可获取，指标值设置是否合理”等角度，从产出和效果类指标中找出需要改进的指标，并逐项提出次年的编制意见和建议。</w:t>
            </w:r>
          </w:p>
        </w:tc>
      </w:tr>
    </w:tbl>
    <w:p>
      <w:pPr>
        <w:rPr>
          <w:rFonts w:ascii="黑体" w:hAnsi="黑体" w:eastAsia="黑体"/>
          <w:color w:val="000000"/>
          <w:kern w:val="0"/>
          <w:szCs w:val="32"/>
        </w:rPr>
        <w:sectPr>
          <w:pgSz w:w="16838" w:h="11906" w:orient="landscape"/>
          <w:pgMar w:top="1800" w:right="1440" w:bottom="1800" w:left="1440" w:header="851" w:footer="992" w:gutter="0"/>
          <w:cols w:space="425" w:num="1"/>
          <w:docGrid w:type="lines" w:linePitch="312" w:charSpace="0"/>
        </w:sectPr>
      </w:pPr>
    </w:p>
    <w:p>
      <w:pPr>
        <w:ind w:firstLine="640" w:firstLineChars="200"/>
        <w:rPr>
          <w:rFonts w:ascii="黑体" w:hAnsi="黑体" w:eastAsia="黑体"/>
          <w:szCs w:val="32"/>
        </w:rPr>
      </w:pPr>
      <w:r>
        <w:rPr>
          <w:rFonts w:hint="eastAsia" w:ascii="黑体" w:hAnsi="黑体" w:eastAsia="黑体"/>
          <w:color w:val="000000"/>
          <w:kern w:val="0"/>
          <w:szCs w:val="32"/>
        </w:rPr>
        <w:t>十一、其他重要事项说明</w:t>
      </w:r>
    </w:p>
    <w:p>
      <w:pPr>
        <w:widowControl/>
        <w:ind w:firstLine="643" w:firstLineChars="200"/>
        <w:jc w:val="left"/>
      </w:pPr>
      <w:r>
        <w:rPr>
          <w:rFonts w:ascii="楷体_GB2312" w:hAnsi="宋体" w:eastAsia="楷体_GB2312" w:cs="楷体_GB2312"/>
          <w:b/>
          <w:color w:val="000000"/>
          <w:kern w:val="0"/>
          <w:szCs w:val="32"/>
        </w:rPr>
        <w:t>（一）机关运行经费支出情况</w:t>
      </w:r>
      <w:r>
        <w:rPr>
          <w:rFonts w:hint="eastAsia" w:ascii="楷体_GB2312" w:hAnsi="宋体" w:eastAsia="楷体_GB2312" w:cs="楷体_GB2312"/>
          <w:b/>
          <w:color w:val="000000"/>
          <w:kern w:val="0"/>
          <w:szCs w:val="32"/>
        </w:rPr>
        <w:t>说明</w:t>
      </w:r>
      <w:r>
        <w:rPr>
          <w:rFonts w:ascii="楷体_GB2312" w:hAnsi="宋体" w:eastAsia="楷体_GB2312" w:cs="楷体_GB2312"/>
          <w:b/>
          <w:color w:val="000000"/>
          <w:kern w:val="0"/>
          <w:szCs w:val="32"/>
        </w:rPr>
        <w:t xml:space="preserve">。 </w:t>
      </w:r>
    </w:p>
    <w:p>
      <w:pPr>
        <w:widowControl/>
        <w:ind w:firstLine="620" w:firstLineChars="200"/>
        <w:jc w:val="left"/>
        <w:rPr>
          <w:rFonts w:ascii="仿宋_GB2312" w:hAnsi="宋体" w:eastAsia="仿宋_GB2312" w:cs="仿宋_GB2312"/>
          <w:color w:val="000000"/>
          <w:kern w:val="0"/>
          <w:szCs w:val="32"/>
        </w:rPr>
      </w:pPr>
      <w:r>
        <w:rPr>
          <w:rFonts w:ascii="仿宋_GB2312" w:hAnsi="仿宋_GB2312" w:eastAsia="仿宋_GB2312" w:cs="仿宋_GB2312"/>
          <w:color w:val="000000"/>
          <w:kern w:val="0"/>
          <w:sz w:val="31"/>
          <w:szCs w:val="31"/>
        </w:rPr>
        <w:t>2019年</w:t>
      </w:r>
      <w:r>
        <w:rPr>
          <w:rFonts w:hint="eastAsia" w:ascii="仿宋_GB2312" w:hAnsi="仿宋_GB2312" w:eastAsia="仿宋_GB2312" w:cs="仿宋_GB2312"/>
          <w:color w:val="000000"/>
          <w:kern w:val="0"/>
          <w:sz w:val="31"/>
          <w:szCs w:val="31"/>
        </w:rPr>
        <w:t>度</w:t>
      </w:r>
      <w:r>
        <w:rPr>
          <w:rFonts w:ascii="仿宋_GB2312" w:hAnsi="仿宋_GB2312" w:eastAsia="仿宋_GB2312" w:cs="仿宋_GB2312"/>
          <w:color w:val="000000"/>
          <w:kern w:val="0"/>
          <w:sz w:val="31"/>
          <w:szCs w:val="31"/>
        </w:rPr>
        <w:t>机关运行经费</w:t>
      </w:r>
      <w:r>
        <w:rPr>
          <w:rFonts w:ascii="仿宋_GB2312" w:hAnsi="宋体" w:eastAsia="仿宋_GB2312" w:cs="仿宋_GB2312"/>
          <w:color w:val="000000"/>
          <w:kern w:val="0"/>
          <w:szCs w:val="32"/>
        </w:rPr>
        <w:t>预算为</w:t>
      </w:r>
      <w:r>
        <w:rPr>
          <w:rFonts w:hint="eastAsia" w:ascii="仿宋_GB2312" w:hAnsi="宋体" w:eastAsia="仿宋_GB2312" w:cs="仿宋_GB2312"/>
          <w:color w:val="000000"/>
          <w:kern w:val="0"/>
          <w:szCs w:val="32"/>
          <w:lang w:val="en-US" w:eastAsia="zh-CN"/>
        </w:rPr>
        <w:t>11.04</w:t>
      </w:r>
      <w:r>
        <w:rPr>
          <w:rFonts w:ascii="仿宋_GB2312" w:hAnsi="宋体" w:eastAsia="仿宋_GB2312" w:cs="仿宋_GB2312"/>
          <w:color w:val="000000"/>
          <w:kern w:val="0"/>
          <w:szCs w:val="32"/>
        </w:rPr>
        <w:t>万元，支出决算为</w:t>
      </w:r>
      <w:r>
        <w:rPr>
          <w:rFonts w:hint="eastAsia" w:ascii="仿宋_GB2312" w:hAnsi="宋体" w:eastAsia="仿宋_GB2312" w:cs="仿宋_GB2312"/>
          <w:color w:val="000000"/>
          <w:kern w:val="0"/>
          <w:szCs w:val="32"/>
          <w:lang w:val="en-US" w:eastAsia="zh-CN"/>
        </w:rPr>
        <w:t>5.6</w:t>
      </w:r>
      <w:r>
        <w:rPr>
          <w:rFonts w:ascii="仿宋_GB2312" w:hAnsi="宋体" w:eastAsia="仿宋_GB2312" w:cs="仿宋_GB2312"/>
          <w:color w:val="000000"/>
          <w:kern w:val="0"/>
          <w:szCs w:val="32"/>
        </w:rPr>
        <w:t>万元，完成预算的</w:t>
      </w:r>
      <w:r>
        <w:rPr>
          <w:rFonts w:hint="eastAsia" w:ascii="仿宋_GB2312" w:hAnsi="宋体" w:eastAsia="仿宋_GB2312" w:cs="仿宋_GB2312"/>
          <w:color w:val="000000"/>
          <w:kern w:val="0"/>
          <w:szCs w:val="32"/>
          <w:lang w:val="en-US" w:eastAsia="zh-CN"/>
        </w:rPr>
        <w:t>50.7</w:t>
      </w:r>
      <w:r>
        <w:rPr>
          <w:rFonts w:ascii="仿宋_GB2312" w:hAnsi="宋体" w:eastAsia="仿宋_GB2312" w:cs="仿宋_GB2312"/>
          <w:color w:val="000000"/>
          <w:kern w:val="0"/>
          <w:szCs w:val="32"/>
        </w:rPr>
        <w:t>%。决算数</w:t>
      </w:r>
      <w:r>
        <w:rPr>
          <w:rFonts w:hint="eastAsia" w:ascii="仿宋_GB2312" w:hAnsi="宋体" w:eastAsia="仿宋_GB2312" w:cs="仿宋_GB2312"/>
          <w:color w:val="000000"/>
          <w:kern w:val="0"/>
          <w:szCs w:val="32"/>
        </w:rPr>
        <w:t>较</w:t>
      </w:r>
      <w:r>
        <w:rPr>
          <w:rFonts w:ascii="仿宋_GB2312" w:hAnsi="宋体" w:eastAsia="仿宋_GB2312" w:cs="仿宋_GB2312"/>
          <w:color w:val="000000"/>
          <w:kern w:val="0"/>
          <w:szCs w:val="32"/>
        </w:rPr>
        <w:t>预算数</w:t>
      </w:r>
      <w:r>
        <w:rPr>
          <w:rFonts w:hint="eastAsia" w:ascii="仿宋_GB2312" w:hAnsi="宋体" w:eastAsia="仿宋_GB2312" w:cs="仿宋_GB2312"/>
          <w:color w:val="000000"/>
          <w:kern w:val="0"/>
          <w:szCs w:val="32"/>
        </w:rPr>
        <w:t>减少</w:t>
      </w:r>
      <w:r>
        <w:rPr>
          <w:rFonts w:hint="eastAsia" w:ascii="仿宋_GB2312" w:hAnsi="宋体" w:eastAsia="仿宋_GB2312" w:cs="仿宋_GB2312"/>
          <w:color w:val="000000"/>
          <w:kern w:val="0"/>
          <w:szCs w:val="32"/>
          <w:lang w:val="en-US" w:eastAsia="zh-CN"/>
        </w:rPr>
        <w:t>5.44</w:t>
      </w:r>
      <w:r>
        <w:rPr>
          <w:rFonts w:hint="eastAsia" w:ascii="仿宋_GB2312" w:hAnsi="宋体" w:eastAsia="仿宋_GB2312" w:cs="仿宋_GB2312"/>
          <w:color w:val="000000"/>
          <w:kern w:val="0"/>
          <w:szCs w:val="32"/>
        </w:rPr>
        <w:t>万元，</w:t>
      </w:r>
      <w:r>
        <w:rPr>
          <w:rFonts w:ascii="仿宋_GB2312" w:hAnsi="宋体" w:eastAsia="仿宋_GB2312" w:cs="仿宋_GB2312"/>
          <w:color w:val="000000"/>
          <w:kern w:val="0"/>
          <w:szCs w:val="32"/>
        </w:rPr>
        <w:t>主要原因是</w:t>
      </w:r>
      <w:r>
        <w:rPr>
          <w:rFonts w:hint="eastAsia" w:ascii="仿宋_GB2312" w:hAnsi="宋体" w:eastAsia="仿宋_GB2312" w:cs="仿宋_GB2312"/>
          <w:color w:val="000000"/>
          <w:kern w:val="0"/>
          <w:szCs w:val="32"/>
          <w:lang w:val="en-US" w:eastAsia="zh-CN"/>
        </w:rPr>
        <w:t>节俭开支</w:t>
      </w:r>
      <w:r>
        <w:rPr>
          <w:rFonts w:hint="eastAsia" w:ascii="仿宋_GB2312" w:hAnsi="宋体" w:eastAsia="仿宋_GB2312" w:cs="仿宋_GB2312"/>
          <w:color w:val="000000"/>
          <w:kern w:val="0"/>
          <w:szCs w:val="32"/>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（二）政府采购支出情况说明。</w:t>
      </w:r>
    </w:p>
    <w:p>
      <w:pPr>
        <w:ind w:firstLine="640"/>
        <w:rPr>
          <w:rFonts w:hint="eastAsia" w:ascii="仿宋_GB2312" w:hAnsi="仿宋_GB2312" w:eastAsia="仿宋_GB2312" w:cs="仿宋_GB2312"/>
          <w:szCs w:val="32"/>
          <w:lang w:val="en-US" w:eastAsia="zh-CN"/>
        </w:rPr>
      </w:pPr>
      <w:r>
        <w:rPr>
          <w:rFonts w:hint="eastAsia" w:ascii="仿宋_GB2312" w:hAnsi="仿宋_GB2312" w:eastAsia="仿宋_GB2312" w:cs="仿宋_GB2312"/>
          <w:szCs w:val="32"/>
        </w:rPr>
        <w:t>本部门201</w:t>
      </w:r>
      <w:r>
        <w:rPr>
          <w:rFonts w:ascii="仿宋_GB2312" w:hAnsi="仿宋_GB2312" w:eastAsia="仿宋_GB2312" w:cs="仿宋_GB2312"/>
          <w:szCs w:val="32"/>
        </w:rPr>
        <w:t>9</w:t>
      </w:r>
      <w:r>
        <w:rPr>
          <w:rFonts w:hint="eastAsia" w:ascii="仿宋_GB2312" w:hAnsi="仿宋_GB2312" w:eastAsia="仿宋_GB2312" w:cs="仿宋_GB2312"/>
          <w:szCs w:val="32"/>
        </w:rPr>
        <w:t>年度无政府采购支出</w:t>
      </w:r>
      <w:r>
        <w:rPr>
          <w:rFonts w:hint="eastAsia" w:ascii="仿宋_GB2312" w:hAnsi="仿宋_GB2312" w:eastAsia="仿宋_GB2312" w:cs="仿宋_GB2312"/>
          <w:szCs w:val="32"/>
          <w:lang w:eastAsia="zh-CN"/>
        </w:rPr>
        <w:t>。</w:t>
      </w:r>
    </w:p>
    <w:p>
      <w:pPr>
        <w:widowControl/>
        <w:ind w:firstLine="643" w:firstLineChars="200"/>
        <w:jc w:val="left"/>
        <w:rPr>
          <w:rFonts w:ascii="楷体_GB2312" w:hAnsi="宋体" w:eastAsia="楷体_GB2312" w:cs="楷体_GB2312"/>
          <w:b/>
          <w:color w:val="000000"/>
          <w:kern w:val="0"/>
          <w:szCs w:val="32"/>
        </w:rPr>
      </w:pPr>
      <w:r>
        <w:rPr>
          <w:rFonts w:hint="eastAsia" w:ascii="楷体_GB2312" w:hAnsi="宋体" w:eastAsia="楷体_GB2312" w:cs="楷体_GB2312"/>
          <w:b/>
          <w:color w:val="000000"/>
          <w:kern w:val="0"/>
          <w:szCs w:val="32"/>
        </w:rPr>
        <w:t>（三）国有资产占用及购置情况说明。</w:t>
      </w:r>
    </w:p>
    <w:p>
      <w:pPr>
        <w:ind w:firstLine="640"/>
        <w:rPr>
          <w:rFonts w:ascii="黑体" w:hAnsi="宋体" w:eastAsia="黑体"/>
          <w:color w:val="000000"/>
          <w:kern w:val="0"/>
          <w:szCs w:val="32"/>
        </w:rPr>
      </w:pPr>
      <w:r>
        <w:rPr>
          <w:rFonts w:hint="eastAsia" w:ascii="仿宋_GB2312" w:hAnsi="仿宋_GB2312" w:eastAsia="仿宋_GB2312" w:cs="仿宋_GB2312"/>
          <w:szCs w:val="32"/>
        </w:rPr>
        <w:t>截至2019年末，本部门机关及所属单位共有车辆</w:t>
      </w:r>
      <w:r>
        <w:rPr>
          <w:rFonts w:hint="eastAsia" w:ascii="仿宋_GB2312" w:hAnsi="仿宋_GB2312" w:eastAsia="仿宋_GB2312" w:cs="仿宋_GB2312"/>
          <w:szCs w:val="32"/>
          <w:lang w:val="en-US" w:eastAsia="zh-CN"/>
        </w:rPr>
        <w:t>2</w:t>
      </w:r>
      <w:r>
        <w:rPr>
          <w:rFonts w:hint="eastAsia" w:ascii="仿宋_GB2312" w:hAnsi="仿宋_GB2312" w:eastAsia="仿宋_GB2312" w:cs="仿宋_GB2312"/>
          <w:szCs w:val="32"/>
        </w:rPr>
        <w:t>辆；单价50万元以上的通用设备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台（套）；单价100万元以上的专用设备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台（套）。201</w:t>
      </w:r>
      <w:r>
        <w:rPr>
          <w:rFonts w:ascii="仿宋_GB2312" w:hAnsi="仿宋_GB2312" w:eastAsia="仿宋_GB2312" w:cs="仿宋_GB2312"/>
          <w:szCs w:val="32"/>
        </w:rPr>
        <w:t>9</w:t>
      </w:r>
      <w:r>
        <w:rPr>
          <w:rFonts w:hint="eastAsia" w:ascii="仿宋_GB2312" w:hAnsi="仿宋_GB2312" w:eastAsia="仿宋_GB2312" w:cs="仿宋_GB2312"/>
          <w:szCs w:val="32"/>
        </w:rPr>
        <w:t>年当年购置车辆</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辆；购置单价50万元以上的通用设备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台（套）；购置单价100万元以上的专用设备</w:t>
      </w:r>
      <w:r>
        <w:rPr>
          <w:rFonts w:hint="eastAsia" w:ascii="仿宋_GB2312" w:hAnsi="仿宋_GB2312" w:eastAsia="仿宋_GB2312" w:cs="仿宋_GB2312"/>
          <w:szCs w:val="32"/>
          <w:lang w:val="en-US" w:eastAsia="zh-CN"/>
        </w:rPr>
        <w:t>0</w:t>
      </w:r>
      <w:r>
        <w:rPr>
          <w:rFonts w:hint="eastAsia" w:ascii="仿宋_GB2312" w:hAnsi="仿宋_GB2312" w:eastAsia="仿宋_GB2312" w:cs="仿宋_GB2312"/>
          <w:szCs w:val="32"/>
        </w:rPr>
        <w:t>台（套）。</w:t>
      </w:r>
    </w:p>
    <w:p>
      <w:pPr>
        <w:numPr>
          <w:ilvl w:val="0"/>
          <w:numId w:val="2"/>
        </w:numPr>
        <w:jc w:val="center"/>
        <w:rPr>
          <w:rFonts w:ascii="黑体" w:hAnsi="宋体" w:eastAsia="黑体"/>
          <w:color w:val="000000"/>
          <w:kern w:val="0"/>
          <w:sz w:val="44"/>
          <w:szCs w:val="44"/>
        </w:rPr>
      </w:pPr>
      <w:r>
        <w:rPr>
          <w:rFonts w:hint="eastAsia" w:ascii="黑体" w:hAnsi="宋体" w:eastAsia="黑体"/>
          <w:color w:val="000000"/>
          <w:kern w:val="0"/>
          <w:sz w:val="44"/>
          <w:szCs w:val="44"/>
        </w:rPr>
        <w:t>专业名词解释</w:t>
      </w:r>
    </w:p>
    <w:p>
      <w:pPr>
        <w:rPr>
          <w:rFonts w:ascii="黑体" w:hAnsi="宋体" w:eastAsia="黑体"/>
          <w:color w:val="000000"/>
          <w:kern w:val="0"/>
          <w:sz w:val="44"/>
          <w:szCs w:val="44"/>
        </w:rPr>
      </w:pPr>
    </w:p>
    <w:p>
      <w:pPr>
        <w:widowControl/>
        <w:ind w:firstLine="640" w:firstLineChars="200"/>
        <w:jc w:val="left"/>
        <w:rPr>
          <w:rFonts w:ascii="仿宋_GB2312" w:hAnsi="仿宋_GB2312" w:eastAsia="仿宋_GB2312" w:cs="仿宋_GB2312"/>
          <w:szCs w:val="32"/>
        </w:rPr>
      </w:pPr>
      <w:r>
        <w:rPr>
          <w:rFonts w:hint="eastAsia" w:ascii="仿宋_GB2312" w:hAnsi="仿宋_GB2312" w:eastAsia="仿宋_GB2312" w:cs="仿宋_GB2312"/>
          <w:szCs w:val="32"/>
        </w:rPr>
        <w:t>文字说明。专业名词解释可由部门根据业务内容等自行选择。</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1.基本支出</w:t>
      </w:r>
      <w:r>
        <w:rPr>
          <w:rFonts w:hint="eastAsia" w:ascii="仿宋_GB2312" w:hAnsi="仿宋_GB2312" w:eastAsia="仿宋_GB2312" w:cs="仿宋_GB2312"/>
          <w:szCs w:val="32"/>
        </w:rPr>
        <w:t>：指为保障机构正常运转、完成日常工作任务而发生的各项支出。</w:t>
      </w:r>
    </w:p>
    <w:p>
      <w:pPr>
        <w:ind w:firstLine="643" w:firstLineChars="200"/>
        <w:rPr>
          <w:rFonts w:ascii="仿宋_GB2312" w:hAnsi="仿宋_GB2312" w:eastAsia="仿宋_GB2312" w:cs="仿宋_GB2312"/>
          <w:szCs w:val="32"/>
        </w:rPr>
      </w:pPr>
      <w:r>
        <w:rPr>
          <w:rFonts w:hint="eastAsia" w:ascii="仿宋_GB2312" w:hAnsi="仿宋_GB2312" w:eastAsia="仿宋_GB2312" w:cs="仿宋_GB2312"/>
          <w:b/>
          <w:bCs/>
          <w:szCs w:val="32"/>
        </w:rPr>
        <w:t>2.项目支出</w:t>
      </w:r>
      <w:r>
        <w:rPr>
          <w:rFonts w:hint="eastAsia" w:ascii="仿宋_GB2312" w:hAnsi="仿宋_GB2312" w:eastAsia="仿宋_GB2312" w:cs="仿宋_GB2312"/>
          <w:szCs w:val="32"/>
        </w:rPr>
        <w:t>：指单位为完成特定的行政工作任务或事业发展目标所发生的各项支出。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3.“三公”经费</w:t>
      </w:r>
      <w:r>
        <w:rPr>
          <w:rFonts w:hint="eastAsia" w:ascii="仿宋_GB2312" w:hAnsi="仿宋_GB2312" w:eastAsia="仿宋_GB2312" w:cs="仿宋_GB2312"/>
          <w:szCs w:val="32"/>
        </w:rPr>
        <w:t>：指部门使用一般公共预算财政拨款安排的因公出国（境）费、公务用车购置及运行费和公务接待费支出。</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4.财政拨款收入</w:t>
      </w:r>
      <w:r>
        <w:rPr>
          <w:rFonts w:hint="eastAsia" w:ascii="仿宋_GB2312" w:hAnsi="仿宋_GB2312" w:eastAsia="仿宋_GB2312" w:cs="仿宋_GB2312"/>
          <w:szCs w:val="32"/>
        </w:rPr>
        <w:t>：指本级财政当年拨付的资金。</w:t>
      </w:r>
    </w:p>
    <w:p>
      <w:pPr>
        <w:ind w:firstLine="640"/>
        <w:rPr>
          <w:rFonts w:ascii="仿宋_GB2312" w:hAnsi="仿宋_GB2312" w:eastAsia="仿宋_GB2312" w:cs="仿宋_GB2312"/>
          <w:szCs w:val="32"/>
        </w:rPr>
      </w:pPr>
      <w:r>
        <w:rPr>
          <w:rFonts w:hint="eastAsia" w:ascii="仿宋_GB2312" w:hAnsi="仿宋_GB2312" w:eastAsia="仿宋_GB2312" w:cs="仿宋_GB2312"/>
          <w:b/>
          <w:bCs/>
          <w:szCs w:val="32"/>
        </w:rPr>
        <w:t>5.调整预算数：</w:t>
      </w:r>
      <w:r>
        <w:rPr>
          <w:rFonts w:hint="eastAsia" w:ascii="仿宋_GB2312" w:hAnsi="宋体" w:eastAsia="仿宋_GB2312"/>
          <w:bCs/>
          <w:szCs w:val="32"/>
        </w:rPr>
        <w:t>填列经调整后的全年预算数，包括年初预算数和预算调增调减数</w:t>
      </w:r>
      <w:r>
        <w:rPr>
          <w:rFonts w:hint="eastAsia" w:ascii="仿宋_GB2312" w:eastAsia="仿宋_GB2312"/>
          <w:bCs/>
          <w:szCs w:val="32"/>
        </w:rPr>
        <w:t>，即：调整预算数＝年初预算数＋预算调增数－预算调减数</w:t>
      </w:r>
      <w:r>
        <w:rPr>
          <w:rFonts w:hint="eastAsia" w:ascii="仿宋_GB2312" w:hAnsi="宋体" w:eastAsia="仿宋_GB2312"/>
          <w:bCs/>
          <w:szCs w:val="32"/>
        </w:rPr>
        <w:t>。</w:t>
      </w: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ind w:firstLine="620" w:firstLineChars="200"/>
        <w:jc w:val="left"/>
        <w:rPr>
          <w:rFonts w:ascii="仿宋_GB2312" w:hAnsi="仿宋_GB2312" w:eastAsia="仿宋_GB2312" w:cs="仿宋_GB2312"/>
          <w:color w:val="000000"/>
          <w:kern w:val="0"/>
          <w:sz w:val="31"/>
          <w:szCs w:val="31"/>
        </w:rPr>
      </w:pPr>
    </w:p>
    <w:p>
      <w:pPr>
        <w:widowControl/>
        <w:jc w:val="left"/>
        <w:rPr>
          <w:rFonts w:ascii="仿宋_GB2312" w:hAnsi="仿宋_GB2312" w:eastAsia="仿宋_GB2312" w:cs="仿宋_GB2312"/>
          <w:color w:val="000000"/>
          <w:kern w:val="0"/>
          <w:sz w:val="31"/>
          <w:szCs w:val="31"/>
        </w:rPr>
      </w:pPr>
    </w:p>
    <w:p>
      <w:r>
        <w:rPr>
          <w:rFonts w:hint="eastAsia" w:ascii="仿宋_GB2312" w:hAnsi="仿宋_GB2312" w:eastAsia="仿宋_GB2312" w:cs="仿宋_GB2312"/>
          <w:color w:val="000000"/>
          <w:kern w:val="0"/>
          <w:sz w:val="31"/>
          <w:szCs w:val="31"/>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F232710"/>
    <w:multiLevelType w:val="singleLevel"/>
    <w:tmpl w:val="9F232710"/>
    <w:lvl w:ilvl="0" w:tentative="0">
      <w:start w:val="1"/>
      <w:numFmt w:val="chineseCounting"/>
      <w:suff w:val="space"/>
      <w:lvlText w:val="第%1部分"/>
      <w:lvlJc w:val="left"/>
      <w:rPr>
        <w:rFonts w:hint="eastAsia"/>
      </w:rPr>
    </w:lvl>
  </w:abstractNum>
  <w:abstractNum w:abstractNumId="1">
    <w:nsid w:val="39BEA4A8"/>
    <w:multiLevelType w:val="singleLevel"/>
    <w:tmpl w:val="39BEA4A8"/>
    <w:lvl w:ilvl="0" w:tentative="0">
      <w:start w:val="4"/>
      <w:numFmt w:val="chineseCounting"/>
      <w:suff w:val="space"/>
      <w:lvlText w:val="第%1部分"/>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20E506C4"/>
    <w:rsid w:val="00347F25"/>
    <w:rsid w:val="00394C38"/>
    <w:rsid w:val="00430FBC"/>
    <w:rsid w:val="00592FDC"/>
    <w:rsid w:val="005971FB"/>
    <w:rsid w:val="00803916"/>
    <w:rsid w:val="008E5206"/>
    <w:rsid w:val="00926DEC"/>
    <w:rsid w:val="00A61B68"/>
    <w:rsid w:val="00A77A2C"/>
    <w:rsid w:val="00AF5C24"/>
    <w:rsid w:val="00B72C81"/>
    <w:rsid w:val="00B91CFD"/>
    <w:rsid w:val="00BC4A55"/>
    <w:rsid w:val="00C61D66"/>
    <w:rsid w:val="00CC6DD1"/>
    <w:rsid w:val="00D82BDF"/>
    <w:rsid w:val="00F11EB9"/>
    <w:rsid w:val="022F7399"/>
    <w:rsid w:val="02AD08D4"/>
    <w:rsid w:val="02C337B5"/>
    <w:rsid w:val="03004754"/>
    <w:rsid w:val="039D7633"/>
    <w:rsid w:val="03F75D64"/>
    <w:rsid w:val="053E38F7"/>
    <w:rsid w:val="0555730B"/>
    <w:rsid w:val="0571037D"/>
    <w:rsid w:val="062D3DEE"/>
    <w:rsid w:val="06A26ABD"/>
    <w:rsid w:val="074E7E93"/>
    <w:rsid w:val="086C1E64"/>
    <w:rsid w:val="095E3741"/>
    <w:rsid w:val="0A2B5156"/>
    <w:rsid w:val="0B785913"/>
    <w:rsid w:val="0C3C18BA"/>
    <w:rsid w:val="0D4D2532"/>
    <w:rsid w:val="0E915660"/>
    <w:rsid w:val="0EF37FB4"/>
    <w:rsid w:val="0F3A6051"/>
    <w:rsid w:val="0F5A2CAF"/>
    <w:rsid w:val="1045159F"/>
    <w:rsid w:val="107847D8"/>
    <w:rsid w:val="116C0E88"/>
    <w:rsid w:val="128A0A4B"/>
    <w:rsid w:val="136C65CE"/>
    <w:rsid w:val="16945438"/>
    <w:rsid w:val="16A47D2C"/>
    <w:rsid w:val="177F61D2"/>
    <w:rsid w:val="17BF298E"/>
    <w:rsid w:val="198C3106"/>
    <w:rsid w:val="1A35556B"/>
    <w:rsid w:val="1AF22409"/>
    <w:rsid w:val="1B2773EF"/>
    <w:rsid w:val="1B856B18"/>
    <w:rsid w:val="1BFC6519"/>
    <w:rsid w:val="1C052CDF"/>
    <w:rsid w:val="1C4E0A9E"/>
    <w:rsid w:val="1D78692E"/>
    <w:rsid w:val="1D8B0C78"/>
    <w:rsid w:val="1DDA074C"/>
    <w:rsid w:val="1DED6147"/>
    <w:rsid w:val="1FA972E2"/>
    <w:rsid w:val="2026235C"/>
    <w:rsid w:val="204C7414"/>
    <w:rsid w:val="20AF087D"/>
    <w:rsid w:val="20B96E79"/>
    <w:rsid w:val="20E506C4"/>
    <w:rsid w:val="20FE6163"/>
    <w:rsid w:val="22501ADC"/>
    <w:rsid w:val="247F3A12"/>
    <w:rsid w:val="24FD336C"/>
    <w:rsid w:val="252A28C0"/>
    <w:rsid w:val="25A57E78"/>
    <w:rsid w:val="263B3E6A"/>
    <w:rsid w:val="27304357"/>
    <w:rsid w:val="27D35586"/>
    <w:rsid w:val="28D74546"/>
    <w:rsid w:val="28E458CB"/>
    <w:rsid w:val="2973322E"/>
    <w:rsid w:val="2AC9735E"/>
    <w:rsid w:val="2BB739B6"/>
    <w:rsid w:val="2BDD4CA3"/>
    <w:rsid w:val="2BE64E44"/>
    <w:rsid w:val="2C2447FC"/>
    <w:rsid w:val="2C283B11"/>
    <w:rsid w:val="2E637516"/>
    <w:rsid w:val="2EFD2B79"/>
    <w:rsid w:val="2F316FCC"/>
    <w:rsid w:val="2FC92C3B"/>
    <w:rsid w:val="30DF4759"/>
    <w:rsid w:val="323A0D98"/>
    <w:rsid w:val="32B86485"/>
    <w:rsid w:val="32B92E31"/>
    <w:rsid w:val="34186583"/>
    <w:rsid w:val="34A372BC"/>
    <w:rsid w:val="3669223E"/>
    <w:rsid w:val="36772338"/>
    <w:rsid w:val="36A75F9D"/>
    <w:rsid w:val="36DE28E8"/>
    <w:rsid w:val="375546C3"/>
    <w:rsid w:val="37836927"/>
    <w:rsid w:val="37FF5A2E"/>
    <w:rsid w:val="38184D2A"/>
    <w:rsid w:val="388E10B8"/>
    <w:rsid w:val="390C764C"/>
    <w:rsid w:val="3A0516DD"/>
    <w:rsid w:val="3AF73C27"/>
    <w:rsid w:val="3B011CFB"/>
    <w:rsid w:val="3C020CA1"/>
    <w:rsid w:val="3D904069"/>
    <w:rsid w:val="3DB62F74"/>
    <w:rsid w:val="3DE95C97"/>
    <w:rsid w:val="3F9B2691"/>
    <w:rsid w:val="3FCA23EC"/>
    <w:rsid w:val="3FD906B6"/>
    <w:rsid w:val="408D21A5"/>
    <w:rsid w:val="40F4300F"/>
    <w:rsid w:val="424D60E4"/>
    <w:rsid w:val="42FA4769"/>
    <w:rsid w:val="43BC1030"/>
    <w:rsid w:val="47447C41"/>
    <w:rsid w:val="474C6B80"/>
    <w:rsid w:val="476C2B9B"/>
    <w:rsid w:val="47964FBE"/>
    <w:rsid w:val="47F731F7"/>
    <w:rsid w:val="486D3461"/>
    <w:rsid w:val="4A1752A2"/>
    <w:rsid w:val="4A6B4850"/>
    <w:rsid w:val="4A82740D"/>
    <w:rsid w:val="4A8D3B5F"/>
    <w:rsid w:val="4B18398F"/>
    <w:rsid w:val="4B676D57"/>
    <w:rsid w:val="4BC7439C"/>
    <w:rsid w:val="4CB60CC5"/>
    <w:rsid w:val="4CB85D7F"/>
    <w:rsid w:val="4D922AAD"/>
    <w:rsid w:val="4F586F07"/>
    <w:rsid w:val="50FC7E62"/>
    <w:rsid w:val="52695997"/>
    <w:rsid w:val="52AC7AB3"/>
    <w:rsid w:val="54194D2C"/>
    <w:rsid w:val="54207C4C"/>
    <w:rsid w:val="544A7168"/>
    <w:rsid w:val="546A50CF"/>
    <w:rsid w:val="56157AF6"/>
    <w:rsid w:val="5821018A"/>
    <w:rsid w:val="58276F52"/>
    <w:rsid w:val="582A559D"/>
    <w:rsid w:val="58C2079F"/>
    <w:rsid w:val="58C91570"/>
    <w:rsid w:val="596D661C"/>
    <w:rsid w:val="596F7C28"/>
    <w:rsid w:val="597479EA"/>
    <w:rsid w:val="598462FC"/>
    <w:rsid w:val="599618CD"/>
    <w:rsid w:val="5A6B2ADA"/>
    <w:rsid w:val="5AE97929"/>
    <w:rsid w:val="5BD26056"/>
    <w:rsid w:val="5C441BE6"/>
    <w:rsid w:val="5C5917D9"/>
    <w:rsid w:val="5CEA422B"/>
    <w:rsid w:val="5D205452"/>
    <w:rsid w:val="5EBB3553"/>
    <w:rsid w:val="5F234E8F"/>
    <w:rsid w:val="606956B2"/>
    <w:rsid w:val="60D22151"/>
    <w:rsid w:val="617606FB"/>
    <w:rsid w:val="61B94055"/>
    <w:rsid w:val="621D0C33"/>
    <w:rsid w:val="62444222"/>
    <w:rsid w:val="6357534E"/>
    <w:rsid w:val="63D135C5"/>
    <w:rsid w:val="694730D7"/>
    <w:rsid w:val="69A157A9"/>
    <w:rsid w:val="69FE7395"/>
    <w:rsid w:val="6B030ECB"/>
    <w:rsid w:val="6B294264"/>
    <w:rsid w:val="6B3B79EC"/>
    <w:rsid w:val="6D2C72A1"/>
    <w:rsid w:val="6E7C1637"/>
    <w:rsid w:val="6E8C7CC6"/>
    <w:rsid w:val="6F094735"/>
    <w:rsid w:val="6F6464ED"/>
    <w:rsid w:val="6F8A0BAF"/>
    <w:rsid w:val="6FF22BC4"/>
    <w:rsid w:val="71F837EB"/>
    <w:rsid w:val="73431FE5"/>
    <w:rsid w:val="73BA6188"/>
    <w:rsid w:val="73FC5883"/>
    <w:rsid w:val="7501091A"/>
    <w:rsid w:val="761913A7"/>
    <w:rsid w:val="763B7CA8"/>
    <w:rsid w:val="778B0394"/>
    <w:rsid w:val="785F1572"/>
    <w:rsid w:val="79B308E4"/>
    <w:rsid w:val="7A972ECF"/>
    <w:rsid w:val="7AAF5228"/>
    <w:rsid w:val="7B6D5E4A"/>
    <w:rsid w:val="7BDC2A76"/>
    <w:rsid w:val="7CD458E7"/>
    <w:rsid w:val="7CE25A39"/>
    <w:rsid w:val="7D1B0FE8"/>
    <w:rsid w:val="7DCC042B"/>
    <w:rsid w:val="7F796BC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方正仿宋简体" w:cs="Times New Roman"/>
      <w:kern w:val="2"/>
      <w:sz w:val="3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Plain Text"/>
    <w:basedOn w:val="1"/>
    <w:qFormat/>
    <w:uiPriority w:val="0"/>
    <w:rPr>
      <w:rFonts w:ascii="宋体" w:hAnsi="Courier New" w:eastAsia="宋体"/>
      <w:sz w:val="21"/>
    </w:rPr>
  </w:style>
  <w:style w:type="paragraph" w:styleId="3">
    <w:name w:val="footer"/>
    <w:basedOn w:val="1"/>
    <w:link w:val="17"/>
    <w:qFormat/>
    <w:uiPriority w:val="0"/>
    <w:pPr>
      <w:tabs>
        <w:tab w:val="center" w:pos="4153"/>
        <w:tab w:val="right" w:pos="8306"/>
      </w:tabs>
      <w:snapToGrid w:val="0"/>
      <w:jc w:val="left"/>
    </w:pPr>
    <w:rPr>
      <w:sz w:val="18"/>
      <w:szCs w:val="18"/>
    </w:rPr>
  </w:style>
  <w:style w:type="paragraph" w:styleId="4">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9">
    <w:name w:val="font11"/>
    <w:basedOn w:val="8"/>
    <w:qFormat/>
    <w:uiPriority w:val="0"/>
    <w:rPr>
      <w:rFonts w:hint="eastAsia" w:ascii="宋体" w:hAnsi="宋体" w:eastAsia="宋体" w:cs="宋体"/>
      <w:b/>
      <w:color w:val="000000"/>
      <w:sz w:val="32"/>
      <w:szCs w:val="32"/>
      <w:u w:val="none"/>
    </w:rPr>
  </w:style>
  <w:style w:type="character" w:customStyle="1" w:styleId="10">
    <w:name w:val="font91"/>
    <w:basedOn w:val="8"/>
    <w:qFormat/>
    <w:uiPriority w:val="0"/>
    <w:rPr>
      <w:rFonts w:hint="eastAsia" w:ascii="宋体" w:hAnsi="宋体" w:eastAsia="宋体" w:cs="宋体"/>
      <w:color w:val="000000"/>
      <w:sz w:val="32"/>
      <w:szCs w:val="32"/>
      <w:u w:val="none"/>
    </w:rPr>
  </w:style>
  <w:style w:type="character" w:customStyle="1" w:styleId="11">
    <w:name w:val="font51"/>
    <w:basedOn w:val="8"/>
    <w:qFormat/>
    <w:uiPriority w:val="0"/>
    <w:rPr>
      <w:rFonts w:hint="eastAsia" w:ascii="宋体" w:hAnsi="宋体" w:eastAsia="宋体" w:cs="宋体"/>
      <w:color w:val="000000"/>
      <w:sz w:val="20"/>
      <w:szCs w:val="20"/>
      <w:u w:val="none"/>
    </w:rPr>
  </w:style>
  <w:style w:type="character" w:customStyle="1" w:styleId="12">
    <w:name w:val="font101"/>
    <w:basedOn w:val="8"/>
    <w:qFormat/>
    <w:uiPriority w:val="0"/>
    <w:rPr>
      <w:rFonts w:hint="eastAsia" w:ascii="宋体" w:hAnsi="宋体" w:eastAsia="宋体" w:cs="宋体"/>
      <w:color w:val="000000"/>
      <w:sz w:val="20"/>
      <w:szCs w:val="20"/>
      <w:u w:val="none"/>
    </w:rPr>
  </w:style>
  <w:style w:type="character" w:customStyle="1" w:styleId="13">
    <w:name w:val="font21"/>
    <w:basedOn w:val="8"/>
    <w:qFormat/>
    <w:uiPriority w:val="0"/>
    <w:rPr>
      <w:rFonts w:hint="eastAsia" w:ascii="宋体" w:hAnsi="宋体" w:eastAsia="宋体" w:cs="宋体"/>
      <w:color w:val="000000"/>
      <w:sz w:val="18"/>
      <w:szCs w:val="18"/>
      <w:u w:val="none"/>
    </w:rPr>
  </w:style>
  <w:style w:type="character" w:customStyle="1" w:styleId="14">
    <w:name w:val="font112"/>
    <w:basedOn w:val="8"/>
    <w:qFormat/>
    <w:uiPriority w:val="0"/>
    <w:rPr>
      <w:rFonts w:hint="eastAsia" w:ascii="宋体" w:hAnsi="宋体" w:eastAsia="宋体" w:cs="宋体"/>
      <w:color w:val="000000"/>
      <w:sz w:val="20"/>
      <w:szCs w:val="20"/>
      <w:u w:val="none"/>
    </w:rPr>
  </w:style>
  <w:style w:type="character" w:customStyle="1" w:styleId="15">
    <w:name w:val="font61"/>
    <w:basedOn w:val="8"/>
    <w:qFormat/>
    <w:uiPriority w:val="0"/>
    <w:rPr>
      <w:rFonts w:hint="eastAsia" w:ascii="宋体" w:hAnsi="宋体" w:eastAsia="宋体" w:cs="宋体"/>
      <w:color w:val="000000"/>
      <w:sz w:val="24"/>
      <w:szCs w:val="24"/>
      <w:u w:val="none"/>
    </w:rPr>
  </w:style>
  <w:style w:type="character" w:customStyle="1" w:styleId="16">
    <w:name w:val="页眉 Char"/>
    <w:basedOn w:val="8"/>
    <w:link w:val="4"/>
    <w:qFormat/>
    <w:uiPriority w:val="0"/>
    <w:rPr>
      <w:rFonts w:ascii="Calibri" w:hAnsi="Calibri" w:eastAsia="方正仿宋简体"/>
      <w:kern w:val="2"/>
      <w:sz w:val="18"/>
      <w:szCs w:val="18"/>
    </w:rPr>
  </w:style>
  <w:style w:type="character" w:customStyle="1" w:styleId="17">
    <w:name w:val="页脚 Char"/>
    <w:basedOn w:val="8"/>
    <w:link w:val="3"/>
    <w:qFormat/>
    <w:uiPriority w:val="0"/>
    <w:rPr>
      <w:rFonts w:ascii="Calibri" w:hAnsi="Calibri" w:eastAsia="方正仿宋简体"/>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29</Pages>
  <Words>11229</Words>
  <Characters>14533</Characters>
  <Lines>61</Lines>
  <Paragraphs>17</Paragraphs>
  <TotalTime>0</TotalTime>
  <ScaleCrop>false</ScaleCrop>
  <LinksUpToDate>false</LinksUpToDate>
  <CharactersWithSpaces>15279</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2020-09-17T02:35:00Z</dcterms:created>
  <dc:creator>lenovo</dc:creator>
  <cp:lastModifiedBy>晒太阳的猫</cp:lastModifiedBy>
  <cp:lastPrinted>2020-09-17T02:30:00Z</cp:lastPrinted>
  <dcterms:modified xsi:type="dcterms:W3CDTF">2022-03-17T08:10:06Z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76E78026F2C14E6EAA783C1431A58580</vt:lpwstr>
  </property>
</Properties>
</file>