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E35E0">
      <w:pPr>
        <w:adjustRightInd w:val="0"/>
        <w:snapToGrid w:val="0"/>
        <w:rPr>
          <w:rFonts w:ascii="仿宋_GB2312" w:eastAsia="仿宋_GB2312" w:hint="eastAsia"/>
          <w:sz w:val="32"/>
          <w:szCs w:val="32"/>
        </w:rPr>
      </w:pPr>
    </w:p>
    <w:p w:rsidR="00000000" w:rsidRDefault="003E35E0">
      <w:pPr>
        <w:adjustRightInd w:val="0"/>
        <w:snapToGrid w:val="0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蓝田县政协委员会机关</w:t>
      </w:r>
    </w:p>
    <w:p w:rsidR="00000000" w:rsidRDefault="003E35E0">
      <w:pPr>
        <w:adjustRightInd w:val="0"/>
        <w:snapToGrid w:val="0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年部门综合预算说明</w:t>
      </w:r>
    </w:p>
    <w:p w:rsidR="00000000" w:rsidRDefault="003E35E0">
      <w:pPr>
        <w:adjustRightInd w:val="0"/>
        <w:snapToGrid w:val="0"/>
        <w:rPr>
          <w:rFonts w:ascii="仿宋_GB2312" w:eastAsia="仿宋_GB2312" w:hint="eastAsia"/>
          <w:sz w:val="32"/>
          <w:szCs w:val="32"/>
        </w:rPr>
      </w:pP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一、部门主要职责及机构设置</w:t>
      </w:r>
    </w:p>
    <w:p w:rsidR="00000000" w:rsidRDefault="003E35E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（一）主要负责县政协文秘、会务工作，县政协重要工作部署贯彻落实的督促检查，县委、</w:t>
      </w:r>
      <w:r w:rsidR="00ED2781">
        <w:rPr>
          <w:rFonts w:ascii="仿宋_GB2312" w:eastAsia="仿宋_GB2312" w:hint="eastAsia"/>
          <w:sz w:val="32"/>
          <w:szCs w:val="32"/>
        </w:rPr>
        <w:t>县</w:t>
      </w:r>
      <w:r>
        <w:rPr>
          <w:rFonts w:ascii="仿宋_GB2312" w:eastAsia="仿宋_GB2312" w:hint="eastAsia"/>
          <w:sz w:val="32"/>
          <w:szCs w:val="32"/>
        </w:rPr>
        <w:t>政府、政协重要会议精神、领导同志批示的转达和催办落实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负责政协机关日常事务、财务管理、综合协调、目标责任考核和老干部工作；负责县政协宣传信息</w:t>
      </w:r>
      <w:r>
        <w:rPr>
          <w:rFonts w:ascii="仿宋_GB2312" w:eastAsia="仿宋_GB2312" w:hint="eastAsia"/>
          <w:sz w:val="32"/>
          <w:szCs w:val="32"/>
        </w:rPr>
        <w:t>,</w:t>
      </w:r>
      <w:r>
        <w:rPr>
          <w:rFonts w:ascii="仿宋_GB2312" w:eastAsia="仿宋_GB2312" w:hint="eastAsia"/>
          <w:sz w:val="32"/>
          <w:szCs w:val="32"/>
        </w:rPr>
        <w:t>委员管理、视察</w:t>
      </w:r>
      <w:r>
        <w:rPr>
          <w:rFonts w:ascii="仿宋_GB2312" w:eastAsia="仿宋_GB2312" w:hint="eastAsia"/>
          <w:sz w:val="32"/>
          <w:szCs w:val="32"/>
        </w:rPr>
        <w:t>,</w:t>
      </w:r>
      <w:r>
        <w:rPr>
          <w:rFonts w:ascii="仿宋_GB2312" w:eastAsia="仿宋_GB2312" w:hint="eastAsia"/>
          <w:sz w:val="32"/>
          <w:szCs w:val="32"/>
        </w:rPr>
        <w:t>对外联谊、学习考察；负责县政协机关档案</w:t>
      </w:r>
      <w:r>
        <w:rPr>
          <w:rFonts w:ascii="仿宋_GB2312" w:eastAsia="仿宋_GB2312" w:hint="eastAsia"/>
          <w:sz w:val="32"/>
          <w:szCs w:val="32"/>
        </w:rPr>
        <w:t>,</w:t>
      </w:r>
      <w:r>
        <w:rPr>
          <w:rFonts w:ascii="仿宋_GB2312" w:eastAsia="仿宋_GB2312" w:hint="eastAsia"/>
          <w:sz w:val="32"/>
          <w:szCs w:val="32"/>
        </w:rPr>
        <w:t>全县政学组、民主监督员管理；承担县委、县政府、县政协交办的其他事项等。</w:t>
      </w:r>
    </w:p>
    <w:p w:rsidR="00000000" w:rsidRDefault="003E35E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（二）单位设置办公室、经科委、社事委、提案委、委工委等工作机构。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</w:t>
      </w: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年度部门工作任务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/>
        </w:rPr>
        <w:t>政协蓝田县委员会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/>
        </w:rPr>
        <w:t>2019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lang/>
        </w:rPr>
        <w:t>年工作的总体要求是：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2019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年是新中国成立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70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周年，是决胜全面建成小康社会的关键之年，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>人民政协面临新的形势和任务，肩负新的责任和使命。新的一年，县政协及其常委会工作的指导思想和总体要求是：高举习近平新时代中国特色社会主义思想伟大旗帜，以邓小平理论、“三个代表”重要思想、科学发展观为指导，深入贯彻落实中共十九大、十九届二中、三中全会精神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和县委十六届五次全会精神，紧扣“五个扎实”和“追赶超越”要求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>，围绕“五新”战略和“聚焦‘三六九’，振兴大西安”部署，立足生态立县、旅游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lastRenderedPageBreak/>
        <w:t>兴县、工业强县、民宿富县，坚定不移走“绿水青山就是金山银山”的绿色生态发展之路，以开展“三个年”为主题，扬起“两带双核四板块”龙头，做好秦岭保护、乡村振兴、全域旅游“三篇文章”，构建企业聚集、民宿聚集“两大集群”，把握团结和民主两大主题，扎实履行政治协商、民主监督、参政议政职能，为打造乡村振兴示范县、文化旅游旗帜县、生态发展样板县、民宿发展第一县，促进蓝田追赶超越作出积极贡献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三、部门预算单位构成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从预算单位构成看，本部门的部门预算包括部门本级（机关）独立预算单位：</w:t>
      </w:r>
    </w:p>
    <w:tbl>
      <w:tblPr>
        <w:tblW w:w="0" w:type="auto"/>
        <w:tblInd w:w="1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2126"/>
        <w:gridCol w:w="4394"/>
      </w:tblGrid>
      <w:tr w:rsidR="00000000">
        <w:tc>
          <w:tcPr>
            <w:tcW w:w="2126" w:type="dxa"/>
          </w:tcPr>
          <w:p w:rsidR="00000000" w:rsidRDefault="003E35E0">
            <w:pPr>
              <w:spacing w:line="58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394" w:type="dxa"/>
          </w:tcPr>
          <w:p w:rsidR="00000000" w:rsidRDefault="003E35E0">
            <w:pPr>
              <w:spacing w:line="58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单位名称</w:t>
            </w:r>
          </w:p>
        </w:tc>
      </w:tr>
      <w:tr w:rsidR="00000000">
        <w:tc>
          <w:tcPr>
            <w:tcW w:w="2126" w:type="dxa"/>
          </w:tcPr>
          <w:p w:rsidR="00000000" w:rsidRDefault="003E35E0">
            <w:pPr>
              <w:spacing w:line="58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4394" w:type="dxa"/>
          </w:tcPr>
          <w:p w:rsidR="00000000" w:rsidRDefault="003E35E0">
            <w:pPr>
              <w:spacing w:line="58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政协蓝田县委员会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办公室部门本级（机关）</w:t>
            </w:r>
          </w:p>
        </w:tc>
      </w:tr>
    </w:tbl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四、部门人员情况说明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截</w:t>
      </w:r>
      <w:r w:rsidR="00ED2781">
        <w:rPr>
          <w:rFonts w:ascii="仿宋_GB2312" w:eastAsia="仿宋_GB2312" w:hint="eastAsia"/>
          <w:sz w:val="32"/>
          <w:szCs w:val="32"/>
        </w:rPr>
        <w:t>至</w:t>
      </w:r>
      <w:r>
        <w:rPr>
          <w:rFonts w:ascii="仿宋_GB2312" w:eastAsia="仿宋_GB2312" w:hint="eastAsia"/>
          <w:sz w:val="32"/>
          <w:szCs w:val="32"/>
        </w:rPr>
        <w:t>2018</w:t>
      </w:r>
      <w:r>
        <w:rPr>
          <w:rFonts w:ascii="仿宋_GB2312" w:eastAsia="仿宋_GB2312" w:hint="eastAsia"/>
          <w:sz w:val="32"/>
          <w:szCs w:val="32"/>
        </w:rPr>
        <w:t>年底，本部门人员编制</w:t>
      </w:r>
      <w:r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人，其中行政编制</w:t>
      </w:r>
      <w:r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人、事业编制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人；实有人员</w:t>
      </w:r>
      <w:r>
        <w:rPr>
          <w:rFonts w:ascii="仿宋_GB2312" w:eastAsia="仿宋_GB2312" w:hint="eastAsia"/>
          <w:sz w:val="32"/>
          <w:szCs w:val="32"/>
        </w:rPr>
        <w:t>22</w:t>
      </w:r>
      <w:r>
        <w:rPr>
          <w:rFonts w:ascii="仿宋_GB2312" w:eastAsia="仿宋_GB2312" w:hint="eastAsia"/>
          <w:sz w:val="32"/>
          <w:szCs w:val="32"/>
        </w:rPr>
        <w:t>人，行政人员</w:t>
      </w:r>
      <w:r>
        <w:rPr>
          <w:rFonts w:ascii="仿宋_GB2312" w:eastAsia="仿宋_GB2312" w:hint="eastAsia"/>
          <w:sz w:val="32"/>
          <w:szCs w:val="32"/>
        </w:rPr>
        <w:t>17</w:t>
      </w:r>
      <w:r>
        <w:rPr>
          <w:rFonts w:ascii="仿宋_GB2312" w:eastAsia="仿宋_GB2312" w:hint="eastAsia"/>
          <w:sz w:val="32"/>
          <w:szCs w:val="32"/>
        </w:rPr>
        <w:t>人，事业人员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人；单位管理的离退休人员</w:t>
      </w:r>
      <w:r>
        <w:rPr>
          <w:rFonts w:ascii="仿宋_GB2312" w:eastAsia="仿宋_GB2312" w:hint="eastAsia"/>
          <w:sz w:val="32"/>
          <w:szCs w:val="32"/>
        </w:rPr>
        <w:t>28</w:t>
      </w:r>
      <w:r>
        <w:rPr>
          <w:rFonts w:ascii="仿宋_GB2312" w:eastAsia="仿宋_GB2312" w:hint="eastAsia"/>
          <w:sz w:val="32"/>
          <w:szCs w:val="32"/>
        </w:rPr>
        <w:t>人。</w:t>
      </w:r>
    </w:p>
    <w:p w:rsidR="00000000" w:rsidRDefault="00ED2781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lastRenderedPageBreak/>
        <w:drawing>
          <wp:inline distT="0" distB="0" distL="0" distR="0">
            <wp:extent cx="4954905" cy="1860550"/>
            <wp:effectExtent l="0" t="0" r="0" b="0"/>
            <wp:docPr id="1" name="对象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五、部门国有资产占有使用及资产购置情况说明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截</w:t>
      </w:r>
      <w:r w:rsidR="00ED2781">
        <w:rPr>
          <w:rFonts w:ascii="仿宋_GB2312" w:eastAsia="仿宋_GB2312" w:hint="eastAsia"/>
          <w:sz w:val="32"/>
          <w:szCs w:val="32"/>
        </w:rPr>
        <w:t>至</w:t>
      </w:r>
      <w:r>
        <w:rPr>
          <w:rFonts w:ascii="仿宋_GB2312" w:eastAsia="仿宋_GB2312" w:hint="eastAsia"/>
          <w:sz w:val="32"/>
          <w:szCs w:val="32"/>
        </w:rPr>
        <w:t>2018</w:t>
      </w:r>
      <w:r>
        <w:rPr>
          <w:rFonts w:ascii="仿宋_GB2312" w:eastAsia="仿宋_GB2312" w:hint="eastAsia"/>
          <w:sz w:val="32"/>
          <w:szCs w:val="32"/>
        </w:rPr>
        <w:t>年底，本部门所属预算单位共有车辆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辆，单价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万元以上的设备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台（套）。</w:t>
      </w: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年部门预算安排购置车辆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辆；安排购置单价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万元以上的设备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台（套）。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六、部门预算绩效目标说明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年本部门</w:t>
      </w:r>
      <w:r>
        <w:rPr>
          <w:rFonts w:ascii="仿宋_GB2312" w:eastAsia="仿宋_GB2312" w:hint="eastAsia"/>
          <w:sz w:val="32"/>
          <w:szCs w:val="32"/>
        </w:rPr>
        <w:t>实现了绩效目标管理全覆盖，涉及一般公共预算当年拨款</w:t>
      </w:r>
      <w:r>
        <w:rPr>
          <w:rFonts w:ascii="仿宋_GB2312" w:eastAsia="仿宋_GB2312" w:hint="eastAsia"/>
          <w:sz w:val="32"/>
          <w:szCs w:val="32"/>
        </w:rPr>
        <w:t>183.43</w:t>
      </w:r>
      <w:r>
        <w:rPr>
          <w:rFonts w:ascii="仿宋_GB2312" w:eastAsia="仿宋_GB2312" w:hint="eastAsia"/>
          <w:sz w:val="32"/>
          <w:szCs w:val="32"/>
        </w:rPr>
        <w:t>万元</w:t>
      </w:r>
      <w:r>
        <w:rPr>
          <w:rFonts w:ascii="仿宋_GB2312" w:eastAsia="仿宋_GB2312" w:hint="eastAsia"/>
          <w:sz w:val="32"/>
          <w:szCs w:val="32"/>
        </w:rPr>
        <w:t>,</w:t>
      </w:r>
      <w:r>
        <w:rPr>
          <w:rFonts w:ascii="仿宋_GB2312" w:eastAsia="仿宋_GB2312" w:hint="eastAsia"/>
          <w:sz w:val="32"/>
          <w:szCs w:val="32"/>
        </w:rPr>
        <w:t>政府性基金预算当年拨款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</w:t>
      </w: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年部门预算收支说明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（一）收支预算总体情况。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年本部门预算收入</w:t>
      </w:r>
      <w:r>
        <w:rPr>
          <w:rFonts w:ascii="仿宋_GB2312" w:eastAsia="仿宋_GB2312" w:hint="eastAsia"/>
          <w:sz w:val="32"/>
          <w:szCs w:val="32"/>
        </w:rPr>
        <w:t>183.43</w:t>
      </w:r>
      <w:r>
        <w:rPr>
          <w:rFonts w:ascii="仿宋_GB2312" w:eastAsia="仿宋_GB2312" w:hint="eastAsia"/>
          <w:sz w:val="32"/>
          <w:szCs w:val="32"/>
        </w:rPr>
        <w:t>万元，其中一般公共预算拨款收入</w:t>
      </w:r>
      <w:r>
        <w:rPr>
          <w:rFonts w:ascii="仿宋_GB2312" w:eastAsia="仿宋_GB2312" w:hint="eastAsia"/>
          <w:sz w:val="32"/>
          <w:szCs w:val="32"/>
        </w:rPr>
        <w:t>183.43</w:t>
      </w:r>
      <w:r>
        <w:rPr>
          <w:rFonts w:ascii="仿宋_GB2312" w:eastAsia="仿宋_GB2312" w:hint="eastAsia"/>
          <w:sz w:val="32"/>
          <w:szCs w:val="32"/>
        </w:rPr>
        <w:t>万元、政府性基金拨款收入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万元，</w:t>
      </w: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年本部门预算收入较上年减少</w:t>
      </w:r>
      <w:r>
        <w:rPr>
          <w:rFonts w:ascii="仿宋_GB2312" w:eastAsia="仿宋_GB2312" w:hint="eastAsia"/>
          <w:sz w:val="32"/>
          <w:szCs w:val="32"/>
        </w:rPr>
        <w:t>21.43</w:t>
      </w:r>
      <w:r>
        <w:rPr>
          <w:rFonts w:ascii="仿宋_GB2312" w:eastAsia="仿宋_GB2312" w:hint="eastAsia"/>
          <w:sz w:val="32"/>
          <w:szCs w:val="32"/>
        </w:rPr>
        <w:t>万元，主要原因是机关人员调出及退休；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年本部门预算支出</w:t>
      </w:r>
      <w:r>
        <w:rPr>
          <w:rFonts w:ascii="仿宋_GB2312" w:eastAsia="仿宋_GB2312" w:hint="eastAsia"/>
          <w:sz w:val="32"/>
          <w:szCs w:val="32"/>
        </w:rPr>
        <w:t>183.43</w:t>
      </w:r>
      <w:r>
        <w:rPr>
          <w:rFonts w:ascii="仿宋_GB2312" w:eastAsia="仿宋_GB2312" w:hint="eastAsia"/>
          <w:sz w:val="32"/>
          <w:szCs w:val="32"/>
        </w:rPr>
        <w:t>万元，其中一般公共预算拨款支出</w:t>
      </w:r>
      <w:r>
        <w:rPr>
          <w:rFonts w:ascii="仿宋_GB2312" w:eastAsia="仿宋_GB2312" w:hint="eastAsia"/>
          <w:sz w:val="32"/>
          <w:szCs w:val="32"/>
        </w:rPr>
        <w:t>183.43</w:t>
      </w:r>
      <w:r>
        <w:rPr>
          <w:rFonts w:ascii="仿宋_GB2312" w:eastAsia="仿宋_GB2312" w:hint="eastAsia"/>
          <w:sz w:val="32"/>
          <w:szCs w:val="32"/>
        </w:rPr>
        <w:t>万元、政府性基金拨款支出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万元，</w:t>
      </w: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年本部门预算支出较上年减少</w:t>
      </w:r>
      <w:r>
        <w:rPr>
          <w:rFonts w:ascii="仿宋_GB2312" w:eastAsia="仿宋_GB2312" w:hint="eastAsia"/>
          <w:sz w:val="32"/>
          <w:szCs w:val="32"/>
        </w:rPr>
        <w:t>21.43</w:t>
      </w:r>
      <w:r>
        <w:rPr>
          <w:rFonts w:ascii="仿宋_GB2312" w:eastAsia="仿宋_GB2312" w:hint="eastAsia"/>
          <w:sz w:val="32"/>
          <w:szCs w:val="32"/>
        </w:rPr>
        <w:t>万元，主</w:t>
      </w:r>
      <w:r>
        <w:rPr>
          <w:rFonts w:ascii="仿宋_GB2312" w:eastAsia="仿宋_GB2312" w:hint="eastAsia"/>
          <w:sz w:val="32"/>
          <w:szCs w:val="32"/>
        </w:rPr>
        <w:t>要原因是机关人员调出及退休。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（二）财政拨款收支情况。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年本部门财政拨款收入</w:t>
      </w:r>
      <w:r>
        <w:rPr>
          <w:rFonts w:ascii="仿宋_GB2312" w:eastAsia="仿宋_GB2312" w:hint="eastAsia"/>
          <w:sz w:val="32"/>
          <w:szCs w:val="32"/>
        </w:rPr>
        <w:t>183.43</w:t>
      </w:r>
      <w:r>
        <w:rPr>
          <w:rFonts w:ascii="仿宋_GB2312" w:eastAsia="仿宋_GB2312" w:hint="eastAsia"/>
          <w:sz w:val="32"/>
          <w:szCs w:val="32"/>
        </w:rPr>
        <w:t>万元，其中一般公共预算拨款收入</w:t>
      </w:r>
      <w:r>
        <w:rPr>
          <w:rFonts w:ascii="仿宋_GB2312" w:eastAsia="仿宋_GB2312" w:hint="eastAsia"/>
          <w:sz w:val="32"/>
          <w:szCs w:val="32"/>
        </w:rPr>
        <w:t>183.43</w:t>
      </w:r>
      <w:r>
        <w:rPr>
          <w:rFonts w:ascii="仿宋_GB2312" w:eastAsia="仿宋_GB2312" w:hint="eastAsia"/>
          <w:sz w:val="32"/>
          <w:szCs w:val="32"/>
        </w:rPr>
        <w:t>万元、政府性基金拨款收入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万元、</w:t>
      </w: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年本部门财政拨款收入较上年减少</w:t>
      </w:r>
      <w:r>
        <w:rPr>
          <w:rFonts w:ascii="仿宋_GB2312" w:eastAsia="仿宋_GB2312" w:hint="eastAsia"/>
          <w:sz w:val="32"/>
          <w:szCs w:val="32"/>
        </w:rPr>
        <w:t>21.43</w:t>
      </w:r>
      <w:r>
        <w:rPr>
          <w:rFonts w:ascii="仿宋_GB2312" w:eastAsia="仿宋_GB2312" w:hint="eastAsia"/>
          <w:sz w:val="32"/>
          <w:szCs w:val="32"/>
        </w:rPr>
        <w:t>万元，主要原因是人员调出及退休；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年本部门财政拨款支出</w:t>
      </w:r>
      <w:r>
        <w:rPr>
          <w:rFonts w:ascii="仿宋_GB2312" w:eastAsia="仿宋_GB2312" w:hint="eastAsia"/>
          <w:sz w:val="32"/>
          <w:szCs w:val="32"/>
        </w:rPr>
        <w:t>183.43</w:t>
      </w:r>
      <w:r>
        <w:rPr>
          <w:rFonts w:ascii="仿宋_GB2312" w:eastAsia="仿宋_GB2312" w:hint="eastAsia"/>
          <w:sz w:val="32"/>
          <w:szCs w:val="32"/>
        </w:rPr>
        <w:t>万元，其中一般公共预算拨款支出</w:t>
      </w:r>
      <w:r>
        <w:rPr>
          <w:rFonts w:ascii="仿宋_GB2312" w:eastAsia="仿宋_GB2312" w:hint="eastAsia"/>
          <w:sz w:val="32"/>
          <w:szCs w:val="32"/>
        </w:rPr>
        <w:t>183.43</w:t>
      </w:r>
      <w:r>
        <w:rPr>
          <w:rFonts w:ascii="仿宋_GB2312" w:eastAsia="仿宋_GB2312" w:hint="eastAsia"/>
          <w:sz w:val="32"/>
          <w:szCs w:val="32"/>
        </w:rPr>
        <w:t>万元、政府性基金拨款支出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万元，</w:t>
      </w: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年本部门财政拨款支出较上年减少</w:t>
      </w:r>
      <w:r>
        <w:rPr>
          <w:rFonts w:ascii="仿宋_GB2312" w:eastAsia="仿宋_GB2312" w:hint="eastAsia"/>
          <w:sz w:val="32"/>
          <w:szCs w:val="32"/>
        </w:rPr>
        <w:t>21.43</w:t>
      </w:r>
      <w:r>
        <w:rPr>
          <w:rFonts w:ascii="仿宋_GB2312" w:eastAsia="仿宋_GB2312" w:hint="eastAsia"/>
          <w:sz w:val="32"/>
          <w:szCs w:val="32"/>
        </w:rPr>
        <w:t>万元，主要原因是机关单位人员调出及退休。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（三）一般公共预算拨款支出明细情况。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、一般公共预算当</w:t>
      </w:r>
      <w:r>
        <w:rPr>
          <w:rFonts w:ascii="仿宋_GB2312" w:eastAsia="仿宋_GB2312" w:hint="eastAsia"/>
          <w:sz w:val="32"/>
          <w:szCs w:val="32"/>
        </w:rPr>
        <w:t>年拨款规模变化情况。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年本部门一般公共预算拨款支出</w:t>
      </w:r>
      <w:r>
        <w:rPr>
          <w:rFonts w:ascii="仿宋_GB2312" w:eastAsia="仿宋_GB2312" w:hint="eastAsia"/>
          <w:sz w:val="32"/>
          <w:szCs w:val="32"/>
        </w:rPr>
        <w:t>183.43</w:t>
      </w:r>
      <w:r>
        <w:rPr>
          <w:rFonts w:ascii="仿宋_GB2312" w:eastAsia="仿宋_GB2312" w:hint="eastAsia"/>
          <w:sz w:val="32"/>
          <w:szCs w:val="32"/>
        </w:rPr>
        <w:t>万元，较上年减少</w:t>
      </w:r>
      <w:r>
        <w:rPr>
          <w:rFonts w:ascii="仿宋_GB2312" w:eastAsia="仿宋_GB2312" w:hint="eastAsia"/>
          <w:sz w:val="32"/>
          <w:szCs w:val="32"/>
        </w:rPr>
        <w:t>21.43</w:t>
      </w:r>
      <w:r>
        <w:rPr>
          <w:rFonts w:ascii="仿宋_GB2312" w:eastAsia="仿宋_GB2312" w:hint="eastAsia"/>
          <w:sz w:val="32"/>
          <w:szCs w:val="32"/>
        </w:rPr>
        <w:t>万元，主要原因是人员调出工资减少及人员退休。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、支出按功能科目分类的明细情况。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本部门</w:t>
      </w: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年一般公共预算支出</w:t>
      </w:r>
      <w:r>
        <w:rPr>
          <w:rFonts w:ascii="仿宋_GB2312" w:eastAsia="仿宋_GB2312" w:hint="eastAsia"/>
          <w:sz w:val="32"/>
          <w:szCs w:val="32"/>
        </w:rPr>
        <w:t>183.43</w:t>
      </w:r>
      <w:r>
        <w:rPr>
          <w:rFonts w:ascii="仿宋_GB2312" w:eastAsia="仿宋_GB2312" w:hint="eastAsia"/>
          <w:sz w:val="32"/>
          <w:szCs w:val="32"/>
        </w:rPr>
        <w:t>万元，其中：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）行政运行（</w:t>
      </w:r>
      <w:r>
        <w:rPr>
          <w:rFonts w:ascii="仿宋_GB2312" w:eastAsia="仿宋_GB2312" w:hint="eastAsia"/>
          <w:sz w:val="32"/>
          <w:szCs w:val="32"/>
        </w:rPr>
        <w:t>2010601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154.77</w:t>
      </w:r>
      <w:r>
        <w:rPr>
          <w:rFonts w:ascii="仿宋_GB2312" w:eastAsia="仿宋_GB2312" w:hint="eastAsia"/>
          <w:sz w:val="32"/>
          <w:szCs w:val="32"/>
        </w:rPr>
        <w:t>万元，较上年减少</w:t>
      </w:r>
      <w:r>
        <w:rPr>
          <w:rFonts w:ascii="仿宋_GB2312" w:eastAsia="仿宋_GB2312" w:hint="eastAsia"/>
          <w:sz w:val="32"/>
          <w:szCs w:val="32"/>
        </w:rPr>
        <w:t>50.09</w:t>
      </w:r>
      <w:r>
        <w:rPr>
          <w:rFonts w:ascii="仿宋_GB2312" w:eastAsia="仿宋_GB2312" w:hint="eastAsia"/>
          <w:sz w:val="32"/>
          <w:szCs w:val="32"/>
        </w:rPr>
        <w:t>万元，原因是人员调出及退休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）事业运行（</w:t>
      </w:r>
      <w:r>
        <w:rPr>
          <w:rFonts w:ascii="仿宋_GB2312" w:eastAsia="仿宋_GB2312" w:hint="eastAsia"/>
          <w:sz w:val="32"/>
          <w:szCs w:val="32"/>
        </w:rPr>
        <w:t>2010650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元，没有事业编制。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）一般行政管理事务（</w:t>
      </w:r>
      <w:r>
        <w:rPr>
          <w:rFonts w:ascii="仿宋_GB2312" w:eastAsia="仿宋_GB2312" w:hint="eastAsia"/>
          <w:sz w:val="32"/>
          <w:szCs w:val="32"/>
        </w:rPr>
        <w:t>2010602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26.55</w:t>
      </w:r>
      <w:r>
        <w:rPr>
          <w:rFonts w:ascii="仿宋_GB2312" w:eastAsia="仿宋_GB2312" w:hint="eastAsia"/>
          <w:sz w:val="32"/>
          <w:szCs w:val="32"/>
        </w:rPr>
        <w:t>万元，较上年增加</w:t>
      </w:r>
      <w:r>
        <w:rPr>
          <w:rFonts w:ascii="仿宋_GB2312" w:eastAsia="仿宋_GB2312" w:hint="eastAsia"/>
          <w:sz w:val="32"/>
          <w:szCs w:val="32"/>
        </w:rPr>
        <w:t>1.68</w:t>
      </w:r>
      <w:r>
        <w:rPr>
          <w:rFonts w:ascii="仿宋_GB2312" w:eastAsia="仿宋_GB2312" w:hint="eastAsia"/>
          <w:sz w:val="32"/>
          <w:szCs w:val="32"/>
        </w:rPr>
        <w:t>万元，原因是基数变大，人员工资增加；</w:t>
      </w:r>
    </w:p>
    <w:p w:rsidR="00000000" w:rsidRDefault="003E35E0">
      <w:pPr>
        <w:adjustRightInd w:val="0"/>
        <w:snapToGrid w:val="0"/>
        <w:spacing w:line="360" w:lineRule="auto"/>
        <w:ind w:firstLineChars="250" w:firstLine="80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、支出按经</w:t>
      </w:r>
      <w:r>
        <w:rPr>
          <w:rFonts w:ascii="仿宋_GB2312" w:eastAsia="仿宋_GB2312" w:hint="eastAsia"/>
          <w:sz w:val="32"/>
          <w:szCs w:val="32"/>
        </w:rPr>
        <w:t>济科目分类的明细情况</w:t>
      </w:r>
    </w:p>
    <w:p w:rsidR="00000000" w:rsidRDefault="003E35E0">
      <w:pPr>
        <w:adjustRightInd w:val="0"/>
        <w:snapToGrid w:val="0"/>
        <w:spacing w:line="360" w:lineRule="auto"/>
        <w:ind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）按照部门预算支出经济分类的类级科目情况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2019</w:t>
      </w:r>
      <w:r>
        <w:rPr>
          <w:rFonts w:ascii="仿宋_GB2312" w:eastAsia="仿宋_GB2312" w:hint="eastAsia"/>
          <w:sz w:val="32"/>
          <w:szCs w:val="32"/>
        </w:rPr>
        <w:t>年本部门一般公共预算支出</w:t>
      </w:r>
      <w:r>
        <w:rPr>
          <w:rFonts w:ascii="仿宋_GB2312" w:eastAsia="仿宋_GB2312" w:hint="eastAsia"/>
          <w:sz w:val="32"/>
          <w:szCs w:val="32"/>
        </w:rPr>
        <w:t>183.43</w:t>
      </w:r>
      <w:r>
        <w:rPr>
          <w:rFonts w:ascii="仿宋_GB2312" w:eastAsia="仿宋_GB2312" w:hint="eastAsia"/>
          <w:sz w:val="32"/>
          <w:szCs w:val="32"/>
        </w:rPr>
        <w:t>万元，其中：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工资福利支出（</w:t>
      </w:r>
      <w:r>
        <w:rPr>
          <w:rFonts w:ascii="仿宋_GB2312" w:eastAsia="仿宋_GB2312" w:hint="eastAsia"/>
          <w:sz w:val="32"/>
          <w:szCs w:val="32"/>
        </w:rPr>
        <w:t>301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161.79</w:t>
      </w:r>
      <w:r>
        <w:rPr>
          <w:rFonts w:ascii="仿宋_GB2312" w:eastAsia="仿宋_GB2312" w:hint="eastAsia"/>
          <w:sz w:val="32"/>
          <w:szCs w:val="32"/>
        </w:rPr>
        <w:t>万元，较上年减少</w:t>
      </w:r>
      <w:r>
        <w:rPr>
          <w:rFonts w:ascii="仿宋_GB2312" w:eastAsia="仿宋_GB2312" w:hint="eastAsia"/>
          <w:sz w:val="32"/>
          <w:szCs w:val="32"/>
        </w:rPr>
        <w:t>15.05</w:t>
      </w:r>
      <w:r>
        <w:rPr>
          <w:rFonts w:ascii="仿宋_GB2312" w:eastAsia="仿宋_GB2312" w:hint="eastAsia"/>
          <w:sz w:val="32"/>
          <w:szCs w:val="32"/>
        </w:rPr>
        <w:t>万元，原因是人员减少及退休；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  <w:highlight w:val="yellow"/>
        </w:rPr>
      </w:pPr>
      <w:r>
        <w:rPr>
          <w:rFonts w:ascii="仿宋_GB2312" w:eastAsia="仿宋_GB2312" w:hint="eastAsia"/>
          <w:sz w:val="32"/>
          <w:szCs w:val="32"/>
        </w:rPr>
        <w:t>对个人和家庭的补助支出（</w:t>
      </w:r>
      <w:r>
        <w:rPr>
          <w:rFonts w:ascii="仿宋_GB2312" w:eastAsia="仿宋_GB2312" w:hint="eastAsia"/>
          <w:sz w:val="32"/>
          <w:szCs w:val="32"/>
        </w:rPr>
        <w:t>303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1.62</w:t>
      </w:r>
      <w:r>
        <w:rPr>
          <w:rFonts w:ascii="仿宋_GB2312" w:eastAsia="仿宋_GB2312" w:hint="eastAsia"/>
          <w:sz w:val="32"/>
          <w:szCs w:val="32"/>
        </w:rPr>
        <w:t>万元，其中较上年比较人员不变；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商品和服务支出</w:t>
      </w:r>
      <w:r>
        <w:rPr>
          <w:rFonts w:ascii="仿宋_GB2312" w:eastAsia="仿宋_GB2312" w:hint="eastAsia"/>
          <w:sz w:val="32"/>
          <w:szCs w:val="32"/>
        </w:rPr>
        <w:t>20.02</w:t>
      </w:r>
      <w:r>
        <w:rPr>
          <w:rFonts w:ascii="仿宋_GB2312" w:eastAsia="仿宋_GB2312" w:hint="eastAsia"/>
          <w:sz w:val="32"/>
          <w:szCs w:val="32"/>
        </w:rPr>
        <w:t>万元，较上年减少</w:t>
      </w:r>
      <w:r>
        <w:rPr>
          <w:rFonts w:ascii="仿宋_GB2312" w:eastAsia="仿宋_GB2312" w:hint="eastAsia"/>
          <w:sz w:val="32"/>
          <w:szCs w:val="32"/>
        </w:rPr>
        <w:t>6.38</w:t>
      </w:r>
      <w:r>
        <w:rPr>
          <w:rFonts w:ascii="仿宋_GB2312" w:eastAsia="仿宋_GB2312" w:hint="eastAsia"/>
          <w:sz w:val="32"/>
          <w:szCs w:val="32"/>
        </w:rPr>
        <w:t>万元，原因是人员减少；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）按照政府预算支出经济分类的类级科目情况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年本部门一般公共预算支出</w:t>
      </w:r>
      <w:r>
        <w:rPr>
          <w:rFonts w:ascii="仿宋_GB2312" w:eastAsia="仿宋_GB2312" w:hint="eastAsia"/>
          <w:sz w:val="32"/>
          <w:szCs w:val="32"/>
        </w:rPr>
        <w:t>183.43</w:t>
      </w:r>
      <w:r>
        <w:rPr>
          <w:rFonts w:ascii="仿宋_GB2312" w:eastAsia="仿宋_GB2312" w:hint="eastAsia"/>
          <w:sz w:val="32"/>
          <w:szCs w:val="32"/>
        </w:rPr>
        <w:t>万元，其中：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机关工资福利支出（</w:t>
      </w:r>
      <w:r>
        <w:rPr>
          <w:rFonts w:ascii="仿宋_GB2312" w:eastAsia="仿宋_GB2312" w:hint="eastAsia"/>
          <w:sz w:val="32"/>
          <w:szCs w:val="32"/>
        </w:rPr>
        <w:t>501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161.79</w:t>
      </w:r>
      <w:r>
        <w:rPr>
          <w:rFonts w:ascii="仿宋_GB2312" w:eastAsia="仿宋_GB2312" w:hint="eastAsia"/>
          <w:sz w:val="32"/>
          <w:szCs w:val="32"/>
        </w:rPr>
        <w:t>万元，较上</w:t>
      </w:r>
      <w:r>
        <w:rPr>
          <w:rFonts w:ascii="仿宋_GB2312" w:eastAsia="仿宋_GB2312" w:hint="eastAsia"/>
          <w:sz w:val="32"/>
          <w:szCs w:val="32"/>
        </w:rPr>
        <w:t>年减少</w:t>
      </w:r>
      <w:r>
        <w:rPr>
          <w:rFonts w:ascii="仿宋_GB2312" w:eastAsia="仿宋_GB2312" w:hint="eastAsia"/>
          <w:sz w:val="32"/>
          <w:szCs w:val="32"/>
        </w:rPr>
        <w:t>15.05</w:t>
      </w:r>
      <w:r>
        <w:rPr>
          <w:rFonts w:ascii="仿宋_GB2312" w:eastAsia="仿宋_GB2312" w:hint="eastAsia"/>
          <w:sz w:val="32"/>
          <w:szCs w:val="32"/>
        </w:rPr>
        <w:t>万元，原因是人员减少及退休；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对个人和家庭的补助支出</w:t>
      </w:r>
      <w:r>
        <w:rPr>
          <w:rFonts w:ascii="仿宋_GB2312" w:eastAsia="仿宋_GB2312" w:hint="eastAsia"/>
          <w:sz w:val="32"/>
          <w:szCs w:val="32"/>
        </w:rPr>
        <w:t>1.62</w:t>
      </w:r>
      <w:r>
        <w:rPr>
          <w:rFonts w:ascii="仿宋_GB2312" w:eastAsia="仿宋_GB2312" w:hint="eastAsia"/>
          <w:sz w:val="32"/>
          <w:szCs w:val="32"/>
        </w:rPr>
        <w:t>万元，其中较上年比较人员不变；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机关</w:t>
      </w:r>
      <w:r>
        <w:rPr>
          <w:rFonts w:ascii="仿宋_GB2312" w:eastAsia="仿宋_GB2312" w:hint="eastAsia"/>
          <w:sz w:val="32"/>
          <w:szCs w:val="32"/>
        </w:rPr>
        <w:t>商品和服务支出</w:t>
      </w:r>
      <w:r>
        <w:rPr>
          <w:rFonts w:ascii="仿宋_GB2312" w:eastAsia="仿宋_GB2312" w:hint="eastAsia"/>
          <w:sz w:val="32"/>
          <w:szCs w:val="32"/>
        </w:rPr>
        <w:t>20.02</w:t>
      </w:r>
      <w:r>
        <w:rPr>
          <w:rFonts w:ascii="仿宋_GB2312" w:eastAsia="仿宋_GB2312" w:hint="eastAsia"/>
          <w:sz w:val="32"/>
          <w:szCs w:val="32"/>
        </w:rPr>
        <w:t>万元，较上年减少</w:t>
      </w:r>
      <w:r>
        <w:rPr>
          <w:rFonts w:ascii="仿宋_GB2312" w:eastAsia="仿宋_GB2312" w:hint="eastAsia"/>
          <w:sz w:val="32"/>
          <w:szCs w:val="32"/>
        </w:rPr>
        <w:t>6.38</w:t>
      </w:r>
      <w:r>
        <w:rPr>
          <w:rFonts w:ascii="仿宋_GB2312" w:eastAsia="仿宋_GB2312" w:hint="eastAsia"/>
          <w:sz w:val="32"/>
          <w:szCs w:val="32"/>
        </w:rPr>
        <w:t>万元，原因是人员减少；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机关资本性支出（一）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万元，没有支出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机关资本性支出（二）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万元，和上年一样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对事业单位经常性补助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万元，和上年一样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（四）政府性基金预算支出情况。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本部门无政府性基金预算收支，并已公开空表。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（五）国有资本经营预算拨款收支情况。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本部门无国有资本经营预算拨款收支。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（六）“三公”经费等预算情况。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年本部门一般公共预算</w:t>
      </w:r>
      <w:r>
        <w:rPr>
          <w:rFonts w:ascii="仿宋_GB2312" w:eastAsia="仿宋_GB2312" w:hint="eastAsia"/>
          <w:sz w:val="32"/>
          <w:szCs w:val="32"/>
        </w:rPr>
        <w:t>“三公”经费预算支出</w:t>
      </w:r>
      <w:r>
        <w:rPr>
          <w:rFonts w:ascii="仿宋_GB2312" w:eastAsia="仿宋_GB2312" w:hint="eastAsia"/>
          <w:sz w:val="32"/>
          <w:szCs w:val="32"/>
        </w:rPr>
        <w:t>2.6</w:t>
      </w:r>
      <w:r>
        <w:rPr>
          <w:rFonts w:ascii="仿宋_GB2312" w:eastAsia="仿宋_GB2312" w:hint="eastAsia"/>
          <w:sz w:val="32"/>
          <w:szCs w:val="32"/>
        </w:rPr>
        <w:t>万元，较上年减少</w:t>
      </w:r>
      <w:r>
        <w:rPr>
          <w:rFonts w:ascii="仿宋_GB2312" w:eastAsia="仿宋_GB2312" w:hint="eastAsia"/>
          <w:sz w:val="32"/>
          <w:szCs w:val="32"/>
        </w:rPr>
        <w:t>1000</w:t>
      </w:r>
      <w:r>
        <w:rPr>
          <w:rFonts w:ascii="仿宋_GB2312" w:eastAsia="仿宋_GB2312" w:hint="eastAsia"/>
          <w:sz w:val="32"/>
          <w:szCs w:val="32"/>
        </w:rPr>
        <w:t>元（</w:t>
      </w:r>
      <w:r>
        <w:rPr>
          <w:rFonts w:ascii="仿宋_GB2312" w:eastAsia="仿宋_GB2312" w:hint="eastAsia"/>
          <w:sz w:val="32"/>
          <w:szCs w:val="32"/>
        </w:rPr>
        <w:t>3.7%</w:t>
      </w:r>
      <w:r>
        <w:rPr>
          <w:rFonts w:ascii="仿宋_GB2312" w:eastAsia="仿宋_GB2312" w:hint="eastAsia"/>
          <w:sz w:val="32"/>
          <w:szCs w:val="32"/>
        </w:rPr>
        <w:t>），减少的主要原因是根据中央八项规定减少相关费用。其中：因公出国（境）经费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万元，与上年一样；公务接待费</w:t>
      </w:r>
      <w:r>
        <w:rPr>
          <w:rFonts w:ascii="仿宋_GB2312" w:eastAsia="仿宋_GB2312" w:hint="eastAsia"/>
          <w:sz w:val="32"/>
          <w:szCs w:val="32"/>
        </w:rPr>
        <w:t>6000</w:t>
      </w:r>
      <w:r>
        <w:rPr>
          <w:rFonts w:ascii="仿宋_GB2312" w:eastAsia="仿宋_GB2312" w:hint="eastAsia"/>
          <w:sz w:val="32"/>
          <w:szCs w:val="32"/>
        </w:rPr>
        <w:t>元，较上年减少</w:t>
      </w:r>
      <w:r>
        <w:rPr>
          <w:rFonts w:ascii="仿宋_GB2312" w:eastAsia="仿宋_GB2312" w:hint="eastAsia"/>
          <w:sz w:val="32"/>
          <w:szCs w:val="32"/>
        </w:rPr>
        <w:t>5000</w:t>
      </w:r>
      <w:r>
        <w:rPr>
          <w:rFonts w:ascii="仿宋_GB2312" w:eastAsia="仿宋_GB2312" w:hint="eastAsia"/>
          <w:sz w:val="32"/>
          <w:szCs w:val="32"/>
        </w:rPr>
        <w:t>元（</w:t>
      </w:r>
      <w:r>
        <w:rPr>
          <w:rFonts w:ascii="仿宋_GB2312" w:eastAsia="仿宋_GB2312" w:hint="eastAsia"/>
          <w:sz w:val="32"/>
          <w:szCs w:val="32"/>
        </w:rPr>
        <w:t>45%</w:t>
      </w:r>
      <w:r>
        <w:rPr>
          <w:rFonts w:ascii="仿宋_GB2312" w:eastAsia="仿宋_GB2312" w:hint="eastAsia"/>
          <w:sz w:val="32"/>
          <w:szCs w:val="32"/>
        </w:rPr>
        <w:t>），减少的主要原因是根据中央八项规定减少铺张浪费；公务用车运行维护费</w:t>
      </w:r>
      <w:r>
        <w:rPr>
          <w:rFonts w:ascii="仿宋_GB2312" w:eastAsia="仿宋_GB2312" w:hint="eastAsia"/>
          <w:sz w:val="32"/>
          <w:szCs w:val="32"/>
        </w:rPr>
        <w:t>1.2</w:t>
      </w:r>
      <w:r>
        <w:rPr>
          <w:rFonts w:ascii="仿宋_GB2312" w:eastAsia="仿宋_GB2312" w:hint="eastAsia"/>
          <w:sz w:val="32"/>
          <w:szCs w:val="32"/>
        </w:rPr>
        <w:t>万元，较上年增加</w:t>
      </w:r>
      <w:r>
        <w:rPr>
          <w:rFonts w:ascii="仿宋_GB2312" w:eastAsia="仿宋_GB2312" w:hint="eastAsia"/>
          <w:sz w:val="32"/>
          <w:szCs w:val="32"/>
        </w:rPr>
        <w:t>2000</w:t>
      </w:r>
      <w:r>
        <w:rPr>
          <w:rFonts w:ascii="仿宋_GB2312" w:eastAsia="仿宋_GB2312" w:hint="eastAsia"/>
          <w:sz w:val="32"/>
          <w:szCs w:val="32"/>
        </w:rPr>
        <w:t>元（</w:t>
      </w:r>
      <w:r>
        <w:rPr>
          <w:rFonts w:ascii="仿宋_GB2312" w:eastAsia="仿宋_GB2312" w:hint="eastAsia"/>
          <w:sz w:val="32"/>
          <w:szCs w:val="32"/>
        </w:rPr>
        <w:t>2%</w:t>
      </w:r>
      <w:r>
        <w:rPr>
          <w:rFonts w:ascii="仿宋_GB2312" w:eastAsia="仿宋_GB2312" w:hint="eastAsia"/>
          <w:sz w:val="32"/>
          <w:szCs w:val="32"/>
        </w:rPr>
        <w:t>），增加的主要原因是增加一辆公务用车费用；公务用车购置费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万元，较上年减少</w:t>
      </w:r>
      <w:r>
        <w:rPr>
          <w:rFonts w:ascii="仿宋_GB2312" w:eastAsia="仿宋_GB2312" w:hint="eastAsia"/>
          <w:sz w:val="32"/>
          <w:szCs w:val="32"/>
        </w:rPr>
        <w:t>34.96</w:t>
      </w:r>
      <w:r>
        <w:rPr>
          <w:rFonts w:ascii="仿宋_GB2312" w:eastAsia="仿宋_GB2312" w:hint="eastAsia"/>
          <w:sz w:val="32"/>
          <w:szCs w:val="32"/>
        </w:rPr>
        <w:t>万元，减少的主要原因是无购置公务用车；会议费为</w:t>
      </w:r>
      <w:r>
        <w:rPr>
          <w:rFonts w:ascii="仿宋_GB2312" w:eastAsia="仿宋_GB2312" w:hint="eastAsia"/>
          <w:sz w:val="32"/>
          <w:szCs w:val="32"/>
        </w:rPr>
        <w:t>0.5</w:t>
      </w:r>
      <w:r>
        <w:rPr>
          <w:rFonts w:ascii="仿宋_GB2312" w:eastAsia="仿宋_GB2312" w:hint="eastAsia"/>
          <w:sz w:val="32"/>
          <w:szCs w:val="32"/>
        </w:rPr>
        <w:t>万元，较上年增加</w:t>
      </w:r>
      <w:r>
        <w:rPr>
          <w:rFonts w:ascii="仿宋_GB2312" w:eastAsia="仿宋_GB2312" w:hint="eastAsia"/>
          <w:sz w:val="32"/>
          <w:szCs w:val="32"/>
        </w:rPr>
        <w:t>0.2</w:t>
      </w:r>
      <w:r>
        <w:rPr>
          <w:rFonts w:ascii="仿宋_GB2312" w:eastAsia="仿宋_GB2312" w:hint="eastAsia"/>
          <w:sz w:val="32"/>
          <w:szCs w:val="32"/>
        </w:rPr>
        <w:t>万元，其主要原因是组织参会人员增加，会议室</w:t>
      </w:r>
      <w:r>
        <w:rPr>
          <w:rFonts w:ascii="仿宋_GB2312" w:eastAsia="仿宋_GB2312" w:hint="eastAsia"/>
          <w:sz w:val="32"/>
          <w:szCs w:val="32"/>
        </w:rPr>
        <w:t>增大，支出增加；培训会为</w:t>
      </w:r>
      <w:r>
        <w:rPr>
          <w:rFonts w:ascii="仿宋_GB2312" w:eastAsia="仿宋_GB2312" w:hint="eastAsia"/>
          <w:sz w:val="32"/>
          <w:szCs w:val="32"/>
        </w:rPr>
        <w:t>0.3</w:t>
      </w:r>
      <w:r>
        <w:rPr>
          <w:rFonts w:ascii="仿宋_GB2312" w:eastAsia="仿宋_GB2312" w:hint="eastAsia"/>
          <w:sz w:val="32"/>
          <w:szCs w:val="32"/>
        </w:rPr>
        <w:t>万元，较上年一样不变。</w:t>
      </w:r>
    </w:p>
    <w:p w:rsidR="00000000" w:rsidRDefault="003E35E0">
      <w:pPr>
        <w:adjustRightInd w:val="0"/>
        <w:snapToGrid w:val="0"/>
        <w:spacing w:line="360" w:lineRule="auto"/>
        <w:ind w:firstLineChars="150" w:firstLine="48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（七）机关运行经费安排情况。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本部门</w:t>
      </w: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年机关运行经费预算安排</w:t>
      </w:r>
      <w:r>
        <w:rPr>
          <w:rFonts w:ascii="仿宋_GB2312" w:eastAsia="仿宋_GB2312" w:hint="eastAsia"/>
          <w:sz w:val="32"/>
          <w:szCs w:val="32"/>
        </w:rPr>
        <w:t>154.77</w:t>
      </w:r>
      <w:r>
        <w:rPr>
          <w:rFonts w:ascii="仿宋_GB2312" w:eastAsia="仿宋_GB2312" w:hint="eastAsia"/>
          <w:sz w:val="32"/>
          <w:szCs w:val="32"/>
        </w:rPr>
        <w:t>万元，较上年减少</w:t>
      </w:r>
      <w:r>
        <w:rPr>
          <w:rFonts w:ascii="仿宋_GB2312" w:eastAsia="仿宋_GB2312" w:hint="eastAsia"/>
          <w:sz w:val="32"/>
          <w:szCs w:val="32"/>
        </w:rPr>
        <w:t>50.09</w:t>
      </w:r>
      <w:r>
        <w:rPr>
          <w:rFonts w:ascii="仿宋_GB2312" w:eastAsia="仿宋_GB2312" w:hint="eastAsia"/>
          <w:sz w:val="32"/>
          <w:szCs w:val="32"/>
        </w:rPr>
        <w:t>万元，原因是人员调出及退休。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（八）政府采购情况。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本部门</w:t>
      </w: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年无政府采购预算，并已公开空表。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八、专业名词解释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文字说明，机关运行经费为必须解释的专业名词，其他专业名词解释可由部门根据业务内容等自行选择。</w:t>
      </w:r>
    </w:p>
    <w:p w:rsidR="00000000" w:rsidRDefault="003E35E0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机关运行经费：指各部门的公用经费，包括办公及印刷费、邮电费、差旅费、会议费、福利费、日常维修费、专用材</w:t>
      </w:r>
      <w:r>
        <w:rPr>
          <w:rFonts w:ascii="仿宋_GB2312" w:eastAsia="仿宋_GB2312" w:hint="eastAsia"/>
          <w:sz w:val="32"/>
          <w:szCs w:val="32"/>
        </w:rPr>
        <w:lastRenderedPageBreak/>
        <w:t>料及一般设备购置费、办公用房水电费、</w:t>
      </w:r>
      <w:r>
        <w:rPr>
          <w:rFonts w:ascii="仿宋_GB2312" w:eastAsia="仿宋_GB2312" w:hint="eastAsia"/>
          <w:sz w:val="32"/>
          <w:szCs w:val="32"/>
        </w:rPr>
        <w:t>办公用房取暖费、办公用房物业管理费、公务用车运行维护费以及其他费用。</w:t>
      </w:r>
    </w:p>
    <w:p w:rsidR="00000000" w:rsidRDefault="003E35E0">
      <w:pPr>
        <w:spacing w:line="360" w:lineRule="auto"/>
        <w:ind w:firstLineChars="200" w:firstLine="640"/>
        <w:rPr>
          <w:rFonts w:ascii="仿宋_GB2312" w:eastAsia="仿宋_GB2312" w:hAnsi="宋体" w:hint="eastAsia"/>
          <w:sz w:val="32"/>
        </w:rPr>
      </w:pPr>
    </w:p>
    <w:p w:rsidR="00000000" w:rsidRDefault="003E35E0">
      <w:pPr>
        <w:spacing w:line="360" w:lineRule="auto"/>
        <w:ind w:firstLineChars="200" w:firstLine="640"/>
        <w:rPr>
          <w:rFonts w:ascii="仿宋_GB2312" w:eastAsia="仿宋_GB2312" w:hAnsi="宋体" w:hint="eastAsia"/>
          <w:sz w:val="32"/>
        </w:rPr>
      </w:pPr>
    </w:p>
    <w:p w:rsidR="00000000" w:rsidRDefault="003E35E0">
      <w:pPr>
        <w:spacing w:line="360" w:lineRule="auto"/>
        <w:ind w:firstLineChars="200" w:firstLine="640"/>
        <w:rPr>
          <w:rFonts w:ascii="仿宋_GB2312" w:eastAsia="仿宋_GB2312" w:hAnsi="宋体" w:hint="eastAsia"/>
          <w:sz w:val="32"/>
        </w:rPr>
      </w:pPr>
    </w:p>
    <w:p w:rsidR="00000000" w:rsidRDefault="003E35E0">
      <w:pPr>
        <w:jc w:val="left"/>
        <w:rPr>
          <w:rFonts w:ascii="仿宋_GB2312" w:eastAsia="仿宋_GB2312" w:hint="eastAsia"/>
          <w:sz w:val="32"/>
        </w:rPr>
      </w:pPr>
    </w:p>
    <w:p w:rsidR="003E35E0" w:rsidRDefault="003E35E0">
      <w:pPr>
        <w:spacing w:line="360" w:lineRule="auto"/>
        <w:jc w:val="center"/>
        <w:rPr>
          <w:rFonts w:ascii="仿宋_GB2312" w:eastAsia="仿宋_GB2312" w:hint="eastAsia"/>
          <w:sz w:val="32"/>
        </w:rPr>
      </w:pPr>
    </w:p>
    <w:sectPr w:rsidR="003E35E0">
      <w:headerReference w:type="default" r:id="rId7"/>
      <w:footerReference w:type="even" r:id="rId8"/>
      <w:footerReference w:type="default" r:id="rId9"/>
      <w:pgSz w:w="11906" w:h="16838"/>
      <w:pgMar w:top="1440" w:right="1588" w:bottom="1440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35E0" w:rsidRDefault="003E35E0">
      <w:r>
        <w:separator/>
      </w:r>
    </w:p>
  </w:endnote>
  <w:endnote w:type="continuationSeparator" w:id="1">
    <w:p w:rsidR="003E35E0" w:rsidRDefault="003E35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E35E0">
    <w:pPr>
      <w:pStyle w:val="a5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00000" w:rsidRDefault="003E35E0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E35E0">
    <w:pPr>
      <w:pStyle w:val="a5"/>
      <w:framePr w:wrap="around" w:vAnchor="text" w:hAnchor="margin" w:xAlign="right" w:y="1"/>
      <w:rPr>
        <w:rStyle w:val="a3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3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ED2781">
      <w:rPr>
        <w:rStyle w:val="a3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000000" w:rsidRDefault="003E35E0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35E0" w:rsidRDefault="003E35E0">
      <w:r>
        <w:separator/>
      </w:r>
    </w:p>
  </w:footnote>
  <w:footnote w:type="continuationSeparator" w:id="1">
    <w:p w:rsidR="003E35E0" w:rsidRDefault="003E35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E35E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6F07"/>
    <w:rsid w:val="00032AAC"/>
    <w:rsid w:val="000335CB"/>
    <w:rsid w:val="00054DF8"/>
    <w:rsid w:val="00056F07"/>
    <w:rsid w:val="000679C2"/>
    <w:rsid w:val="00075E65"/>
    <w:rsid w:val="0009104F"/>
    <w:rsid w:val="00094B09"/>
    <w:rsid w:val="000B04B7"/>
    <w:rsid w:val="000C1ABA"/>
    <w:rsid w:val="000C3402"/>
    <w:rsid w:val="000D0F0D"/>
    <w:rsid w:val="000D3689"/>
    <w:rsid w:val="000D4803"/>
    <w:rsid w:val="000D75BF"/>
    <w:rsid w:val="000F053C"/>
    <w:rsid w:val="000F69BF"/>
    <w:rsid w:val="00127870"/>
    <w:rsid w:val="001309D5"/>
    <w:rsid w:val="00142F7E"/>
    <w:rsid w:val="00143279"/>
    <w:rsid w:val="00144124"/>
    <w:rsid w:val="00151927"/>
    <w:rsid w:val="001519F3"/>
    <w:rsid w:val="001537B9"/>
    <w:rsid w:val="00156BE5"/>
    <w:rsid w:val="00160170"/>
    <w:rsid w:val="00161B64"/>
    <w:rsid w:val="001626B8"/>
    <w:rsid w:val="0016613F"/>
    <w:rsid w:val="00185EB0"/>
    <w:rsid w:val="00187DBC"/>
    <w:rsid w:val="00196931"/>
    <w:rsid w:val="00196F56"/>
    <w:rsid w:val="001A1D0E"/>
    <w:rsid w:val="001A47B7"/>
    <w:rsid w:val="001A6842"/>
    <w:rsid w:val="001A7652"/>
    <w:rsid w:val="001B2146"/>
    <w:rsid w:val="001B3586"/>
    <w:rsid w:val="001B5E4B"/>
    <w:rsid w:val="001C23F1"/>
    <w:rsid w:val="001D1EA2"/>
    <w:rsid w:val="001F3FCC"/>
    <w:rsid w:val="00203E89"/>
    <w:rsid w:val="0020603D"/>
    <w:rsid w:val="0021063C"/>
    <w:rsid w:val="00216D70"/>
    <w:rsid w:val="002251E2"/>
    <w:rsid w:val="00230E93"/>
    <w:rsid w:val="00232064"/>
    <w:rsid w:val="0023632D"/>
    <w:rsid w:val="002365E6"/>
    <w:rsid w:val="00245899"/>
    <w:rsid w:val="002519A3"/>
    <w:rsid w:val="002537A6"/>
    <w:rsid w:val="00270C53"/>
    <w:rsid w:val="00277E0A"/>
    <w:rsid w:val="0028559D"/>
    <w:rsid w:val="00295A02"/>
    <w:rsid w:val="00297860"/>
    <w:rsid w:val="002A0806"/>
    <w:rsid w:val="002A44AE"/>
    <w:rsid w:val="002A78CA"/>
    <w:rsid w:val="002B4141"/>
    <w:rsid w:val="002C7B51"/>
    <w:rsid w:val="002D4270"/>
    <w:rsid w:val="002E16E9"/>
    <w:rsid w:val="002F236B"/>
    <w:rsid w:val="00306FA4"/>
    <w:rsid w:val="0031205D"/>
    <w:rsid w:val="00314565"/>
    <w:rsid w:val="00315662"/>
    <w:rsid w:val="00316B8B"/>
    <w:rsid w:val="00316DCC"/>
    <w:rsid w:val="00324145"/>
    <w:rsid w:val="00357C8E"/>
    <w:rsid w:val="00364FC7"/>
    <w:rsid w:val="003765FD"/>
    <w:rsid w:val="00377E4C"/>
    <w:rsid w:val="00385D7E"/>
    <w:rsid w:val="003900ED"/>
    <w:rsid w:val="003977B1"/>
    <w:rsid w:val="003A040A"/>
    <w:rsid w:val="003A1252"/>
    <w:rsid w:val="003A5ED6"/>
    <w:rsid w:val="003C37CF"/>
    <w:rsid w:val="003D0581"/>
    <w:rsid w:val="003D7A44"/>
    <w:rsid w:val="003E25D1"/>
    <w:rsid w:val="003E35E0"/>
    <w:rsid w:val="003E425D"/>
    <w:rsid w:val="003F68FD"/>
    <w:rsid w:val="004037D4"/>
    <w:rsid w:val="00420D69"/>
    <w:rsid w:val="00423228"/>
    <w:rsid w:val="004621F7"/>
    <w:rsid w:val="00462D7E"/>
    <w:rsid w:val="0046367F"/>
    <w:rsid w:val="0046555A"/>
    <w:rsid w:val="00467776"/>
    <w:rsid w:val="004739BF"/>
    <w:rsid w:val="00483610"/>
    <w:rsid w:val="00483F0E"/>
    <w:rsid w:val="004B14E3"/>
    <w:rsid w:val="004B1894"/>
    <w:rsid w:val="004B3ECC"/>
    <w:rsid w:val="004C5700"/>
    <w:rsid w:val="004D4620"/>
    <w:rsid w:val="004D4B30"/>
    <w:rsid w:val="004D6AFA"/>
    <w:rsid w:val="004F28E5"/>
    <w:rsid w:val="00501F70"/>
    <w:rsid w:val="0050384E"/>
    <w:rsid w:val="00523166"/>
    <w:rsid w:val="00532700"/>
    <w:rsid w:val="00550250"/>
    <w:rsid w:val="00554FCC"/>
    <w:rsid w:val="0056042E"/>
    <w:rsid w:val="0056649E"/>
    <w:rsid w:val="00592A7E"/>
    <w:rsid w:val="00597A51"/>
    <w:rsid w:val="005A05C2"/>
    <w:rsid w:val="005A6BEF"/>
    <w:rsid w:val="00621ABB"/>
    <w:rsid w:val="00622D02"/>
    <w:rsid w:val="006243EB"/>
    <w:rsid w:val="00624513"/>
    <w:rsid w:val="00641C94"/>
    <w:rsid w:val="00651EA7"/>
    <w:rsid w:val="006530F8"/>
    <w:rsid w:val="006641B2"/>
    <w:rsid w:val="0066462F"/>
    <w:rsid w:val="006769FB"/>
    <w:rsid w:val="006865BE"/>
    <w:rsid w:val="006A4AD1"/>
    <w:rsid w:val="006B4CAC"/>
    <w:rsid w:val="006D2D63"/>
    <w:rsid w:val="006D3A9D"/>
    <w:rsid w:val="00703D05"/>
    <w:rsid w:val="00707D1F"/>
    <w:rsid w:val="00710CD4"/>
    <w:rsid w:val="007172FB"/>
    <w:rsid w:val="007218B1"/>
    <w:rsid w:val="00724AAB"/>
    <w:rsid w:val="00727EE1"/>
    <w:rsid w:val="00733D6F"/>
    <w:rsid w:val="007468A6"/>
    <w:rsid w:val="00757645"/>
    <w:rsid w:val="00762EDE"/>
    <w:rsid w:val="00776D52"/>
    <w:rsid w:val="007854FF"/>
    <w:rsid w:val="00786F31"/>
    <w:rsid w:val="007B0D88"/>
    <w:rsid w:val="007B421D"/>
    <w:rsid w:val="007C608F"/>
    <w:rsid w:val="007E141F"/>
    <w:rsid w:val="00815646"/>
    <w:rsid w:val="00816B6D"/>
    <w:rsid w:val="00821C07"/>
    <w:rsid w:val="008244B4"/>
    <w:rsid w:val="008403A7"/>
    <w:rsid w:val="00846BE9"/>
    <w:rsid w:val="00852614"/>
    <w:rsid w:val="00860DDA"/>
    <w:rsid w:val="008617AC"/>
    <w:rsid w:val="00864C4C"/>
    <w:rsid w:val="00883414"/>
    <w:rsid w:val="008C121A"/>
    <w:rsid w:val="008C1649"/>
    <w:rsid w:val="008C16E7"/>
    <w:rsid w:val="008E4372"/>
    <w:rsid w:val="008F3258"/>
    <w:rsid w:val="008F3E4E"/>
    <w:rsid w:val="008F46C1"/>
    <w:rsid w:val="008F5966"/>
    <w:rsid w:val="008F6CE8"/>
    <w:rsid w:val="00902815"/>
    <w:rsid w:val="009035DC"/>
    <w:rsid w:val="00907C7D"/>
    <w:rsid w:val="009273CD"/>
    <w:rsid w:val="0093016B"/>
    <w:rsid w:val="00930633"/>
    <w:rsid w:val="00934BEF"/>
    <w:rsid w:val="00934F12"/>
    <w:rsid w:val="009513AB"/>
    <w:rsid w:val="0096618B"/>
    <w:rsid w:val="00984E6B"/>
    <w:rsid w:val="009917AB"/>
    <w:rsid w:val="009942F8"/>
    <w:rsid w:val="00995B03"/>
    <w:rsid w:val="009A13CF"/>
    <w:rsid w:val="009B14B7"/>
    <w:rsid w:val="009B56D4"/>
    <w:rsid w:val="009D24B7"/>
    <w:rsid w:val="009E1782"/>
    <w:rsid w:val="009E1D37"/>
    <w:rsid w:val="009E4AAF"/>
    <w:rsid w:val="009E7D19"/>
    <w:rsid w:val="00A0302B"/>
    <w:rsid w:val="00A10300"/>
    <w:rsid w:val="00A27FBF"/>
    <w:rsid w:val="00A3790D"/>
    <w:rsid w:val="00A45BC7"/>
    <w:rsid w:val="00A471DB"/>
    <w:rsid w:val="00A5001C"/>
    <w:rsid w:val="00A51070"/>
    <w:rsid w:val="00A520AE"/>
    <w:rsid w:val="00A91886"/>
    <w:rsid w:val="00AB1099"/>
    <w:rsid w:val="00AB53DA"/>
    <w:rsid w:val="00AB6203"/>
    <w:rsid w:val="00AC2E7B"/>
    <w:rsid w:val="00AC3661"/>
    <w:rsid w:val="00AC67FC"/>
    <w:rsid w:val="00AE05EA"/>
    <w:rsid w:val="00AE0AFE"/>
    <w:rsid w:val="00AE551D"/>
    <w:rsid w:val="00AE76DA"/>
    <w:rsid w:val="00AF1182"/>
    <w:rsid w:val="00AF1BCA"/>
    <w:rsid w:val="00AF1C03"/>
    <w:rsid w:val="00AF7FD6"/>
    <w:rsid w:val="00B03201"/>
    <w:rsid w:val="00B15170"/>
    <w:rsid w:val="00B21B70"/>
    <w:rsid w:val="00B237E5"/>
    <w:rsid w:val="00B45150"/>
    <w:rsid w:val="00B54EF6"/>
    <w:rsid w:val="00B55F14"/>
    <w:rsid w:val="00B7272E"/>
    <w:rsid w:val="00B72823"/>
    <w:rsid w:val="00B736B3"/>
    <w:rsid w:val="00BA0044"/>
    <w:rsid w:val="00BA5D4C"/>
    <w:rsid w:val="00BC0F22"/>
    <w:rsid w:val="00BC1983"/>
    <w:rsid w:val="00BC56BC"/>
    <w:rsid w:val="00BC6204"/>
    <w:rsid w:val="00BD0765"/>
    <w:rsid w:val="00BD1514"/>
    <w:rsid w:val="00BF1B72"/>
    <w:rsid w:val="00BF2A9B"/>
    <w:rsid w:val="00BF5D1F"/>
    <w:rsid w:val="00C03E64"/>
    <w:rsid w:val="00C172ED"/>
    <w:rsid w:val="00C21D08"/>
    <w:rsid w:val="00C235D3"/>
    <w:rsid w:val="00C2444C"/>
    <w:rsid w:val="00C249BC"/>
    <w:rsid w:val="00C277E7"/>
    <w:rsid w:val="00C32A3E"/>
    <w:rsid w:val="00C33219"/>
    <w:rsid w:val="00C414FF"/>
    <w:rsid w:val="00C44043"/>
    <w:rsid w:val="00C456AB"/>
    <w:rsid w:val="00C47075"/>
    <w:rsid w:val="00C83500"/>
    <w:rsid w:val="00C87B0D"/>
    <w:rsid w:val="00CA65F4"/>
    <w:rsid w:val="00CB5D3C"/>
    <w:rsid w:val="00CC01EA"/>
    <w:rsid w:val="00CC3103"/>
    <w:rsid w:val="00CC66F8"/>
    <w:rsid w:val="00CD09EF"/>
    <w:rsid w:val="00CD5CED"/>
    <w:rsid w:val="00CE5661"/>
    <w:rsid w:val="00CE5A1A"/>
    <w:rsid w:val="00D10433"/>
    <w:rsid w:val="00D25A4A"/>
    <w:rsid w:val="00D31469"/>
    <w:rsid w:val="00D32217"/>
    <w:rsid w:val="00D347D7"/>
    <w:rsid w:val="00D63FEB"/>
    <w:rsid w:val="00D83E1C"/>
    <w:rsid w:val="00D92B24"/>
    <w:rsid w:val="00DB0B9F"/>
    <w:rsid w:val="00DB42B3"/>
    <w:rsid w:val="00DC23B5"/>
    <w:rsid w:val="00DC2D6F"/>
    <w:rsid w:val="00DD5C16"/>
    <w:rsid w:val="00DD6416"/>
    <w:rsid w:val="00DE32B6"/>
    <w:rsid w:val="00DF205A"/>
    <w:rsid w:val="00DF731D"/>
    <w:rsid w:val="00DF7BAF"/>
    <w:rsid w:val="00E00411"/>
    <w:rsid w:val="00E12217"/>
    <w:rsid w:val="00E244C9"/>
    <w:rsid w:val="00E31A4C"/>
    <w:rsid w:val="00E40FCB"/>
    <w:rsid w:val="00E51439"/>
    <w:rsid w:val="00E55580"/>
    <w:rsid w:val="00E56F98"/>
    <w:rsid w:val="00E6177F"/>
    <w:rsid w:val="00E6507B"/>
    <w:rsid w:val="00E66100"/>
    <w:rsid w:val="00E67A3B"/>
    <w:rsid w:val="00E70D2F"/>
    <w:rsid w:val="00E72485"/>
    <w:rsid w:val="00E7308E"/>
    <w:rsid w:val="00E734A3"/>
    <w:rsid w:val="00E73C29"/>
    <w:rsid w:val="00E82A52"/>
    <w:rsid w:val="00E86175"/>
    <w:rsid w:val="00E90D20"/>
    <w:rsid w:val="00EB3ABB"/>
    <w:rsid w:val="00EC0744"/>
    <w:rsid w:val="00ED2781"/>
    <w:rsid w:val="00ED7397"/>
    <w:rsid w:val="00EF4BFE"/>
    <w:rsid w:val="00EF7FAD"/>
    <w:rsid w:val="00F00ADC"/>
    <w:rsid w:val="00F03D52"/>
    <w:rsid w:val="00F0673E"/>
    <w:rsid w:val="00F20E70"/>
    <w:rsid w:val="00F54BE6"/>
    <w:rsid w:val="00F65756"/>
    <w:rsid w:val="00F66C84"/>
    <w:rsid w:val="00F71546"/>
    <w:rsid w:val="00F722C4"/>
    <w:rsid w:val="00F7507A"/>
    <w:rsid w:val="00F776E3"/>
    <w:rsid w:val="00F777C1"/>
    <w:rsid w:val="00F81D6C"/>
    <w:rsid w:val="00F831FA"/>
    <w:rsid w:val="00F943DE"/>
    <w:rsid w:val="00FB2FE2"/>
    <w:rsid w:val="00FB6841"/>
    <w:rsid w:val="00FD03E9"/>
    <w:rsid w:val="00FE1B1E"/>
    <w:rsid w:val="00FE2351"/>
    <w:rsid w:val="00FE491F"/>
    <w:rsid w:val="00FE6910"/>
    <w:rsid w:val="2E407CAC"/>
    <w:rsid w:val="335174D3"/>
    <w:rsid w:val="33A418CB"/>
    <w:rsid w:val="33F6433B"/>
    <w:rsid w:val="64B8205C"/>
    <w:rsid w:val="77533526"/>
    <w:rsid w:val="7FDE27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ody Text Indent"/>
    <w:basedOn w:val="a"/>
    <w:pPr>
      <w:ind w:firstLineChars="200" w:firstLine="624"/>
    </w:pPr>
    <w:rPr>
      <w:rFonts w:ascii="方正仿宋简体" w:eastAsia="方正仿宋简体"/>
      <w:spacing w:val="30"/>
      <w:w w:val="80"/>
      <w:sz w:val="32"/>
      <w:szCs w:val="20"/>
    </w:rPr>
  </w:style>
  <w:style w:type="paragraph" w:styleId="2">
    <w:name w:val="Body Text Indent 2"/>
    <w:basedOn w:val="a"/>
    <w:pPr>
      <w:ind w:firstLineChars="206" w:firstLine="659"/>
    </w:pPr>
    <w:rPr>
      <w:rFonts w:ascii="仿宋_GB2312" w:eastAsia="仿宋_GB2312" w:hAnsi="宋体"/>
      <w:bCs/>
      <w:sz w:val="32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Document Map"/>
    <w:basedOn w:val="a"/>
    <w:semiHidden/>
    <w:pPr>
      <w:shd w:val="clear" w:color="auto" w:fill="000080"/>
    </w:pPr>
  </w:style>
  <w:style w:type="paragraph" w:customStyle="1" w:styleId="CharCharCharCharCharCharChar">
    <w:name w:val=" Char Char Char Char Char Char Char"/>
    <w:basedOn w:val="a"/>
    <w:rPr>
      <w:szCs w:val="21"/>
    </w:rPr>
  </w:style>
  <w:style w:type="paragraph" w:customStyle="1" w:styleId="CharCharCharChar">
    <w:name w:val="Char Char Char Char"/>
    <w:basedOn w:val="a8"/>
    <w:pPr>
      <w:adjustRightInd w:val="0"/>
      <w:snapToGrid w:val="0"/>
      <w:spacing w:line="360" w:lineRule="auto"/>
    </w:pPr>
    <w:rPr>
      <w:rFonts w:ascii="Tahoma" w:hAnsi="Tahoma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___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autoTitleDeleted val="1"/>
    <c:view3D>
      <c:hPercent val="40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4.9115913555992159E-2"/>
          <c:y val="7.567567567567568E-2"/>
          <c:w val="0.78781925343811443"/>
          <c:h val="0.75135135135135134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编制数</c:v>
                </c:pt>
              </c:strCache>
            </c:strRef>
          </c:tx>
          <c:spPr>
            <a:solidFill>
              <a:srgbClr val="9999FF"/>
            </a:solidFill>
            <a:ln w="12532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4"/>
                <c:pt idx="0">
                  <c:v>行政人员</c:v>
                </c:pt>
                <c:pt idx="1">
                  <c:v>事业人员</c:v>
                </c:pt>
                <c:pt idx="2">
                  <c:v>离退休人员</c:v>
                </c:pt>
                <c:pt idx="3">
                  <c:v>实有人员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14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实有人员</c:v>
                </c:pt>
              </c:strCache>
            </c:strRef>
          </c:tx>
          <c:spPr>
            <a:solidFill>
              <a:srgbClr val="993366"/>
            </a:solidFill>
            <a:ln w="12532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4"/>
                <c:pt idx="0">
                  <c:v>行政人员</c:v>
                </c:pt>
                <c:pt idx="1">
                  <c:v>事业人员</c:v>
                </c:pt>
                <c:pt idx="2">
                  <c:v>离退休人员</c:v>
                </c:pt>
                <c:pt idx="3">
                  <c:v>实有人员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17</c:v>
                </c:pt>
                <c:pt idx="2">
                  <c:v>28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532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4"/>
                <c:pt idx="0">
                  <c:v>行政人员</c:v>
                </c:pt>
                <c:pt idx="1">
                  <c:v>事业人员</c:v>
                </c:pt>
                <c:pt idx="2">
                  <c:v>离退休人员</c:v>
                </c:pt>
                <c:pt idx="3">
                  <c:v>实有人员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4"/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</c:strCache>
            </c:strRef>
          </c:tx>
          <c:spPr>
            <a:solidFill>
              <a:srgbClr val="CCFFFF"/>
            </a:solidFill>
            <a:ln w="12532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4"/>
                <c:pt idx="0">
                  <c:v>行政人员</c:v>
                </c:pt>
                <c:pt idx="1">
                  <c:v>事业人员</c:v>
                </c:pt>
                <c:pt idx="2">
                  <c:v>离退休人员</c:v>
                </c:pt>
                <c:pt idx="3">
                  <c:v>实有人员</c:v>
                </c:pt>
              </c:strCache>
            </c:strRef>
          </c:cat>
          <c:val>
            <c:numRef>
              <c:f>Sheet1!$B$5:$E$5</c:f>
              <c:numCache>
                <c:formatCode>General</c:formatCode>
                <c:ptCount val="4"/>
                <c:pt idx="3">
                  <c:v>22</c:v>
                </c:pt>
              </c:numCache>
            </c:numRef>
          </c:val>
        </c:ser>
        <c:gapDepth val="0"/>
        <c:shape val="box"/>
        <c:axId val="71331200"/>
        <c:axId val="71337088"/>
        <c:axId val="0"/>
      </c:bar3DChart>
      <c:catAx>
        <c:axId val="71331200"/>
        <c:scaling>
          <c:orientation val="minMax"/>
        </c:scaling>
        <c:axPos val="b"/>
        <c:numFmt formatCode="General" sourceLinked="1"/>
        <c:majorTickMark val="in"/>
        <c:tickLblPos val="low"/>
        <c:spPr>
          <a:ln w="313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13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71337088"/>
        <c:crosses val="autoZero"/>
        <c:auto val="1"/>
        <c:lblAlgn val="ctr"/>
        <c:lblOffset val="100"/>
        <c:tickLblSkip val="1"/>
        <c:tickMarkSkip val="1"/>
      </c:catAx>
      <c:valAx>
        <c:axId val="71337088"/>
        <c:scaling>
          <c:orientation val="minMax"/>
        </c:scaling>
        <c:axPos val="l"/>
        <c:majorGridlines>
          <c:spPr>
            <a:ln w="3133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in"/>
        <c:tickLblPos val="nextTo"/>
        <c:spPr>
          <a:ln w="313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13" b="0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71331200"/>
        <c:crosses val="autoZero"/>
        <c:crossBetween val="between"/>
      </c:valAx>
      <c:spPr>
        <a:noFill/>
        <a:ln w="25064">
          <a:noFill/>
        </a:ln>
      </c:spPr>
    </c:plotArea>
    <c:legend>
      <c:legendPos val="r"/>
      <c:legendEntry>
        <c:idx val="2"/>
        <c:delete val="1"/>
      </c:legendEntry>
      <c:legendEntry>
        <c:idx val="3"/>
        <c:delete val="1"/>
      </c:legendEntry>
      <c:layout>
        <c:manualLayout>
          <c:xMode val="edge"/>
          <c:yMode val="edge"/>
          <c:x val="0.85854616895874258"/>
          <c:y val="0.40540540540540548"/>
          <c:w val="0.13359528487229877"/>
          <c:h val="0.18918918918918926"/>
        </c:manualLayout>
      </c:layout>
      <c:spPr>
        <a:noFill/>
        <a:ln w="3133">
          <a:solidFill>
            <a:srgbClr val="000000"/>
          </a:solidFill>
          <a:prstDash val="solid"/>
        </a:ln>
      </c:spPr>
      <c:txPr>
        <a:bodyPr/>
        <a:lstStyle/>
        <a:p>
          <a:pPr>
            <a:defRPr sz="839" b="0" i="0" u="none" strike="noStrike" baseline="0">
              <a:solidFill>
                <a:srgbClr val="000000"/>
              </a:solidFill>
              <a:latin typeface="宋体"/>
              <a:ea typeface="宋体"/>
              <a:cs typeface="宋体"/>
            </a:defRPr>
          </a:pPr>
          <a:endParaRPr lang="zh-CN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913" b="0" i="0" u="none" strike="noStrike" baseline="0">
          <a:solidFill>
            <a:srgbClr val="000000"/>
          </a:solidFill>
          <a:latin typeface="宋体"/>
          <a:ea typeface="宋体"/>
          <a:cs typeface="宋体"/>
        </a:defRPr>
      </a:pPr>
      <a:endParaRPr lang="zh-CN"/>
    </a:p>
  </c:txPr>
  <c:externalData r:id="rId1"/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422</Words>
  <Characters>2406</Characters>
  <Application>Microsoft Office Word</Application>
  <DocSecurity>0</DocSecurity>
  <Lines>20</Lines>
  <Paragraphs>5</Paragraphs>
  <ScaleCrop>false</ScaleCrop>
  <Company>CA</Company>
  <LinksUpToDate>false</LinksUpToDate>
  <CharactersWithSpaces>2823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关于表彰2006年度先进集体、先进全人的</dc:title>
  <dc:creator>ningna</dc:creator>
  <cp:lastModifiedBy>Micorosoft</cp:lastModifiedBy>
  <cp:revision>2</cp:revision>
  <cp:lastPrinted>2013-09-23T01:03:00Z</cp:lastPrinted>
  <dcterms:created xsi:type="dcterms:W3CDTF">2022-04-01T09:16:00Z</dcterms:created>
  <dcterms:modified xsi:type="dcterms:W3CDTF">2022-04-01T09:16:00Z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