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1BA" w:rsidRDefault="007C39D9">
      <w:pPr>
        <w:spacing w:line="360" w:lineRule="auto"/>
        <w:jc w:val="center"/>
        <w:rPr>
          <w:rFonts w:ascii="宋体" w:hAnsi="宋体" w:cs="宋体"/>
          <w:b/>
          <w:sz w:val="44"/>
          <w:szCs w:val="44"/>
        </w:rPr>
      </w:pPr>
      <w:r>
        <w:rPr>
          <w:rFonts w:ascii="宋体" w:hAnsi="宋体" w:cs="宋体" w:hint="eastAsia"/>
          <w:b/>
          <w:sz w:val="44"/>
          <w:szCs w:val="44"/>
        </w:rPr>
        <w:t>蓝田县委组织部</w:t>
      </w:r>
    </w:p>
    <w:p w:rsidR="001D51BA" w:rsidRDefault="007C39D9">
      <w:pPr>
        <w:spacing w:line="360" w:lineRule="auto"/>
        <w:jc w:val="center"/>
        <w:rPr>
          <w:rFonts w:ascii="宋体" w:hAnsi="宋体" w:cs="宋体"/>
          <w:b/>
          <w:sz w:val="32"/>
          <w:szCs w:val="32"/>
        </w:rPr>
      </w:pPr>
      <w:r>
        <w:rPr>
          <w:rFonts w:ascii="宋体" w:hAnsi="宋体" w:cs="宋体" w:hint="eastAsia"/>
          <w:b/>
          <w:sz w:val="44"/>
          <w:szCs w:val="44"/>
        </w:rPr>
        <w:t>2018年度部门决算说明</w:t>
      </w:r>
    </w:p>
    <w:p w:rsidR="001D51BA" w:rsidRDefault="007C39D9">
      <w:pPr>
        <w:spacing w:line="360" w:lineRule="auto"/>
        <w:ind w:firstLineChars="200" w:firstLine="643"/>
        <w:rPr>
          <w:rFonts w:ascii="宋体" w:hAnsi="宋体" w:cs="宋体"/>
          <w:b/>
          <w:sz w:val="32"/>
          <w:szCs w:val="32"/>
        </w:rPr>
      </w:pPr>
      <w:r>
        <w:rPr>
          <w:rFonts w:ascii="宋体" w:hAnsi="宋体" w:cs="宋体" w:hint="eastAsia"/>
          <w:b/>
          <w:sz w:val="32"/>
          <w:szCs w:val="32"/>
        </w:rPr>
        <w:t>一、部门主要职责。</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1、贯彻落实党的干部路线、方针、政策，制定或参与制定干部、人事工作的有关规定和干部人事制度改革建议方案；研究制定选拔、考核干部的规定和程序，加强对全县干部工作的管理。</w:t>
      </w:r>
    </w:p>
    <w:p w:rsidR="001D51BA" w:rsidRDefault="007C39D9">
      <w:pPr>
        <w:autoSpaceDN w:val="0"/>
        <w:spacing w:line="360" w:lineRule="auto"/>
        <w:ind w:firstLine="646"/>
        <w:jc w:val="left"/>
        <w:rPr>
          <w:rFonts w:ascii="宋体" w:hAnsi="宋体" w:cs="宋体"/>
          <w:sz w:val="32"/>
          <w:szCs w:val="32"/>
        </w:rPr>
      </w:pPr>
      <w:r>
        <w:rPr>
          <w:rFonts w:ascii="宋体" w:hAnsi="宋体" w:cs="宋体" w:hint="eastAsia"/>
          <w:sz w:val="32"/>
          <w:szCs w:val="32"/>
        </w:rPr>
        <w:t>2、管理全县干部工作。对县委管理的干部进行考察，提出调整配备的意见和建议，抓好领导理论联系实际的思想建设；按照县委意见办理市管干部任免报批和向县人大推荐干部；办理县管干部的职务任免；承办干部调配事宜；负责对科级干部的宏观管理；负责县管干部的轮岗交流工作；负责县管干部工资审批；负责出国出境人员的政审工作。</w:t>
      </w:r>
    </w:p>
    <w:p w:rsidR="001D51BA" w:rsidRDefault="007C39D9">
      <w:pPr>
        <w:autoSpaceDN w:val="0"/>
        <w:spacing w:line="360" w:lineRule="auto"/>
        <w:ind w:firstLine="646"/>
        <w:jc w:val="left"/>
        <w:rPr>
          <w:rFonts w:ascii="宋体" w:hAnsi="宋体" w:cs="宋体"/>
          <w:sz w:val="32"/>
          <w:szCs w:val="32"/>
        </w:rPr>
      </w:pPr>
      <w:r>
        <w:rPr>
          <w:rFonts w:ascii="宋体" w:hAnsi="宋体" w:cs="宋体" w:hint="eastAsia"/>
          <w:sz w:val="32"/>
          <w:szCs w:val="32"/>
        </w:rPr>
        <w:t>3、制定全县干部队伍建设的发展规划，负责后备干部队伍建设和培养选拔年轻干部的指导、管理工作。</w:t>
      </w:r>
    </w:p>
    <w:p w:rsidR="001D51BA" w:rsidRDefault="007C39D9">
      <w:pPr>
        <w:autoSpaceDN w:val="0"/>
        <w:spacing w:line="360" w:lineRule="auto"/>
        <w:ind w:firstLine="646"/>
        <w:jc w:val="left"/>
        <w:rPr>
          <w:rFonts w:ascii="宋体" w:hAnsi="宋体" w:cs="宋体"/>
          <w:sz w:val="32"/>
          <w:szCs w:val="32"/>
        </w:rPr>
      </w:pPr>
      <w:r>
        <w:rPr>
          <w:rFonts w:ascii="宋体" w:hAnsi="宋体" w:cs="宋体" w:hint="eastAsia"/>
          <w:sz w:val="32"/>
          <w:szCs w:val="32"/>
        </w:rPr>
        <w:t>4、贯彻落实党的组织工作的路线、方针和政策；对全县各级党的组织建设进行调查研究，提出意见、建议；研究制定加强党的组织建设的措施并进行宏观指导、督促检查；负责全县党员的管理、教育和发展工作；指导全县党员干部远程教育工作，抓好组织队伍建设。</w:t>
      </w:r>
    </w:p>
    <w:p w:rsidR="001D51BA" w:rsidRDefault="007C39D9">
      <w:pPr>
        <w:autoSpaceDN w:val="0"/>
        <w:spacing w:line="360" w:lineRule="auto"/>
        <w:ind w:firstLine="645"/>
        <w:jc w:val="left"/>
        <w:rPr>
          <w:rFonts w:ascii="宋体" w:hAnsi="宋体" w:cs="宋体"/>
          <w:sz w:val="32"/>
          <w:szCs w:val="32"/>
        </w:rPr>
      </w:pPr>
      <w:r>
        <w:rPr>
          <w:rFonts w:ascii="宋体" w:hAnsi="宋体" w:cs="宋体" w:hint="eastAsia"/>
          <w:sz w:val="32"/>
          <w:szCs w:val="32"/>
        </w:rPr>
        <w:t>5、组织制订全县干部培训规划和年度计划，并组织实施；</w:t>
      </w:r>
    </w:p>
    <w:p w:rsidR="001D51BA" w:rsidRDefault="007C39D9">
      <w:pPr>
        <w:autoSpaceDN w:val="0"/>
        <w:spacing w:line="360" w:lineRule="auto"/>
        <w:ind w:firstLine="645"/>
        <w:jc w:val="left"/>
        <w:rPr>
          <w:rFonts w:ascii="宋体" w:hAnsi="宋体" w:cs="宋体"/>
          <w:sz w:val="32"/>
          <w:szCs w:val="32"/>
        </w:rPr>
      </w:pPr>
      <w:r>
        <w:rPr>
          <w:rFonts w:ascii="宋体" w:hAnsi="宋体" w:cs="宋体" w:hint="eastAsia"/>
          <w:sz w:val="32"/>
          <w:szCs w:val="32"/>
        </w:rPr>
        <w:lastRenderedPageBreak/>
        <w:t>6、指导全县知识分子工作，会同有关部门负责省、市管理的有突出贡献专家的选拔、推荐和管理工作。</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7、负责县委、人大、政协、群众团体机关参照《中华人民共和国公务员法》管理工作和对全县参照国家公务员管理工作的指导。</w:t>
      </w:r>
      <w:r>
        <w:rPr>
          <w:rFonts w:ascii="宋体" w:hAnsi="宋体" w:cs="宋体" w:hint="eastAsia"/>
          <w:sz w:val="32"/>
          <w:szCs w:val="32"/>
        </w:rPr>
        <w:br/>
        <w:t xml:space="preserve">    8、负责离（退）休干部工作的宏观指导；做好干部离休审批和县委管理干部的退休审批工作。</w:t>
      </w:r>
      <w:r>
        <w:rPr>
          <w:rFonts w:ascii="宋体" w:hAnsi="宋体" w:cs="宋体" w:hint="eastAsia"/>
          <w:sz w:val="32"/>
          <w:szCs w:val="32"/>
        </w:rPr>
        <w:br/>
        <w:t xml:space="preserve">    9、负责党员、干部的来信来访工作；负责党员和干部的统计工作；负责县委管理干部的档案管理，并指导全县的干部档案管理工作。</w:t>
      </w:r>
      <w:r>
        <w:rPr>
          <w:rFonts w:ascii="宋体" w:hAnsi="宋体" w:cs="宋体" w:hint="eastAsia"/>
          <w:sz w:val="32"/>
          <w:szCs w:val="32"/>
        </w:rPr>
        <w:br/>
        <w:t xml:space="preserve">    10、指导全县组工干部开展工作，及时向县委、市委报告党的组织、干部工作的重要情况；负责全县组织史的收集、编写、印刷、出版、发行工作。</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 xml:space="preserve">内设6个科室：办公室、干部科、组织科、干部教育科、干部监督科、非公和社会组织党建办公室，2个事业单位现代农村党员远程教育中心、人才办。   </w:t>
      </w:r>
    </w:p>
    <w:p w:rsidR="001D51BA" w:rsidRDefault="007C39D9">
      <w:pPr>
        <w:numPr>
          <w:ilvl w:val="0"/>
          <w:numId w:val="1"/>
        </w:numPr>
        <w:spacing w:line="360" w:lineRule="auto"/>
        <w:ind w:firstLineChars="200" w:firstLine="640"/>
        <w:rPr>
          <w:rFonts w:ascii="宋体" w:hAnsi="宋体" w:cs="宋体"/>
          <w:sz w:val="32"/>
          <w:szCs w:val="32"/>
        </w:rPr>
      </w:pPr>
      <w:r>
        <w:rPr>
          <w:rFonts w:ascii="宋体" w:hAnsi="宋体" w:cs="宋体" w:hint="eastAsia"/>
          <w:sz w:val="32"/>
          <w:szCs w:val="32"/>
        </w:rPr>
        <w:t>部门决算单位构成</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纳入本部门2018年度部门决算编制范围的一级决算单位只有中共蓝田县委组织部门本级（机关）。</w:t>
      </w:r>
    </w:p>
    <w:p w:rsidR="001D51BA" w:rsidRDefault="007C39D9">
      <w:pPr>
        <w:spacing w:line="360" w:lineRule="auto"/>
        <w:ind w:firstLineChars="200" w:firstLine="643"/>
        <w:rPr>
          <w:rFonts w:ascii="宋体" w:hAnsi="宋体" w:cs="宋体"/>
          <w:sz w:val="32"/>
          <w:szCs w:val="32"/>
        </w:rPr>
      </w:pPr>
      <w:r>
        <w:rPr>
          <w:rFonts w:ascii="宋体" w:hAnsi="宋体" w:cs="宋体" w:hint="eastAsia"/>
          <w:b/>
          <w:sz w:val="32"/>
          <w:szCs w:val="32"/>
        </w:rPr>
        <w:t>三、部门人员情况说明</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lastRenderedPageBreak/>
        <w:t>中共蓝田县委组织部单位性质为机关行政单位，截止2018年底，本部门人员编制33人，其中行政编制24人、事业编制9人；实有人员24人，其中行政20人、事业4人。单位管理的离退休人员2人，经费管理方式为财政全额拨款。</w:t>
      </w:r>
    </w:p>
    <w:p w:rsidR="001D51BA" w:rsidRDefault="001131EB">
      <w:pPr>
        <w:spacing w:line="360" w:lineRule="auto"/>
        <w:ind w:firstLineChars="200" w:firstLine="640"/>
        <w:rPr>
          <w:rFonts w:ascii="宋体" w:hAnsi="宋体" w:cs="宋体"/>
          <w:sz w:val="32"/>
          <w:szCs w:val="32"/>
        </w:rPr>
      </w:pPr>
      <w:r>
        <w:rPr>
          <w:rFonts w:ascii="宋体" w:hAnsi="宋体" w:cs="宋体" w:hint="eastAsia"/>
          <w:noProof/>
          <w:sz w:val="32"/>
          <w:szCs w:val="32"/>
        </w:rPr>
        <w:drawing>
          <wp:inline distT="0" distB="0" distL="0" distR="0">
            <wp:extent cx="5219065" cy="2061845"/>
            <wp:effectExtent l="0" t="0" r="0" b="0"/>
            <wp:docPr id="1"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D51BA" w:rsidRDefault="007C39D9">
      <w:pPr>
        <w:pBdr>
          <w:bottom w:val="single" w:sz="4" w:space="31" w:color="FFFFFF"/>
        </w:pBdr>
        <w:adjustRightInd w:val="0"/>
        <w:snapToGrid w:val="0"/>
        <w:spacing w:line="360" w:lineRule="auto"/>
        <w:ind w:firstLineChars="200" w:firstLine="640"/>
        <w:rPr>
          <w:rFonts w:ascii="宋体" w:hAnsi="宋体" w:cs="宋体"/>
          <w:b/>
          <w:sz w:val="32"/>
          <w:szCs w:val="32"/>
        </w:rPr>
      </w:pPr>
      <w:r>
        <w:rPr>
          <w:rFonts w:ascii="宋体" w:hAnsi="宋体" w:cs="宋体" w:hint="eastAsia"/>
          <w:sz w:val="32"/>
          <w:szCs w:val="32"/>
        </w:rPr>
        <w:t xml:space="preserve"> </w:t>
      </w:r>
      <w:r>
        <w:rPr>
          <w:rFonts w:ascii="宋体" w:hAnsi="宋体" w:cs="宋体" w:hint="eastAsia"/>
          <w:b/>
          <w:sz w:val="32"/>
          <w:szCs w:val="32"/>
        </w:rPr>
        <w:t>四、2018年度部门工作完成情况</w:t>
      </w:r>
    </w:p>
    <w:p w:rsidR="001D51BA" w:rsidRDefault="007C39D9">
      <w:pPr>
        <w:pBdr>
          <w:bottom w:val="single" w:sz="4" w:space="31" w:color="FFFFFF"/>
        </w:pBdr>
        <w:adjustRightInd w:val="0"/>
        <w:snapToGrid w:val="0"/>
        <w:spacing w:line="360" w:lineRule="auto"/>
        <w:ind w:firstLineChars="200" w:firstLine="616"/>
        <w:rPr>
          <w:rFonts w:ascii="宋体" w:hAnsi="宋体" w:cs="宋体"/>
          <w:spacing w:val="-6"/>
          <w:sz w:val="32"/>
          <w:szCs w:val="32"/>
        </w:rPr>
      </w:pPr>
      <w:r>
        <w:rPr>
          <w:rFonts w:ascii="宋体" w:hAnsi="宋体" w:cs="宋体" w:hint="eastAsia"/>
          <w:spacing w:val="-6"/>
          <w:sz w:val="32"/>
          <w:szCs w:val="32"/>
        </w:rPr>
        <w:t>2018年，县委组织部认真落实全面从严治党要求，围绕“抓党建、促脱贫”这一主题，聚焦主业，精准施策，强化落实，领导班子、基层组织、人才队伍和组织部门自身建设全面加强，为“人文山水蓝田，丝路生态慢城”建设提供了坚强组织保证。</w:t>
      </w:r>
    </w:p>
    <w:p w:rsidR="001D51BA" w:rsidRDefault="007C39D9" w:rsidP="001131EB">
      <w:pPr>
        <w:pBdr>
          <w:bottom w:val="single" w:sz="4" w:space="31" w:color="FFFFFF"/>
        </w:pBdr>
        <w:adjustRightInd w:val="0"/>
        <w:snapToGrid w:val="0"/>
        <w:spacing w:line="360" w:lineRule="auto"/>
        <w:ind w:firstLineChars="200" w:firstLine="618"/>
        <w:rPr>
          <w:rFonts w:ascii="宋体" w:hAnsi="宋体" w:cs="宋体"/>
          <w:spacing w:val="-6"/>
          <w:sz w:val="32"/>
          <w:szCs w:val="32"/>
        </w:rPr>
      </w:pPr>
      <w:r>
        <w:rPr>
          <w:rFonts w:ascii="宋体" w:hAnsi="宋体" w:cs="宋体" w:hint="eastAsia"/>
          <w:b/>
          <w:bCs/>
          <w:spacing w:val="-6"/>
          <w:sz w:val="32"/>
          <w:szCs w:val="32"/>
        </w:rPr>
        <w:t>职能工作任务出色完成扎实推进脱贫攻坚领导班子和干部队伍建设全面加强。</w:t>
      </w:r>
      <w:r>
        <w:rPr>
          <w:rFonts w:ascii="宋体" w:hAnsi="宋体" w:cs="宋体" w:hint="eastAsia"/>
          <w:color w:val="000000"/>
          <w:spacing w:val="-6"/>
          <w:sz w:val="32"/>
          <w:szCs w:val="32"/>
        </w:rPr>
        <w:t>建立了12380 综合举报受理平台，从严加强干部作风监督</w:t>
      </w:r>
      <w:r>
        <w:rPr>
          <w:rFonts w:ascii="宋体" w:hAnsi="宋体" w:cs="宋体" w:hint="eastAsia"/>
          <w:spacing w:val="-6"/>
          <w:sz w:val="32"/>
          <w:szCs w:val="32"/>
        </w:rPr>
        <w:t>；科学规范选人用人</w:t>
      </w:r>
      <w:r>
        <w:rPr>
          <w:rFonts w:ascii="宋体" w:hAnsi="宋体" w:cs="宋体" w:hint="eastAsia"/>
          <w:b/>
          <w:spacing w:val="-6"/>
          <w:sz w:val="32"/>
          <w:szCs w:val="32"/>
        </w:rPr>
        <w:t>。严格干部管理监督。</w:t>
      </w:r>
      <w:r>
        <w:rPr>
          <w:rFonts w:ascii="宋体" w:hAnsi="宋体" w:cs="宋体" w:hint="eastAsia"/>
          <w:color w:val="000000"/>
          <w:spacing w:val="-6"/>
          <w:sz w:val="32"/>
          <w:szCs w:val="32"/>
        </w:rPr>
        <w:t>强化领导干部日常工作过程管理，认真落实重点项目和重点工作过程管理实施办法，</w:t>
      </w:r>
      <w:r>
        <w:rPr>
          <w:rFonts w:ascii="宋体" w:hAnsi="宋体" w:cs="宋体" w:hint="eastAsia"/>
          <w:spacing w:val="-6"/>
          <w:sz w:val="32"/>
          <w:szCs w:val="32"/>
        </w:rPr>
        <w:t>从严</w:t>
      </w:r>
      <w:r>
        <w:rPr>
          <w:rFonts w:ascii="宋体" w:hAnsi="宋体" w:cs="宋体" w:hint="eastAsia"/>
          <w:color w:val="000000"/>
          <w:spacing w:val="-6"/>
          <w:sz w:val="32"/>
          <w:szCs w:val="32"/>
        </w:rPr>
        <w:t>落实干部监督四项制度，做好“一报告两评议”工作。认真</w:t>
      </w:r>
      <w:r>
        <w:rPr>
          <w:rFonts w:ascii="宋体" w:hAnsi="宋体" w:cs="宋体" w:hint="eastAsia"/>
          <w:bCs/>
          <w:color w:val="000000"/>
          <w:spacing w:val="-6"/>
          <w:sz w:val="32"/>
          <w:szCs w:val="32"/>
        </w:rPr>
        <w:t>执行</w:t>
      </w:r>
      <w:r>
        <w:rPr>
          <w:rFonts w:ascii="宋体" w:hAnsi="宋体" w:cs="宋体" w:hint="eastAsia"/>
          <w:color w:val="000000"/>
          <w:spacing w:val="-6"/>
          <w:sz w:val="32"/>
          <w:szCs w:val="32"/>
        </w:rPr>
        <w:t>干部选拔任前会审、廉政考试、任职公示等制度，</w:t>
      </w:r>
      <w:r>
        <w:rPr>
          <w:rFonts w:ascii="宋体" w:hAnsi="宋体" w:cs="宋体" w:hint="eastAsia"/>
          <w:spacing w:val="-6"/>
          <w:kern w:val="0"/>
          <w:sz w:val="32"/>
          <w:szCs w:val="32"/>
        </w:rPr>
        <w:t>严格领导干部请假及外出报备、</w:t>
      </w:r>
      <w:r>
        <w:rPr>
          <w:rFonts w:ascii="宋体" w:hAnsi="宋体" w:cs="宋体" w:hint="eastAsia"/>
          <w:spacing w:val="-6"/>
          <w:sz w:val="32"/>
          <w:szCs w:val="32"/>
        </w:rPr>
        <w:t>个人有关事</w:t>
      </w:r>
      <w:r>
        <w:rPr>
          <w:rFonts w:ascii="宋体" w:hAnsi="宋体" w:cs="宋体" w:hint="eastAsia"/>
          <w:spacing w:val="-6"/>
          <w:sz w:val="32"/>
          <w:szCs w:val="32"/>
        </w:rPr>
        <w:lastRenderedPageBreak/>
        <w:t>项报告表和出国（境）备案审批</w:t>
      </w:r>
      <w:r>
        <w:rPr>
          <w:rFonts w:ascii="宋体" w:hAnsi="宋体" w:cs="宋体" w:hint="eastAsia"/>
          <w:spacing w:val="-6"/>
          <w:kern w:val="0"/>
          <w:sz w:val="32"/>
          <w:szCs w:val="32"/>
        </w:rPr>
        <w:t>，委托审计部门对相关领导干部进行了离任经济责任审计。</w:t>
      </w:r>
      <w:r>
        <w:rPr>
          <w:rFonts w:ascii="宋体" w:hAnsi="宋体" w:cs="宋体" w:hint="eastAsia"/>
          <w:b/>
          <w:spacing w:val="-6"/>
          <w:sz w:val="32"/>
          <w:szCs w:val="32"/>
        </w:rPr>
        <w:t>认真落实“三项机制”、</w:t>
      </w:r>
      <w:r>
        <w:rPr>
          <w:rFonts w:ascii="宋体" w:hAnsi="宋体" w:cs="宋体" w:hint="eastAsia"/>
          <w:b/>
          <w:spacing w:val="-6"/>
          <w:kern w:val="0"/>
          <w:sz w:val="32"/>
          <w:szCs w:val="32"/>
        </w:rPr>
        <w:t>加强干部教育培训。</w:t>
      </w:r>
    </w:p>
    <w:p w:rsidR="001D51BA" w:rsidRDefault="007C39D9" w:rsidP="001131EB">
      <w:pPr>
        <w:pBdr>
          <w:bottom w:val="single" w:sz="4" w:space="31" w:color="FFFFFF"/>
        </w:pBdr>
        <w:adjustRightInd w:val="0"/>
        <w:snapToGrid w:val="0"/>
        <w:spacing w:line="360" w:lineRule="auto"/>
        <w:ind w:firstLineChars="200" w:firstLine="618"/>
        <w:rPr>
          <w:rFonts w:ascii="宋体" w:hAnsi="宋体" w:cs="宋体"/>
          <w:b/>
          <w:color w:val="000000"/>
          <w:spacing w:val="-6"/>
          <w:sz w:val="32"/>
          <w:szCs w:val="32"/>
        </w:rPr>
      </w:pPr>
      <w:r>
        <w:rPr>
          <w:rFonts w:ascii="宋体" w:hAnsi="宋体" w:cs="宋体" w:hint="eastAsia"/>
          <w:b/>
          <w:spacing w:val="-6"/>
          <w:sz w:val="32"/>
          <w:szCs w:val="32"/>
        </w:rPr>
        <w:t>基层组织建设全面提升过硬。</w:t>
      </w:r>
      <w:r>
        <w:rPr>
          <w:rFonts w:ascii="宋体" w:hAnsi="宋体" w:cs="宋体" w:hint="eastAsia"/>
          <w:color w:val="000000"/>
          <w:spacing w:val="-6"/>
          <w:sz w:val="32"/>
          <w:szCs w:val="32"/>
        </w:rPr>
        <w:t>按照“四位一体”基层组织建设提升年的要求，强化问题导向，狠抓工作落实，基层党建工作实现了全面提升、全面过硬。</w:t>
      </w:r>
      <w:r>
        <w:rPr>
          <w:rFonts w:ascii="宋体" w:hAnsi="宋体" w:cs="宋体" w:hint="eastAsia"/>
          <w:spacing w:val="-6"/>
          <w:sz w:val="32"/>
          <w:szCs w:val="32"/>
        </w:rPr>
        <w:t>狠抓</w:t>
      </w:r>
      <w:r>
        <w:rPr>
          <w:rFonts w:ascii="宋体" w:hAnsi="宋体" w:cs="宋体" w:hint="eastAsia"/>
          <w:color w:val="000000"/>
          <w:spacing w:val="-6"/>
          <w:sz w:val="32"/>
          <w:szCs w:val="32"/>
        </w:rPr>
        <w:t>非公企业和社会组织党建工作，党组织组建率达到100%，党的组织和党的工作实现了全覆盖。</w:t>
      </w:r>
      <w:r>
        <w:rPr>
          <w:rFonts w:ascii="宋体" w:hAnsi="宋体" w:cs="宋体" w:hint="eastAsia"/>
          <w:b/>
          <w:spacing w:val="-6"/>
          <w:sz w:val="32"/>
          <w:szCs w:val="32"/>
        </w:rPr>
        <w:t>党员教育管理有效规范。</w:t>
      </w:r>
      <w:r>
        <w:rPr>
          <w:rFonts w:ascii="宋体" w:hAnsi="宋体" w:cs="宋体" w:hint="eastAsia"/>
          <w:spacing w:val="-6"/>
          <w:sz w:val="32"/>
          <w:szCs w:val="32"/>
        </w:rPr>
        <w:t>作</w:t>
      </w:r>
      <w:r>
        <w:rPr>
          <w:rFonts w:ascii="宋体" w:hAnsi="宋体" w:cs="宋体" w:hint="eastAsia"/>
          <w:b/>
          <w:spacing w:val="-6"/>
          <w:sz w:val="32"/>
          <w:szCs w:val="32"/>
        </w:rPr>
        <w:t>组织生活制度严格落实。带头人队伍建设不断加强。人才工作水平不断提升。</w:t>
      </w:r>
      <w:r>
        <w:rPr>
          <w:rFonts w:ascii="宋体" w:hAnsi="宋体" w:cs="宋体" w:hint="eastAsia"/>
          <w:color w:val="000000"/>
          <w:spacing w:val="-6"/>
          <w:sz w:val="32"/>
          <w:szCs w:val="32"/>
        </w:rPr>
        <w:t>抓好《蓝田县2011—2020年中长期人才发展规划纲要》实施，营造了良好的人才工作氛围。</w:t>
      </w:r>
      <w:r>
        <w:rPr>
          <w:rFonts w:ascii="宋体" w:hAnsi="宋体" w:cs="宋体" w:hint="eastAsia"/>
          <w:b/>
          <w:color w:val="000000"/>
          <w:spacing w:val="-6"/>
          <w:sz w:val="32"/>
          <w:szCs w:val="32"/>
        </w:rPr>
        <w:t>大力培养引进人才，注重发挥人才作用。</w:t>
      </w:r>
    </w:p>
    <w:p w:rsidR="001D51BA" w:rsidRDefault="007C39D9">
      <w:pPr>
        <w:numPr>
          <w:ilvl w:val="0"/>
          <w:numId w:val="2"/>
        </w:num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部门决算收支情况说明</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（一）2018年度收入支出总体情况说明</w:t>
      </w:r>
    </w:p>
    <w:p w:rsidR="001D51BA" w:rsidRDefault="007C39D9">
      <w:pPr>
        <w:numPr>
          <w:ilvl w:val="0"/>
          <w:numId w:val="3"/>
        </w:num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本年度收入支出总体情况及比上年增长（减少）情况，分析增减变化的主要原因。</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2018年度县委组织部收入为：公共预算财政拨款收入1197.70万元，支出1197.70万元。比上年增加了514.62万元，增长75.34%，增加原因是我县承担全市抓党建促脱贫现场会议、美丽乡村人居环境提升对领导干部及驻村工作人员培训力度加大，会议及培训费用增加幅度较大；落实人才引进制度对人才奖励力度大，费用增加幅度较大；换届离任村干部人数增加、标准提升。。</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lastRenderedPageBreak/>
        <w:t>2、本年度收入构成情况。</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组织部2018年公共预算财政拨款共收入</w:t>
      </w:r>
      <w:r>
        <w:rPr>
          <w:rFonts w:ascii="宋体" w:hAnsi="宋体" w:cs="宋体" w:hint="eastAsia"/>
          <w:color w:val="000000"/>
          <w:kern w:val="0"/>
          <w:sz w:val="32"/>
          <w:szCs w:val="32"/>
        </w:rPr>
        <w:t>1197.70万元</w:t>
      </w:r>
      <w:r>
        <w:rPr>
          <w:rFonts w:ascii="宋体" w:hAnsi="宋体" w:cs="宋体" w:hint="eastAsia"/>
          <w:sz w:val="32"/>
          <w:szCs w:val="32"/>
        </w:rPr>
        <w:t>,一般公共服务收入1197.66万元，其中行政运行收入323.15万元，一般行政管理事务收入845.78万元，事业运行收入24.65万元，其他组织事务收入4.08万元；社会保障和就业收入0.03万元。</w:t>
      </w:r>
    </w:p>
    <w:p w:rsidR="001D51BA" w:rsidRDefault="001131EB">
      <w:pPr>
        <w:spacing w:line="360" w:lineRule="auto"/>
        <w:ind w:firstLineChars="200" w:firstLine="640"/>
        <w:rPr>
          <w:rFonts w:ascii="宋体" w:hAnsi="宋体" w:cs="宋体"/>
          <w:sz w:val="32"/>
          <w:szCs w:val="32"/>
        </w:rPr>
      </w:pPr>
      <w:r>
        <w:rPr>
          <w:rFonts w:ascii="宋体" w:hAnsi="宋体" w:cs="宋体" w:hint="eastAsia"/>
          <w:noProof/>
          <w:sz w:val="32"/>
          <w:szCs w:val="32"/>
        </w:rPr>
        <w:drawing>
          <wp:inline distT="0" distB="0" distL="0" distR="0">
            <wp:extent cx="6763385" cy="2622550"/>
            <wp:effectExtent l="0" t="0" r="0" b="0"/>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007C39D9">
        <w:rPr>
          <w:rFonts w:ascii="宋体" w:hAnsi="宋体" w:cs="宋体" w:hint="eastAsia"/>
          <w:sz w:val="32"/>
          <w:szCs w:val="32"/>
        </w:rPr>
        <w:t xml:space="preserve">    </w:t>
      </w:r>
      <w:r w:rsidR="007C39D9">
        <w:rPr>
          <w:rFonts w:ascii="宋体" w:hAnsi="宋体" w:cs="宋体" w:hint="eastAsia"/>
          <w:b/>
          <w:bCs/>
          <w:sz w:val="32"/>
          <w:szCs w:val="32"/>
        </w:rPr>
        <w:t>3、本年度支出构成情况。</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2018年度公共预算财政拨款支出</w:t>
      </w:r>
      <w:r>
        <w:rPr>
          <w:rFonts w:ascii="宋体" w:hAnsi="宋体" w:cs="宋体" w:hint="eastAsia"/>
          <w:color w:val="000000"/>
          <w:kern w:val="0"/>
          <w:sz w:val="32"/>
          <w:szCs w:val="32"/>
        </w:rPr>
        <w:t>1197.70万</w:t>
      </w:r>
      <w:r>
        <w:rPr>
          <w:rFonts w:ascii="宋体" w:hAnsi="宋体" w:cs="宋体" w:hint="eastAsia"/>
          <w:sz w:val="32"/>
          <w:szCs w:val="32"/>
        </w:rPr>
        <w:t>元,其中一般公共服务支出1197.66万元，基本支出347.84万元，其中工资福利支出208.75万元，商品和服务支出20.74万元，对个人和家庭的补助支出118.35万元；项目支出849.86万元。</w:t>
      </w:r>
    </w:p>
    <w:p w:rsidR="001D51BA" w:rsidRDefault="001131EB">
      <w:pPr>
        <w:spacing w:line="360" w:lineRule="auto"/>
        <w:ind w:firstLineChars="200" w:firstLine="640"/>
        <w:rPr>
          <w:rFonts w:ascii="宋体" w:hAnsi="宋体" w:cs="宋体"/>
          <w:sz w:val="32"/>
          <w:szCs w:val="32"/>
        </w:rPr>
      </w:pPr>
      <w:r>
        <w:rPr>
          <w:rFonts w:ascii="宋体" w:hAnsi="宋体" w:cs="宋体" w:hint="eastAsia"/>
          <w:noProof/>
          <w:sz w:val="32"/>
          <w:szCs w:val="32"/>
        </w:rPr>
        <w:lastRenderedPageBreak/>
        <w:drawing>
          <wp:inline distT="0" distB="0" distL="0" distR="0">
            <wp:extent cx="5874385" cy="3157220"/>
            <wp:effectExtent l="0" t="0" r="0" b="0"/>
            <wp:docPr id="3"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（二）2018年度财政拨款收入支出总体情况说明</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1、财政拨款收入支出总体情况及比上年增减情况，分析增减变化的原因。</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2018年度县委组织部公共预算财政拨款收入1197.70万元，支出1197.70万元，比上年增加了514.62万元，增长75.34%，增减原因是我县承担全市抓党建促脱贫现场会议、美丽乡村人居环境提升对领导干部及驻村工作人员培训力度加大，会议及培训费用增加幅度较大；落实人才引进制度对人才奖励力度大，费用增加幅度较大；换届离任村干部人数增加、标准提升。</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2、一般公共预算财政拨款支出情况。（按政府功能分类科目说明支出具体内容）</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2018年度公共预算财政拨款支出</w:t>
      </w:r>
      <w:r>
        <w:rPr>
          <w:rFonts w:ascii="宋体" w:hAnsi="宋体" w:cs="宋体" w:hint="eastAsia"/>
          <w:color w:val="000000"/>
          <w:kern w:val="0"/>
          <w:sz w:val="32"/>
          <w:szCs w:val="32"/>
        </w:rPr>
        <w:t>1197.70万</w:t>
      </w:r>
      <w:r>
        <w:rPr>
          <w:rFonts w:ascii="宋体" w:hAnsi="宋体" w:cs="宋体" w:hint="eastAsia"/>
          <w:sz w:val="32"/>
          <w:szCs w:val="32"/>
        </w:rPr>
        <w:t>元,其中一般公共服务支出1197.66万元，基本支出347.84万元，其</w:t>
      </w:r>
      <w:r>
        <w:rPr>
          <w:rFonts w:ascii="宋体" w:hAnsi="宋体" w:cs="宋体" w:hint="eastAsia"/>
          <w:sz w:val="32"/>
          <w:szCs w:val="32"/>
        </w:rPr>
        <w:lastRenderedPageBreak/>
        <w:t>中工资福利支出208.75万元，商品和服务支出20.74万元，对个人和家庭的补助支出118.35万元；项目支出849.86万元。</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基本支出347.84万元，其中支出功能科目2013201（行政运行）323.15万元，对个人和家庭的补助支出118.32万元，包含离任村干部工资、远程教育站点管理员补贴及高层次人才安家费；支出功能科目2013250（事业运行）支出24.65万元，支出功能科目2019999（其他一般公共事务）支出4.08万元，支出功能科目2080899（其他优抚）支出0.03万元。工资福利支出169.13万元，支出功能科目2013201（行政运行）支出149.37万元，支出功能科目213250（事业运行）支出24.12万元；商品和服务支出20.74万元，支出功能科目2013201（行政运行）支出20.21万元，支出功能科目213250（事业运行）支出0.53万元。</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项目支出849.86万元，支出功能科目2013202（一般行政管理事务）支出849.86万元，其中商品和服务支出849.04万元，包含村三务公开栏安装、档案数据化系统建设及村级活动场所提升、全县干部培训。</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3</w:t>
      </w:r>
      <w:r w:rsidR="00117F59">
        <w:rPr>
          <w:rFonts w:ascii="宋体" w:hAnsi="宋体" w:cs="宋体" w:hint="eastAsia"/>
          <w:b/>
          <w:sz w:val="32"/>
          <w:szCs w:val="32"/>
        </w:rPr>
        <w:t>、一般公共预算财政拨款基本支出决算情况</w:t>
      </w:r>
      <w:r>
        <w:rPr>
          <w:rFonts w:ascii="宋体" w:hAnsi="宋体" w:cs="宋体" w:hint="eastAsia"/>
          <w:b/>
          <w:sz w:val="32"/>
          <w:szCs w:val="32"/>
        </w:rPr>
        <w:t>。（按人员经费和公用经费分别进行说明）</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2018年度一般公共预算财政拨款基本支出347.84万元，人员经费支出327.10万元，其中工资福利支出208.75万元</w:t>
      </w:r>
      <w:r>
        <w:rPr>
          <w:rFonts w:ascii="宋体" w:hAnsi="宋体" w:cs="宋体" w:hint="eastAsia"/>
          <w:sz w:val="32"/>
          <w:szCs w:val="32"/>
        </w:rPr>
        <w:lastRenderedPageBreak/>
        <w:t>（行政运行184.62万元、事业24.12万元），对个人和家庭的补助支出118.35万元，包含离任村干部工资、远程教育站点管理员补贴、高层次人才安家费、</w:t>
      </w:r>
      <w:r w:rsidR="001131EB">
        <w:rPr>
          <w:rFonts w:ascii="宋体" w:hAnsi="宋体" w:cs="宋体" w:hint="eastAsia"/>
          <w:sz w:val="32"/>
          <w:szCs w:val="32"/>
        </w:rPr>
        <w:t>新中国成立</w:t>
      </w:r>
      <w:r>
        <w:rPr>
          <w:rFonts w:ascii="宋体" w:hAnsi="宋体" w:cs="宋体" w:hint="eastAsia"/>
          <w:sz w:val="32"/>
          <w:szCs w:val="32"/>
        </w:rPr>
        <w:t xml:space="preserve">前老党员生活补贴； 公用经费支出20.74万元，商品和服务支出20.74万元（行政运行20.21万元、事业运行0.53万元），包含公务交通补贴支出16.12万元； </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4、政府性基金财政拨款收支情说明。</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本部门无政府性基金决算收支，并已公开空表。</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5、国有资本经营财政按款收支情况说明。</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本部门无国有资本经营决算拨款收支。</w:t>
      </w:r>
    </w:p>
    <w:p w:rsidR="001D51BA" w:rsidRDefault="007C39D9">
      <w:pPr>
        <w:numPr>
          <w:ilvl w:val="0"/>
          <w:numId w:val="4"/>
        </w:num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政府采购支出情况。</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2018年度本部门政府采购支出总额共0.82万元，其中政府采购货物类支出0.82万元、政府采购工程类支出0万元、政府采购服务类支出0万元。</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（三）2018年度“三公”经费、培训费及会议费支出情况</w:t>
      </w:r>
    </w:p>
    <w:p w:rsidR="001D51BA" w:rsidRDefault="007C39D9">
      <w:pPr>
        <w:pBdr>
          <w:bottom w:val="single" w:sz="4" w:space="31" w:color="FFFFFF"/>
        </w:pBdr>
        <w:adjustRightInd w:val="0"/>
        <w:snapToGrid w:val="0"/>
        <w:spacing w:line="360" w:lineRule="auto"/>
        <w:ind w:firstLineChars="200" w:firstLine="643"/>
        <w:rPr>
          <w:rFonts w:ascii="宋体" w:hAnsi="宋体" w:cs="宋体"/>
          <w:sz w:val="32"/>
          <w:szCs w:val="32"/>
        </w:rPr>
      </w:pPr>
      <w:r>
        <w:rPr>
          <w:rFonts w:ascii="宋体" w:hAnsi="宋体" w:cs="宋体" w:hint="eastAsia"/>
          <w:b/>
          <w:sz w:val="32"/>
          <w:szCs w:val="32"/>
        </w:rPr>
        <w:t>“三公”经费财政拨款支出总体情况说明。</w:t>
      </w:r>
      <w:r>
        <w:rPr>
          <w:rFonts w:ascii="宋体" w:hAnsi="宋体" w:cs="宋体" w:hint="eastAsia"/>
          <w:sz w:val="32"/>
          <w:szCs w:val="32"/>
        </w:rPr>
        <w:t>2018年度一般公共预算财政拨款安排的“三公”经费共支出0.96万元。其中，因公出国（境）费支出0万元，占“三公”经费的0%；公务接待费支出0.96万元，占“三公”经费的100%；公务用车购置及运行维护费支出0万元，占“三公”经费的0%。具体情况如下：</w:t>
      </w:r>
    </w:p>
    <w:p w:rsidR="001D51BA" w:rsidRDefault="007C39D9">
      <w:pPr>
        <w:numPr>
          <w:ilvl w:val="0"/>
          <w:numId w:val="5"/>
        </w:num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lastRenderedPageBreak/>
        <w:t>因公出国（境）费支出0万元，比上年决算增加0万元，比当年预算增加0万元，主要原因为单位无此项开支预算。全年使用一般公共预算财政拨款安排的出国（境）团组0个，累计0人次。</w:t>
      </w:r>
    </w:p>
    <w:p w:rsidR="001D51BA" w:rsidRDefault="007C39D9">
      <w:pPr>
        <w:numPr>
          <w:ilvl w:val="0"/>
          <w:numId w:val="5"/>
        </w:num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公务接待费支出0.96万元，比上年决算减少0.25万元，主要原因为执行规定压减开支；比当年预算增加0.96万元，主要原因为其他省市县调研考察我县党建工作来人接待多次，年初未预算到。全年使用一般公共预算财政拨款安排的公务接待45批次，202人次。开支内容主要为调研考察检查接待。</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3．公务用车购置及运行费支出0万元。其中：</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（1）公务用车购置支出0万元，主要原因为公车改革全单位无购置条件，本年度使用一般公共预算财政拨款购置公务用车0辆。比上年决算增加0万元，比当年预算增加0万元，主要原因为单位无此项开支预决算。</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2）公务用车运行维护费支出0万元，主要原因为公车改革全单位无公务车辆，2018年度使用一般公共预算财政拨款开支维护费的公务用车保有量0辆。比上年决算增加0万元，比当年预算增加0万元，主要原因为单位无此项开支预决算。</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4．会议费支出情况。本年度会议费支出17.46万元，</w:t>
      </w:r>
      <w:r>
        <w:rPr>
          <w:rFonts w:ascii="宋体" w:hAnsi="宋体" w:cs="宋体" w:hint="eastAsia"/>
          <w:sz w:val="32"/>
          <w:szCs w:val="32"/>
        </w:rPr>
        <w:lastRenderedPageBreak/>
        <w:t>较上年增加135.63%，增加原因是我县承担全市抓党建促脱贫现场会议。比当年预算增加17.46万元，主要原因为开展工作头绪多，年初未预算到。</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5．培训费支出情况。</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本年度培训支出98.57万元，较上年增加122.91%，增加原因是我县承担全市抓党建促脱贫现场会议、美丽乡村人居环境提升对领导干部及驻村工作人员培训力度加大，全县领导干部及村两委会干部培训班安排班次多。比当年预算增加98.57万元，主要原因为我县承担全市抓党建促脱贫现场会议、美丽乡村人居环境提升对领导干部及驻村工作人员培训力度加大，全县领导干部及村两委会干部培训班安排班次多，年初未预算到。</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六、2018年度部门绩效管理情况说明</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根据预算绩效管理要求，本部门组织对2018年度一般公共预算项目支出全面开展绩效自评，涉及一般公共预算当年拨款1197.70万元，其中基本支出347.84万元，占部支出的29.04%，项目支出849.86万元，占总支出的70.96%。其中，一级项目6个，二级项目0个，共涉及资金845.78万元，占一般公共预算项目支出总额的99.52%。</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项目支出党建项目建设、村两委换届、三务公开栏安装等3个项目总计325.88万元，用于村级活动场所提升及基层党建活动场所建设，占项目总支出的38.53%；干部档案数</w:t>
      </w:r>
      <w:r>
        <w:rPr>
          <w:rFonts w:ascii="宋体" w:hAnsi="宋体" w:cs="宋体" w:hint="eastAsia"/>
          <w:sz w:val="32"/>
          <w:szCs w:val="32"/>
        </w:rPr>
        <w:lastRenderedPageBreak/>
        <w:t>字化系统建设33.86万元用于落实全国干部档案数字化建设项目，占项目总支出的4.00%；离任村干部补贴106.18万元，用于体现党内关怀，对全县连任三届的离任村干部生活予以补贴，占项目总支出的12.55%；人才工作经费79.85万元用于落实县人才引进工作，占项目总支出的44.91%。</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具体四大类指标得分见下表1，计算过程详见指标表。部门整体评价综合得分表</w:t>
      </w: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2662"/>
        <w:gridCol w:w="3118"/>
        <w:gridCol w:w="2977"/>
      </w:tblGrid>
      <w:tr w:rsidR="001D51BA">
        <w:trPr>
          <w:trHeight w:val="454"/>
        </w:trPr>
        <w:tc>
          <w:tcPr>
            <w:tcW w:w="2662" w:type="dxa"/>
            <w:vAlign w:val="center"/>
          </w:tcPr>
          <w:p w:rsidR="001D51BA" w:rsidRDefault="007C39D9">
            <w:pPr>
              <w:spacing w:line="600" w:lineRule="exact"/>
              <w:ind w:firstLineChars="71" w:firstLine="227"/>
              <w:rPr>
                <w:rFonts w:ascii="宋体" w:hAnsi="宋体" w:cs="宋体"/>
                <w:kern w:val="0"/>
                <w:sz w:val="32"/>
                <w:szCs w:val="32"/>
              </w:rPr>
            </w:pPr>
            <w:r>
              <w:rPr>
                <w:rFonts w:ascii="宋体" w:hAnsi="宋体" w:cs="宋体" w:hint="eastAsia"/>
                <w:kern w:val="0"/>
                <w:sz w:val="32"/>
                <w:szCs w:val="32"/>
              </w:rPr>
              <w:t>项目</w:t>
            </w:r>
          </w:p>
        </w:tc>
        <w:tc>
          <w:tcPr>
            <w:tcW w:w="3118" w:type="dxa"/>
            <w:vAlign w:val="center"/>
          </w:tcPr>
          <w:p w:rsidR="001D51BA" w:rsidRDefault="007C39D9">
            <w:pPr>
              <w:spacing w:line="600" w:lineRule="exact"/>
              <w:rPr>
                <w:rFonts w:ascii="宋体" w:hAnsi="宋体" w:cs="宋体"/>
                <w:kern w:val="0"/>
                <w:sz w:val="32"/>
                <w:szCs w:val="32"/>
              </w:rPr>
            </w:pPr>
            <w:r>
              <w:rPr>
                <w:rFonts w:ascii="宋体" w:hAnsi="宋体" w:cs="宋体" w:hint="eastAsia"/>
                <w:kern w:val="0"/>
                <w:sz w:val="32"/>
                <w:szCs w:val="32"/>
              </w:rPr>
              <w:t>标准分值</w:t>
            </w:r>
          </w:p>
        </w:tc>
        <w:tc>
          <w:tcPr>
            <w:tcW w:w="2977" w:type="dxa"/>
            <w:vAlign w:val="center"/>
          </w:tcPr>
          <w:p w:rsidR="001D51BA" w:rsidRDefault="007C39D9">
            <w:pPr>
              <w:wordWrap w:val="0"/>
              <w:spacing w:line="600" w:lineRule="exact"/>
              <w:ind w:right="420"/>
              <w:rPr>
                <w:rFonts w:ascii="宋体" w:hAnsi="宋体" w:cs="宋体"/>
                <w:kern w:val="0"/>
                <w:sz w:val="32"/>
                <w:szCs w:val="32"/>
              </w:rPr>
            </w:pPr>
            <w:r>
              <w:rPr>
                <w:rFonts w:ascii="宋体" w:hAnsi="宋体" w:cs="宋体" w:hint="eastAsia"/>
                <w:kern w:val="0"/>
                <w:sz w:val="32"/>
                <w:szCs w:val="32"/>
              </w:rPr>
              <w:t>项目得分</w:t>
            </w:r>
          </w:p>
        </w:tc>
      </w:tr>
      <w:tr w:rsidR="001D51BA">
        <w:trPr>
          <w:trHeight w:val="454"/>
        </w:trPr>
        <w:tc>
          <w:tcPr>
            <w:tcW w:w="2662" w:type="dxa"/>
            <w:vAlign w:val="center"/>
          </w:tcPr>
          <w:p w:rsidR="001D51BA" w:rsidRDefault="007C39D9">
            <w:pPr>
              <w:spacing w:line="600" w:lineRule="exact"/>
              <w:rPr>
                <w:rFonts w:ascii="宋体" w:hAnsi="宋体" w:cs="宋体"/>
                <w:kern w:val="0"/>
                <w:sz w:val="32"/>
                <w:szCs w:val="32"/>
              </w:rPr>
            </w:pPr>
            <w:r>
              <w:rPr>
                <w:rFonts w:ascii="宋体" w:hAnsi="宋体" w:cs="宋体" w:hint="eastAsia"/>
                <w:kern w:val="0"/>
                <w:sz w:val="32"/>
                <w:szCs w:val="32"/>
              </w:rPr>
              <w:t>一、投入类</w:t>
            </w:r>
          </w:p>
        </w:tc>
        <w:tc>
          <w:tcPr>
            <w:tcW w:w="3118" w:type="dxa"/>
            <w:vAlign w:val="center"/>
          </w:tcPr>
          <w:p w:rsidR="001D51BA" w:rsidRDefault="007C39D9">
            <w:pPr>
              <w:spacing w:line="600" w:lineRule="exact"/>
              <w:ind w:firstLine="420"/>
              <w:rPr>
                <w:rFonts w:ascii="宋体" w:hAnsi="宋体" w:cs="宋体"/>
                <w:sz w:val="32"/>
                <w:szCs w:val="32"/>
              </w:rPr>
            </w:pPr>
            <w:r>
              <w:rPr>
                <w:rFonts w:ascii="宋体" w:hAnsi="宋体" w:cs="宋体" w:hint="eastAsia"/>
                <w:sz w:val="32"/>
                <w:szCs w:val="32"/>
              </w:rPr>
              <w:t>15.00</w:t>
            </w:r>
          </w:p>
        </w:tc>
        <w:tc>
          <w:tcPr>
            <w:tcW w:w="2977" w:type="dxa"/>
            <w:vAlign w:val="center"/>
          </w:tcPr>
          <w:p w:rsidR="001D51BA" w:rsidRDefault="007C39D9">
            <w:pPr>
              <w:spacing w:line="600" w:lineRule="exact"/>
              <w:ind w:firstLine="420"/>
              <w:rPr>
                <w:rFonts w:ascii="宋体" w:hAnsi="宋体" w:cs="宋体"/>
                <w:sz w:val="32"/>
                <w:szCs w:val="32"/>
              </w:rPr>
            </w:pPr>
            <w:r>
              <w:rPr>
                <w:rFonts w:ascii="宋体" w:hAnsi="宋体" w:cs="宋体" w:hint="eastAsia"/>
                <w:sz w:val="32"/>
                <w:szCs w:val="32"/>
              </w:rPr>
              <w:t xml:space="preserve"> 15 </w:t>
            </w:r>
          </w:p>
        </w:tc>
      </w:tr>
      <w:tr w:rsidR="001D51BA">
        <w:trPr>
          <w:trHeight w:val="454"/>
        </w:trPr>
        <w:tc>
          <w:tcPr>
            <w:tcW w:w="2662" w:type="dxa"/>
            <w:vAlign w:val="center"/>
          </w:tcPr>
          <w:p w:rsidR="001D51BA" w:rsidRDefault="007C39D9">
            <w:pPr>
              <w:spacing w:line="600" w:lineRule="exact"/>
              <w:rPr>
                <w:rFonts w:ascii="宋体" w:hAnsi="宋体" w:cs="宋体"/>
                <w:kern w:val="0"/>
                <w:sz w:val="32"/>
                <w:szCs w:val="32"/>
              </w:rPr>
            </w:pPr>
            <w:r>
              <w:rPr>
                <w:rFonts w:ascii="宋体" w:hAnsi="宋体" w:cs="宋体" w:hint="eastAsia"/>
                <w:kern w:val="0"/>
                <w:sz w:val="32"/>
                <w:szCs w:val="32"/>
              </w:rPr>
              <w:t>二、过程类</w:t>
            </w:r>
          </w:p>
        </w:tc>
        <w:tc>
          <w:tcPr>
            <w:tcW w:w="3118" w:type="dxa"/>
            <w:vAlign w:val="center"/>
          </w:tcPr>
          <w:p w:rsidR="001D51BA" w:rsidRDefault="007C39D9">
            <w:pPr>
              <w:spacing w:line="600" w:lineRule="exact"/>
              <w:ind w:firstLine="420"/>
              <w:rPr>
                <w:rFonts w:ascii="宋体" w:hAnsi="宋体" w:cs="宋体"/>
                <w:sz w:val="32"/>
                <w:szCs w:val="32"/>
              </w:rPr>
            </w:pPr>
            <w:r>
              <w:rPr>
                <w:rFonts w:ascii="宋体" w:hAnsi="宋体" w:cs="宋体" w:hint="eastAsia"/>
                <w:sz w:val="32"/>
                <w:szCs w:val="32"/>
              </w:rPr>
              <w:t>40.00</w:t>
            </w:r>
          </w:p>
        </w:tc>
        <w:tc>
          <w:tcPr>
            <w:tcW w:w="2977" w:type="dxa"/>
            <w:vAlign w:val="center"/>
          </w:tcPr>
          <w:p w:rsidR="001D51BA" w:rsidRDefault="007C39D9">
            <w:pPr>
              <w:spacing w:line="600" w:lineRule="exact"/>
              <w:ind w:firstLine="420"/>
              <w:rPr>
                <w:rFonts w:ascii="宋体" w:hAnsi="宋体" w:cs="宋体"/>
                <w:sz w:val="32"/>
                <w:szCs w:val="32"/>
              </w:rPr>
            </w:pPr>
            <w:r>
              <w:rPr>
                <w:rFonts w:ascii="宋体" w:hAnsi="宋体" w:cs="宋体" w:hint="eastAsia"/>
                <w:sz w:val="32"/>
                <w:szCs w:val="32"/>
              </w:rPr>
              <w:t xml:space="preserve"> 40</w:t>
            </w:r>
          </w:p>
        </w:tc>
      </w:tr>
      <w:tr w:rsidR="001D51BA">
        <w:trPr>
          <w:trHeight w:val="454"/>
        </w:trPr>
        <w:tc>
          <w:tcPr>
            <w:tcW w:w="2662" w:type="dxa"/>
            <w:vAlign w:val="center"/>
          </w:tcPr>
          <w:p w:rsidR="001D51BA" w:rsidRDefault="007C39D9">
            <w:pPr>
              <w:spacing w:line="600" w:lineRule="exact"/>
              <w:rPr>
                <w:rFonts w:ascii="宋体" w:hAnsi="宋体" w:cs="宋体"/>
                <w:kern w:val="0"/>
                <w:sz w:val="32"/>
                <w:szCs w:val="32"/>
              </w:rPr>
            </w:pPr>
            <w:r>
              <w:rPr>
                <w:rFonts w:ascii="宋体" w:hAnsi="宋体" w:cs="宋体" w:hint="eastAsia"/>
                <w:kern w:val="0"/>
                <w:sz w:val="32"/>
                <w:szCs w:val="32"/>
              </w:rPr>
              <w:t>三、产出类</w:t>
            </w:r>
          </w:p>
        </w:tc>
        <w:tc>
          <w:tcPr>
            <w:tcW w:w="3118" w:type="dxa"/>
            <w:vAlign w:val="center"/>
          </w:tcPr>
          <w:p w:rsidR="001D51BA" w:rsidRDefault="007C39D9">
            <w:pPr>
              <w:spacing w:line="600" w:lineRule="exact"/>
              <w:ind w:firstLine="420"/>
              <w:rPr>
                <w:rFonts w:ascii="宋体" w:hAnsi="宋体" w:cs="宋体"/>
                <w:sz w:val="32"/>
                <w:szCs w:val="32"/>
              </w:rPr>
            </w:pPr>
            <w:r>
              <w:rPr>
                <w:rFonts w:ascii="宋体" w:hAnsi="宋体" w:cs="宋体" w:hint="eastAsia"/>
                <w:sz w:val="32"/>
                <w:szCs w:val="32"/>
              </w:rPr>
              <w:t>20.00</w:t>
            </w:r>
          </w:p>
        </w:tc>
        <w:tc>
          <w:tcPr>
            <w:tcW w:w="2977" w:type="dxa"/>
            <w:vAlign w:val="center"/>
          </w:tcPr>
          <w:p w:rsidR="001D51BA" w:rsidRDefault="007C39D9">
            <w:pPr>
              <w:spacing w:line="600" w:lineRule="exact"/>
              <w:ind w:firstLine="420"/>
              <w:rPr>
                <w:rFonts w:ascii="宋体" w:hAnsi="宋体" w:cs="宋体"/>
                <w:sz w:val="32"/>
                <w:szCs w:val="32"/>
              </w:rPr>
            </w:pPr>
            <w:r>
              <w:rPr>
                <w:rFonts w:ascii="宋体" w:hAnsi="宋体" w:cs="宋体" w:hint="eastAsia"/>
                <w:sz w:val="32"/>
                <w:szCs w:val="32"/>
              </w:rPr>
              <w:t xml:space="preserve"> 20</w:t>
            </w:r>
          </w:p>
        </w:tc>
      </w:tr>
      <w:tr w:rsidR="001D51BA">
        <w:trPr>
          <w:trHeight w:val="454"/>
        </w:trPr>
        <w:tc>
          <w:tcPr>
            <w:tcW w:w="2662" w:type="dxa"/>
            <w:vAlign w:val="center"/>
          </w:tcPr>
          <w:p w:rsidR="001D51BA" w:rsidRDefault="007C39D9">
            <w:pPr>
              <w:spacing w:line="600" w:lineRule="exact"/>
              <w:rPr>
                <w:rFonts w:ascii="宋体" w:hAnsi="宋体" w:cs="宋体"/>
                <w:kern w:val="0"/>
                <w:sz w:val="32"/>
                <w:szCs w:val="32"/>
              </w:rPr>
            </w:pPr>
            <w:r>
              <w:rPr>
                <w:rFonts w:ascii="宋体" w:hAnsi="宋体" w:cs="宋体" w:hint="eastAsia"/>
                <w:kern w:val="0"/>
                <w:sz w:val="32"/>
                <w:szCs w:val="32"/>
              </w:rPr>
              <w:t>四、效果类</w:t>
            </w:r>
          </w:p>
        </w:tc>
        <w:tc>
          <w:tcPr>
            <w:tcW w:w="3118" w:type="dxa"/>
            <w:vAlign w:val="center"/>
          </w:tcPr>
          <w:p w:rsidR="001D51BA" w:rsidRDefault="007C39D9">
            <w:pPr>
              <w:spacing w:line="600" w:lineRule="exact"/>
              <w:ind w:firstLine="420"/>
              <w:rPr>
                <w:rFonts w:ascii="宋体" w:hAnsi="宋体" w:cs="宋体"/>
                <w:sz w:val="32"/>
                <w:szCs w:val="32"/>
              </w:rPr>
            </w:pPr>
            <w:r>
              <w:rPr>
                <w:rFonts w:ascii="宋体" w:hAnsi="宋体" w:cs="宋体" w:hint="eastAsia"/>
                <w:sz w:val="32"/>
                <w:szCs w:val="32"/>
              </w:rPr>
              <w:t>25.00</w:t>
            </w:r>
          </w:p>
        </w:tc>
        <w:tc>
          <w:tcPr>
            <w:tcW w:w="2977" w:type="dxa"/>
            <w:vAlign w:val="center"/>
          </w:tcPr>
          <w:p w:rsidR="001D51BA" w:rsidRDefault="007C39D9">
            <w:pPr>
              <w:spacing w:line="600" w:lineRule="exact"/>
              <w:ind w:firstLineChars="200" w:firstLine="640"/>
              <w:rPr>
                <w:rFonts w:ascii="宋体" w:hAnsi="宋体" w:cs="宋体"/>
                <w:sz w:val="32"/>
                <w:szCs w:val="32"/>
              </w:rPr>
            </w:pPr>
            <w:r>
              <w:rPr>
                <w:rFonts w:ascii="宋体" w:hAnsi="宋体" w:cs="宋体" w:hint="eastAsia"/>
                <w:sz w:val="32"/>
                <w:szCs w:val="32"/>
              </w:rPr>
              <w:t>25</w:t>
            </w:r>
          </w:p>
        </w:tc>
      </w:tr>
      <w:tr w:rsidR="001D51BA">
        <w:trPr>
          <w:trHeight w:val="454"/>
        </w:trPr>
        <w:tc>
          <w:tcPr>
            <w:tcW w:w="2662" w:type="dxa"/>
            <w:vAlign w:val="center"/>
          </w:tcPr>
          <w:p w:rsidR="001D51BA" w:rsidRDefault="007C39D9">
            <w:pPr>
              <w:spacing w:line="600" w:lineRule="exact"/>
              <w:rPr>
                <w:rFonts w:ascii="宋体" w:hAnsi="宋体" w:cs="宋体"/>
                <w:kern w:val="0"/>
                <w:sz w:val="32"/>
                <w:szCs w:val="32"/>
              </w:rPr>
            </w:pPr>
            <w:r>
              <w:rPr>
                <w:rFonts w:ascii="宋体" w:hAnsi="宋体" w:cs="宋体" w:hint="eastAsia"/>
                <w:kern w:val="0"/>
                <w:sz w:val="32"/>
                <w:szCs w:val="32"/>
              </w:rPr>
              <w:t>合计</w:t>
            </w:r>
          </w:p>
        </w:tc>
        <w:tc>
          <w:tcPr>
            <w:tcW w:w="3118" w:type="dxa"/>
            <w:vAlign w:val="center"/>
          </w:tcPr>
          <w:p w:rsidR="001D51BA" w:rsidRDefault="007C39D9">
            <w:pPr>
              <w:spacing w:line="600" w:lineRule="exact"/>
              <w:ind w:firstLine="420"/>
              <w:rPr>
                <w:rFonts w:ascii="宋体" w:hAnsi="宋体" w:cs="宋体"/>
                <w:sz w:val="32"/>
                <w:szCs w:val="32"/>
              </w:rPr>
            </w:pPr>
            <w:r>
              <w:rPr>
                <w:rFonts w:ascii="宋体" w:hAnsi="宋体" w:cs="宋体" w:hint="eastAsia"/>
                <w:sz w:val="32"/>
                <w:szCs w:val="32"/>
              </w:rPr>
              <w:t>100.00</w:t>
            </w:r>
          </w:p>
        </w:tc>
        <w:tc>
          <w:tcPr>
            <w:tcW w:w="2977" w:type="dxa"/>
            <w:vAlign w:val="center"/>
          </w:tcPr>
          <w:p w:rsidR="001D51BA" w:rsidRDefault="007C39D9">
            <w:pPr>
              <w:spacing w:line="600" w:lineRule="exact"/>
              <w:ind w:firstLineChars="200" w:firstLine="640"/>
              <w:rPr>
                <w:rFonts w:ascii="宋体" w:hAnsi="宋体" w:cs="宋体"/>
                <w:sz w:val="32"/>
                <w:szCs w:val="32"/>
              </w:rPr>
            </w:pPr>
            <w:r>
              <w:rPr>
                <w:rFonts w:ascii="宋体" w:hAnsi="宋体" w:cs="宋体" w:hint="eastAsia"/>
                <w:sz w:val="32"/>
                <w:szCs w:val="32"/>
              </w:rPr>
              <w:t>100</w:t>
            </w:r>
          </w:p>
        </w:tc>
      </w:tr>
    </w:tbl>
    <w:p w:rsidR="001D51BA" w:rsidRDefault="007C39D9">
      <w:pPr>
        <w:spacing w:line="600" w:lineRule="exact"/>
        <w:ind w:firstLineChars="200" w:firstLine="643"/>
        <w:rPr>
          <w:rFonts w:ascii="宋体" w:hAnsi="宋体" w:cs="宋体"/>
          <w:sz w:val="32"/>
          <w:szCs w:val="32"/>
        </w:rPr>
      </w:pPr>
      <w:r>
        <w:rPr>
          <w:rFonts w:ascii="宋体" w:hAnsi="宋体" w:cs="宋体" w:hint="eastAsia"/>
          <w:b/>
          <w:bCs/>
          <w:sz w:val="32"/>
          <w:szCs w:val="32"/>
        </w:rPr>
        <w:t>（一）投入类指标赋分15.00分，评价得分15.00分。主要考核目标设定和预算配置。</w:t>
      </w:r>
    </w:p>
    <w:p w:rsidR="001D51BA" w:rsidRDefault="007C39D9">
      <w:pPr>
        <w:spacing w:line="600" w:lineRule="exact"/>
        <w:ind w:firstLineChars="200" w:firstLine="643"/>
        <w:rPr>
          <w:rFonts w:ascii="宋体" w:hAnsi="宋体" w:cs="宋体"/>
          <w:sz w:val="32"/>
          <w:szCs w:val="32"/>
        </w:rPr>
      </w:pPr>
      <w:r>
        <w:rPr>
          <w:rFonts w:ascii="宋体" w:hAnsi="宋体" w:cs="宋体" w:hint="eastAsia"/>
          <w:b/>
          <w:bCs/>
          <w:sz w:val="32"/>
          <w:szCs w:val="32"/>
        </w:rPr>
        <w:t>1、目标设定指标：</w:t>
      </w:r>
      <w:r>
        <w:rPr>
          <w:rFonts w:ascii="宋体" w:hAnsi="宋体" w:cs="宋体" w:hint="eastAsia"/>
          <w:sz w:val="32"/>
          <w:szCs w:val="32"/>
        </w:rPr>
        <w:t>我单位所设立的整体绩效目标依据充分，符合社会发展总体规划和部门“三定”方案确定的职责，目标经调研符合部门制定的中长期实施规划。各预算指标明确，并已将部门整体的绩效目标细化分解为具体的工作任务。</w:t>
      </w:r>
    </w:p>
    <w:p w:rsidR="001D51BA" w:rsidRDefault="007C39D9">
      <w:pPr>
        <w:spacing w:line="600" w:lineRule="exact"/>
        <w:ind w:firstLineChars="200" w:firstLine="643"/>
        <w:rPr>
          <w:rFonts w:ascii="宋体" w:hAnsi="宋体" w:cs="宋体"/>
          <w:sz w:val="32"/>
          <w:szCs w:val="32"/>
        </w:rPr>
      </w:pPr>
      <w:r>
        <w:rPr>
          <w:rFonts w:ascii="宋体" w:hAnsi="宋体" w:cs="宋体" w:hint="eastAsia"/>
          <w:b/>
          <w:bCs/>
          <w:sz w:val="32"/>
          <w:szCs w:val="32"/>
        </w:rPr>
        <w:t>2、预算配置：</w:t>
      </w:r>
      <w:r>
        <w:rPr>
          <w:rFonts w:ascii="宋体" w:hAnsi="宋体" w:cs="宋体" w:hint="eastAsia"/>
          <w:sz w:val="32"/>
          <w:szCs w:val="32"/>
        </w:rPr>
        <w:t>2018年初在职人员26人，年末在职人员</w:t>
      </w:r>
      <w:r>
        <w:rPr>
          <w:rFonts w:ascii="宋体" w:hAnsi="宋体" w:cs="宋体" w:hint="eastAsia"/>
          <w:sz w:val="32"/>
          <w:szCs w:val="32"/>
        </w:rPr>
        <w:lastRenderedPageBreak/>
        <w:t>28人，新招录3人，1人调出；组织部行政编制24人，事业编制9人，在职人员控制率为84.84%，未出现超职数配备干部。</w:t>
      </w:r>
    </w:p>
    <w:p w:rsidR="001D51BA" w:rsidRDefault="007C39D9">
      <w:pPr>
        <w:spacing w:line="600" w:lineRule="exact"/>
        <w:ind w:firstLineChars="200" w:firstLine="643"/>
        <w:rPr>
          <w:rFonts w:ascii="宋体" w:hAnsi="宋体" w:cs="宋体"/>
          <w:b/>
          <w:bCs/>
          <w:sz w:val="32"/>
          <w:szCs w:val="32"/>
        </w:rPr>
      </w:pPr>
      <w:r>
        <w:rPr>
          <w:rFonts w:ascii="宋体" w:hAnsi="宋体" w:cs="宋体" w:hint="eastAsia"/>
          <w:b/>
          <w:bCs/>
          <w:sz w:val="32"/>
          <w:szCs w:val="32"/>
        </w:rPr>
        <w:t>（二）过程类指标赋分40.00分，评价得分 40分。主要考核预算执行、预算管理和资产管理。</w:t>
      </w:r>
    </w:p>
    <w:p w:rsidR="001D51BA" w:rsidRDefault="007C39D9">
      <w:pPr>
        <w:snapToGrid w:val="0"/>
        <w:spacing w:line="600" w:lineRule="exact"/>
        <w:ind w:firstLineChars="200" w:firstLine="643"/>
        <w:rPr>
          <w:rFonts w:ascii="宋体" w:hAnsi="宋体" w:cs="宋体"/>
          <w:b/>
          <w:bCs/>
          <w:sz w:val="32"/>
          <w:szCs w:val="32"/>
        </w:rPr>
      </w:pPr>
      <w:r>
        <w:rPr>
          <w:rFonts w:ascii="宋体" w:hAnsi="宋体" w:cs="宋体" w:hint="eastAsia"/>
          <w:b/>
          <w:bCs/>
          <w:sz w:val="32"/>
          <w:szCs w:val="32"/>
        </w:rPr>
        <w:t>1、预算执行：</w:t>
      </w:r>
    </w:p>
    <w:p w:rsidR="001D51BA" w:rsidRDefault="007C39D9">
      <w:pPr>
        <w:snapToGrid w:val="0"/>
        <w:spacing w:line="600" w:lineRule="exact"/>
        <w:ind w:firstLineChars="200" w:firstLine="640"/>
        <w:rPr>
          <w:rFonts w:ascii="宋体" w:hAnsi="宋体" w:cs="宋体"/>
          <w:sz w:val="32"/>
          <w:szCs w:val="32"/>
        </w:rPr>
      </w:pPr>
      <w:r>
        <w:rPr>
          <w:rFonts w:ascii="宋体" w:hAnsi="宋体" w:cs="宋体" w:hint="eastAsia"/>
          <w:sz w:val="32"/>
          <w:szCs w:val="32"/>
        </w:rPr>
        <w:t>2018年部门预算305.59万元，其中：基本支出305.59万元（人员经费284.04万元，办公经费21.56万元），项目支出0元。</w:t>
      </w:r>
    </w:p>
    <w:p w:rsidR="001D51BA" w:rsidRDefault="007C39D9">
      <w:pPr>
        <w:spacing w:line="600" w:lineRule="exact"/>
        <w:ind w:firstLineChars="200" w:firstLine="640"/>
        <w:rPr>
          <w:rFonts w:ascii="宋体" w:hAnsi="宋体" w:cs="宋体"/>
          <w:sz w:val="32"/>
          <w:szCs w:val="32"/>
        </w:rPr>
      </w:pPr>
      <w:r>
        <w:rPr>
          <w:rFonts w:ascii="宋体" w:hAnsi="宋体" w:cs="宋体" w:hint="eastAsia"/>
          <w:sz w:val="32"/>
          <w:szCs w:val="32"/>
        </w:rPr>
        <w:t>2018年部门决算实际支出1197.70万元：</w:t>
      </w:r>
    </w:p>
    <w:p w:rsidR="001D51BA" w:rsidRDefault="007C39D9">
      <w:pPr>
        <w:spacing w:line="600" w:lineRule="exact"/>
        <w:ind w:firstLineChars="200" w:firstLine="640"/>
        <w:rPr>
          <w:rFonts w:ascii="宋体" w:hAnsi="宋体" w:cs="宋体"/>
          <w:sz w:val="32"/>
          <w:szCs w:val="32"/>
        </w:rPr>
      </w:pPr>
      <w:r>
        <w:rPr>
          <w:rFonts w:ascii="宋体" w:hAnsi="宋体" w:cs="宋体" w:hint="eastAsia"/>
          <w:sz w:val="32"/>
          <w:szCs w:val="32"/>
        </w:rPr>
        <w:t>1、其中基本支出347.84万元，占全部支出的29.04%。其中保证机关正常运转，涉及行政运行（2013201）资金323.15万元，占基本支出总额的92.9%（其中本单位职工工资福利支出184.62万元，占总支出的57.13%；公用经费支出4.09万元，占总支出的1.27%；公务交通补贴支出16.12万元，占总支出的4.99%；个人和家庭的补助支出118.32万元，占总支出的36.61%）；事业运行（2013250）资金24.65万元，占基本支出总额的7.09%。</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2、项目支出849.86万元，占全部支出的70.96%。党建项目建设、村两委换届、三务公开栏安装等3个项目总计325.88万元，占项目总支出的38.53%；干部档案数字化系统建设33.86万元，占项目总支出的4.00%；离任村干部补贴106.18万元，占项目总支出的12.55%；人才工作经费</w:t>
      </w:r>
      <w:r>
        <w:rPr>
          <w:rFonts w:ascii="宋体" w:hAnsi="宋体" w:cs="宋体" w:hint="eastAsia"/>
          <w:sz w:val="32"/>
          <w:szCs w:val="32"/>
        </w:rPr>
        <w:lastRenderedPageBreak/>
        <w:t>79.85万元，占项目总支出的44.91%。</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支出完成率100%。支付进度率100%。</w:t>
      </w:r>
    </w:p>
    <w:p w:rsidR="001D51BA" w:rsidRDefault="007C39D9">
      <w:pPr>
        <w:numPr>
          <w:ilvl w:val="0"/>
          <w:numId w:val="3"/>
        </w:numPr>
        <w:pBdr>
          <w:bottom w:val="single" w:sz="4" w:space="31" w:color="FFFFFF"/>
        </w:pBdr>
        <w:adjustRightInd w:val="0"/>
        <w:snapToGrid w:val="0"/>
        <w:spacing w:line="360" w:lineRule="auto"/>
        <w:ind w:firstLineChars="200" w:firstLine="643"/>
        <w:rPr>
          <w:rFonts w:ascii="宋体" w:hAnsi="宋体" w:cs="宋体"/>
          <w:sz w:val="32"/>
          <w:szCs w:val="32"/>
        </w:rPr>
      </w:pPr>
      <w:r>
        <w:rPr>
          <w:rFonts w:ascii="宋体" w:hAnsi="宋体" w:cs="宋体" w:hint="eastAsia"/>
          <w:b/>
          <w:bCs/>
          <w:sz w:val="32"/>
          <w:szCs w:val="32"/>
        </w:rPr>
        <w:t>预算管理：</w:t>
      </w:r>
      <w:r>
        <w:rPr>
          <w:rFonts w:ascii="宋体" w:hAnsi="宋体" w:cs="宋体" w:hint="eastAsia"/>
          <w:sz w:val="32"/>
          <w:szCs w:val="32"/>
        </w:rPr>
        <w:t>财务管理制度、会计核算制度健全，预算资金的拨付符合管理制度的规定，按规定内容和时限完成了2018预算公开。</w:t>
      </w:r>
    </w:p>
    <w:p w:rsidR="001D51BA" w:rsidRDefault="007C39D9">
      <w:pPr>
        <w:numPr>
          <w:ilvl w:val="0"/>
          <w:numId w:val="3"/>
        </w:numPr>
        <w:pBdr>
          <w:bottom w:val="single" w:sz="4" w:space="31" w:color="FFFFFF"/>
        </w:pBdr>
        <w:adjustRightInd w:val="0"/>
        <w:snapToGrid w:val="0"/>
        <w:spacing w:line="360" w:lineRule="auto"/>
        <w:ind w:firstLineChars="200" w:firstLine="643"/>
        <w:rPr>
          <w:rFonts w:ascii="仿宋_GB2312" w:eastAsia="仿宋_GB2312" w:hAnsi="仿宋_GB2312" w:cs="仿宋_GB2312"/>
          <w:b/>
          <w:bCs/>
          <w:sz w:val="32"/>
          <w:szCs w:val="32"/>
        </w:rPr>
      </w:pPr>
      <w:r>
        <w:rPr>
          <w:rFonts w:ascii="宋体" w:hAnsi="宋体" w:cs="宋体" w:hint="eastAsia"/>
          <w:b/>
          <w:bCs/>
          <w:sz w:val="32"/>
          <w:szCs w:val="32"/>
        </w:rPr>
        <w:t>资产管理：</w:t>
      </w:r>
      <w:r>
        <w:rPr>
          <w:rFonts w:ascii="宋体" w:hAnsi="宋体" w:cs="宋体" w:hint="eastAsia"/>
          <w:sz w:val="32"/>
          <w:szCs w:val="32"/>
        </w:rPr>
        <w:t>2018年政府采购购置办公设备0.82万元，已记入固定资产。</w:t>
      </w:r>
    </w:p>
    <w:p w:rsidR="001D51BA" w:rsidRDefault="007C39D9">
      <w:pPr>
        <w:numPr>
          <w:ilvl w:val="0"/>
          <w:numId w:val="6"/>
        </w:numPr>
        <w:pBdr>
          <w:bottom w:val="single" w:sz="4" w:space="31" w:color="FFFFFF"/>
        </w:pBdr>
        <w:adjustRightInd w:val="0"/>
        <w:snapToGrid w:val="0"/>
        <w:spacing w:line="360" w:lineRule="auto"/>
        <w:ind w:firstLineChars="200" w:firstLine="643"/>
        <w:rPr>
          <w:rFonts w:ascii="宋体" w:hAnsi="宋体" w:cs="宋体"/>
          <w:b/>
          <w:bCs/>
          <w:sz w:val="32"/>
          <w:szCs w:val="32"/>
        </w:rPr>
      </w:pPr>
      <w:r>
        <w:rPr>
          <w:rFonts w:ascii="宋体" w:hAnsi="宋体" w:cs="宋体" w:hint="eastAsia"/>
          <w:b/>
          <w:bCs/>
          <w:sz w:val="32"/>
          <w:szCs w:val="32"/>
        </w:rPr>
        <w:t>产出类指标赋分20.00分，评价得分20.00分。主要考核完成率、及时率。</w:t>
      </w:r>
    </w:p>
    <w:p w:rsidR="001D51BA" w:rsidRDefault="007C39D9" w:rsidP="001131EB">
      <w:pPr>
        <w:pBdr>
          <w:bottom w:val="single" w:sz="4" w:space="31" w:color="FFFFFF"/>
        </w:pBdr>
        <w:adjustRightInd w:val="0"/>
        <w:snapToGrid w:val="0"/>
        <w:spacing w:line="360" w:lineRule="auto"/>
        <w:ind w:firstLineChars="200" w:firstLine="618"/>
        <w:rPr>
          <w:rFonts w:ascii="宋体" w:hAnsi="宋体" w:cs="宋体"/>
          <w:spacing w:val="-6"/>
          <w:sz w:val="32"/>
          <w:szCs w:val="32"/>
        </w:rPr>
      </w:pPr>
      <w:r>
        <w:rPr>
          <w:rFonts w:ascii="宋体" w:hAnsi="宋体" w:cs="宋体" w:hint="eastAsia"/>
          <w:b/>
          <w:bCs/>
          <w:spacing w:val="-6"/>
          <w:sz w:val="32"/>
          <w:szCs w:val="32"/>
        </w:rPr>
        <w:t>职能工作任务出色完成扎实推进脱贫攻坚领导班子和干部队伍建设全面加强。</w:t>
      </w:r>
      <w:r>
        <w:rPr>
          <w:rFonts w:ascii="宋体" w:hAnsi="宋体" w:cs="宋体" w:hint="eastAsia"/>
          <w:color w:val="000000"/>
          <w:spacing w:val="-6"/>
          <w:sz w:val="32"/>
          <w:szCs w:val="32"/>
        </w:rPr>
        <w:t>建立了12380 综合举报受理平台，从严加强干部作风监督</w:t>
      </w:r>
      <w:r>
        <w:rPr>
          <w:rFonts w:ascii="宋体" w:hAnsi="宋体" w:cs="宋体" w:hint="eastAsia"/>
          <w:spacing w:val="-6"/>
          <w:sz w:val="32"/>
          <w:szCs w:val="32"/>
        </w:rPr>
        <w:t>；科学规范选人用人</w:t>
      </w:r>
      <w:r>
        <w:rPr>
          <w:rFonts w:ascii="宋体" w:hAnsi="宋体" w:cs="宋体" w:hint="eastAsia"/>
          <w:b/>
          <w:spacing w:val="-6"/>
          <w:sz w:val="32"/>
          <w:szCs w:val="32"/>
        </w:rPr>
        <w:t>。严格干部管理监督。</w:t>
      </w:r>
      <w:r>
        <w:rPr>
          <w:rFonts w:ascii="宋体" w:hAnsi="宋体" w:cs="宋体" w:hint="eastAsia"/>
          <w:color w:val="000000"/>
          <w:spacing w:val="-6"/>
          <w:sz w:val="32"/>
          <w:szCs w:val="32"/>
        </w:rPr>
        <w:t>强化领导干部日常工作过程管理，认真落实重点项目和重点工作过程管理实施办法，</w:t>
      </w:r>
      <w:r>
        <w:rPr>
          <w:rFonts w:ascii="宋体" w:hAnsi="宋体" w:cs="宋体" w:hint="eastAsia"/>
          <w:spacing w:val="-6"/>
          <w:sz w:val="32"/>
          <w:szCs w:val="32"/>
        </w:rPr>
        <w:t>从严</w:t>
      </w:r>
      <w:r>
        <w:rPr>
          <w:rFonts w:ascii="宋体" w:hAnsi="宋体" w:cs="宋体" w:hint="eastAsia"/>
          <w:color w:val="000000"/>
          <w:spacing w:val="-6"/>
          <w:sz w:val="32"/>
          <w:szCs w:val="32"/>
        </w:rPr>
        <w:t>落实干部监督四项制度，做好“一报告两评议”工作。认真</w:t>
      </w:r>
      <w:r>
        <w:rPr>
          <w:rFonts w:ascii="宋体" w:hAnsi="宋体" w:cs="宋体" w:hint="eastAsia"/>
          <w:bCs/>
          <w:color w:val="000000"/>
          <w:spacing w:val="-6"/>
          <w:sz w:val="32"/>
          <w:szCs w:val="32"/>
        </w:rPr>
        <w:t>执行</w:t>
      </w:r>
      <w:r>
        <w:rPr>
          <w:rFonts w:ascii="宋体" w:hAnsi="宋体" w:cs="宋体" w:hint="eastAsia"/>
          <w:color w:val="000000"/>
          <w:spacing w:val="-6"/>
          <w:sz w:val="32"/>
          <w:szCs w:val="32"/>
        </w:rPr>
        <w:t>干部选拔任前会审、廉政考试、任职公示等制度，</w:t>
      </w:r>
      <w:r>
        <w:rPr>
          <w:rFonts w:ascii="宋体" w:hAnsi="宋体" w:cs="宋体" w:hint="eastAsia"/>
          <w:spacing w:val="-6"/>
          <w:kern w:val="0"/>
          <w:sz w:val="32"/>
          <w:szCs w:val="32"/>
        </w:rPr>
        <w:t>严格领导干部请假及外出报备、</w:t>
      </w:r>
      <w:r>
        <w:rPr>
          <w:rFonts w:ascii="宋体" w:hAnsi="宋体" w:cs="宋体" w:hint="eastAsia"/>
          <w:spacing w:val="-6"/>
          <w:sz w:val="32"/>
          <w:szCs w:val="32"/>
        </w:rPr>
        <w:t>个人有关事项报告表和出国（境）备案审批</w:t>
      </w:r>
      <w:r>
        <w:rPr>
          <w:rFonts w:ascii="宋体" w:hAnsi="宋体" w:cs="宋体" w:hint="eastAsia"/>
          <w:spacing w:val="-6"/>
          <w:kern w:val="0"/>
          <w:sz w:val="32"/>
          <w:szCs w:val="32"/>
        </w:rPr>
        <w:t>，委托审计部门对相关领导干部进行了离任经济责任审计。</w:t>
      </w:r>
      <w:r>
        <w:rPr>
          <w:rFonts w:ascii="宋体" w:hAnsi="宋体" w:cs="宋体" w:hint="eastAsia"/>
          <w:b/>
          <w:spacing w:val="-6"/>
          <w:sz w:val="32"/>
          <w:szCs w:val="32"/>
        </w:rPr>
        <w:t>认真落实“三项机制”、</w:t>
      </w:r>
      <w:r>
        <w:rPr>
          <w:rFonts w:ascii="宋体" w:hAnsi="宋体" w:cs="宋体" w:hint="eastAsia"/>
          <w:b/>
          <w:spacing w:val="-6"/>
          <w:kern w:val="0"/>
          <w:sz w:val="32"/>
          <w:szCs w:val="32"/>
        </w:rPr>
        <w:t>加强干部教育培训。</w:t>
      </w:r>
    </w:p>
    <w:p w:rsidR="001D51BA" w:rsidRDefault="007C39D9" w:rsidP="001131EB">
      <w:pPr>
        <w:pBdr>
          <w:bottom w:val="single" w:sz="4" w:space="31" w:color="FFFFFF"/>
        </w:pBdr>
        <w:adjustRightInd w:val="0"/>
        <w:snapToGrid w:val="0"/>
        <w:spacing w:line="360" w:lineRule="auto"/>
        <w:ind w:firstLineChars="200" w:firstLine="618"/>
        <w:rPr>
          <w:rFonts w:ascii="宋体" w:hAnsi="宋体" w:cs="宋体"/>
          <w:b/>
          <w:color w:val="000000"/>
          <w:spacing w:val="-6"/>
          <w:sz w:val="32"/>
          <w:szCs w:val="32"/>
        </w:rPr>
      </w:pPr>
      <w:r>
        <w:rPr>
          <w:rFonts w:ascii="宋体" w:hAnsi="宋体" w:cs="宋体" w:hint="eastAsia"/>
          <w:b/>
          <w:spacing w:val="-6"/>
          <w:sz w:val="32"/>
          <w:szCs w:val="32"/>
        </w:rPr>
        <w:t>基层组织建设全面提升过硬。</w:t>
      </w:r>
      <w:r>
        <w:rPr>
          <w:rFonts w:ascii="宋体" w:hAnsi="宋体" w:cs="宋体" w:hint="eastAsia"/>
          <w:color w:val="000000"/>
          <w:spacing w:val="-6"/>
          <w:sz w:val="32"/>
          <w:szCs w:val="32"/>
        </w:rPr>
        <w:t>按照“四位一体”基层组织建设提升年的要求，强化问题导向，狠抓工作落实，基层党建</w:t>
      </w:r>
      <w:r>
        <w:rPr>
          <w:rFonts w:ascii="宋体" w:hAnsi="宋体" w:cs="宋体" w:hint="eastAsia"/>
          <w:color w:val="000000"/>
          <w:spacing w:val="-6"/>
          <w:sz w:val="32"/>
          <w:szCs w:val="32"/>
        </w:rPr>
        <w:lastRenderedPageBreak/>
        <w:t>工作实现了全面提升、全面过硬。</w:t>
      </w:r>
      <w:r>
        <w:rPr>
          <w:rFonts w:ascii="宋体" w:hAnsi="宋体" w:cs="宋体" w:hint="eastAsia"/>
          <w:spacing w:val="-6"/>
          <w:sz w:val="32"/>
          <w:szCs w:val="32"/>
        </w:rPr>
        <w:t>狠抓</w:t>
      </w:r>
      <w:r>
        <w:rPr>
          <w:rFonts w:ascii="宋体" w:hAnsi="宋体" w:cs="宋体" w:hint="eastAsia"/>
          <w:color w:val="000000"/>
          <w:spacing w:val="-6"/>
          <w:sz w:val="32"/>
          <w:szCs w:val="32"/>
        </w:rPr>
        <w:t>非公企业和社会组织党建工作，党组织组建率达到100%，党的组织和党的工作实现了全覆盖。</w:t>
      </w:r>
      <w:r>
        <w:rPr>
          <w:rFonts w:ascii="宋体" w:hAnsi="宋体" w:cs="宋体" w:hint="eastAsia"/>
          <w:b/>
          <w:spacing w:val="-6"/>
          <w:sz w:val="32"/>
          <w:szCs w:val="32"/>
        </w:rPr>
        <w:t>党员教育管理有效规范。</w:t>
      </w:r>
      <w:r>
        <w:rPr>
          <w:rFonts w:ascii="宋体" w:hAnsi="宋体" w:cs="宋体" w:hint="eastAsia"/>
          <w:spacing w:val="-6"/>
          <w:sz w:val="32"/>
          <w:szCs w:val="32"/>
        </w:rPr>
        <w:t>作</w:t>
      </w:r>
      <w:r>
        <w:rPr>
          <w:rFonts w:ascii="宋体" w:hAnsi="宋体" w:cs="宋体" w:hint="eastAsia"/>
          <w:b/>
          <w:spacing w:val="-6"/>
          <w:sz w:val="32"/>
          <w:szCs w:val="32"/>
        </w:rPr>
        <w:t>组织生活制度严格落实。带头人队伍建设不断加强。人才工作水平不断提升。</w:t>
      </w:r>
      <w:r>
        <w:rPr>
          <w:rFonts w:ascii="宋体" w:hAnsi="宋体" w:cs="宋体" w:hint="eastAsia"/>
          <w:color w:val="000000"/>
          <w:spacing w:val="-6"/>
          <w:sz w:val="32"/>
          <w:szCs w:val="32"/>
        </w:rPr>
        <w:t>抓好《蓝田县2011—2020年中长期人才发展规划纲要》实施，营造了良好的人才工作氛围。</w:t>
      </w:r>
      <w:r>
        <w:rPr>
          <w:rFonts w:ascii="宋体" w:hAnsi="宋体" w:cs="宋体" w:hint="eastAsia"/>
          <w:b/>
          <w:color w:val="000000"/>
          <w:spacing w:val="-6"/>
          <w:sz w:val="32"/>
          <w:szCs w:val="32"/>
        </w:rPr>
        <w:t>大力培养引进人才，注重发挥人才作用。</w:t>
      </w:r>
    </w:p>
    <w:p w:rsidR="001D51BA" w:rsidRDefault="007C39D9">
      <w:pPr>
        <w:ind w:firstLineChars="200" w:firstLine="643"/>
        <w:rPr>
          <w:rFonts w:ascii="宋体" w:hAnsi="宋体" w:cs="宋体"/>
          <w:b/>
          <w:bCs/>
          <w:sz w:val="32"/>
          <w:szCs w:val="32"/>
        </w:rPr>
      </w:pPr>
      <w:r>
        <w:rPr>
          <w:rFonts w:ascii="宋体" w:hAnsi="宋体" w:cs="宋体" w:hint="eastAsia"/>
          <w:b/>
          <w:bCs/>
          <w:sz w:val="32"/>
          <w:szCs w:val="32"/>
        </w:rPr>
        <w:t>（四）效果类指标赋分25.00分，评价得分25分。主要考核经济效益、社会效益、目标责任考核、服务对象满意度。</w:t>
      </w:r>
    </w:p>
    <w:p w:rsidR="001D51BA" w:rsidRDefault="007C39D9">
      <w:pPr>
        <w:spacing w:line="600" w:lineRule="exact"/>
        <w:ind w:firstLineChars="200" w:firstLine="640"/>
        <w:rPr>
          <w:rFonts w:ascii="宋体" w:hAnsi="宋体" w:cs="宋体"/>
          <w:sz w:val="32"/>
          <w:szCs w:val="32"/>
        </w:rPr>
      </w:pPr>
      <w:r>
        <w:rPr>
          <w:rFonts w:ascii="宋体" w:hAnsi="宋体" w:cs="宋体" w:hint="eastAsia"/>
          <w:sz w:val="32"/>
          <w:szCs w:val="32"/>
        </w:rPr>
        <w:t>2018年组织部较好的完成了县委交办的各项工作任务。由于本单位业务只涉及公共事务中的人员教育培训管理，党的基层组织建设工作宗旨是服务社会，无法比对产生的社会效益，经过对部门整体支出的绩效自评，得分为 100分，评价结果为“ 优 ”。</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由于党的组织工作是一项全面的工作，与相关单位的联系沟通还需继续完善，工作力度还需加大，实现党建管理创新任务还需加快进度，发现问题的能力还需提高，工作规范化还需进一步加强。</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七、其他重要事项的情况说明</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（一）机关运行经费支出情况。</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县委组织部本年度一般公共预算财政拨款实际支出</w:t>
      </w:r>
      <w:r>
        <w:rPr>
          <w:rFonts w:ascii="宋体" w:hAnsi="宋体" w:cs="宋体" w:hint="eastAsia"/>
          <w:sz w:val="32"/>
          <w:szCs w:val="32"/>
        </w:rPr>
        <w:lastRenderedPageBreak/>
        <w:t>1197.7万元：其中机关运行经费20.74万元，主要用于日常办公经费及公务交通费用。较上年增加了0.04万元，增加0.19%，增加原因为人员增加，公务交通费增加；</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（二）国有资产占用及购置情况说明。</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截至2018年末，本部门所属单位共有车辆0辆；单价50万元以上的通用设备0台（套）；单价100万元以上的通用设备0台（套）。2018年当年购置车辆0辆；购置单价50万元以上的设备0台（套）；购置单价100万元以上的通用设备0台（套），截至2018年末，本部门所属单位无公务车辆；本单位国有资产共41.72万元，均为电脑复印机等办公设备，无单价50万元以上的通用设备；无单价100万元以上的通用设备。2018年当年未购置车辆；未购置单价50万元以上的设备；未购置单价100万元以上的通用设备。</w:t>
      </w:r>
    </w:p>
    <w:p w:rsidR="001D51BA" w:rsidRDefault="007C39D9">
      <w:pPr>
        <w:pBdr>
          <w:bottom w:val="single" w:sz="4" w:space="31" w:color="FFFFFF"/>
        </w:pBdr>
        <w:adjustRightInd w:val="0"/>
        <w:snapToGrid w:val="0"/>
        <w:spacing w:line="360" w:lineRule="auto"/>
        <w:ind w:firstLineChars="200" w:firstLine="643"/>
        <w:rPr>
          <w:rFonts w:ascii="宋体" w:hAnsi="宋体" w:cs="宋体"/>
          <w:b/>
          <w:sz w:val="32"/>
          <w:szCs w:val="32"/>
        </w:rPr>
      </w:pPr>
      <w:r>
        <w:rPr>
          <w:rFonts w:ascii="宋体" w:hAnsi="宋体" w:cs="宋体" w:hint="eastAsia"/>
          <w:b/>
          <w:sz w:val="32"/>
          <w:szCs w:val="32"/>
        </w:rPr>
        <w:t>八、专业名词解释</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1、基本支出：指为保障机构正常运转、完成日常工作任务而发生的各项支出。</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2、项目支出：指单位为完成特定的行政工作任务或事业发展目标所发生的各项支出。</w:t>
      </w:r>
    </w:p>
    <w:p w:rsidR="001D51BA" w:rsidRDefault="007C39D9">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3、“三公”经费：指部门使用一般公共预算财政拨款安排的因公出国（境）费、公务用车购置及运行费和公务接待费支出。</w:t>
      </w:r>
    </w:p>
    <w:p w:rsidR="001D51BA" w:rsidRDefault="007C39D9">
      <w:pPr>
        <w:spacing w:line="360" w:lineRule="auto"/>
        <w:ind w:firstLineChars="200" w:firstLine="640"/>
        <w:rPr>
          <w:rFonts w:ascii="宋体" w:hAnsi="宋体" w:cs="宋体"/>
          <w:color w:val="000000"/>
          <w:sz w:val="32"/>
          <w:szCs w:val="32"/>
        </w:rPr>
      </w:pPr>
      <w:r>
        <w:rPr>
          <w:rFonts w:ascii="宋体" w:hAnsi="宋体" w:cs="宋体" w:hint="eastAsia"/>
          <w:sz w:val="32"/>
          <w:szCs w:val="32"/>
        </w:rPr>
        <w:lastRenderedPageBreak/>
        <w:t>4、机关运行经费：指行政单位和参照公务员法管理的事业单位使用一般公共预算财政拨款安排的日常公用经费支出。</w:t>
      </w:r>
    </w:p>
    <w:p w:rsidR="001D51BA" w:rsidRDefault="007C39D9">
      <w:pPr>
        <w:spacing w:line="360" w:lineRule="auto"/>
        <w:ind w:firstLineChars="200" w:firstLine="640"/>
        <w:rPr>
          <w:rFonts w:ascii="宋体" w:hAnsi="宋体" w:cs="宋体"/>
          <w:sz w:val="32"/>
          <w:szCs w:val="32"/>
        </w:rPr>
      </w:pPr>
      <w:r>
        <w:rPr>
          <w:rFonts w:ascii="宋体" w:hAnsi="宋体" w:cs="宋体" w:hint="eastAsia"/>
          <w:sz w:val="32"/>
          <w:szCs w:val="32"/>
        </w:rPr>
        <w:t>6．政府采购支出情况。</w:t>
      </w:r>
    </w:p>
    <w:p w:rsidR="007C39D9" w:rsidRDefault="007C39D9">
      <w:pPr>
        <w:spacing w:line="550" w:lineRule="exact"/>
        <w:ind w:firstLineChars="200" w:firstLine="640"/>
        <w:rPr>
          <w:rFonts w:ascii="仿宋" w:eastAsia="仿宋" w:hAnsi="仿宋"/>
          <w:sz w:val="32"/>
          <w:szCs w:val="32"/>
        </w:rPr>
      </w:pPr>
    </w:p>
    <w:sectPr w:rsidR="007C39D9" w:rsidSect="001D51BA">
      <w:head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6D34" w:rsidRDefault="00E36D34">
      <w:r>
        <w:separator/>
      </w:r>
    </w:p>
  </w:endnote>
  <w:endnote w:type="continuationSeparator" w:id="1">
    <w:p w:rsidR="00E36D34" w:rsidRDefault="00E36D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6D34" w:rsidRDefault="00E36D34">
      <w:r>
        <w:separator/>
      </w:r>
    </w:p>
  </w:footnote>
  <w:footnote w:type="continuationSeparator" w:id="1">
    <w:p w:rsidR="00E36D34" w:rsidRDefault="00E36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1BA" w:rsidRDefault="001D51BA">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0B00CA"/>
    <w:multiLevelType w:val="singleLevel"/>
    <w:tmpl w:val="810B00CA"/>
    <w:lvl w:ilvl="0">
      <w:start w:val="1"/>
      <w:numFmt w:val="decimal"/>
      <w:suff w:val="nothing"/>
      <w:lvlText w:val="%1、"/>
      <w:lvlJc w:val="left"/>
    </w:lvl>
  </w:abstractNum>
  <w:abstractNum w:abstractNumId="1">
    <w:nsid w:val="8D0DB72C"/>
    <w:multiLevelType w:val="singleLevel"/>
    <w:tmpl w:val="8D0DB72C"/>
    <w:lvl w:ilvl="0">
      <w:start w:val="2"/>
      <w:numFmt w:val="chineseCounting"/>
      <w:suff w:val="nothing"/>
      <w:lvlText w:val="%1、"/>
      <w:lvlJc w:val="left"/>
      <w:rPr>
        <w:rFonts w:hint="eastAsia"/>
      </w:rPr>
    </w:lvl>
  </w:abstractNum>
  <w:abstractNum w:abstractNumId="2">
    <w:nsid w:val="BEE9D172"/>
    <w:multiLevelType w:val="singleLevel"/>
    <w:tmpl w:val="BEE9D172"/>
    <w:lvl w:ilvl="0">
      <w:start w:val="5"/>
      <w:numFmt w:val="chineseCounting"/>
      <w:suff w:val="nothing"/>
      <w:lvlText w:val="%1、"/>
      <w:lvlJc w:val="left"/>
      <w:rPr>
        <w:rFonts w:hint="eastAsia"/>
      </w:rPr>
    </w:lvl>
  </w:abstractNum>
  <w:abstractNum w:abstractNumId="3">
    <w:nsid w:val="D01BBA37"/>
    <w:multiLevelType w:val="singleLevel"/>
    <w:tmpl w:val="D01BBA37"/>
    <w:lvl w:ilvl="0">
      <w:start w:val="3"/>
      <w:numFmt w:val="chineseCounting"/>
      <w:suff w:val="nothing"/>
      <w:lvlText w:val="（%1）"/>
      <w:lvlJc w:val="left"/>
      <w:rPr>
        <w:rFonts w:hint="eastAsia"/>
      </w:rPr>
    </w:lvl>
  </w:abstractNum>
  <w:abstractNum w:abstractNumId="4">
    <w:nsid w:val="26733E29"/>
    <w:multiLevelType w:val="singleLevel"/>
    <w:tmpl w:val="26733E29"/>
    <w:lvl w:ilvl="0">
      <w:start w:val="6"/>
      <w:numFmt w:val="decimal"/>
      <w:lvlText w:val="%1."/>
      <w:lvlJc w:val="left"/>
      <w:pPr>
        <w:tabs>
          <w:tab w:val="num" w:pos="312"/>
        </w:tabs>
      </w:pPr>
    </w:lvl>
  </w:abstractNum>
  <w:abstractNum w:abstractNumId="5">
    <w:nsid w:val="572E3779"/>
    <w:multiLevelType w:val="singleLevel"/>
    <w:tmpl w:val="572E3779"/>
    <w:lvl w:ilvl="0">
      <w:start w:val="1"/>
      <w:numFmt w:val="decimal"/>
      <w:suff w:val="nothing"/>
      <w:lvlText w:val="%1．"/>
      <w:lvlJc w:val="left"/>
    </w:lvl>
  </w:abstractNum>
  <w:num w:numId="1">
    <w:abstractNumId w:val="1"/>
  </w:num>
  <w:num w:numId="2">
    <w:abstractNumId w:val="2"/>
  </w:num>
  <w:num w:numId="3">
    <w:abstractNumId w:val="0"/>
  </w:num>
  <w:num w:numId="4">
    <w:abstractNumId w:val="4"/>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36BA"/>
    <w:rsid w:val="00013BB7"/>
    <w:rsid w:val="00032B35"/>
    <w:rsid w:val="000454A3"/>
    <w:rsid w:val="00056882"/>
    <w:rsid w:val="000C2773"/>
    <w:rsid w:val="001131EB"/>
    <w:rsid w:val="00117F59"/>
    <w:rsid w:val="001209A9"/>
    <w:rsid w:val="0013332E"/>
    <w:rsid w:val="001445F5"/>
    <w:rsid w:val="0015317C"/>
    <w:rsid w:val="00195957"/>
    <w:rsid w:val="001D51BA"/>
    <w:rsid w:val="001D628B"/>
    <w:rsid w:val="001E4177"/>
    <w:rsid w:val="002A57FA"/>
    <w:rsid w:val="002B531E"/>
    <w:rsid w:val="00320154"/>
    <w:rsid w:val="00385DC7"/>
    <w:rsid w:val="00391A96"/>
    <w:rsid w:val="003B3FA9"/>
    <w:rsid w:val="003D373F"/>
    <w:rsid w:val="003E5C15"/>
    <w:rsid w:val="0041333D"/>
    <w:rsid w:val="00434B74"/>
    <w:rsid w:val="00481C39"/>
    <w:rsid w:val="00531F8C"/>
    <w:rsid w:val="00547DA0"/>
    <w:rsid w:val="005729C1"/>
    <w:rsid w:val="005C51C1"/>
    <w:rsid w:val="005E52D8"/>
    <w:rsid w:val="005E65F7"/>
    <w:rsid w:val="005E6F20"/>
    <w:rsid w:val="00612804"/>
    <w:rsid w:val="00635D41"/>
    <w:rsid w:val="006F3664"/>
    <w:rsid w:val="0071400F"/>
    <w:rsid w:val="0075452E"/>
    <w:rsid w:val="00782CE3"/>
    <w:rsid w:val="00785B50"/>
    <w:rsid w:val="007B36BA"/>
    <w:rsid w:val="007C39D9"/>
    <w:rsid w:val="007E5335"/>
    <w:rsid w:val="0080070A"/>
    <w:rsid w:val="0084290C"/>
    <w:rsid w:val="008802C9"/>
    <w:rsid w:val="00894533"/>
    <w:rsid w:val="008A36D6"/>
    <w:rsid w:val="008F49CF"/>
    <w:rsid w:val="009305C1"/>
    <w:rsid w:val="009A0ECD"/>
    <w:rsid w:val="009B0757"/>
    <w:rsid w:val="00A00F18"/>
    <w:rsid w:val="00A20AC1"/>
    <w:rsid w:val="00A406D2"/>
    <w:rsid w:val="00A96491"/>
    <w:rsid w:val="00B02975"/>
    <w:rsid w:val="00B17191"/>
    <w:rsid w:val="00BD379F"/>
    <w:rsid w:val="00BD4F73"/>
    <w:rsid w:val="00C118FC"/>
    <w:rsid w:val="00C50DC9"/>
    <w:rsid w:val="00C734D5"/>
    <w:rsid w:val="00CA1718"/>
    <w:rsid w:val="00CD0465"/>
    <w:rsid w:val="00CD0B89"/>
    <w:rsid w:val="00CD2A09"/>
    <w:rsid w:val="00D24B86"/>
    <w:rsid w:val="00D464D4"/>
    <w:rsid w:val="00D66DD5"/>
    <w:rsid w:val="00DA0B86"/>
    <w:rsid w:val="00DF5E5E"/>
    <w:rsid w:val="00E03392"/>
    <w:rsid w:val="00E160D5"/>
    <w:rsid w:val="00E36D34"/>
    <w:rsid w:val="00E36DCE"/>
    <w:rsid w:val="00E45DC3"/>
    <w:rsid w:val="00E9290A"/>
    <w:rsid w:val="00EB3ABD"/>
    <w:rsid w:val="00F77A70"/>
    <w:rsid w:val="00FC3A4E"/>
    <w:rsid w:val="00FD47DB"/>
    <w:rsid w:val="00FF4097"/>
    <w:rsid w:val="0225057E"/>
    <w:rsid w:val="04AE53D1"/>
    <w:rsid w:val="13F64BEB"/>
    <w:rsid w:val="14731676"/>
    <w:rsid w:val="17DD0BF1"/>
    <w:rsid w:val="1CA25C54"/>
    <w:rsid w:val="1DDA4C11"/>
    <w:rsid w:val="26AD4662"/>
    <w:rsid w:val="2D611FD7"/>
    <w:rsid w:val="36CE54E4"/>
    <w:rsid w:val="3A167F0E"/>
    <w:rsid w:val="3B595D1A"/>
    <w:rsid w:val="3BD01FBC"/>
    <w:rsid w:val="422F0182"/>
    <w:rsid w:val="432B38BD"/>
    <w:rsid w:val="440C1FB0"/>
    <w:rsid w:val="44795BBA"/>
    <w:rsid w:val="4AA90202"/>
    <w:rsid w:val="4E106DE8"/>
    <w:rsid w:val="50DA6032"/>
    <w:rsid w:val="554A4DF3"/>
    <w:rsid w:val="59A70D58"/>
    <w:rsid w:val="5CF812FC"/>
    <w:rsid w:val="63270E36"/>
    <w:rsid w:val="668A1C12"/>
    <w:rsid w:val="73C9434C"/>
    <w:rsid w:val="78EF0B45"/>
    <w:rsid w:val="7E202477"/>
    <w:rsid w:val="7EB735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51B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1D51BA"/>
    <w:rPr>
      <w:kern w:val="2"/>
      <w:sz w:val="18"/>
      <w:szCs w:val="18"/>
    </w:rPr>
  </w:style>
  <w:style w:type="character" w:styleId="a4">
    <w:name w:val="page number"/>
    <w:basedOn w:val="a0"/>
    <w:qFormat/>
    <w:rsid w:val="001D51BA"/>
  </w:style>
  <w:style w:type="paragraph" w:styleId="a5">
    <w:name w:val="header"/>
    <w:basedOn w:val="a"/>
    <w:rsid w:val="001D51BA"/>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uiPriority w:val="99"/>
    <w:rsid w:val="001D51BA"/>
    <w:pPr>
      <w:tabs>
        <w:tab w:val="center" w:pos="4153"/>
        <w:tab w:val="right" w:pos="8306"/>
      </w:tabs>
      <w:snapToGrid w:val="0"/>
      <w:jc w:val="left"/>
    </w:pPr>
    <w:rPr>
      <w:sz w:val="18"/>
      <w:szCs w:val="18"/>
    </w:rPr>
  </w:style>
  <w:style w:type="paragraph" w:customStyle="1" w:styleId="1">
    <w:name w:val="无间隔1"/>
    <w:rsid w:val="001D51BA"/>
    <w:pPr>
      <w:adjustRightInd w:val="0"/>
      <w:snapToGrid w:val="0"/>
    </w:pPr>
    <w:rPr>
      <w:rFonts w:ascii="Tahoma" w:eastAsia="微软雅黑" w:hAnsi="Tahoma"/>
      <w:sz w:val="22"/>
      <w:szCs w:val="22"/>
    </w:rPr>
  </w:style>
  <w:style w:type="paragraph" w:customStyle="1" w:styleId="Bodytext1">
    <w:name w:val="Body text|1"/>
    <w:basedOn w:val="a"/>
    <w:qFormat/>
    <w:rsid w:val="001D51BA"/>
    <w:pPr>
      <w:spacing w:line="439" w:lineRule="auto"/>
      <w:ind w:firstLine="400"/>
      <w:jc w:val="left"/>
    </w:pPr>
    <w:rPr>
      <w:rFonts w:ascii="宋体" w:hAnsi="宋体" w:cs="宋体"/>
      <w:sz w:val="19"/>
      <w:szCs w:val="19"/>
      <w:lang w:val="zh-CN" w:bidi="zh-CN"/>
    </w:rPr>
  </w:style>
  <w:style w:type="paragraph" w:styleId="a6">
    <w:name w:val="Balloon Text"/>
    <w:basedOn w:val="a"/>
    <w:link w:val="Char0"/>
    <w:rsid w:val="00117F59"/>
    <w:rPr>
      <w:sz w:val="18"/>
      <w:szCs w:val="18"/>
    </w:rPr>
  </w:style>
  <w:style w:type="character" w:customStyle="1" w:styleId="Char0">
    <w:name w:val="批注框文本 Char"/>
    <w:basedOn w:val="a0"/>
    <w:link w:val="a6"/>
    <w:rsid w:val="00117F59"/>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hPercent val="43"/>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5.0092764378478719E-2"/>
          <c:y val="7.2815533980582534E-2"/>
          <c:w val="0.77736549165120594"/>
          <c:h val="0.76213592233009786"/>
        </c:manualLayout>
      </c:layout>
      <c:bar3DChart>
        <c:barDir val="col"/>
        <c:grouping val="clustered"/>
        <c:ser>
          <c:idx val="0"/>
          <c:order val="0"/>
          <c:tx>
            <c:strRef>
              <c:f>Sheet1!$A$2</c:f>
              <c:strCache>
                <c:ptCount val="1"/>
                <c:pt idx="0">
                  <c:v>编制人员</c:v>
                </c:pt>
              </c:strCache>
            </c:strRef>
          </c:tx>
          <c:spPr>
            <a:solidFill>
              <a:srgbClr val="9999FF"/>
            </a:solidFill>
            <a:ln w="13499">
              <a:solidFill>
                <a:srgbClr val="000000"/>
              </a:solidFill>
              <a:prstDash val="solid"/>
            </a:ln>
          </c:spPr>
          <c:cat>
            <c:strRef>
              <c:f>Sheet1!$B$1:$E$1</c:f>
              <c:strCache>
                <c:ptCount val="4"/>
                <c:pt idx="0">
                  <c:v>第一季度</c:v>
                </c:pt>
                <c:pt idx="1">
                  <c:v>第二季度</c:v>
                </c:pt>
                <c:pt idx="2">
                  <c:v>第三季度</c:v>
                </c:pt>
                <c:pt idx="3">
                  <c:v>第四季度</c:v>
                </c:pt>
              </c:strCache>
            </c:strRef>
          </c:cat>
          <c:val>
            <c:numRef>
              <c:f>Sheet1!$B$2:$E$2</c:f>
              <c:numCache>
                <c:formatCode>General</c:formatCode>
                <c:ptCount val="4"/>
                <c:pt idx="0">
                  <c:v>28</c:v>
                </c:pt>
                <c:pt idx="1">
                  <c:v>28</c:v>
                </c:pt>
                <c:pt idx="2">
                  <c:v>28</c:v>
                </c:pt>
                <c:pt idx="3">
                  <c:v>28</c:v>
                </c:pt>
              </c:numCache>
            </c:numRef>
          </c:val>
        </c:ser>
        <c:ser>
          <c:idx val="1"/>
          <c:order val="1"/>
          <c:tx>
            <c:strRef>
              <c:f>Sheet1!$A$3</c:f>
              <c:strCache>
                <c:ptCount val="1"/>
                <c:pt idx="0">
                  <c:v>实有人员</c:v>
                </c:pt>
              </c:strCache>
            </c:strRef>
          </c:tx>
          <c:spPr>
            <a:solidFill>
              <a:srgbClr val="993366"/>
            </a:solidFill>
            <a:ln w="13499">
              <a:solidFill>
                <a:srgbClr val="000000"/>
              </a:solidFill>
              <a:prstDash val="solid"/>
            </a:ln>
          </c:spPr>
          <c:cat>
            <c:strRef>
              <c:f>Sheet1!$B$1:$E$1</c:f>
              <c:strCache>
                <c:ptCount val="4"/>
                <c:pt idx="0">
                  <c:v>第一季度</c:v>
                </c:pt>
                <c:pt idx="1">
                  <c:v>第二季度</c:v>
                </c:pt>
                <c:pt idx="2">
                  <c:v>第三季度</c:v>
                </c:pt>
                <c:pt idx="3">
                  <c:v>第四季度</c:v>
                </c:pt>
              </c:strCache>
            </c:strRef>
          </c:cat>
          <c:val>
            <c:numRef>
              <c:f>Sheet1!$B$3:$E$3</c:f>
              <c:numCache>
                <c:formatCode>General</c:formatCode>
                <c:ptCount val="4"/>
                <c:pt idx="0">
                  <c:v>26</c:v>
                </c:pt>
                <c:pt idx="1">
                  <c:v>26</c:v>
                </c:pt>
                <c:pt idx="2">
                  <c:v>29</c:v>
                </c:pt>
                <c:pt idx="3">
                  <c:v>28</c:v>
                </c:pt>
              </c:numCache>
            </c:numRef>
          </c:val>
        </c:ser>
        <c:ser>
          <c:idx val="2"/>
          <c:order val="2"/>
          <c:tx>
            <c:strRef>
              <c:f>Sheet1!$A$4</c:f>
              <c:strCache>
                <c:ptCount val="1"/>
                <c:pt idx="0">
                  <c:v>行政人员</c:v>
                </c:pt>
              </c:strCache>
            </c:strRef>
          </c:tx>
          <c:spPr>
            <a:solidFill>
              <a:srgbClr val="FFFFCC"/>
            </a:solidFill>
            <a:ln w="13499">
              <a:solidFill>
                <a:srgbClr val="000000"/>
              </a:solidFill>
              <a:prstDash val="solid"/>
            </a:ln>
          </c:spPr>
          <c:cat>
            <c:strRef>
              <c:f>Sheet1!$B$1:$E$1</c:f>
              <c:strCache>
                <c:ptCount val="4"/>
                <c:pt idx="0">
                  <c:v>第一季度</c:v>
                </c:pt>
                <c:pt idx="1">
                  <c:v>第二季度</c:v>
                </c:pt>
                <c:pt idx="2">
                  <c:v>第三季度</c:v>
                </c:pt>
                <c:pt idx="3">
                  <c:v>第四季度</c:v>
                </c:pt>
              </c:strCache>
            </c:strRef>
          </c:cat>
          <c:val>
            <c:numRef>
              <c:f>Sheet1!$B$4:$E$4</c:f>
              <c:numCache>
                <c:formatCode>General</c:formatCode>
                <c:ptCount val="4"/>
                <c:pt idx="0">
                  <c:v>22</c:v>
                </c:pt>
                <c:pt idx="1">
                  <c:v>22</c:v>
                </c:pt>
                <c:pt idx="2">
                  <c:v>25</c:v>
                </c:pt>
                <c:pt idx="3">
                  <c:v>24</c:v>
                </c:pt>
              </c:numCache>
            </c:numRef>
          </c:val>
        </c:ser>
        <c:ser>
          <c:idx val="3"/>
          <c:order val="3"/>
          <c:tx>
            <c:strRef>
              <c:f>Sheet1!$A$5</c:f>
              <c:strCache>
                <c:ptCount val="1"/>
                <c:pt idx="0">
                  <c:v>事业人员</c:v>
                </c:pt>
              </c:strCache>
            </c:strRef>
          </c:tx>
          <c:spPr>
            <a:solidFill>
              <a:srgbClr val="CCFFFF"/>
            </a:solidFill>
            <a:ln w="13499">
              <a:solidFill>
                <a:srgbClr val="000000"/>
              </a:solidFill>
              <a:prstDash val="solid"/>
            </a:ln>
          </c:spPr>
          <c:cat>
            <c:strRef>
              <c:f>Sheet1!$B$1:$E$1</c:f>
              <c:strCache>
                <c:ptCount val="4"/>
                <c:pt idx="0">
                  <c:v>第一季度</c:v>
                </c:pt>
                <c:pt idx="1">
                  <c:v>第二季度</c:v>
                </c:pt>
                <c:pt idx="2">
                  <c:v>第三季度</c:v>
                </c:pt>
                <c:pt idx="3">
                  <c:v>第四季度</c:v>
                </c:pt>
              </c:strCache>
            </c:strRef>
          </c:cat>
          <c:val>
            <c:numRef>
              <c:f>Sheet1!$B$5:$E$5</c:f>
              <c:numCache>
                <c:formatCode>General</c:formatCode>
                <c:ptCount val="4"/>
                <c:pt idx="0">
                  <c:v>4</c:v>
                </c:pt>
                <c:pt idx="1">
                  <c:v>4</c:v>
                </c:pt>
                <c:pt idx="2">
                  <c:v>4</c:v>
                </c:pt>
                <c:pt idx="3">
                  <c:v>4</c:v>
                </c:pt>
              </c:numCache>
            </c:numRef>
          </c:val>
        </c:ser>
        <c:gapDepth val="0"/>
        <c:shape val="box"/>
        <c:axId val="189741696"/>
        <c:axId val="198826624"/>
        <c:axId val="0"/>
      </c:bar3DChart>
      <c:catAx>
        <c:axId val="189741696"/>
        <c:scaling>
          <c:orientation val="minMax"/>
        </c:scaling>
        <c:axPos val="b"/>
        <c:numFmt formatCode="General" sourceLinked="1"/>
        <c:majorTickMark val="in"/>
        <c:tickLblPos val="low"/>
        <c:spPr>
          <a:ln w="3375">
            <a:solidFill>
              <a:srgbClr val="000000"/>
            </a:solidFill>
            <a:prstDash val="solid"/>
          </a:ln>
        </c:spPr>
        <c:txPr>
          <a:bodyPr rot="0" vert="horz"/>
          <a:lstStyle/>
          <a:p>
            <a:pPr>
              <a:defRPr sz="1090" b="0" i="0" u="none" strike="noStrike" baseline="0">
                <a:solidFill>
                  <a:srgbClr val="000000"/>
                </a:solidFill>
                <a:latin typeface="宋体"/>
                <a:ea typeface="宋体"/>
                <a:cs typeface="宋体"/>
              </a:defRPr>
            </a:pPr>
            <a:endParaRPr lang="zh-CN"/>
          </a:p>
        </c:txPr>
        <c:crossAx val="198826624"/>
        <c:crosses val="autoZero"/>
        <c:auto val="1"/>
        <c:lblAlgn val="ctr"/>
        <c:lblOffset val="100"/>
        <c:tickLblSkip val="1"/>
        <c:tickMarkSkip val="1"/>
      </c:catAx>
      <c:valAx>
        <c:axId val="198826624"/>
        <c:scaling>
          <c:orientation val="minMax"/>
        </c:scaling>
        <c:axPos val="l"/>
        <c:majorGridlines>
          <c:spPr>
            <a:ln w="3375">
              <a:solidFill>
                <a:srgbClr val="000000"/>
              </a:solidFill>
              <a:prstDash val="solid"/>
            </a:ln>
          </c:spPr>
        </c:majorGridlines>
        <c:numFmt formatCode="General" sourceLinked="1"/>
        <c:majorTickMark val="in"/>
        <c:tickLblPos val="nextTo"/>
        <c:spPr>
          <a:ln w="3375">
            <a:solidFill>
              <a:srgbClr val="000000"/>
            </a:solidFill>
            <a:prstDash val="solid"/>
          </a:ln>
        </c:spPr>
        <c:txPr>
          <a:bodyPr rot="0" vert="horz"/>
          <a:lstStyle/>
          <a:p>
            <a:pPr>
              <a:defRPr sz="1090" b="0" i="0" u="none" strike="noStrike" baseline="0">
                <a:solidFill>
                  <a:srgbClr val="000000"/>
                </a:solidFill>
                <a:latin typeface="宋体"/>
                <a:ea typeface="宋体"/>
                <a:cs typeface="宋体"/>
              </a:defRPr>
            </a:pPr>
            <a:endParaRPr lang="zh-CN"/>
          </a:p>
        </c:txPr>
        <c:crossAx val="189741696"/>
        <c:crosses val="autoZero"/>
        <c:crossBetween val="between"/>
      </c:valAx>
      <c:spPr>
        <a:noFill/>
        <a:ln w="26999">
          <a:noFill/>
        </a:ln>
      </c:spPr>
    </c:plotArea>
    <c:legend>
      <c:legendPos val="r"/>
      <c:layout>
        <c:manualLayout>
          <c:xMode val="edge"/>
          <c:yMode val="edge"/>
          <c:x val="0.84786641929499074"/>
          <c:y val="0.3155339805825243"/>
          <c:w val="0.14471243042671636"/>
          <c:h val="0.37378640776699057"/>
        </c:manualLayout>
      </c:layout>
      <c:spPr>
        <a:noFill/>
        <a:ln w="3375">
          <a:solidFill>
            <a:srgbClr val="000000"/>
          </a:solidFill>
          <a:prstDash val="solid"/>
        </a:ln>
      </c:spPr>
      <c:txPr>
        <a:bodyPr/>
        <a:lstStyle/>
        <a:p>
          <a:pPr>
            <a:defRPr sz="999"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1090" b="0" i="0" u="none" strike="noStrike" baseline="0">
          <a:solidFill>
            <a:srgbClr val="000000"/>
          </a:solidFill>
          <a:latin typeface="宋体"/>
          <a:ea typeface="宋体"/>
          <a:cs typeface="宋体"/>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hPercent val="47"/>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6.5527065527065526E-2"/>
          <c:y val="5.6603773584905662E-2"/>
          <c:w val="0.69658119658119699"/>
          <c:h val="0.80754716981132013"/>
        </c:manualLayout>
      </c:layout>
      <c:bar3DChart>
        <c:barDir val="col"/>
        <c:grouping val="clustered"/>
        <c:ser>
          <c:idx val="0"/>
          <c:order val="0"/>
          <c:tx>
            <c:strRef>
              <c:f>Sheet1!$A$2</c:f>
              <c:strCache>
                <c:ptCount val="1"/>
                <c:pt idx="0">
                  <c:v>总收入</c:v>
                </c:pt>
              </c:strCache>
            </c:strRef>
          </c:tx>
          <c:spPr>
            <a:solidFill>
              <a:srgbClr val="9999FF"/>
            </a:solidFill>
            <a:ln w="13488">
              <a:solidFill>
                <a:srgbClr val="000000"/>
              </a:solidFill>
              <a:prstDash val="solid"/>
            </a:ln>
          </c:spPr>
          <c:cat>
            <c:strRef>
              <c:f>Sheet1!$B$1:$D$1</c:f>
              <c:strCache>
                <c:ptCount val="3"/>
                <c:pt idx="0">
                  <c:v>2018年</c:v>
                </c:pt>
                <c:pt idx="1">
                  <c:v>一般公共服务</c:v>
                </c:pt>
                <c:pt idx="2">
                  <c:v>社会保障和就业</c:v>
                </c:pt>
              </c:strCache>
            </c:strRef>
          </c:cat>
          <c:val>
            <c:numRef>
              <c:f>Sheet1!$B$2:$D$2</c:f>
              <c:numCache>
                <c:formatCode>General</c:formatCode>
                <c:ptCount val="3"/>
                <c:pt idx="0">
                  <c:v>1197.7</c:v>
                </c:pt>
              </c:numCache>
            </c:numRef>
          </c:val>
        </c:ser>
        <c:ser>
          <c:idx val="1"/>
          <c:order val="1"/>
          <c:tx>
            <c:strRef>
              <c:f>Sheet1!$A$3</c:f>
              <c:strCache>
                <c:ptCount val="1"/>
                <c:pt idx="0">
                  <c:v>一般公共服务</c:v>
                </c:pt>
              </c:strCache>
            </c:strRef>
          </c:tx>
          <c:spPr>
            <a:solidFill>
              <a:srgbClr val="993366"/>
            </a:solidFill>
            <a:ln w="13488">
              <a:solidFill>
                <a:srgbClr val="000000"/>
              </a:solidFill>
              <a:prstDash val="solid"/>
            </a:ln>
          </c:spPr>
          <c:cat>
            <c:strRef>
              <c:f>Sheet1!$B$1:$D$1</c:f>
              <c:strCache>
                <c:ptCount val="3"/>
                <c:pt idx="0">
                  <c:v>2018年</c:v>
                </c:pt>
                <c:pt idx="1">
                  <c:v>一般公共服务</c:v>
                </c:pt>
                <c:pt idx="2">
                  <c:v>社会保障和就业</c:v>
                </c:pt>
              </c:strCache>
            </c:strRef>
          </c:cat>
          <c:val>
            <c:numRef>
              <c:f>Sheet1!$B$3:$D$3</c:f>
              <c:numCache>
                <c:formatCode>General</c:formatCode>
                <c:ptCount val="3"/>
                <c:pt idx="0">
                  <c:v>1197.6599999999999</c:v>
                </c:pt>
              </c:numCache>
            </c:numRef>
          </c:val>
        </c:ser>
        <c:ser>
          <c:idx val="2"/>
          <c:order val="2"/>
          <c:tx>
            <c:strRef>
              <c:f>Sheet1!$A$4</c:f>
              <c:strCache>
                <c:ptCount val="1"/>
                <c:pt idx="0">
                  <c:v>社会保障和就业</c:v>
                </c:pt>
              </c:strCache>
            </c:strRef>
          </c:tx>
          <c:spPr>
            <a:solidFill>
              <a:srgbClr val="FFFF00"/>
            </a:solidFill>
            <a:ln w="13488">
              <a:solidFill>
                <a:srgbClr val="000000"/>
              </a:solidFill>
              <a:prstDash val="solid"/>
            </a:ln>
          </c:spPr>
          <c:cat>
            <c:strRef>
              <c:f>Sheet1!$B$1:$D$1</c:f>
              <c:strCache>
                <c:ptCount val="3"/>
                <c:pt idx="0">
                  <c:v>2018年</c:v>
                </c:pt>
                <c:pt idx="1">
                  <c:v>一般公共服务</c:v>
                </c:pt>
                <c:pt idx="2">
                  <c:v>社会保障和就业</c:v>
                </c:pt>
              </c:strCache>
            </c:strRef>
          </c:cat>
          <c:val>
            <c:numRef>
              <c:f>Sheet1!$B$4:$D$4</c:f>
              <c:numCache>
                <c:formatCode>General</c:formatCode>
                <c:ptCount val="3"/>
                <c:pt idx="0">
                  <c:v>3.0000000000000002E-2</c:v>
                </c:pt>
                <c:pt idx="2">
                  <c:v>3.0000000000000002E-2</c:v>
                </c:pt>
              </c:numCache>
            </c:numRef>
          </c:val>
        </c:ser>
        <c:ser>
          <c:idx val="3"/>
          <c:order val="3"/>
          <c:tx>
            <c:strRef>
              <c:f>Sheet1!$A$5</c:f>
              <c:strCache>
                <c:ptCount val="1"/>
                <c:pt idx="0">
                  <c:v>行政运行</c:v>
                </c:pt>
              </c:strCache>
            </c:strRef>
          </c:tx>
          <c:spPr>
            <a:solidFill>
              <a:srgbClr val="CCFFFF"/>
            </a:solidFill>
            <a:ln w="13488">
              <a:solidFill>
                <a:srgbClr val="000000"/>
              </a:solidFill>
              <a:prstDash val="solid"/>
            </a:ln>
          </c:spPr>
          <c:cat>
            <c:strRef>
              <c:f>Sheet1!$B$1:$D$1</c:f>
              <c:strCache>
                <c:ptCount val="3"/>
                <c:pt idx="0">
                  <c:v>2018年</c:v>
                </c:pt>
                <c:pt idx="1">
                  <c:v>一般公共服务</c:v>
                </c:pt>
                <c:pt idx="2">
                  <c:v>社会保障和就业</c:v>
                </c:pt>
              </c:strCache>
            </c:strRef>
          </c:cat>
          <c:val>
            <c:numRef>
              <c:f>Sheet1!$B$5:$D$5</c:f>
              <c:numCache>
                <c:formatCode>General</c:formatCode>
                <c:ptCount val="3"/>
                <c:pt idx="1">
                  <c:v>323.14999999999998</c:v>
                </c:pt>
              </c:numCache>
            </c:numRef>
          </c:val>
        </c:ser>
        <c:ser>
          <c:idx val="4"/>
          <c:order val="4"/>
          <c:tx>
            <c:strRef>
              <c:f>Sheet1!$A$6</c:f>
              <c:strCache>
                <c:ptCount val="1"/>
                <c:pt idx="0">
                  <c:v>一般行政管理事务</c:v>
                </c:pt>
              </c:strCache>
            </c:strRef>
          </c:tx>
          <c:spPr>
            <a:solidFill>
              <a:srgbClr val="660066"/>
            </a:solidFill>
            <a:ln w="13488">
              <a:solidFill>
                <a:srgbClr val="000000"/>
              </a:solidFill>
              <a:prstDash val="solid"/>
            </a:ln>
          </c:spPr>
          <c:cat>
            <c:strRef>
              <c:f>Sheet1!$B$1:$D$1</c:f>
              <c:strCache>
                <c:ptCount val="3"/>
                <c:pt idx="0">
                  <c:v>2018年</c:v>
                </c:pt>
                <c:pt idx="1">
                  <c:v>一般公共服务</c:v>
                </c:pt>
                <c:pt idx="2">
                  <c:v>社会保障和就业</c:v>
                </c:pt>
              </c:strCache>
            </c:strRef>
          </c:cat>
          <c:val>
            <c:numRef>
              <c:f>Sheet1!$B$6:$D$6</c:f>
              <c:numCache>
                <c:formatCode>General</c:formatCode>
                <c:ptCount val="3"/>
                <c:pt idx="1">
                  <c:v>845.78000000000043</c:v>
                </c:pt>
              </c:numCache>
            </c:numRef>
          </c:val>
        </c:ser>
        <c:ser>
          <c:idx val="5"/>
          <c:order val="5"/>
          <c:tx>
            <c:strRef>
              <c:f>Sheet1!$A$7</c:f>
              <c:strCache>
                <c:ptCount val="1"/>
                <c:pt idx="0">
                  <c:v>事业运行</c:v>
                </c:pt>
              </c:strCache>
            </c:strRef>
          </c:tx>
          <c:spPr>
            <a:solidFill>
              <a:srgbClr val="FF8080"/>
            </a:solidFill>
            <a:ln w="13488">
              <a:solidFill>
                <a:srgbClr val="000000"/>
              </a:solidFill>
              <a:prstDash val="solid"/>
            </a:ln>
          </c:spPr>
          <c:cat>
            <c:strRef>
              <c:f>Sheet1!$B$1:$D$1</c:f>
              <c:strCache>
                <c:ptCount val="3"/>
                <c:pt idx="0">
                  <c:v>2018年</c:v>
                </c:pt>
                <c:pt idx="1">
                  <c:v>一般公共服务</c:v>
                </c:pt>
                <c:pt idx="2">
                  <c:v>社会保障和就业</c:v>
                </c:pt>
              </c:strCache>
            </c:strRef>
          </c:cat>
          <c:val>
            <c:numRef>
              <c:f>Sheet1!$B$7:$D$7</c:f>
              <c:numCache>
                <c:formatCode>General</c:formatCode>
                <c:ptCount val="3"/>
                <c:pt idx="1">
                  <c:v>24.650000000000013</c:v>
                </c:pt>
              </c:numCache>
            </c:numRef>
          </c:val>
        </c:ser>
        <c:ser>
          <c:idx val="6"/>
          <c:order val="6"/>
          <c:tx>
            <c:strRef>
              <c:f>Sheet1!$A$8</c:f>
              <c:strCache>
                <c:ptCount val="1"/>
                <c:pt idx="0">
                  <c:v>其他组织事务 </c:v>
                </c:pt>
              </c:strCache>
            </c:strRef>
          </c:tx>
          <c:spPr>
            <a:solidFill>
              <a:srgbClr val="0066CC"/>
            </a:solidFill>
            <a:ln w="13488">
              <a:solidFill>
                <a:srgbClr val="000000"/>
              </a:solidFill>
              <a:prstDash val="solid"/>
            </a:ln>
          </c:spPr>
          <c:cat>
            <c:strRef>
              <c:f>Sheet1!$B$1:$D$1</c:f>
              <c:strCache>
                <c:ptCount val="3"/>
                <c:pt idx="0">
                  <c:v>2018年</c:v>
                </c:pt>
                <c:pt idx="1">
                  <c:v>一般公共服务</c:v>
                </c:pt>
                <c:pt idx="2">
                  <c:v>社会保障和就业</c:v>
                </c:pt>
              </c:strCache>
            </c:strRef>
          </c:cat>
          <c:val>
            <c:numRef>
              <c:f>Sheet1!$B$8:$D$8</c:f>
              <c:numCache>
                <c:formatCode>General</c:formatCode>
                <c:ptCount val="3"/>
                <c:pt idx="1">
                  <c:v>4.08</c:v>
                </c:pt>
              </c:numCache>
            </c:numRef>
          </c:val>
        </c:ser>
        <c:gapWidth val="100"/>
        <c:gapDepth val="0"/>
        <c:shape val="box"/>
        <c:axId val="83764736"/>
        <c:axId val="83766272"/>
        <c:axId val="0"/>
      </c:bar3DChart>
      <c:catAx>
        <c:axId val="83764736"/>
        <c:scaling>
          <c:orientation val="minMax"/>
        </c:scaling>
        <c:axPos val="b"/>
        <c:numFmt formatCode="General" sourceLinked="1"/>
        <c:majorTickMark val="in"/>
        <c:tickLblPos val="low"/>
        <c:spPr>
          <a:ln w="3372">
            <a:solidFill>
              <a:srgbClr val="000000"/>
            </a:solidFill>
            <a:prstDash val="solid"/>
          </a:ln>
        </c:spPr>
        <c:txPr>
          <a:bodyPr rot="0" vert="horz"/>
          <a:lstStyle/>
          <a:p>
            <a:pPr>
              <a:defRPr sz="1274" b="0" i="0" u="none" strike="noStrike" baseline="0">
                <a:solidFill>
                  <a:srgbClr val="000000"/>
                </a:solidFill>
                <a:latin typeface="宋体"/>
                <a:ea typeface="宋体"/>
                <a:cs typeface="宋体"/>
              </a:defRPr>
            </a:pPr>
            <a:endParaRPr lang="zh-CN"/>
          </a:p>
        </c:txPr>
        <c:crossAx val="83766272"/>
        <c:crosses val="autoZero"/>
        <c:auto val="1"/>
        <c:lblAlgn val="ctr"/>
        <c:lblOffset val="100"/>
        <c:tickLblSkip val="1"/>
        <c:tickMarkSkip val="1"/>
      </c:catAx>
      <c:valAx>
        <c:axId val="83766272"/>
        <c:scaling>
          <c:orientation val="minMax"/>
        </c:scaling>
        <c:axPos val="l"/>
        <c:numFmt formatCode="General" sourceLinked="1"/>
        <c:majorTickMark val="in"/>
        <c:tickLblPos val="nextTo"/>
        <c:spPr>
          <a:ln w="3372">
            <a:solidFill>
              <a:srgbClr val="000000"/>
            </a:solidFill>
            <a:prstDash val="solid"/>
          </a:ln>
        </c:spPr>
        <c:txPr>
          <a:bodyPr rot="0" vert="horz"/>
          <a:lstStyle/>
          <a:p>
            <a:pPr>
              <a:defRPr sz="1274" b="0" i="0" u="none" strike="noStrike" baseline="0">
                <a:solidFill>
                  <a:srgbClr val="000000"/>
                </a:solidFill>
                <a:latin typeface="宋体"/>
                <a:ea typeface="宋体"/>
                <a:cs typeface="宋体"/>
              </a:defRPr>
            </a:pPr>
            <a:endParaRPr lang="zh-CN"/>
          </a:p>
        </c:txPr>
        <c:crossAx val="83764736"/>
        <c:crosses val="autoZero"/>
        <c:crossBetween val="between"/>
      </c:valAx>
      <c:spPr>
        <a:solidFill>
          <a:srgbClr val="C0C0C0"/>
        </a:solidFill>
        <a:ln w="13488">
          <a:solidFill>
            <a:srgbClr val="808080"/>
          </a:solidFill>
          <a:prstDash val="solid"/>
        </a:ln>
      </c:spPr>
    </c:plotArea>
    <c:legend>
      <c:legendPos val="r"/>
      <c:layout>
        <c:manualLayout>
          <c:xMode val="edge"/>
          <c:yMode val="edge"/>
          <c:x val="0.77777777777777823"/>
          <c:y val="0.218867924528302"/>
          <c:w val="0.21652421652421663"/>
          <c:h val="0.5584905660377355"/>
        </c:manualLayout>
      </c:layout>
      <c:spPr>
        <a:solidFill>
          <a:srgbClr val="FFFFFF"/>
        </a:solidFill>
        <a:ln w="3372">
          <a:solidFill>
            <a:srgbClr val="000000"/>
          </a:solidFill>
          <a:prstDash val="solid"/>
        </a:ln>
      </c:spPr>
      <c:txPr>
        <a:bodyPr/>
        <a:lstStyle/>
        <a:p>
          <a:pPr>
            <a:defRPr sz="1168"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1274" b="0" i="0" u="none" strike="noStrike" baseline="0">
          <a:solidFill>
            <a:srgbClr val="000000"/>
          </a:solidFill>
          <a:latin typeface="宋体"/>
          <a:ea typeface="宋体"/>
          <a:cs typeface="宋体"/>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hPercent val="67"/>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9.7039473684210537E-2"/>
          <c:y val="6.8535825545171333E-2"/>
          <c:w val="0.66118421052631626"/>
          <c:h val="0.77881619937694657"/>
        </c:manualLayout>
      </c:layout>
      <c:bar3DChart>
        <c:barDir val="col"/>
        <c:grouping val="clustered"/>
        <c:ser>
          <c:idx val="0"/>
          <c:order val="0"/>
          <c:tx>
            <c:strRef>
              <c:f>Sheet1!$A$2</c:f>
              <c:strCache>
                <c:ptCount val="1"/>
                <c:pt idx="0">
                  <c:v>总支出</c:v>
                </c:pt>
              </c:strCache>
            </c:strRef>
          </c:tx>
          <c:spPr>
            <a:solidFill>
              <a:srgbClr val="9999FF"/>
            </a:solidFill>
            <a:ln w="13498">
              <a:solidFill>
                <a:srgbClr val="000000"/>
              </a:solidFill>
              <a:prstDash val="solid"/>
            </a:ln>
          </c:spPr>
          <c:cat>
            <c:strRef>
              <c:f>Sheet1!$B$1:$D$1</c:f>
              <c:strCache>
                <c:ptCount val="3"/>
                <c:pt idx="0">
                  <c:v>2018年度</c:v>
                </c:pt>
                <c:pt idx="1">
                  <c:v>基本支出</c:v>
                </c:pt>
                <c:pt idx="2">
                  <c:v>项目支出</c:v>
                </c:pt>
              </c:strCache>
            </c:strRef>
          </c:cat>
          <c:val>
            <c:numRef>
              <c:f>Sheet1!$B$2:$D$2</c:f>
              <c:numCache>
                <c:formatCode>General</c:formatCode>
                <c:ptCount val="3"/>
                <c:pt idx="0">
                  <c:v>683.8</c:v>
                </c:pt>
              </c:numCache>
            </c:numRef>
          </c:val>
        </c:ser>
        <c:ser>
          <c:idx val="1"/>
          <c:order val="1"/>
          <c:tx>
            <c:strRef>
              <c:f>Sheet1!$A$3</c:f>
              <c:strCache>
                <c:ptCount val="1"/>
                <c:pt idx="0">
                  <c:v>基本支出 </c:v>
                </c:pt>
              </c:strCache>
            </c:strRef>
          </c:tx>
          <c:spPr>
            <a:solidFill>
              <a:srgbClr val="993366"/>
            </a:solidFill>
            <a:ln w="13498">
              <a:solidFill>
                <a:srgbClr val="000000"/>
              </a:solidFill>
              <a:prstDash val="solid"/>
            </a:ln>
          </c:spPr>
          <c:cat>
            <c:strRef>
              <c:f>Sheet1!$B$1:$D$1</c:f>
              <c:strCache>
                <c:ptCount val="3"/>
                <c:pt idx="0">
                  <c:v>2018年度</c:v>
                </c:pt>
                <c:pt idx="1">
                  <c:v>基本支出</c:v>
                </c:pt>
                <c:pt idx="2">
                  <c:v>项目支出</c:v>
                </c:pt>
              </c:strCache>
            </c:strRef>
          </c:cat>
          <c:val>
            <c:numRef>
              <c:f>Sheet1!$B$3:$D$3</c:f>
              <c:numCache>
                <c:formatCode>General</c:formatCode>
                <c:ptCount val="3"/>
                <c:pt idx="0">
                  <c:v>330.42999999999978</c:v>
                </c:pt>
                <c:pt idx="1">
                  <c:v>347.8400000000002</c:v>
                </c:pt>
              </c:numCache>
            </c:numRef>
          </c:val>
        </c:ser>
        <c:ser>
          <c:idx val="2"/>
          <c:order val="2"/>
          <c:tx>
            <c:strRef>
              <c:f>Sheet1!$A$4</c:f>
              <c:strCache>
                <c:ptCount val="1"/>
                <c:pt idx="0">
                  <c:v>项目支出</c:v>
                </c:pt>
              </c:strCache>
            </c:strRef>
          </c:tx>
          <c:spPr>
            <a:solidFill>
              <a:srgbClr val="FFFFCC"/>
            </a:solidFill>
            <a:ln w="13498">
              <a:solidFill>
                <a:srgbClr val="000000"/>
              </a:solidFill>
              <a:prstDash val="solid"/>
            </a:ln>
          </c:spPr>
          <c:cat>
            <c:strRef>
              <c:f>Sheet1!$B$1:$D$1</c:f>
              <c:strCache>
                <c:ptCount val="3"/>
                <c:pt idx="0">
                  <c:v>2018年度</c:v>
                </c:pt>
                <c:pt idx="1">
                  <c:v>基本支出</c:v>
                </c:pt>
                <c:pt idx="2">
                  <c:v>项目支出</c:v>
                </c:pt>
              </c:strCache>
            </c:strRef>
          </c:cat>
          <c:val>
            <c:numRef>
              <c:f>Sheet1!$B$4:$D$4</c:f>
              <c:numCache>
                <c:formatCode>General</c:formatCode>
                <c:ptCount val="3"/>
                <c:pt idx="0">
                  <c:v>353.38</c:v>
                </c:pt>
                <c:pt idx="2">
                  <c:v>849.85999999999956</c:v>
                </c:pt>
              </c:numCache>
            </c:numRef>
          </c:val>
        </c:ser>
        <c:ser>
          <c:idx val="3"/>
          <c:order val="3"/>
          <c:tx>
            <c:strRef>
              <c:f>Sheet1!$A$5</c:f>
              <c:strCache>
                <c:ptCount val="1"/>
                <c:pt idx="0">
                  <c:v>工资福利支出</c:v>
                </c:pt>
              </c:strCache>
            </c:strRef>
          </c:tx>
          <c:spPr>
            <a:solidFill>
              <a:srgbClr val="CCFFFF"/>
            </a:solidFill>
            <a:ln w="13498">
              <a:solidFill>
                <a:srgbClr val="000000"/>
              </a:solidFill>
              <a:prstDash val="solid"/>
            </a:ln>
          </c:spPr>
          <c:cat>
            <c:strRef>
              <c:f>Sheet1!$B$1:$D$1</c:f>
              <c:strCache>
                <c:ptCount val="3"/>
                <c:pt idx="0">
                  <c:v>2018年度</c:v>
                </c:pt>
                <c:pt idx="1">
                  <c:v>基本支出</c:v>
                </c:pt>
                <c:pt idx="2">
                  <c:v>项目支出</c:v>
                </c:pt>
              </c:strCache>
            </c:strRef>
          </c:cat>
          <c:val>
            <c:numRef>
              <c:f>Sheet1!$B$5:$D$5</c:f>
              <c:numCache>
                <c:formatCode>General</c:formatCode>
                <c:ptCount val="3"/>
                <c:pt idx="1">
                  <c:v>208.75</c:v>
                </c:pt>
              </c:numCache>
            </c:numRef>
          </c:val>
        </c:ser>
        <c:ser>
          <c:idx val="4"/>
          <c:order val="4"/>
          <c:tx>
            <c:strRef>
              <c:f>Sheet1!$A$6</c:f>
              <c:strCache>
                <c:ptCount val="1"/>
                <c:pt idx="0">
                  <c:v>商品和服务支出</c:v>
                </c:pt>
              </c:strCache>
            </c:strRef>
          </c:tx>
          <c:spPr>
            <a:solidFill>
              <a:srgbClr val="660066"/>
            </a:solidFill>
            <a:ln w="13498">
              <a:solidFill>
                <a:srgbClr val="000000"/>
              </a:solidFill>
              <a:prstDash val="solid"/>
            </a:ln>
          </c:spPr>
          <c:cat>
            <c:strRef>
              <c:f>Sheet1!$B$1:$D$1</c:f>
              <c:strCache>
                <c:ptCount val="3"/>
                <c:pt idx="0">
                  <c:v>2018年度</c:v>
                </c:pt>
                <c:pt idx="1">
                  <c:v>基本支出</c:v>
                </c:pt>
                <c:pt idx="2">
                  <c:v>项目支出</c:v>
                </c:pt>
              </c:strCache>
            </c:strRef>
          </c:cat>
          <c:val>
            <c:numRef>
              <c:f>Sheet1!$B$6:$D$6</c:f>
              <c:numCache>
                <c:formatCode>General</c:formatCode>
                <c:ptCount val="3"/>
                <c:pt idx="1">
                  <c:v>20.74</c:v>
                </c:pt>
              </c:numCache>
            </c:numRef>
          </c:val>
        </c:ser>
        <c:ser>
          <c:idx val="5"/>
          <c:order val="5"/>
          <c:tx>
            <c:strRef>
              <c:f>Sheet1!$A$7</c:f>
              <c:strCache>
                <c:ptCount val="1"/>
                <c:pt idx="0">
                  <c:v>对个人各家庭补助</c:v>
                </c:pt>
              </c:strCache>
            </c:strRef>
          </c:tx>
          <c:spPr>
            <a:solidFill>
              <a:srgbClr val="FF8080"/>
            </a:solidFill>
            <a:ln w="13498">
              <a:solidFill>
                <a:srgbClr val="000000"/>
              </a:solidFill>
              <a:prstDash val="solid"/>
            </a:ln>
          </c:spPr>
          <c:cat>
            <c:strRef>
              <c:f>Sheet1!$B$1:$D$1</c:f>
              <c:strCache>
                <c:ptCount val="3"/>
                <c:pt idx="0">
                  <c:v>2018年度</c:v>
                </c:pt>
                <c:pt idx="1">
                  <c:v>基本支出</c:v>
                </c:pt>
                <c:pt idx="2">
                  <c:v>项目支出</c:v>
                </c:pt>
              </c:strCache>
            </c:strRef>
          </c:cat>
          <c:val>
            <c:numRef>
              <c:f>Sheet1!$B$7:$D$7</c:f>
              <c:numCache>
                <c:formatCode>General</c:formatCode>
                <c:ptCount val="3"/>
                <c:pt idx="1">
                  <c:v>118.35</c:v>
                </c:pt>
              </c:numCache>
            </c:numRef>
          </c:val>
        </c:ser>
        <c:ser>
          <c:idx val="6"/>
          <c:order val="6"/>
          <c:tx>
            <c:strRef>
              <c:f>Sheet1!$A$8</c:f>
              <c:strCache>
                <c:ptCount val="1"/>
                <c:pt idx="0">
                  <c:v>一般行政管理事务</c:v>
                </c:pt>
              </c:strCache>
            </c:strRef>
          </c:tx>
          <c:spPr>
            <a:solidFill>
              <a:srgbClr val="0066CC"/>
            </a:solidFill>
            <a:ln w="13498">
              <a:solidFill>
                <a:srgbClr val="000000"/>
              </a:solidFill>
              <a:prstDash val="solid"/>
            </a:ln>
          </c:spPr>
          <c:cat>
            <c:strRef>
              <c:f>Sheet1!$B$1:$D$1</c:f>
              <c:strCache>
                <c:ptCount val="3"/>
                <c:pt idx="0">
                  <c:v>2018年度</c:v>
                </c:pt>
                <c:pt idx="1">
                  <c:v>基本支出</c:v>
                </c:pt>
                <c:pt idx="2">
                  <c:v>项目支出</c:v>
                </c:pt>
              </c:strCache>
            </c:strRef>
          </c:cat>
          <c:val>
            <c:numRef>
              <c:f>Sheet1!$B$8:$D$8</c:f>
              <c:numCache>
                <c:formatCode>General</c:formatCode>
                <c:ptCount val="3"/>
                <c:pt idx="2">
                  <c:v>849.85999999999956</c:v>
                </c:pt>
              </c:numCache>
            </c:numRef>
          </c:val>
        </c:ser>
        <c:gapDepth val="0"/>
        <c:shape val="box"/>
        <c:axId val="148229504"/>
        <c:axId val="134349952"/>
        <c:axId val="0"/>
      </c:bar3DChart>
      <c:catAx>
        <c:axId val="148229504"/>
        <c:scaling>
          <c:orientation val="minMax"/>
        </c:scaling>
        <c:axPos val="b"/>
        <c:numFmt formatCode="General" sourceLinked="1"/>
        <c:majorTickMark val="in"/>
        <c:tickLblPos val="low"/>
        <c:spPr>
          <a:ln w="3375">
            <a:solidFill>
              <a:srgbClr val="000000"/>
            </a:solidFill>
            <a:prstDash val="solid"/>
          </a:ln>
        </c:spPr>
        <c:txPr>
          <a:bodyPr rot="0" vert="horz"/>
          <a:lstStyle/>
          <a:p>
            <a:pPr>
              <a:defRPr sz="1674" b="0" i="0" u="none" strike="noStrike" baseline="0">
                <a:solidFill>
                  <a:srgbClr val="000000"/>
                </a:solidFill>
                <a:latin typeface="宋体"/>
                <a:ea typeface="宋体"/>
                <a:cs typeface="宋体"/>
              </a:defRPr>
            </a:pPr>
            <a:endParaRPr lang="zh-CN"/>
          </a:p>
        </c:txPr>
        <c:crossAx val="134349952"/>
        <c:crosses val="autoZero"/>
        <c:auto val="1"/>
        <c:lblAlgn val="ctr"/>
        <c:lblOffset val="100"/>
        <c:tickLblSkip val="1"/>
        <c:tickMarkSkip val="1"/>
      </c:catAx>
      <c:valAx>
        <c:axId val="134349952"/>
        <c:scaling>
          <c:orientation val="minMax"/>
        </c:scaling>
        <c:axPos val="l"/>
        <c:majorGridlines>
          <c:spPr>
            <a:ln w="3375">
              <a:solidFill>
                <a:srgbClr val="000000"/>
              </a:solidFill>
              <a:prstDash val="solid"/>
            </a:ln>
          </c:spPr>
        </c:majorGridlines>
        <c:numFmt formatCode="General" sourceLinked="1"/>
        <c:majorTickMark val="in"/>
        <c:tickLblPos val="nextTo"/>
        <c:spPr>
          <a:ln w="3375">
            <a:solidFill>
              <a:srgbClr val="000000"/>
            </a:solidFill>
            <a:prstDash val="solid"/>
          </a:ln>
        </c:spPr>
        <c:txPr>
          <a:bodyPr rot="0" vert="horz"/>
          <a:lstStyle/>
          <a:p>
            <a:pPr>
              <a:defRPr sz="1674" b="0" i="0" u="none" strike="noStrike" baseline="0">
                <a:solidFill>
                  <a:srgbClr val="000000"/>
                </a:solidFill>
                <a:latin typeface="宋体"/>
                <a:ea typeface="宋体"/>
                <a:cs typeface="宋体"/>
              </a:defRPr>
            </a:pPr>
            <a:endParaRPr lang="zh-CN"/>
          </a:p>
        </c:txPr>
        <c:crossAx val="148229504"/>
        <c:crosses val="autoZero"/>
        <c:crossBetween val="between"/>
      </c:valAx>
      <c:spPr>
        <a:noFill/>
        <a:ln w="26996">
          <a:noFill/>
        </a:ln>
      </c:spPr>
    </c:plotArea>
    <c:legend>
      <c:legendPos val="r"/>
      <c:layout>
        <c:manualLayout>
          <c:xMode val="edge"/>
          <c:yMode val="edge"/>
          <c:x val="0.78125"/>
          <c:y val="0.34890965732087265"/>
          <c:w val="0.21710526315789494"/>
          <c:h val="0.39563862928348942"/>
        </c:manualLayout>
      </c:layout>
      <c:spPr>
        <a:noFill/>
        <a:ln w="3375">
          <a:solidFill>
            <a:srgbClr val="000000"/>
          </a:solidFill>
          <a:prstDash val="solid"/>
        </a:ln>
      </c:spPr>
      <c:txPr>
        <a:bodyPr/>
        <a:lstStyle/>
        <a:p>
          <a:pPr>
            <a:defRPr sz="978" b="0" i="0" u="none" strike="noStrike" baseline="0">
              <a:solidFill>
                <a:srgbClr val="000000"/>
              </a:solidFill>
              <a:latin typeface="仿宋"/>
              <a:ea typeface="仿宋"/>
              <a:cs typeface="仿宋"/>
            </a:defRPr>
          </a:pPr>
          <a:endParaRPr lang="zh-CN"/>
        </a:p>
      </c:txPr>
    </c:legend>
    <c:plotVisOnly val="1"/>
    <c:dispBlanksAs val="gap"/>
  </c:chart>
  <c:spPr>
    <a:noFill/>
    <a:ln>
      <a:noFill/>
    </a:ln>
  </c:spPr>
  <c:txPr>
    <a:bodyPr/>
    <a:lstStyle/>
    <a:p>
      <a:pPr>
        <a:defRPr sz="1674" b="0" i="0" u="none" strike="noStrike" baseline="0">
          <a:solidFill>
            <a:srgbClr val="000000"/>
          </a:solidFill>
          <a:latin typeface="宋体"/>
          <a:ea typeface="宋体"/>
          <a:cs typeface="宋体"/>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16</Pages>
  <Words>1064</Words>
  <Characters>6065</Characters>
  <Application>Microsoft Office Word</Application>
  <DocSecurity>0</DocSecurity>
  <Lines>50</Lines>
  <Paragraphs>14</Paragraphs>
  <ScaleCrop>false</ScaleCrop>
  <Company>Microsoft</Company>
  <LinksUpToDate>false</LinksUpToDate>
  <CharactersWithSpaces>7115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**年度县级部门决算公开参考格式</dc:title>
  <dc:creator>lenovo</dc:creator>
  <cp:lastModifiedBy>Micorosoft</cp:lastModifiedBy>
  <cp:revision>3</cp:revision>
  <dcterms:created xsi:type="dcterms:W3CDTF">2022-04-28T11:47:00Z</dcterms:created>
  <dcterms:modified xsi:type="dcterms:W3CDTF">2022-06-02T07:25:00Z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