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r>
        <w:rPr>
          <w:rFonts w:hint="eastAsia" w:ascii="方正小标宋_GBK" w:eastAsia="方正小标宋_GBK"/>
          <w:sz w:val="44"/>
          <w:szCs w:val="44"/>
        </w:rPr>
        <w:t>蓝田县烟草制品零售点合理布局规划（202</w:t>
      </w:r>
      <w:r>
        <w:rPr>
          <w:rFonts w:hint="eastAsia" w:ascii="方正小标宋_GBK" w:eastAsia="方正小标宋_GBK"/>
          <w:sz w:val="44"/>
          <w:szCs w:val="44"/>
          <w:lang w:val="en-US" w:eastAsia="zh-CN"/>
        </w:rPr>
        <w:t>2</w:t>
      </w:r>
      <w:r>
        <w:rPr>
          <w:rFonts w:hint="eastAsia" w:ascii="方正小标宋_GBK" w:eastAsia="方正小标宋_GBK"/>
          <w:sz w:val="44"/>
          <w:szCs w:val="44"/>
        </w:rPr>
        <w:t>-202</w:t>
      </w:r>
      <w:r>
        <w:rPr>
          <w:rFonts w:hint="eastAsia" w:ascii="方正小标宋_GBK" w:eastAsia="方正小标宋_GBK"/>
          <w:sz w:val="44"/>
          <w:szCs w:val="44"/>
          <w:lang w:val="en-US" w:eastAsia="zh-CN"/>
        </w:rPr>
        <w:t>6</w:t>
      </w:r>
      <w:r>
        <w:rPr>
          <w:rFonts w:hint="eastAsia" w:ascii="方正小标宋_GBK" w:eastAsia="方正小标宋_GBK"/>
          <w:sz w:val="44"/>
          <w:szCs w:val="44"/>
        </w:rPr>
        <w:t>年）</w:t>
      </w:r>
    </w:p>
    <w:p>
      <w:pPr>
        <w:jc w:val="center"/>
        <w:rPr>
          <w:rFonts w:ascii="方正小标宋_GBK" w:eastAsia="方正小标宋_GBK"/>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lang w:val="en-US" w:eastAsia="zh-CN"/>
        </w:rPr>
        <w:t>第一章</w:t>
      </w:r>
      <w:r>
        <w:rPr>
          <w:rFonts w:hint="eastAsia" w:ascii="黑体" w:hAnsi="黑体" w:eastAsia="黑体" w:cs="黑体"/>
          <w:sz w:val="32"/>
          <w:szCs w:val="32"/>
        </w:rPr>
        <w:t xml:space="preserve"> 总则</w:t>
      </w:r>
    </w:p>
    <w:p>
      <w:pPr>
        <w:ind w:firstLine="645"/>
        <w:rPr>
          <w:rFonts w:ascii="仿宋_GB2312" w:eastAsia="仿宋_GB2312"/>
          <w:sz w:val="32"/>
          <w:szCs w:val="32"/>
        </w:rPr>
      </w:pPr>
      <w:r>
        <w:rPr>
          <w:rFonts w:hint="eastAsia" w:ascii="仿宋_GB2312" w:eastAsia="仿宋_GB2312"/>
          <w:sz w:val="32"/>
          <w:szCs w:val="32"/>
        </w:rPr>
        <w:t>第一条  为加强烟草专卖零售许可证管理，合理布局烟草制品零售点，进一步规范烟草专卖行政审批行为，维护国家利益和消费者的合法权益，根据《中华人民共和国行政许可法》</w:t>
      </w:r>
      <w:r>
        <w:rPr>
          <w:rFonts w:hint="eastAsia" w:ascii="仿宋_GB2312" w:eastAsia="仿宋_GB2312"/>
          <w:sz w:val="32"/>
          <w:szCs w:val="32"/>
          <w:lang w:eastAsia="zh-CN"/>
        </w:rPr>
        <w:t>《</w:t>
      </w:r>
      <w:r>
        <w:rPr>
          <w:rFonts w:hint="eastAsia" w:ascii="仿宋_GB2312" w:eastAsia="仿宋_GB2312"/>
          <w:sz w:val="32"/>
          <w:szCs w:val="32"/>
          <w:lang w:val="en-US" w:eastAsia="zh-CN"/>
        </w:rPr>
        <w:t>中华人民共和国未成年人保护法</w:t>
      </w:r>
      <w:r>
        <w:rPr>
          <w:rFonts w:hint="eastAsia" w:ascii="仿宋_GB2312" w:eastAsia="仿宋_GB2312"/>
          <w:sz w:val="32"/>
          <w:szCs w:val="32"/>
          <w:lang w:eastAsia="zh-CN"/>
        </w:rPr>
        <w:t>》</w:t>
      </w:r>
      <w:r>
        <w:rPr>
          <w:rFonts w:hint="eastAsia" w:ascii="仿宋_GB2312" w:eastAsia="仿宋_GB2312"/>
          <w:sz w:val="32"/>
          <w:szCs w:val="32"/>
        </w:rPr>
        <w:t>《中华人民共和国烟草专卖法》《中华人民共和国烟草专卖法实施条例》《烟草专卖许可证管理办法》(工信部令第37号)等法律、法规的有关规定，结合蓝田县辖区实际，特制定</w:t>
      </w:r>
      <w:r>
        <w:rPr>
          <w:rFonts w:hint="eastAsia" w:ascii="仿宋_GB2312" w:hAnsi="宋体" w:eastAsia="仿宋_GB2312"/>
          <w:sz w:val="32"/>
          <w:szCs w:val="32"/>
        </w:rPr>
        <w:t>蓝田县烟草制品零售点合理布局规划</w:t>
      </w:r>
      <w:r>
        <w:rPr>
          <w:rFonts w:hint="eastAsia" w:ascii="仿宋_GB2312" w:eastAsia="仿宋_GB2312"/>
          <w:sz w:val="32"/>
          <w:szCs w:val="32"/>
        </w:rPr>
        <w:t>。</w:t>
      </w:r>
    </w:p>
    <w:p>
      <w:pPr>
        <w:ind w:firstLine="645"/>
        <w:rPr>
          <w:rFonts w:ascii="仿宋_GB2312" w:hAnsi="仿宋" w:eastAsia="仿宋_GB2312"/>
          <w:sz w:val="32"/>
          <w:szCs w:val="32"/>
        </w:rPr>
      </w:pPr>
      <w:r>
        <w:rPr>
          <w:rFonts w:hint="eastAsia" w:ascii="仿宋_GB2312" w:eastAsia="仿宋_GB2312"/>
          <w:sz w:val="32"/>
          <w:szCs w:val="32"/>
        </w:rPr>
        <w:t>第二条  本规划适用于蓝田县</w:t>
      </w:r>
      <w:r>
        <w:rPr>
          <w:rFonts w:hint="eastAsia" w:ascii="仿宋_GB2312" w:hAnsi="仿宋" w:eastAsia="仿宋_GB2312"/>
          <w:sz w:val="32"/>
          <w:szCs w:val="32"/>
        </w:rPr>
        <w:t>行政区域范围的烟草制品零售点的布局。</w:t>
      </w:r>
    </w:p>
    <w:p>
      <w:pPr>
        <w:adjustRightInd w:val="0"/>
        <w:snapToGrid w:val="0"/>
        <w:spacing w:line="360" w:lineRule="auto"/>
        <w:ind w:firstLine="640" w:firstLineChars="200"/>
        <w:rPr>
          <w:rFonts w:ascii="仿宋_GB2312" w:eastAsia="仿宋_GB2312"/>
          <w:sz w:val="32"/>
          <w:szCs w:val="32"/>
        </w:rPr>
      </w:pPr>
      <w:r>
        <w:rPr>
          <w:rFonts w:hint="eastAsia" w:ascii="仿宋_GB2312" w:hAnsi="仿宋" w:eastAsia="仿宋_GB2312"/>
          <w:sz w:val="32"/>
          <w:szCs w:val="32"/>
        </w:rPr>
        <w:t xml:space="preserve">第三条  </w:t>
      </w:r>
      <w:r>
        <w:rPr>
          <w:rFonts w:hint="eastAsia" w:ascii="仿宋_GB2312" w:eastAsia="仿宋_GB2312"/>
          <w:sz w:val="32"/>
          <w:szCs w:val="32"/>
        </w:rPr>
        <w:t>本规划所称合理布局，符合《中华人民共和国烟草专卖法》的立法宗旨，依照国务院颁布的《烟草专卖法实施条例》第九条第三项、第四项规定“取得烟草专卖零售许可证应当具备：符合烟草制品零售点合理布局的要求和国务院烟草专卖行政主管部门规定的其他条件。”《烟草专卖许可证管理办法》第十三条第三项“符合当地烟草制品零售点合理布局的要求”依法施行。</w:t>
      </w:r>
    </w:p>
    <w:p>
      <w:pPr>
        <w:ind w:firstLine="645"/>
        <w:rPr>
          <w:rFonts w:ascii="仿宋_GB2312" w:eastAsia="仿宋_GB2312"/>
          <w:sz w:val="32"/>
          <w:szCs w:val="32"/>
        </w:rPr>
      </w:pPr>
      <w:r>
        <w:rPr>
          <w:rFonts w:hint="eastAsia" w:ascii="仿宋_GB2312" w:eastAsia="仿宋_GB2312"/>
          <w:sz w:val="32"/>
          <w:szCs w:val="32"/>
        </w:rPr>
        <w:t>第四条  本规划所列合理布局，是依照《烟草专卖许可证管理办法》第十五条“制定烟草制品零售点合理布局规划时，应当根据辖区内的人口数量、交通状况、经济发展水平、消费能力等因素，在举行听证后确定零售点的合理布局。烟草制品零售点的合理布局规划、经营资金要求和经营场所条件，由县级以上烟草专卖行政主管部门制定，并报上一级烟草专卖行政主管部门备案。”根据蓝田县辖区近年来的交通状况、经济社会发展水平、消费能力等因素，按照便于消费者购买卷烟，便于烟草专卖批发企业服务烟草专卖零售户，便于有效实施烟草专卖管理总体要求，对烟草制品零售点进行合理布局规划。</w:t>
      </w:r>
    </w:p>
    <w:p>
      <w:pPr>
        <w:ind w:firstLine="645"/>
        <w:rPr>
          <w:rFonts w:ascii="仿宋_GB2312" w:eastAsia="仿宋_GB2312"/>
          <w:sz w:val="32"/>
          <w:szCs w:val="32"/>
        </w:rPr>
      </w:pPr>
      <w:r>
        <w:rPr>
          <w:rFonts w:hint="eastAsia" w:ascii="仿宋_GB2312" w:eastAsia="仿宋_GB2312"/>
          <w:sz w:val="32"/>
          <w:szCs w:val="32"/>
        </w:rPr>
        <w:t>第五条  本规划所指烟草制品零售点（以下简称零售点）是指依法申领烟草专卖零售许可证从事卷烟、雪茄烟零售业务的公民、法人及其他组织开展烟草制品零售经营业务的场所，其销售对象应为烟草制品的具体消费者。所指合理化布局是指在一定区域和市场范围内，根据相关法律规定和辖区内行政许可资源配置对零售点进行布局。</w:t>
      </w:r>
    </w:p>
    <w:p>
      <w:pPr>
        <w:ind w:firstLine="645"/>
        <w:rPr>
          <w:rFonts w:ascii="仿宋_GB2312" w:eastAsia="仿宋_GB2312"/>
          <w:sz w:val="32"/>
          <w:szCs w:val="32"/>
        </w:rPr>
      </w:pPr>
      <w:r>
        <w:rPr>
          <w:rFonts w:hint="eastAsia" w:ascii="仿宋_GB2312" w:eastAsia="仿宋_GB2312"/>
          <w:sz w:val="32"/>
          <w:szCs w:val="32"/>
        </w:rPr>
        <w:t>第六条  蓝田县行政区域内烟草专卖零售许可证的新办申请应当符合本规划。</w:t>
      </w:r>
    </w:p>
    <w:p>
      <w:pPr>
        <w:jc w:val="center"/>
        <w:rPr>
          <w:rFonts w:hint="eastAsia" w:ascii="黑体" w:hAnsi="黑体" w:eastAsia="黑体" w:cs="黑体"/>
          <w:sz w:val="32"/>
          <w:szCs w:val="32"/>
        </w:rPr>
      </w:pPr>
      <w:r>
        <w:rPr>
          <w:rFonts w:hint="eastAsia" w:ascii="黑体" w:hAnsi="黑体" w:eastAsia="黑体" w:cs="黑体"/>
          <w:sz w:val="32"/>
          <w:szCs w:val="32"/>
          <w:lang w:val="en-US" w:eastAsia="zh-CN"/>
        </w:rPr>
        <w:t>第二章</w:t>
      </w:r>
      <w:r>
        <w:rPr>
          <w:rFonts w:hint="eastAsia" w:ascii="黑体" w:hAnsi="黑体" w:eastAsia="黑体" w:cs="黑体"/>
          <w:sz w:val="32"/>
          <w:szCs w:val="32"/>
        </w:rPr>
        <w:t xml:space="preserve"> 合理布局规划的基本原则</w:t>
      </w:r>
    </w:p>
    <w:p>
      <w:pPr>
        <w:ind w:firstLine="630"/>
        <w:rPr>
          <w:rFonts w:ascii="仿宋_GB2312" w:eastAsia="仿宋_GB2312"/>
          <w:sz w:val="32"/>
          <w:szCs w:val="32"/>
        </w:rPr>
      </w:pPr>
      <w:r>
        <w:rPr>
          <w:rFonts w:hint="eastAsia" w:ascii="仿宋_GB2312" w:eastAsia="仿宋_GB2312"/>
          <w:sz w:val="32"/>
          <w:szCs w:val="32"/>
        </w:rPr>
        <w:t>第七条  依法行政原则</w:t>
      </w:r>
    </w:p>
    <w:p>
      <w:pPr>
        <w:ind w:firstLine="630"/>
        <w:rPr>
          <w:rFonts w:ascii="仿宋_GB2312" w:eastAsia="仿宋_GB2312"/>
          <w:sz w:val="32"/>
          <w:szCs w:val="32"/>
        </w:rPr>
      </w:pPr>
      <w:r>
        <w:rPr>
          <w:rFonts w:hint="eastAsia" w:ascii="仿宋_GB2312" w:eastAsia="仿宋_GB2312"/>
          <w:sz w:val="32"/>
          <w:szCs w:val="32"/>
        </w:rPr>
        <w:t>制定烟草制品零售点合理布局规划，依据《中华人民共和国烟草专卖法》、《中华人民共和国烟草专卖法实施条例》、《烟草专卖许可证管理办法》和《烟草专卖许可证管理办法实施细则》的规定，依法对烟草制品零售点进行布局规划。经过公开征求意见、听证、报上级部门和地方政府有关部门备案等程序，制订和施行合理布局规划。</w:t>
      </w:r>
    </w:p>
    <w:p>
      <w:pPr>
        <w:ind w:firstLine="630"/>
        <w:rPr>
          <w:rFonts w:ascii="仿宋_GB2312" w:eastAsia="仿宋_GB2312"/>
          <w:sz w:val="32"/>
          <w:szCs w:val="32"/>
        </w:rPr>
      </w:pPr>
      <w:r>
        <w:rPr>
          <w:rFonts w:hint="eastAsia" w:ascii="仿宋_GB2312" w:eastAsia="仿宋_GB2312"/>
          <w:sz w:val="32"/>
          <w:szCs w:val="32"/>
        </w:rPr>
        <w:t>第八条  公开、公平、公正原则</w:t>
      </w:r>
    </w:p>
    <w:p>
      <w:pPr>
        <w:ind w:firstLine="630"/>
        <w:rPr>
          <w:rFonts w:ascii="仿宋_GB2312" w:eastAsia="仿宋_GB2312"/>
          <w:sz w:val="32"/>
          <w:szCs w:val="32"/>
        </w:rPr>
      </w:pPr>
      <w:r>
        <w:rPr>
          <w:rFonts w:hint="eastAsia" w:ascii="仿宋_GB2312" w:eastAsia="仿宋_GB2312"/>
          <w:sz w:val="32"/>
          <w:szCs w:val="32"/>
        </w:rPr>
        <w:t>根据《行政许可法》的基本原则，规划实施的主体、条件、程序、期限等具体内容及实施结果向社会公众及时公开。同时，在制定和实施合理布局规划的过程中，应公平公正的对待符合法定条件的申请人。</w:t>
      </w:r>
    </w:p>
    <w:p>
      <w:pPr>
        <w:ind w:firstLine="630"/>
        <w:rPr>
          <w:rFonts w:ascii="仿宋_GB2312" w:eastAsia="仿宋_GB2312"/>
          <w:sz w:val="32"/>
          <w:szCs w:val="32"/>
        </w:rPr>
      </w:pPr>
      <w:r>
        <w:rPr>
          <w:rFonts w:hint="eastAsia" w:ascii="仿宋_GB2312" w:eastAsia="仿宋_GB2312"/>
          <w:sz w:val="32"/>
          <w:szCs w:val="32"/>
        </w:rPr>
        <w:t>第九条  优化布局、均衡发展原则</w:t>
      </w:r>
    </w:p>
    <w:p>
      <w:pPr>
        <w:ind w:firstLine="630"/>
        <w:rPr>
          <w:rFonts w:ascii="仿宋_GB2312" w:eastAsia="仿宋_GB2312"/>
          <w:sz w:val="32"/>
          <w:szCs w:val="32"/>
        </w:rPr>
      </w:pPr>
      <w:r>
        <w:rPr>
          <w:rFonts w:hint="eastAsia" w:ascii="仿宋_GB2312" w:eastAsia="仿宋_GB2312"/>
          <w:sz w:val="32"/>
          <w:szCs w:val="32"/>
        </w:rPr>
        <w:t xml:space="preserve">制定零售点合理布局标准，在采纳上级机关意见的基础上，充分考虑到县域人口数量、地理位置、交通状况、经济发展水平、消费习惯、零售点存量、市场监管与服务覆盖能力等要素，提高科学布局水平。保持零售点分布与卷烟市场区位相协调，维持零售点总量合理稳定，优化网点布局，提高经营效率，在便利消费的同时实现零售点数量均衡发展。 </w:t>
      </w:r>
    </w:p>
    <w:p>
      <w:pPr>
        <w:ind w:firstLine="630"/>
        <w:rPr>
          <w:rFonts w:ascii="仿宋_GB2312" w:eastAsia="仿宋_GB2312"/>
          <w:sz w:val="32"/>
          <w:szCs w:val="32"/>
        </w:rPr>
      </w:pPr>
      <w:r>
        <w:rPr>
          <w:rFonts w:hint="eastAsia" w:ascii="仿宋_GB2312" w:eastAsia="仿宋_GB2312"/>
          <w:sz w:val="32"/>
          <w:szCs w:val="32"/>
        </w:rPr>
        <w:t>第十条  服务社会原则</w:t>
      </w:r>
    </w:p>
    <w:p>
      <w:pPr>
        <w:ind w:firstLine="630"/>
        <w:rPr>
          <w:rFonts w:ascii="仿宋_GB2312" w:eastAsia="仿宋_GB2312"/>
          <w:sz w:val="32"/>
          <w:szCs w:val="32"/>
        </w:rPr>
      </w:pPr>
      <w:r>
        <w:rPr>
          <w:rFonts w:hint="eastAsia" w:ascii="仿宋_GB2312" w:eastAsia="仿宋_GB2312"/>
          <w:sz w:val="32"/>
          <w:szCs w:val="32"/>
        </w:rPr>
        <w:t>不断提升行政服务效能，方便群众办事。统筹考虑控烟履约、未成年人保护、便利消费者和烟草行业社会责任等因素，服务民生，扶持社会弱势群体，对守法经营的弱势群体在符合办证条件的前提下优先考虑，替政府分忧，为百姓解难。</w:t>
      </w: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第三章  合理布局规划制定标准</w:t>
      </w:r>
    </w:p>
    <w:p>
      <w:pPr>
        <w:ind w:firstLine="630"/>
        <w:rPr>
          <w:rFonts w:ascii="仿宋_GB2312" w:eastAsia="仿宋_GB2312"/>
          <w:sz w:val="32"/>
          <w:szCs w:val="32"/>
        </w:rPr>
      </w:pPr>
      <w:r>
        <w:rPr>
          <w:rFonts w:hint="eastAsia" w:ascii="仿宋_GB2312" w:eastAsia="仿宋_GB2312"/>
          <w:sz w:val="32"/>
          <w:szCs w:val="32"/>
        </w:rPr>
        <w:t>第十一条  不予许可情形</w:t>
      </w:r>
    </w:p>
    <w:p>
      <w:pPr>
        <w:ind w:firstLine="630"/>
        <w:rPr>
          <w:rFonts w:ascii="仿宋_GB2312" w:eastAsia="仿宋_GB2312"/>
          <w:b/>
          <w:sz w:val="32"/>
          <w:szCs w:val="32"/>
        </w:rPr>
      </w:pPr>
      <w:r>
        <w:rPr>
          <w:rFonts w:hint="eastAsia" w:ascii="仿宋_GB2312" w:eastAsia="仿宋_GB2312"/>
          <w:sz w:val="32"/>
          <w:szCs w:val="32"/>
        </w:rPr>
        <w:t>（一）《烟草专卖许可证管理办法》、《烟草专卖许可证管理办法实施细则》中规定的不予许可的情形。</w:t>
      </w:r>
    </w:p>
    <w:p>
      <w:pPr>
        <w:ind w:firstLine="630"/>
        <w:rPr>
          <w:rFonts w:ascii="仿宋_GB2312" w:eastAsia="仿宋_GB2312"/>
          <w:b/>
          <w:sz w:val="32"/>
          <w:szCs w:val="32"/>
        </w:rPr>
      </w:pPr>
      <w:r>
        <w:rPr>
          <w:rFonts w:hint="eastAsia" w:ascii="仿宋_GB2312" w:eastAsia="仿宋_GB2312"/>
          <w:sz w:val="32"/>
          <w:szCs w:val="32"/>
        </w:rPr>
        <w:t>（二）未满18周岁或无民事行为能力人及限制民事行为能力人。</w:t>
      </w:r>
    </w:p>
    <w:p>
      <w:pPr>
        <w:ind w:firstLine="630"/>
        <w:rPr>
          <w:rFonts w:ascii="仿宋_GB2312" w:eastAsia="仿宋_GB2312"/>
          <w:b/>
          <w:sz w:val="32"/>
          <w:szCs w:val="32"/>
        </w:rPr>
      </w:pPr>
      <w:r>
        <w:rPr>
          <w:rFonts w:hint="eastAsia" w:ascii="仿宋_GB2312" w:eastAsia="仿宋_GB2312"/>
          <w:sz w:val="32"/>
          <w:szCs w:val="32"/>
        </w:rPr>
        <w:t>（三）生产、经营、存储有毒有害以及容易造成烟草制品污染的物品的（包括：化工、农药、油漆等）；容易造成烟草制品污染的场所（包括：化妆品店、美容美发、生产加工厂、修理店、公厕、废品回收点等），原有的许可证到期后不予延续。</w:t>
      </w:r>
    </w:p>
    <w:p>
      <w:pPr>
        <w:ind w:firstLine="630"/>
        <w:rPr>
          <w:rFonts w:ascii="仿宋_GB2312" w:eastAsia="仿宋_GB2312"/>
          <w:b/>
          <w:sz w:val="32"/>
          <w:szCs w:val="32"/>
        </w:rPr>
      </w:pPr>
      <w:r>
        <w:rPr>
          <w:rFonts w:hint="eastAsia" w:ascii="仿宋_GB2312" w:eastAsia="仿宋_GB2312"/>
          <w:sz w:val="32"/>
          <w:szCs w:val="32"/>
        </w:rPr>
        <w:t>（四）中小学、幼儿园内及周围。中小学包括普通中小学、特殊教育学校、中等职业学校、专门学校。中小学、幼儿园距离范围为校门（在校学生日常可通行的出入口）中间点为圆心，50米为半径的区域。现有零售户许可证有效期到期后不予延续。</w:t>
      </w:r>
    </w:p>
    <w:p>
      <w:pPr>
        <w:ind w:firstLine="630"/>
        <w:rPr>
          <w:rFonts w:ascii="仿宋_GB2312" w:eastAsia="仿宋_GB2312"/>
          <w:b/>
          <w:sz w:val="32"/>
          <w:szCs w:val="32"/>
        </w:rPr>
      </w:pPr>
      <w:r>
        <w:rPr>
          <w:rFonts w:hint="eastAsia" w:ascii="仿宋_GB2312" w:eastAsia="仿宋_GB2312"/>
          <w:sz w:val="32"/>
          <w:szCs w:val="32"/>
        </w:rPr>
        <w:t>（五）未成年人教育培训机构内。</w:t>
      </w:r>
    </w:p>
    <w:p>
      <w:pPr>
        <w:ind w:firstLine="630"/>
        <w:rPr>
          <w:rFonts w:ascii="仿宋_GB2312" w:eastAsia="仿宋_GB2312"/>
          <w:b/>
          <w:sz w:val="32"/>
          <w:szCs w:val="32"/>
        </w:rPr>
      </w:pPr>
      <w:r>
        <w:rPr>
          <w:rFonts w:hint="eastAsia" w:ascii="仿宋_GB2312" w:eastAsia="仿宋_GB2312"/>
          <w:sz w:val="32"/>
          <w:szCs w:val="32"/>
        </w:rPr>
        <w:t>（六）已被政府纳入征收规划区域。</w:t>
      </w:r>
    </w:p>
    <w:p>
      <w:pPr>
        <w:ind w:firstLine="630"/>
        <w:rPr>
          <w:rFonts w:ascii="仿宋_GB2312" w:eastAsia="仿宋_GB2312"/>
          <w:b/>
          <w:sz w:val="32"/>
          <w:szCs w:val="32"/>
        </w:rPr>
      </w:pPr>
      <w:r>
        <w:rPr>
          <w:rFonts w:hint="eastAsia" w:ascii="仿宋_GB2312" w:eastAsia="仿宋_GB2312"/>
          <w:sz w:val="32"/>
          <w:szCs w:val="32"/>
        </w:rPr>
        <w:t>（七）不符合所属行业行政主管部门关于卷烟经营相关规定的或政府明令禁止经营卷烟类商品的区域（如：党政机关内、医疗卫生机构内）。</w:t>
      </w:r>
    </w:p>
    <w:p>
      <w:pPr>
        <w:ind w:firstLine="630"/>
        <w:rPr>
          <w:rFonts w:hint="eastAsia" w:ascii="仿宋_GB2312" w:eastAsia="仿宋_GB2312"/>
          <w:b/>
          <w:sz w:val="32"/>
          <w:szCs w:val="32"/>
        </w:rPr>
      </w:pPr>
      <w:r>
        <w:rPr>
          <w:rFonts w:hint="eastAsia" w:ascii="仿宋_GB2312" w:eastAsia="仿宋_GB2312"/>
          <w:sz w:val="32"/>
          <w:szCs w:val="32"/>
        </w:rPr>
        <w:t>（八）利用自动售货机、信息网络销售烟草制品以及不能有效识别未成年人，无有效措施限制未成年人购买烟草制品的无人超市、无人商店等。</w:t>
      </w:r>
    </w:p>
    <w:p>
      <w:pPr>
        <w:ind w:firstLine="630"/>
        <w:rPr>
          <w:rFonts w:hint="eastAsia" w:ascii="仿宋_GB2312" w:eastAsia="仿宋_GB2312"/>
          <w:b/>
          <w:sz w:val="32"/>
          <w:szCs w:val="32"/>
        </w:rPr>
      </w:pPr>
      <w:r>
        <w:rPr>
          <w:rFonts w:hint="eastAsia" w:ascii="仿宋_GB2312" w:eastAsia="仿宋_GB2312"/>
          <w:sz w:val="32"/>
          <w:szCs w:val="32"/>
        </w:rPr>
        <w:t>第十二条  一般区域限制情形</w:t>
      </w:r>
    </w:p>
    <w:p>
      <w:pPr>
        <w:ind w:firstLine="630"/>
        <w:rPr>
          <w:rFonts w:hint="eastAsia" w:ascii="仿宋_GB2312" w:eastAsia="仿宋_GB2312"/>
          <w:b/>
          <w:sz w:val="32"/>
          <w:szCs w:val="32"/>
        </w:rPr>
      </w:pPr>
      <w:r>
        <w:rPr>
          <w:rFonts w:hint="eastAsia" w:ascii="仿宋_GB2312" w:eastAsia="仿宋_GB2312"/>
          <w:sz w:val="32"/>
          <w:szCs w:val="32"/>
        </w:rPr>
        <w:t>（一）县城、乡镇（街办）的各类街道沿街设置的零售点，为零售点布局一般区域，同侧、异（对）侧临近零售点最短可通行间距不少于50米，行人不能直接通行的对侧街道除外。</w:t>
      </w:r>
    </w:p>
    <w:p>
      <w:pPr>
        <w:ind w:firstLine="630"/>
        <w:rPr>
          <w:rFonts w:hint="eastAsia" w:ascii="仿宋_GB2312" w:eastAsia="仿宋_GB2312"/>
          <w:b/>
          <w:sz w:val="32"/>
          <w:szCs w:val="32"/>
        </w:rPr>
      </w:pPr>
      <w:r>
        <w:rPr>
          <w:rFonts w:hint="eastAsia" w:ascii="仿宋_GB2312" w:eastAsia="仿宋_GB2312"/>
          <w:sz w:val="32"/>
          <w:szCs w:val="32"/>
        </w:rPr>
        <w:t>（二）加油站、加气站等可能存在安全隐患的经营场所，且不具备安全措施保障，不适宜经营卷烟的，不予许可。具备安全保障措施的经营场所需提供相应安全证明文书。</w:t>
      </w:r>
    </w:p>
    <w:p>
      <w:pPr>
        <w:ind w:firstLine="630"/>
        <w:rPr>
          <w:rFonts w:hint="eastAsia" w:ascii="仿宋_GB2312" w:eastAsia="仿宋_GB2312"/>
          <w:b/>
          <w:sz w:val="32"/>
          <w:szCs w:val="32"/>
        </w:rPr>
      </w:pPr>
      <w:r>
        <w:rPr>
          <w:rFonts w:hint="eastAsia" w:ascii="仿宋_GB2312" w:eastAsia="仿宋_GB2312"/>
          <w:sz w:val="32"/>
          <w:szCs w:val="32"/>
        </w:rPr>
        <w:t>（三）所申请零售点需具备与住所相对独立的固定经营场所。</w:t>
      </w:r>
    </w:p>
    <w:p>
      <w:pPr>
        <w:ind w:firstLine="630"/>
        <w:rPr>
          <w:rFonts w:hint="eastAsia" w:ascii="仿宋_GB2312" w:eastAsia="仿宋_GB2312"/>
          <w:b/>
          <w:sz w:val="32"/>
          <w:szCs w:val="32"/>
        </w:rPr>
      </w:pPr>
      <w:r>
        <w:rPr>
          <w:rFonts w:hint="eastAsia" w:ascii="仿宋_GB2312" w:eastAsia="仿宋_GB2312"/>
          <w:sz w:val="32"/>
          <w:szCs w:val="32"/>
        </w:rPr>
        <w:t>1、固定经营场所是指可对消费者全开放的商品销售和商品仓储场所，不包含（有人员居住的）住宅、公寓、生活住所的地下室、储藏室、违法建筑、流动摊点、售货车、集装箱屋、临时棚舍、市场无围墙摊位等，不包含无实际商品、无烟草制品展卖的场所。且住所应具备基本经营条件，经营场所内有明晰的经营用具及经营区域，门头应与工商营业执照企业名称相符。</w:t>
      </w:r>
    </w:p>
    <w:p>
      <w:pPr>
        <w:ind w:firstLine="630"/>
        <w:rPr>
          <w:rFonts w:hint="eastAsia" w:ascii="仿宋_GB2312" w:eastAsia="仿宋_GB2312"/>
          <w:b/>
          <w:sz w:val="32"/>
          <w:szCs w:val="32"/>
        </w:rPr>
      </w:pPr>
      <w:r>
        <w:rPr>
          <w:rFonts w:hint="eastAsia" w:ascii="仿宋_GB2312" w:eastAsia="仿宋_GB2312"/>
          <w:sz w:val="32"/>
          <w:szCs w:val="32"/>
        </w:rPr>
        <w:t>2、与住所相独立是指经营场所与住所之间完全隔离，且无直接通行出入口。</w:t>
      </w:r>
    </w:p>
    <w:p>
      <w:pPr>
        <w:ind w:firstLine="630"/>
        <w:rPr>
          <w:rFonts w:hint="eastAsia" w:ascii="仿宋_GB2312" w:eastAsia="仿宋_GB2312"/>
          <w:b/>
          <w:sz w:val="32"/>
          <w:szCs w:val="32"/>
        </w:rPr>
      </w:pPr>
      <w:r>
        <w:rPr>
          <w:rFonts w:hint="eastAsia" w:ascii="仿宋_GB2312" w:eastAsia="仿宋_GB2312"/>
          <w:sz w:val="32"/>
          <w:szCs w:val="32"/>
        </w:rPr>
        <w:t>第十三条  特殊区域限制情形</w:t>
      </w:r>
    </w:p>
    <w:p>
      <w:pPr>
        <w:ind w:firstLine="630"/>
        <w:rPr>
          <w:rFonts w:hint="eastAsia" w:ascii="仿宋_GB2312" w:eastAsia="仿宋_GB2312"/>
          <w:b/>
          <w:sz w:val="32"/>
          <w:szCs w:val="32"/>
        </w:rPr>
      </w:pPr>
      <w:r>
        <w:rPr>
          <w:rFonts w:hint="eastAsia" w:ascii="仿宋_GB2312" w:eastAsia="仿宋_GB2312"/>
          <w:sz w:val="32"/>
          <w:szCs w:val="32"/>
        </w:rPr>
        <w:t>（一）封闭式居民小区内部按小区住宅户数500户以内规划1个烟草制品零售点，每增加300户可增设1个零售点，封闭式居民小区外围临街的铺面不受小区住宅户数限制，执行一般区域间距限制。小区内住宅需要申办许可证的，需提供工商营业执照，同时需满足与住所完全独立。</w:t>
      </w:r>
    </w:p>
    <w:p>
      <w:pPr>
        <w:ind w:firstLine="630"/>
        <w:rPr>
          <w:rFonts w:hint="eastAsia" w:ascii="仿宋_GB2312" w:eastAsia="仿宋_GB2312"/>
          <w:b/>
          <w:sz w:val="32"/>
          <w:szCs w:val="32"/>
        </w:rPr>
      </w:pPr>
      <w:r>
        <w:rPr>
          <w:rFonts w:hint="eastAsia" w:ascii="仿宋_GB2312" w:eastAsia="仿宋_GB2312"/>
          <w:sz w:val="32"/>
          <w:szCs w:val="32"/>
        </w:rPr>
        <w:t>（二）以集中交易商品为主的集贸市场、综合性批发市场的（包含集贸市场、综合性批发市场且临街道的铺面），按门面或铺位总数设置零售点，每250个铺位设置1个零售点（余数达250户以上按照250户计算），各类市场零售点总量最多不得超过20个零售点。</w:t>
      </w:r>
    </w:p>
    <w:p>
      <w:pPr>
        <w:ind w:firstLine="630"/>
        <w:rPr>
          <w:rFonts w:hint="eastAsia" w:ascii="仿宋_GB2312" w:eastAsia="仿宋_GB2312"/>
          <w:b/>
          <w:sz w:val="32"/>
          <w:szCs w:val="32"/>
        </w:rPr>
      </w:pPr>
      <w:r>
        <w:rPr>
          <w:rFonts w:hint="eastAsia" w:ascii="仿宋_GB2312" w:eastAsia="仿宋_GB2312"/>
          <w:sz w:val="32"/>
          <w:szCs w:val="32"/>
        </w:rPr>
        <w:t>（三）农村区域行政村、移民搬迁安置点按照常住人口设置零售点，平均每300人设置1个零售点，（余数达150人以上的按300人计算）；未设置零售点的自然村，可设置1个零售点。零售点之间可通行距离不得少于50米。</w:t>
      </w:r>
    </w:p>
    <w:p>
      <w:pPr>
        <w:ind w:firstLine="630"/>
        <w:rPr>
          <w:rFonts w:hint="eastAsia" w:ascii="仿宋_GB2312" w:eastAsia="仿宋_GB2312"/>
          <w:b/>
          <w:sz w:val="32"/>
          <w:szCs w:val="32"/>
        </w:rPr>
      </w:pPr>
      <w:r>
        <w:rPr>
          <w:rFonts w:hint="eastAsia" w:ascii="仿宋_GB2312" w:eastAsia="仿宋_GB2312"/>
          <w:sz w:val="32"/>
          <w:szCs w:val="32"/>
        </w:rPr>
        <w:t>（四）火车站、汽车站、旅游景点等人口流动性大的区域，按门面或铺位总数在10个以下的设置零售点不得超过2个，每增加5个门面或铺位可相应增加1个零售点。候车室（厅）内最多可设1个零售点，不受场所外部毗邻零售点间距的限制。</w:t>
      </w:r>
    </w:p>
    <w:p>
      <w:pPr>
        <w:ind w:firstLine="630"/>
        <w:rPr>
          <w:rFonts w:hint="eastAsia" w:ascii="仿宋_GB2312" w:eastAsia="仿宋_GB2312"/>
          <w:b/>
          <w:sz w:val="32"/>
          <w:szCs w:val="32"/>
        </w:rPr>
      </w:pPr>
      <w:r>
        <w:rPr>
          <w:rFonts w:hint="eastAsia" w:ascii="仿宋_GB2312" w:eastAsia="仿宋_GB2312"/>
          <w:sz w:val="32"/>
          <w:szCs w:val="32"/>
        </w:rPr>
        <w:t>（五）商用办公楼宇公共楼层已形成实际商品展卖场所的，每栋楼宇可设置1个零售点，非公共楼层不予设置零售点，大型商业综合体（非临街）设置零售点，20000平米以下的设置1个零售点，</w:t>
      </w:r>
      <w:r>
        <w:rPr>
          <w:rFonts w:hint="eastAsia" w:ascii="仿宋_GB2312" w:eastAsia="仿宋_GB2312"/>
          <w:sz w:val="32"/>
          <w:szCs w:val="32"/>
          <w:lang w:val="en-US" w:eastAsia="zh-CN"/>
        </w:rPr>
        <w:t>超过</w:t>
      </w:r>
      <w:r>
        <w:rPr>
          <w:rFonts w:hint="eastAsia" w:ascii="仿宋_GB2312" w:eastAsia="仿宋_GB2312"/>
          <w:sz w:val="32"/>
          <w:szCs w:val="32"/>
        </w:rPr>
        <w:t>20000平米的可设置2个零售点，各类大型商业综合体内最多不得设置超过4个零售点；临街铺面不受数量限制，但各零售点间距不少于50米。</w:t>
      </w:r>
    </w:p>
    <w:p>
      <w:pPr>
        <w:ind w:firstLine="630"/>
        <w:rPr>
          <w:rFonts w:hint="eastAsia" w:ascii="仿宋_GB2312" w:eastAsia="仿宋_GB2312"/>
          <w:b/>
          <w:sz w:val="32"/>
          <w:szCs w:val="32"/>
        </w:rPr>
      </w:pPr>
      <w:r>
        <w:rPr>
          <w:rFonts w:hint="eastAsia" w:ascii="仿宋_GB2312" w:eastAsia="仿宋_GB2312"/>
          <w:sz w:val="32"/>
          <w:szCs w:val="32"/>
        </w:rPr>
        <w:t>（六）对内经营的宾馆、酒店、娱乐场所以及超过6000平米的大型超市可不受距离限制。</w:t>
      </w:r>
    </w:p>
    <w:p>
      <w:pPr>
        <w:ind w:firstLine="630"/>
        <w:rPr>
          <w:rFonts w:hint="eastAsia" w:ascii="仿宋_GB2312" w:eastAsia="仿宋_GB2312"/>
          <w:b/>
          <w:sz w:val="32"/>
          <w:szCs w:val="32"/>
        </w:rPr>
      </w:pPr>
      <w:r>
        <w:rPr>
          <w:rFonts w:hint="eastAsia" w:ascii="仿宋_GB2312" w:eastAsia="仿宋_GB2312"/>
          <w:sz w:val="32"/>
          <w:szCs w:val="32"/>
        </w:rPr>
        <w:t>（七）高等院校、军队营区、大型厂矿等相对封闭环境内以及经营非零售商品类市场、物流园区等特殊区域内，按照本辖区实际情况结合区域规模科学设置。</w:t>
      </w:r>
    </w:p>
    <w:p>
      <w:pPr>
        <w:ind w:firstLine="630"/>
        <w:rPr>
          <w:rFonts w:hint="eastAsia" w:ascii="仿宋_GB2312" w:eastAsia="仿宋_GB2312"/>
          <w:b/>
          <w:sz w:val="32"/>
          <w:szCs w:val="32"/>
        </w:rPr>
      </w:pPr>
      <w:r>
        <w:rPr>
          <w:rFonts w:hint="eastAsia" w:ascii="仿宋_GB2312" w:eastAsia="仿宋_GB2312"/>
          <w:sz w:val="32"/>
          <w:szCs w:val="32"/>
        </w:rPr>
        <w:t>以上区域根据实际设置的办证上限，同时确定本辖区内各类小区、社区、市场和商业综合体等各类区域的名称、地址等信息，以张贴公告的形式向社会特别是相关区域公示零售户办证上限和其它限制条件等信息，达到办证上限的执行退一进一政策。</w:t>
      </w:r>
    </w:p>
    <w:p>
      <w:pPr>
        <w:ind w:firstLine="630"/>
        <w:rPr>
          <w:rFonts w:hint="default" w:eastAsia="仿宋_GB2312"/>
          <w:lang w:val="en-US" w:eastAsia="zh-CN"/>
        </w:rPr>
      </w:pPr>
      <w:r>
        <w:rPr>
          <w:rFonts w:hint="eastAsia" w:ascii="仿宋_GB2312" w:eastAsia="仿宋_GB2312"/>
          <w:sz w:val="32"/>
          <w:szCs w:val="32"/>
        </w:rPr>
        <w:t>第十四条  优抚政策</w:t>
      </w:r>
      <w:r>
        <w:rPr>
          <w:rFonts w:hint="eastAsia" w:ascii="仿宋_GB2312" w:eastAsia="仿宋_GB2312"/>
          <w:sz w:val="32"/>
          <w:szCs w:val="32"/>
          <w:lang w:val="en-US" w:eastAsia="zh-CN"/>
        </w:rPr>
        <w:t xml:space="preserve">及基本原则 </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（一）以下社会弱势群体、优抚对象在一般区域内提出新办申请的，不设间距限制；在特殊区域内提出新办申请的，每增加一个放宽对象可增设一个零售点，不受所在特殊区域的数量控制限制。</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烈士家属。由烈士的父母（扶养人）、配偶及子女提出申请，同一烈士的家属中只能有一名家属申请。</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孤寡老人。由本人提出申请，烟草专卖零售许可证有效期为一年。有效期届满后需继续经营的，经原发证机关核查通过后准予延续。</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特困供养人员。由本人提出申请。</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二）以下社会弱势群体、优抚对象在一般区域内提出新办申请的，两个零售点间距放宽至20米以上；在特殊区域内提出新办申请的，超出特殊区域数量控制限制的，该区域内仅增设一个零售点。烟草专卖零售许可证由本人或法定监护人提出申请。</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残疾退役军人。</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视力、听力、言语、肢体残疾人。</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智力、精神残疾人。</w:t>
      </w:r>
    </w:p>
    <w:p>
      <w:pPr>
        <w:pStyle w:val="4"/>
        <w:keepNext w:val="0"/>
        <w:keepLines w:val="0"/>
        <w:widowControl/>
        <w:suppressLineNumbers w:val="0"/>
        <w:ind w:left="0"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低保户。</w:t>
      </w:r>
    </w:p>
    <w:p>
      <w:pPr>
        <w:pStyle w:val="4"/>
        <w:keepNext w:val="0"/>
        <w:keepLines w:val="0"/>
        <w:widowControl/>
        <w:suppressLineNumbers w:val="0"/>
        <w:ind w:left="0" w:firstLine="640"/>
        <w:rPr>
          <w:sz w:val="32"/>
          <w:szCs w:val="32"/>
        </w:rPr>
      </w:pPr>
      <w:r>
        <w:rPr>
          <w:rFonts w:hint="eastAsia"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经营场所位于中小学、幼儿园周围限制区域内的持证零售户。经告知后，持证人在六个月内申请变更到原发证机关辖区内其他地址经营的。</w:t>
      </w:r>
    </w:p>
    <w:p>
      <w:pPr>
        <w:pStyle w:val="4"/>
        <w:keepNext w:val="0"/>
        <w:keepLines w:val="0"/>
        <w:widowControl/>
        <w:suppressLineNumbers w:val="0"/>
        <w:ind w:left="0" w:firstLine="640"/>
        <w:rPr>
          <w:rFonts w:hint="eastAsia" w:ascii="黑体" w:eastAsia="黑体" w:cs="黑体"/>
          <w:color w:val="000000"/>
          <w:sz w:val="31"/>
          <w:szCs w:val="31"/>
          <w:lang w:val="en-US"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基本原则</w:t>
      </w:r>
    </w:p>
    <w:p>
      <w:pPr>
        <w:pStyle w:val="4"/>
        <w:keepNext w:val="0"/>
        <w:keepLines w:val="0"/>
        <w:widowControl/>
        <w:suppressLineNumbers w:val="0"/>
        <w:ind w:left="0" w:firstLine="640"/>
      </w:pPr>
      <w:r>
        <w:rPr>
          <w:rFonts w:hint="eastAsia" w:ascii="仿宋_GB2312" w:eastAsia="仿宋_GB2312" w:cs="仿宋_GB2312"/>
          <w:color w:val="000000"/>
          <w:sz w:val="31"/>
          <w:szCs w:val="31"/>
          <w:lang w:val="en-US" w:eastAsia="zh-CN"/>
        </w:rPr>
        <w:t>1、</w:t>
      </w:r>
      <w:r>
        <w:rPr>
          <w:rFonts w:hint="eastAsia" w:ascii="仿宋_GB2312" w:eastAsia="仿宋_GB2312" w:cs="仿宋_GB2312"/>
          <w:color w:val="000000"/>
          <w:sz w:val="31"/>
          <w:szCs w:val="31"/>
        </w:rPr>
        <w:t>属于《烟草专卖许可证管理办法》不予许可情形的，不执行办证条件放宽政策。</w:t>
      </w:r>
    </w:p>
    <w:p>
      <w:pPr>
        <w:pStyle w:val="4"/>
        <w:keepNext w:val="0"/>
        <w:keepLines w:val="0"/>
        <w:widowControl/>
        <w:suppressLineNumbers w:val="0"/>
        <w:ind w:left="0" w:firstLine="640"/>
      </w:pPr>
      <w:r>
        <w:rPr>
          <w:rFonts w:hint="eastAsia" w:ascii="仿宋_GB2312" w:eastAsia="仿宋_GB2312" w:cs="仿宋_GB2312"/>
          <w:color w:val="000000"/>
          <w:sz w:val="31"/>
          <w:szCs w:val="31"/>
          <w:lang w:val="en-US" w:eastAsia="zh-CN"/>
        </w:rPr>
        <w:t>2、</w:t>
      </w:r>
      <w:r>
        <w:rPr>
          <w:rFonts w:hint="eastAsia" w:ascii="仿宋_GB2312" w:eastAsia="仿宋_GB2312" w:cs="仿宋_GB2312"/>
          <w:color w:val="000000"/>
          <w:sz w:val="31"/>
          <w:szCs w:val="31"/>
        </w:rPr>
        <w:t>办证条件放宽政策仅限于个体经营。</w:t>
      </w:r>
    </w:p>
    <w:p>
      <w:pPr>
        <w:pStyle w:val="4"/>
        <w:keepNext w:val="0"/>
        <w:keepLines w:val="0"/>
        <w:widowControl/>
        <w:suppressLineNumbers w:val="0"/>
        <w:ind w:left="0" w:firstLine="640"/>
      </w:pPr>
      <w:r>
        <w:rPr>
          <w:rFonts w:hint="eastAsia" w:ascii="仿宋_GB2312" w:eastAsia="仿宋_GB2312" w:cs="仿宋_GB2312"/>
          <w:color w:val="000000"/>
          <w:sz w:val="31"/>
          <w:szCs w:val="31"/>
          <w:lang w:val="en-US" w:eastAsia="zh-CN"/>
        </w:rPr>
        <w:t>3、</w:t>
      </w:r>
      <w:r>
        <w:rPr>
          <w:rFonts w:hint="eastAsia" w:ascii="仿宋_GB2312" w:eastAsia="仿宋_GB2312" w:cs="仿宋_GB2312"/>
          <w:color w:val="000000"/>
          <w:sz w:val="31"/>
          <w:szCs w:val="31"/>
        </w:rPr>
        <w:t>社会弱势群体、优抚对象在西安市范围内只享受一次办证条件放宽政策，已持有烟草专卖零售许可证的社会弱势群体、优抚对象不再享受。</w:t>
      </w:r>
    </w:p>
    <w:p>
      <w:pPr>
        <w:pStyle w:val="4"/>
        <w:keepNext w:val="0"/>
        <w:keepLines w:val="0"/>
        <w:widowControl/>
        <w:suppressLineNumbers w:val="0"/>
        <w:ind w:left="0" w:firstLine="640"/>
      </w:pPr>
      <w:r>
        <w:rPr>
          <w:rFonts w:hint="eastAsia" w:ascii="仿宋_GB2312" w:eastAsia="仿宋_GB2312" w:cs="仿宋_GB2312"/>
          <w:color w:val="000000"/>
          <w:sz w:val="31"/>
          <w:szCs w:val="31"/>
          <w:lang w:val="en-US" w:eastAsia="zh-CN"/>
        </w:rPr>
        <w:t>4、</w:t>
      </w:r>
      <w:r>
        <w:rPr>
          <w:rFonts w:hint="eastAsia" w:ascii="仿宋_GB2312" w:eastAsia="仿宋_GB2312" w:cs="仿宋_GB2312"/>
          <w:color w:val="000000"/>
          <w:sz w:val="31"/>
          <w:szCs w:val="31"/>
        </w:rPr>
        <w:t>社会弱势群体、优抚对象在新办申请烟草专卖零售许可证时，应签订《承诺书》（附件1），在后续监管中如发现申请人作出不实承诺情形的，发证机关有权撤销并收回该证。</w:t>
      </w:r>
    </w:p>
    <w:p>
      <w:pPr>
        <w:pStyle w:val="4"/>
        <w:keepNext w:val="0"/>
        <w:keepLines w:val="0"/>
        <w:widowControl/>
        <w:suppressLineNumbers w:val="0"/>
        <w:ind w:left="0" w:firstLine="640"/>
      </w:pPr>
      <w:r>
        <w:rPr>
          <w:rFonts w:hint="eastAsia" w:ascii="仿宋_GB2312" w:eastAsia="仿宋_GB2312" w:cs="仿宋_GB2312"/>
          <w:color w:val="000000"/>
          <w:sz w:val="31"/>
          <w:szCs w:val="31"/>
          <w:lang w:val="en-US" w:eastAsia="zh-CN"/>
        </w:rPr>
        <w:t>5、</w:t>
      </w:r>
      <w:r>
        <w:rPr>
          <w:rFonts w:hint="eastAsia" w:ascii="仿宋_GB2312" w:eastAsia="仿宋_GB2312" w:cs="仿宋_GB2312"/>
          <w:color w:val="000000"/>
          <w:sz w:val="31"/>
          <w:szCs w:val="31"/>
        </w:rPr>
        <w:t>社会弱势群体、优抚对象在取得烟草专卖零售许可证后，其经营场所由本人或法定监护人经营。</w:t>
      </w:r>
    </w:p>
    <w:p>
      <w:pPr>
        <w:pStyle w:val="4"/>
        <w:keepNext w:val="0"/>
        <w:keepLines w:val="0"/>
        <w:widowControl/>
        <w:suppressLineNumbers w:val="0"/>
        <w:ind w:left="0" w:firstLine="640"/>
        <w:rPr>
          <w:rFonts w:hint="eastAsia" w:ascii="仿宋_GB2312" w:eastAsia="仿宋_GB2312"/>
          <w:b/>
          <w:sz w:val="32"/>
          <w:szCs w:val="32"/>
        </w:rPr>
      </w:pPr>
      <w:r>
        <w:rPr>
          <w:rFonts w:hint="eastAsia" w:ascii="仿宋_GB2312" w:eastAsia="仿宋_GB2312" w:cs="仿宋_GB2312"/>
          <w:color w:val="000000"/>
          <w:sz w:val="31"/>
          <w:szCs w:val="31"/>
          <w:lang w:val="en-US" w:eastAsia="zh-CN"/>
        </w:rPr>
        <w:t>6、</w:t>
      </w:r>
      <w:r>
        <w:rPr>
          <w:rFonts w:hint="eastAsia" w:ascii="仿宋_GB2312" w:eastAsia="仿宋_GB2312" w:cs="仿宋_GB2312"/>
          <w:color w:val="000000"/>
          <w:sz w:val="31"/>
          <w:szCs w:val="31"/>
        </w:rPr>
        <w:t>对于同时符合两种（含）以上放宽情形的，适用放宽幅度较高的规定，放宽幅度不得累计。</w:t>
      </w:r>
      <w:r>
        <w:rPr>
          <w:rFonts w:hint="eastAsia" w:ascii="仿宋_GB2312" w:eastAsia="仿宋_GB2312"/>
          <w:sz w:val="32"/>
          <w:szCs w:val="32"/>
        </w:rPr>
        <w:t xml:space="preserve"> </w:t>
      </w:r>
    </w:p>
    <w:p>
      <w:pPr>
        <w:ind w:firstLine="630"/>
        <w:rPr>
          <w:rFonts w:hint="eastAsia" w:ascii="仿宋_GB2312" w:eastAsia="仿宋_GB2312"/>
          <w:b/>
          <w:sz w:val="32"/>
          <w:szCs w:val="32"/>
        </w:rPr>
      </w:pPr>
      <w:r>
        <w:rPr>
          <w:rFonts w:hint="eastAsia" w:ascii="仿宋_GB2312" w:eastAsia="仿宋_GB2312"/>
          <w:sz w:val="32"/>
          <w:szCs w:val="32"/>
          <w:lang w:val="en-US" w:eastAsia="zh-CN"/>
        </w:rPr>
        <w:t>7、</w:t>
      </w:r>
      <w:r>
        <w:rPr>
          <w:rFonts w:hint="eastAsia" w:ascii="仿宋_GB2312" w:eastAsia="仿宋_GB2312"/>
          <w:sz w:val="32"/>
          <w:szCs w:val="32"/>
        </w:rPr>
        <w:t>在办理优抚人群申请时须通过民政、残联等部门网络平台等渠道严格</w:t>
      </w:r>
      <w:r>
        <w:rPr>
          <w:rFonts w:hint="eastAsia" w:ascii="仿宋_GB2312" w:eastAsia="仿宋_GB2312"/>
          <w:sz w:val="32"/>
          <w:szCs w:val="32"/>
          <w:lang w:val="en-US" w:eastAsia="zh-CN"/>
        </w:rPr>
        <w:t>查</w:t>
      </w:r>
      <w:r>
        <w:rPr>
          <w:rFonts w:hint="eastAsia" w:ascii="仿宋_GB2312" w:eastAsia="仿宋_GB2312"/>
          <w:sz w:val="32"/>
          <w:szCs w:val="32"/>
        </w:rPr>
        <w:t>验相关证件。</w:t>
      </w:r>
    </w:p>
    <w:p>
      <w:pPr>
        <w:ind w:firstLine="630"/>
        <w:rPr>
          <w:rFonts w:ascii="仿宋_GB2312" w:eastAsia="仿宋_GB2312"/>
          <w:b/>
          <w:sz w:val="32"/>
          <w:szCs w:val="32"/>
        </w:rPr>
      </w:pPr>
      <w:r>
        <w:rPr>
          <w:rFonts w:hint="eastAsia" w:ascii="仿宋_GB2312" w:eastAsia="仿宋_GB2312"/>
          <w:sz w:val="32"/>
          <w:szCs w:val="32"/>
          <w:lang w:val="en-US" w:eastAsia="zh-CN"/>
        </w:rPr>
        <w:t>8、</w:t>
      </w:r>
      <w:r>
        <w:rPr>
          <w:rFonts w:hint="eastAsia" w:ascii="仿宋_GB2312" w:eastAsia="仿宋_GB2312"/>
          <w:sz w:val="32"/>
          <w:szCs w:val="32"/>
        </w:rPr>
        <w:t xml:space="preserve">根据地方政府要求，执行地方政府要求的部分优抚政策。                </w:t>
      </w: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第四章  附则</w:t>
      </w:r>
    </w:p>
    <w:p>
      <w:pPr>
        <w:ind w:firstLine="640" w:firstLineChars="200"/>
        <w:rPr>
          <w:rFonts w:hint="eastAsia" w:ascii="仿宋_GB2312" w:eastAsia="仿宋_GB2312"/>
          <w:sz w:val="32"/>
          <w:szCs w:val="32"/>
        </w:rPr>
      </w:pPr>
      <w:r>
        <w:rPr>
          <w:rFonts w:hint="eastAsia" w:ascii="仿宋_GB2312" w:eastAsia="仿宋_GB2312"/>
          <w:sz w:val="32"/>
          <w:szCs w:val="32"/>
        </w:rPr>
        <w:t>第十五条  解释说明</w:t>
      </w:r>
    </w:p>
    <w:p>
      <w:pPr>
        <w:ind w:firstLine="640" w:firstLineChars="200"/>
        <w:rPr>
          <w:rFonts w:hint="eastAsia" w:ascii="仿宋_GB2312" w:eastAsia="仿宋_GB2312"/>
          <w:sz w:val="32"/>
          <w:szCs w:val="32"/>
        </w:rPr>
      </w:pPr>
      <w:r>
        <w:rPr>
          <w:rFonts w:hint="eastAsia" w:ascii="仿宋_GB2312" w:eastAsia="仿宋_GB2312"/>
          <w:sz w:val="32"/>
          <w:szCs w:val="32"/>
        </w:rPr>
        <w:t>（一）本规划所称“间距”是指申请零售点与其周边最近零售点之间的距离。零售点间距应当按照行</w:t>
      </w:r>
      <w:bookmarkStart w:id="0" w:name="_GoBack"/>
      <w:bookmarkEnd w:id="0"/>
      <w:r>
        <w:rPr>
          <w:rFonts w:hint="eastAsia" w:ascii="仿宋_GB2312" w:eastAsia="仿宋_GB2312"/>
          <w:sz w:val="32"/>
          <w:szCs w:val="32"/>
        </w:rPr>
        <w:t>人不违反交通管理规定、习惯性行走的最短路径进行测量，其起点与终点分别为最近零售点与申请场所出口、入口的最近一侧门中心位置。申请人申请办理许可证的经营场所有两个及两个以上出（入）口的，各出（入）口应当同时达到所在区域零售点间距标准。</w:t>
      </w:r>
    </w:p>
    <w:p>
      <w:pPr>
        <w:ind w:firstLine="640" w:firstLineChars="200"/>
        <w:rPr>
          <w:rFonts w:hint="eastAsia" w:ascii="仿宋_GB2312" w:eastAsia="仿宋_GB2312"/>
          <w:sz w:val="32"/>
          <w:szCs w:val="32"/>
        </w:rPr>
      </w:pPr>
      <w:r>
        <w:rPr>
          <w:rFonts w:hint="eastAsia" w:ascii="仿宋_GB2312" w:eastAsia="仿宋_GB2312"/>
          <w:sz w:val="32"/>
          <w:szCs w:val="32"/>
        </w:rPr>
        <w:t>（二）已合法持有烟草专卖零售许可证的零售户，在许可证有效期内不受烟草制品零售点合理布局规划调整的影响。持证人办理延续申请，除经营场所的安全要求和中小学、幼儿园周围的限制规定外，不受烟草制品零售点合理布局规划其他规定调整的影响。</w:t>
      </w:r>
    </w:p>
    <w:p>
      <w:pPr>
        <w:ind w:firstLine="640" w:firstLineChars="200"/>
        <w:rPr>
          <w:rFonts w:hint="eastAsia" w:ascii="仿宋_GB2312" w:eastAsia="仿宋_GB2312"/>
          <w:sz w:val="32"/>
          <w:szCs w:val="32"/>
        </w:rPr>
      </w:pPr>
      <w:r>
        <w:rPr>
          <w:rFonts w:hint="eastAsia" w:ascii="仿宋_GB2312" w:eastAsia="仿宋_GB2312"/>
          <w:sz w:val="32"/>
          <w:szCs w:val="32"/>
        </w:rPr>
        <w:t>（三）两个或者两个以上申请人提出申请，因合理布局规定所限，无法都给予行政许可的，根据受理申请的先后顺序作出是否准予行政许可决定。</w:t>
      </w:r>
    </w:p>
    <w:p>
      <w:pPr>
        <w:ind w:firstLine="640" w:firstLineChars="200"/>
        <w:rPr>
          <w:rFonts w:hint="eastAsia" w:ascii="仿宋_GB2312" w:eastAsia="仿宋_GB2312"/>
          <w:sz w:val="32"/>
          <w:szCs w:val="32"/>
        </w:rPr>
      </w:pPr>
      <w:r>
        <w:rPr>
          <w:rFonts w:hint="eastAsia" w:ascii="仿宋_GB2312" w:eastAsia="仿宋_GB2312"/>
          <w:sz w:val="32"/>
          <w:szCs w:val="32"/>
        </w:rPr>
        <w:t>（四）依法强化烟草专卖零售许可证的办理审查及后续监管工作意识，文书审查过程中要严格核查文书的真实性，坚决杜绝弄虚作假行为，实地核查过程中要通过各种形式的文书明确申请人的经营场所（包括库房等）并由申请人或其委托人确认；后续监管中发现持证人存在涉及许可证违法行为的，按照相关法律条文依法及时收回、注销烟草专卖零售许可证。</w:t>
      </w:r>
    </w:p>
    <w:p>
      <w:pPr>
        <w:ind w:firstLine="640" w:firstLineChars="200"/>
        <w:rPr>
          <w:rFonts w:hint="eastAsia" w:ascii="仿宋_GB2312" w:eastAsia="仿宋_GB2312"/>
          <w:sz w:val="32"/>
          <w:szCs w:val="32"/>
        </w:rPr>
      </w:pPr>
      <w:r>
        <w:rPr>
          <w:rFonts w:hint="eastAsia" w:ascii="仿宋_GB2312" w:eastAsia="仿宋_GB2312"/>
          <w:sz w:val="32"/>
          <w:szCs w:val="32"/>
        </w:rPr>
        <w:t>（五）本规划中涉及的“以上”、“以内”</w:t>
      </w:r>
      <w:r>
        <w:rPr>
          <w:rFonts w:hint="eastAsia" w:ascii="仿宋_GB2312" w:eastAsia="仿宋_GB2312"/>
          <w:sz w:val="32"/>
          <w:szCs w:val="32"/>
          <w:lang w:eastAsia="zh-CN"/>
        </w:rPr>
        <w:t>、“</w:t>
      </w:r>
      <w:r>
        <w:rPr>
          <w:rFonts w:hint="eastAsia" w:ascii="仿宋_GB2312" w:eastAsia="仿宋_GB2312"/>
          <w:sz w:val="32"/>
          <w:szCs w:val="32"/>
          <w:lang w:val="en-US" w:eastAsia="zh-CN"/>
        </w:rPr>
        <w:t>以下</w:t>
      </w:r>
      <w:r>
        <w:rPr>
          <w:rFonts w:hint="eastAsia" w:ascii="仿宋_GB2312" w:eastAsia="仿宋_GB2312"/>
          <w:sz w:val="32"/>
          <w:szCs w:val="32"/>
          <w:lang w:eastAsia="zh-CN"/>
        </w:rPr>
        <w:t>”</w:t>
      </w:r>
      <w:r>
        <w:rPr>
          <w:rFonts w:hint="eastAsia" w:ascii="仿宋_GB2312" w:eastAsia="仿宋_GB2312"/>
          <w:sz w:val="32"/>
          <w:szCs w:val="32"/>
        </w:rPr>
        <w:t>包含本数，“不少于”不含本数。</w:t>
      </w:r>
    </w:p>
    <w:p>
      <w:pPr>
        <w:ind w:firstLine="640" w:firstLineChars="20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六</w:t>
      </w:r>
      <w:r>
        <w:rPr>
          <w:rFonts w:hint="eastAsia" w:ascii="仿宋_GB2312" w:eastAsia="仿宋_GB2312"/>
          <w:sz w:val="32"/>
          <w:szCs w:val="32"/>
        </w:rPr>
        <w:t>）本规划由蓝田县烟草专卖局负责解释。</w:t>
      </w:r>
    </w:p>
    <w:p>
      <w:pPr>
        <w:ind w:firstLine="640" w:firstLineChars="20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七</w:t>
      </w:r>
      <w:r>
        <w:rPr>
          <w:rFonts w:hint="eastAsia" w:ascii="仿宋_GB2312" w:eastAsia="仿宋_GB2312"/>
          <w:sz w:val="32"/>
          <w:szCs w:val="32"/>
        </w:rPr>
        <w:t>）本规划自</w:t>
      </w:r>
      <w:r>
        <w:rPr>
          <w:rFonts w:hint="eastAsia" w:ascii="仿宋_GB2312" w:eastAsia="仿宋_GB2312"/>
          <w:sz w:val="32"/>
          <w:szCs w:val="32"/>
          <w:lang w:val="en-US" w:eastAsia="zh-CN"/>
        </w:rPr>
        <w:t>发文之日</w:t>
      </w:r>
      <w:r>
        <w:rPr>
          <w:rFonts w:hint="eastAsia" w:ascii="仿宋_GB2312" w:eastAsia="仿宋_GB2312"/>
          <w:sz w:val="32"/>
          <w:szCs w:val="32"/>
        </w:rPr>
        <w:t>起施行。原《蓝田县烟草制品零售点合理布局规划</w:t>
      </w:r>
      <w:r>
        <w:rPr>
          <w:rFonts w:hint="eastAsia" w:ascii="仿宋_GB2312" w:eastAsia="仿宋_GB2312"/>
          <w:sz w:val="32"/>
          <w:szCs w:val="32"/>
          <w:lang w:eastAsia="zh-CN"/>
        </w:rPr>
        <w:t>（</w:t>
      </w:r>
      <w:r>
        <w:rPr>
          <w:rFonts w:hint="eastAsia" w:ascii="仿宋_GB2312" w:eastAsia="仿宋_GB2312"/>
          <w:sz w:val="32"/>
          <w:szCs w:val="32"/>
          <w:lang w:val="en-US" w:eastAsia="zh-CN"/>
        </w:rPr>
        <w:t>2021-2025年</w:t>
      </w:r>
      <w:r>
        <w:rPr>
          <w:rFonts w:hint="eastAsia" w:ascii="仿宋_GB2312" w:eastAsia="仿宋_GB2312"/>
          <w:sz w:val="32"/>
          <w:szCs w:val="32"/>
          <w:lang w:eastAsia="zh-CN"/>
        </w:rPr>
        <w:t>）</w:t>
      </w:r>
      <w:r>
        <w:rPr>
          <w:rFonts w:hint="eastAsia" w:ascii="仿宋_GB2312" w:eastAsia="仿宋_GB2312"/>
          <w:sz w:val="32"/>
          <w:szCs w:val="32"/>
        </w:rPr>
        <w:t>》（蓝烟专</w:t>
      </w:r>
      <w:r>
        <w:rPr>
          <w:rFonts w:hint="eastAsia" w:ascii="仿宋_GB2312" w:hAnsi="仿宋_GB2312" w:eastAsia="仿宋_GB2312" w:cs="仿宋_GB2312"/>
          <w:sz w:val="32"/>
          <w:szCs w:val="32"/>
        </w:rPr>
        <w:t>〔</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hAnsi="仿宋_GB2312" w:eastAsia="仿宋_GB2312" w:cs="仿宋_GB2312"/>
          <w:sz w:val="32"/>
          <w:szCs w:val="32"/>
        </w:rPr>
        <w:t>〕</w:t>
      </w:r>
      <w:r>
        <w:rPr>
          <w:rFonts w:hint="eastAsia" w:ascii="仿宋_GB2312" w:eastAsia="仿宋_GB2312"/>
          <w:sz w:val="32"/>
          <w:szCs w:val="32"/>
          <w:lang w:val="en-US" w:eastAsia="zh-CN"/>
        </w:rPr>
        <w:t>7</w:t>
      </w:r>
      <w:r>
        <w:rPr>
          <w:rFonts w:hint="eastAsia" w:ascii="仿宋_GB2312" w:eastAsia="仿宋_GB2312"/>
          <w:sz w:val="32"/>
          <w:szCs w:val="32"/>
        </w:rPr>
        <w:t>号）同时废止。本规划实施期间，根据蓝田县经济发展状况及相关法律法规的规定需要调整的，以补充规定的形式经法定程序后予以发布实施。</w:t>
      </w: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蓝田县烟草专卖局</w:t>
      </w:r>
    </w:p>
    <w:p>
      <w:pPr>
        <w:jc w:val="right"/>
        <w:rPr>
          <w:rFonts w:hint="eastAsia" w:ascii="仿宋_GB2312" w:eastAsia="仿宋_GB2312"/>
          <w:sz w:val="32"/>
          <w:szCs w:val="32"/>
          <w:lang w:val="en-US" w:eastAsia="zh-CN"/>
        </w:rPr>
      </w:pPr>
      <w:r>
        <w:rPr>
          <w:rFonts w:hint="eastAsia" w:ascii="仿宋_GB2312" w:eastAsia="仿宋_GB2312"/>
          <w:sz w:val="32"/>
          <w:szCs w:val="32"/>
          <w:lang w:val="en-US" w:eastAsia="zh-CN"/>
        </w:rPr>
        <w:t>2022年12月14日</w:t>
      </w:r>
    </w:p>
    <w:p>
      <w:pPr>
        <w:pStyle w:val="4"/>
        <w:keepNext w:val="0"/>
        <w:keepLines w:val="0"/>
        <w:widowControl/>
        <w:suppressLineNumbers w:val="0"/>
        <w:rPr>
          <w:rFonts w:ascii="黑体" w:hAnsi="宋体" w:eastAsia="黑体" w:cs="黑体"/>
          <w:color w:val="000000"/>
          <w:sz w:val="31"/>
          <w:szCs w:val="31"/>
        </w:rPr>
      </w:pPr>
    </w:p>
    <w:p>
      <w:pPr>
        <w:pStyle w:val="4"/>
        <w:keepNext w:val="0"/>
        <w:keepLines w:val="0"/>
        <w:widowControl/>
        <w:suppressLineNumbers w:val="0"/>
        <w:rPr>
          <w:rFonts w:ascii="黑体" w:hAnsi="宋体" w:eastAsia="黑体" w:cs="黑体"/>
          <w:color w:val="000000"/>
          <w:sz w:val="31"/>
          <w:szCs w:val="31"/>
        </w:rPr>
      </w:pPr>
    </w:p>
    <w:p>
      <w:pPr>
        <w:pStyle w:val="4"/>
        <w:keepNext w:val="0"/>
        <w:keepLines w:val="0"/>
        <w:widowControl/>
        <w:suppressLineNumbers w:val="0"/>
        <w:rPr>
          <w:rFonts w:ascii="黑体" w:hAnsi="宋体" w:eastAsia="黑体" w:cs="黑体"/>
          <w:color w:val="000000"/>
          <w:sz w:val="31"/>
          <w:szCs w:val="31"/>
        </w:rPr>
      </w:pPr>
    </w:p>
    <w:p>
      <w:pPr>
        <w:pStyle w:val="4"/>
        <w:keepNext w:val="0"/>
        <w:keepLines w:val="0"/>
        <w:widowControl/>
        <w:suppressLineNumbers w:val="0"/>
        <w:rPr>
          <w:rFonts w:ascii="黑体" w:hAnsi="宋体" w:eastAsia="黑体" w:cs="黑体"/>
          <w:color w:val="000000"/>
          <w:sz w:val="31"/>
          <w:szCs w:val="31"/>
        </w:rPr>
      </w:pPr>
    </w:p>
    <w:p>
      <w:pPr>
        <w:pStyle w:val="4"/>
        <w:keepNext w:val="0"/>
        <w:keepLines w:val="0"/>
        <w:widowControl/>
        <w:suppressLineNumbers w:val="0"/>
      </w:pPr>
      <w:r>
        <w:rPr>
          <w:rFonts w:ascii="黑体" w:hAnsi="宋体" w:eastAsia="黑体" w:cs="黑体"/>
          <w:color w:val="000000"/>
          <w:sz w:val="31"/>
          <w:szCs w:val="31"/>
        </w:rPr>
        <w:t>附件1</w:t>
      </w:r>
    </w:p>
    <w:p>
      <w:pPr>
        <w:keepNext w:val="0"/>
        <w:keepLines w:val="0"/>
        <w:widowControl/>
        <w:suppressLineNumbers w:val="0"/>
        <w:jc w:val="center"/>
      </w:pPr>
      <w:r>
        <w:rPr>
          <w:rFonts w:ascii="方正小标宋简体" w:hAnsi="方正小标宋简体" w:eastAsia="方正小标宋简体" w:cs="方正小标宋简体"/>
          <w:color w:val="000000"/>
          <w:kern w:val="0"/>
          <w:sz w:val="43"/>
          <w:szCs w:val="43"/>
          <w:lang w:val="en-US" w:eastAsia="zh-CN" w:bidi="ar"/>
        </w:rPr>
        <w:t>承诺书</w:t>
      </w:r>
    </w:p>
    <w:p>
      <w:pPr>
        <w:pStyle w:val="4"/>
        <w:keepNext w:val="0"/>
        <w:keepLines w:val="0"/>
        <w:widowControl/>
        <w:suppressLineNumbers w:val="0"/>
        <w:ind w:left="0" w:firstLine="640"/>
        <w:rPr>
          <w:sz w:val="32"/>
          <w:szCs w:val="32"/>
        </w:rPr>
      </w:pPr>
      <w:r>
        <w:rPr>
          <w:rFonts w:ascii="仿宋_GB2312" w:eastAsia="仿宋_GB2312" w:cs="仿宋_GB2312"/>
          <w:color w:val="000000"/>
          <w:sz w:val="32"/>
          <w:szCs w:val="32"/>
        </w:rPr>
        <w:t>本人已知晓作为社会弱势群体、优抚对象享受烟草专卖零售</w:t>
      </w:r>
      <w:r>
        <w:rPr>
          <w:rFonts w:hint="eastAsia" w:ascii="仿宋_GB2312" w:eastAsia="仿宋_GB2312" w:cs="仿宋_GB2312"/>
          <w:color w:val="000000"/>
          <w:sz w:val="32"/>
          <w:szCs w:val="32"/>
        </w:rPr>
        <w:t>许可证办理的适当放宽政策，现作出如下承诺：</w:t>
      </w:r>
    </w:p>
    <w:p>
      <w:pPr>
        <w:pStyle w:val="4"/>
        <w:keepNext w:val="0"/>
        <w:keepLines w:val="0"/>
        <w:widowControl/>
        <w:suppressLineNumbers w:val="0"/>
        <w:ind w:left="0" w:firstLine="640"/>
        <w:rPr>
          <w:sz w:val="32"/>
          <w:szCs w:val="32"/>
        </w:rPr>
      </w:pPr>
      <w:r>
        <w:rPr>
          <w:rFonts w:hint="eastAsia" w:ascii="仿宋_GB2312" w:eastAsia="仿宋_GB2312" w:cs="仿宋_GB2312"/>
          <w:color w:val="000000"/>
          <w:sz w:val="32"/>
          <w:szCs w:val="32"/>
        </w:rPr>
        <w:t>一、本人承诺申请烟草专卖零售许可证时，所提供的特殊群体证件或相关证明材料及其他核查材料真实、合法、有效。</w:t>
      </w:r>
    </w:p>
    <w:p>
      <w:pPr>
        <w:pStyle w:val="4"/>
        <w:keepNext w:val="0"/>
        <w:keepLines w:val="0"/>
        <w:widowControl/>
        <w:suppressLineNumbers w:val="0"/>
        <w:ind w:left="0" w:firstLine="640"/>
        <w:rPr>
          <w:sz w:val="32"/>
          <w:szCs w:val="32"/>
        </w:rPr>
      </w:pPr>
      <w:r>
        <w:rPr>
          <w:rFonts w:hint="eastAsia" w:ascii="仿宋_GB2312" w:eastAsia="仿宋_GB2312" w:cs="仿宋_GB2312"/>
          <w:color w:val="000000"/>
          <w:sz w:val="32"/>
          <w:szCs w:val="32"/>
        </w:rPr>
        <w:t>二、本人承诺属于初次享受特殊群体适当放宽办证政策。</w:t>
      </w:r>
    </w:p>
    <w:p>
      <w:pPr>
        <w:pStyle w:val="4"/>
        <w:keepNext w:val="0"/>
        <w:keepLines w:val="0"/>
        <w:widowControl/>
        <w:suppressLineNumbers w:val="0"/>
        <w:ind w:left="0" w:firstLine="640"/>
        <w:rPr>
          <w:sz w:val="32"/>
          <w:szCs w:val="32"/>
        </w:rPr>
      </w:pPr>
      <w:r>
        <w:rPr>
          <w:rFonts w:hint="eastAsia" w:ascii="仿宋_GB2312" w:eastAsia="仿宋_GB2312" w:cs="仿宋_GB2312"/>
          <w:color w:val="000000"/>
          <w:sz w:val="32"/>
          <w:szCs w:val="32"/>
        </w:rPr>
        <w:t>三、本人承诺在西安市范围内不持有其他烟草专卖零售许可证。</w:t>
      </w:r>
    </w:p>
    <w:p>
      <w:pPr>
        <w:pStyle w:val="4"/>
        <w:keepNext w:val="0"/>
        <w:keepLines w:val="0"/>
        <w:widowControl/>
        <w:suppressLineNumbers w:val="0"/>
        <w:ind w:left="0" w:firstLine="640"/>
        <w:rPr>
          <w:sz w:val="32"/>
          <w:szCs w:val="32"/>
        </w:rPr>
      </w:pPr>
      <w:r>
        <w:rPr>
          <w:rFonts w:hint="eastAsia" w:ascii="仿宋_GB2312" w:eastAsia="仿宋_GB2312" w:cs="仿宋_GB2312"/>
          <w:color w:val="000000"/>
          <w:sz w:val="32"/>
          <w:szCs w:val="32"/>
        </w:rPr>
        <w:t>四、本人承诺取得烟草专卖零售许可证后驻店全权经营。</w:t>
      </w:r>
    </w:p>
    <w:p>
      <w:pPr>
        <w:pStyle w:val="4"/>
        <w:keepNext w:val="0"/>
        <w:keepLines w:val="0"/>
        <w:widowControl/>
        <w:suppressLineNumbers w:val="0"/>
        <w:ind w:left="0" w:firstLine="640"/>
        <w:rPr>
          <w:sz w:val="32"/>
          <w:szCs w:val="32"/>
        </w:rPr>
      </w:pPr>
      <w:r>
        <w:rPr>
          <w:rFonts w:hint="eastAsia" w:ascii="仿宋_GB2312" w:eastAsia="仿宋_GB2312" w:cs="仿宋_GB2312"/>
          <w:color w:val="000000"/>
          <w:sz w:val="32"/>
          <w:szCs w:val="32"/>
        </w:rPr>
        <w:t>五、本人承诺将严格遵守《中华人民共和国烟草专卖法》《中华人民共和国烟草专卖法实施条例》《烟草专卖许可证管理办法》《烟草专卖许可证管理办法实施细则》《电子烟管理办法》等法律法规及规范性文件规定，自觉守法、规范、诚信经营。</w:t>
      </w:r>
    </w:p>
    <w:p>
      <w:pPr>
        <w:pStyle w:val="4"/>
        <w:keepNext w:val="0"/>
        <w:keepLines w:val="0"/>
        <w:widowControl/>
        <w:suppressLineNumbers w:val="0"/>
        <w:ind w:left="0" w:firstLine="640"/>
        <w:rPr>
          <w:sz w:val="32"/>
          <w:szCs w:val="32"/>
        </w:rPr>
      </w:pPr>
      <w:r>
        <w:rPr>
          <w:rFonts w:hint="eastAsia" w:ascii="仿宋_GB2312" w:eastAsia="仿宋_GB2312" w:cs="仿宋_GB2312"/>
          <w:color w:val="000000"/>
          <w:sz w:val="32"/>
          <w:szCs w:val="32"/>
        </w:rPr>
        <w:t xml:space="preserve">本人以上承诺均属事实。若本人作出不实承诺情形的，或者存在提供其他虚假材料的情形，本人已知晓 </w:t>
      </w:r>
      <w:r>
        <w:rPr>
          <w:rFonts w:hint="eastAsia" w:ascii="仿宋_GB2312" w:eastAsia="仿宋_GB2312" w:cs="仿宋_GB2312"/>
          <w:color w:val="000000"/>
          <w:sz w:val="32"/>
          <w:szCs w:val="32"/>
          <w:lang w:val="en-US" w:eastAsia="zh-CN"/>
        </w:rPr>
        <w:t>蓝田县</w:t>
      </w:r>
      <w:r>
        <w:rPr>
          <w:rFonts w:hint="eastAsia" w:ascii="仿宋_GB2312" w:eastAsia="仿宋_GB2312" w:cs="仿宋_GB2312"/>
          <w:color w:val="000000"/>
          <w:sz w:val="32"/>
          <w:szCs w:val="32"/>
        </w:rPr>
        <w:t>烟草专卖局有权依法处理。</w:t>
      </w:r>
    </w:p>
    <w:p>
      <w:pPr>
        <w:pStyle w:val="4"/>
        <w:keepNext w:val="0"/>
        <w:keepLines w:val="0"/>
        <w:widowControl/>
        <w:suppressLineNumbers w:val="0"/>
        <w:ind w:left="0" w:firstLine="640"/>
        <w:rPr>
          <w:sz w:val="32"/>
          <w:szCs w:val="32"/>
        </w:rPr>
      </w:pPr>
      <w:r>
        <w:rPr>
          <w:rFonts w:hint="eastAsia" w:ascii="仿宋_GB2312" w:eastAsia="仿宋_GB2312" w:cs="仿宋_GB2312"/>
          <w:color w:val="000000"/>
          <w:sz w:val="32"/>
          <w:szCs w:val="32"/>
        </w:rPr>
        <w:t>本承诺书自签订之日起生效，一式两份，</w:t>
      </w:r>
      <w:r>
        <w:rPr>
          <w:rFonts w:hint="eastAsia" w:ascii="仿宋_GB2312" w:eastAsia="仿宋_GB2312" w:cs="仿宋_GB2312"/>
          <w:color w:val="000000"/>
          <w:sz w:val="32"/>
          <w:szCs w:val="32"/>
          <w:lang w:val="en-US" w:eastAsia="zh-CN"/>
        </w:rPr>
        <w:t>蓝田县</w:t>
      </w:r>
      <w:r>
        <w:rPr>
          <w:rFonts w:hint="eastAsia" w:ascii="仿宋_GB2312" w:eastAsia="仿宋_GB2312" w:cs="仿宋_GB2312"/>
          <w:color w:val="000000"/>
          <w:sz w:val="32"/>
          <w:szCs w:val="32"/>
        </w:rPr>
        <w:t>烟草专卖局和承诺人双方各执一份。</w:t>
      </w:r>
    </w:p>
    <w:p>
      <w:pPr>
        <w:pStyle w:val="4"/>
        <w:keepNext w:val="0"/>
        <w:keepLines w:val="0"/>
        <w:widowControl/>
        <w:suppressLineNumbers w:val="0"/>
        <w:rPr>
          <w:rFonts w:hint="eastAsia" w:ascii="仿宋_GB2312" w:eastAsia="仿宋_GB2312" w:cs="仿宋_GB2312"/>
          <w:color w:val="000000"/>
          <w:sz w:val="32"/>
          <w:szCs w:val="32"/>
        </w:rPr>
      </w:pPr>
      <w:r>
        <w:rPr>
          <w:sz w:val="32"/>
          <w:szCs w:val="32"/>
        </w:rPr>
        <w:t>         </w:t>
      </w:r>
      <w:r>
        <w:rPr>
          <w:rFonts w:hint="eastAsia" w:eastAsia="仿宋_GB2312"/>
          <w:sz w:val="32"/>
          <w:szCs w:val="32"/>
          <w:lang w:val="en-US" w:eastAsia="zh-CN"/>
        </w:rPr>
        <w:t xml:space="preserve">       </w:t>
      </w:r>
      <w:r>
        <w:rPr>
          <w:rFonts w:hint="eastAsia" w:ascii="仿宋_GB2312" w:eastAsia="仿宋_GB2312" w:cs="仿宋_GB2312"/>
          <w:color w:val="000000"/>
          <w:sz w:val="32"/>
          <w:szCs w:val="32"/>
        </w:rPr>
        <w:t>承诺人：</w:t>
      </w:r>
    </w:p>
    <w:p>
      <w:pPr>
        <w:pStyle w:val="4"/>
        <w:keepNext w:val="0"/>
        <w:keepLines w:val="0"/>
        <w:widowControl/>
        <w:suppressLineNumbers w:val="0"/>
        <w:ind w:firstLine="3840" w:firstLineChars="1200"/>
        <w:rPr>
          <w:rFonts w:hint="eastAsia" w:ascii="仿宋_GB2312" w:hAnsi="仿宋_GB2312" w:eastAsia="仿宋_GB2312" w:cs="仿宋_GB2312"/>
          <w:sz w:val="32"/>
          <w:szCs w:val="32"/>
        </w:rPr>
      </w:pPr>
      <w:r>
        <w:rPr>
          <w:rFonts w:hint="eastAsia"/>
          <w:sz w:val="32"/>
          <w:szCs w:val="32"/>
          <w:lang w:val="en-US" w:eastAsia="zh-CN"/>
        </w:rPr>
        <w:t xml:space="preserve"> </w:t>
      </w:r>
      <w:r>
        <w:rPr>
          <w:rFonts w:hint="eastAsia" w:ascii="仿宋_GB2312" w:eastAsia="仿宋_GB2312" w:cs="仿宋_GB2312"/>
          <w:color w:val="000000"/>
          <w:sz w:val="32"/>
          <w:szCs w:val="32"/>
        </w:rPr>
        <w:t>日</w:t>
      </w:r>
      <w:r>
        <w:rPr>
          <w:sz w:val="32"/>
          <w:szCs w:val="32"/>
        </w:rPr>
        <w:t> </w:t>
      </w:r>
      <w:r>
        <w:rPr>
          <w:rFonts w:hint="eastAsia" w:ascii="仿宋_GB2312" w:eastAsia="仿宋_GB2312" w:cs="仿宋_GB2312"/>
          <w:color w:val="000000"/>
          <w:sz w:val="32"/>
          <w:szCs w:val="32"/>
        </w:rPr>
        <w:t>期：</w:t>
      </w: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0ZTNhMWUzMDM3YWFjNjBlMmU0ODc5MWI4Njc1NTcifQ=="/>
  </w:docVars>
  <w:rsids>
    <w:rsidRoot w:val="3ADE4ED5"/>
    <w:rsid w:val="2C194B5F"/>
    <w:rsid w:val="3ADE4ED5"/>
    <w:rsid w:val="51BF24D3"/>
    <w:rsid w:val="551D7B28"/>
    <w:rsid w:val="58576671"/>
    <w:rsid w:val="58C67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5271</Words>
  <Characters>5399</Characters>
  <Lines>0</Lines>
  <Paragraphs>0</Paragraphs>
  <TotalTime>31</TotalTime>
  <ScaleCrop>false</ScaleCrop>
  <LinksUpToDate>false</LinksUpToDate>
  <CharactersWithSpaces>5476</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2022-12-14T06:30:00Z</dcterms:created>
  <dc:creator>Lenovo</dc:creator>
  <cp:lastModifiedBy>hxy</cp:lastModifiedBy>
  <cp:lastPrinted>2022-12-14T06:53:00Z</cp:lastPrinted>
  <dcterms:modified xsi:type="dcterms:W3CDTF">2022-12-15T01:37:52Z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E77B66EDE7FF4C76BC7337AE17F9009E</vt:lpwstr>
  </property>
</Properties>
</file>