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蓝田县耕地保护考核评价表</w:t>
      </w:r>
    </w:p>
    <w:p>
      <w:pPr>
        <w:spacing w:afterLines="50" w:line="600" w:lineRule="exact"/>
        <w:rPr>
          <w:rFonts w:hint="eastAsia" w:ascii="仿宋" w:hAnsi="仿宋" w:eastAsia="仿宋" w:cs="仿宋"/>
          <w:bCs/>
          <w:sz w:val="32"/>
          <w:szCs w:val="24"/>
          <w:u w:val="single"/>
        </w:rPr>
      </w:pPr>
      <w:r>
        <w:rPr>
          <w:rFonts w:hint="eastAsia" w:ascii="仿宋" w:hAnsi="仿宋" w:eastAsia="仿宋" w:cs="仿宋"/>
          <w:bCs/>
          <w:sz w:val="32"/>
          <w:szCs w:val="24"/>
        </w:rPr>
        <w:t>镇（街）：考核评价结果:</w:t>
      </w:r>
    </w:p>
    <w:tbl>
      <w:tblPr>
        <w:tblStyle w:val="4"/>
        <w:tblW w:w="14701" w:type="dxa"/>
        <w:tblInd w:w="93" w:type="dxa"/>
        <w:tblLayout w:type="autofit"/>
        <w:tblCellMar>
          <w:top w:w="0" w:type="dxa"/>
          <w:left w:w="108" w:type="dxa"/>
          <w:bottom w:w="0" w:type="dxa"/>
          <w:right w:w="108" w:type="dxa"/>
        </w:tblCellMar>
      </w:tblPr>
      <w:tblGrid>
        <w:gridCol w:w="2512"/>
        <w:gridCol w:w="3084"/>
        <w:gridCol w:w="5287"/>
        <w:gridCol w:w="881"/>
        <w:gridCol w:w="882"/>
        <w:gridCol w:w="2055"/>
      </w:tblGrid>
      <w:tr>
        <w:tblPrEx>
          <w:tblCellMar>
            <w:top w:w="0" w:type="dxa"/>
            <w:left w:w="108" w:type="dxa"/>
            <w:bottom w:w="0" w:type="dxa"/>
            <w:right w:w="108" w:type="dxa"/>
          </w:tblCellMar>
        </w:tblPrEx>
        <w:trPr>
          <w:trHeight w:val="377" w:hRule="atLeast"/>
          <w:tblHeader/>
        </w:trPr>
        <w:tc>
          <w:tcPr>
            <w:tcW w:w="251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一级考核指标</w:t>
            </w:r>
          </w:p>
          <w:p>
            <w:pPr>
              <w:widowControl/>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（考核内容）</w:t>
            </w:r>
          </w:p>
        </w:tc>
        <w:tc>
          <w:tcPr>
            <w:tcW w:w="3084"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二级考核指标</w:t>
            </w:r>
          </w:p>
          <w:p>
            <w:pPr>
              <w:widowControl/>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（重点考核事项）</w:t>
            </w:r>
          </w:p>
        </w:tc>
        <w:tc>
          <w:tcPr>
            <w:tcW w:w="5287"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评分标准</w:t>
            </w:r>
          </w:p>
        </w:tc>
        <w:tc>
          <w:tcPr>
            <w:tcW w:w="881"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分值</w:t>
            </w:r>
          </w:p>
        </w:tc>
        <w:tc>
          <w:tcPr>
            <w:tcW w:w="882"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评分</w:t>
            </w:r>
          </w:p>
          <w:p>
            <w:pPr>
              <w:widowControl/>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结果</w:t>
            </w:r>
          </w:p>
        </w:tc>
        <w:tc>
          <w:tcPr>
            <w:tcW w:w="2055"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评分部门</w:t>
            </w:r>
          </w:p>
        </w:tc>
      </w:tr>
      <w:tr>
        <w:tblPrEx>
          <w:tblCellMar>
            <w:top w:w="0" w:type="dxa"/>
            <w:left w:w="108" w:type="dxa"/>
            <w:bottom w:w="0" w:type="dxa"/>
            <w:right w:w="108" w:type="dxa"/>
          </w:tblCellMar>
        </w:tblPrEx>
        <w:trPr>
          <w:trHeight w:val="1034" w:hRule="atLeast"/>
        </w:trPr>
        <w:tc>
          <w:tcPr>
            <w:tcW w:w="2512" w:type="dxa"/>
            <w:vMerge w:val="restart"/>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一、耕地保有量</w:t>
            </w:r>
          </w:p>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（25分）</w:t>
            </w:r>
          </w:p>
        </w:tc>
        <w:tc>
          <w:tcPr>
            <w:tcW w:w="3084"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1.耕地保护目标完成情况</w:t>
            </w:r>
          </w:p>
        </w:tc>
        <w:tc>
          <w:tcPr>
            <w:tcW w:w="5287"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依据最新年度国土变更数据耕地面积，签订耕地保护目标责任书。签订得满分；未签订不得分。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15</w:t>
            </w:r>
          </w:p>
        </w:tc>
        <w:tc>
          <w:tcPr>
            <w:tcW w:w="882"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县资源规划局</w:t>
            </w:r>
          </w:p>
        </w:tc>
      </w:tr>
      <w:tr>
        <w:tblPrEx>
          <w:tblCellMar>
            <w:top w:w="0" w:type="dxa"/>
            <w:left w:w="108" w:type="dxa"/>
            <w:bottom w:w="0" w:type="dxa"/>
            <w:right w:w="108" w:type="dxa"/>
          </w:tblCellMar>
        </w:tblPrEx>
        <w:trPr>
          <w:trHeight w:val="991" w:hRule="atLeast"/>
        </w:trPr>
        <w:tc>
          <w:tcPr>
            <w:tcW w:w="2512" w:type="dxa"/>
            <w:vMerge w:val="continue"/>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p>
        </w:tc>
        <w:tc>
          <w:tcPr>
            <w:tcW w:w="3084"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2.耕地增减变化情况</w:t>
            </w:r>
          </w:p>
        </w:tc>
        <w:tc>
          <w:tcPr>
            <w:tcW w:w="5287"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耕地数量较上年度增长及未变化的，得满分。耕地数量减少，但已落实占补平衡，不予扣分；耕地数量减少，未落实占补平衡，每减少50亩，扣1分。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10</w:t>
            </w:r>
          </w:p>
        </w:tc>
        <w:tc>
          <w:tcPr>
            <w:tcW w:w="882"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县资源规划局</w:t>
            </w:r>
          </w:p>
        </w:tc>
      </w:tr>
      <w:tr>
        <w:tblPrEx>
          <w:tblCellMar>
            <w:top w:w="0" w:type="dxa"/>
            <w:left w:w="108" w:type="dxa"/>
            <w:bottom w:w="0" w:type="dxa"/>
            <w:right w:w="108" w:type="dxa"/>
          </w:tblCellMar>
        </w:tblPrEx>
        <w:trPr>
          <w:trHeight w:val="1124" w:hRule="atLeast"/>
        </w:trPr>
        <w:tc>
          <w:tcPr>
            <w:tcW w:w="2512"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二、永久基本农田保护</w:t>
            </w:r>
          </w:p>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(15分)</w:t>
            </w:r>
          </w:p>
        </w:tc>
        <w:tc>
          <w:tcPr>
            <w:tcW w:w="3084"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3.永久基本农田保护面积</w:t>
            </w:r>
          </w:p>
        </w:tc>
        <w:tc>
          <w:tcPr>
            <w:tcW w:w="5287"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永久基本农田中耕地面积大于等于下达的永久基本农田保护面积考核指标的，得满分；每减少5亩扣1分。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15</w:t>
            </w:r>
          </w:p>
        </w:tc>
        <w:tc>
          <w:tcPr>
            <w:tcW w:w="882"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县资源规划局</w:t>
            </w:r>
          </w:p>
        </w:tc>
      </w:tr>
      <w:tr>
        <w:tblPrEx>
          <w:tblCellMar>
            <w:top w:w="0" w:type="dxa"/>
            <w:left w:w="108" w:type="dxa"/>
            <w:bottom w:w="0" w:type="dxa"/>
            <w:right w:w="108" w:type="dxa"/>
          </w:tblCellMar>
        </w:tblPrEx>
        <w:trPr>
          <w:trHeight w:val="1112" w:hRule="atLeast"/>
        </w:trPr>
        <w:tc>
          <w:tcPr>
            <w:tcW w:w="2512"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三、粮食播种面积</w:t>
            </w:r>
          </w:p>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(10分)</w:t>
            </w:r>
          </w:p>
        </w:tc>
        <w:tc>
          <w:tcPr>
            <w:tcW w:w="3084"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4.粮食面积变化情况</w:t>
            </w:r>
          </w:p>
        </w:tc>
        <w:tc>
          <w:tcPr>
            <w:tcW w:w="5287"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粮食播种面积大于等于下达指标任务的，得满分；每减少10亩扣1分。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10</w:t>
            </w:r>
          </w:p>
        </w:tc>
        <w:tc>
          <w:tcPr>
            <w:tcW w:w="882"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县农业农村局</w:t>
            </w:r>
          </w:p>
        </w:tc>
      </w:tr>
      <w:tr>
        <w:tblPrEx>
          <w:tblCellMar>
            <w:top w:w="0" w:type="dxa"/>
            <w:left w:w="108" w:type="dxa"/>
            <w:bottom w:w="0" w:type="dxa"/>
            <w:right w:w="108" w:type="dxa"/>
          </w:tblCellMar>
        </w:tblPrEx>
        <w:trPr>
          <w:trHeight w:val="840" w:hRule="atLeast"/>
        </w:trPr>
        <w:tc>
          <w:tcPr>
            <w:tcW w:w="2512" w:type="dxa"/>
            <w:vMerge w:val="restart"/>
            <w:tcBorders>
              <w:top w:val="nil"/>
              <w:left w:val="single" w:color="auto" w:sz="4" w:space="0"/>
              <w:right w:val="single" w:color="auto" w:sz="4" w:space="0"/>
            </w:tcBorders>
            <w:noWrap/>
            <w:vAlign w:val="center"/>
          </w:tcPr>
          <w:p>
            <w:pPr>
              <w:numPr>
                <w:ilvl w:val="0"/>
                <w:numId w:val="1"/>
              </w:numPr>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土地整治和高标准农田建设</w:t>
            </w:r>
          </w:p>
          <w:p>
            <w:pPr>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(10分)</w:t>
            </w:r>
          </w:p>
        </w:tc>
        <w:tc>
          <w:tcPr>
            <w:tcW w:w="3084"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5.土地整治项目建后管护与利用</w:t>
            </w:r>
          </w:p>
        </w:tc>
        <w:tc>
          <w:tcPr>
            <w:tcW w:w="5287"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1.有管护制度、管护合同。（1分）</w:t>
            </w:r>
          </w:p>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2.落实管护主体。（2分）</w:t>
            </w:r>
          </w:p>
          <w:p>
            <w:pPr>
              <w:widowControl/>
              <w:jc w:val="left"/>
              <w:rPr>
                <w:rFonts w:ascii="仿宋" w:hAnsi="仿宋" w:eastAsia="仿宋" w:cs="仿宋"/>
                <w:color w:val="000000"/>
                <w:kern w:val="0"/>
                <w:sz w:val="28"/>
                <w:szCs w:val="28"/>
                <w:highlight w:val="yellow"/>
              </w:rPr>
            </w:pPr>
            <w:r>
              <w:rPr>
                <w:rFonts w:hint="eastAsia" w:ascii="仿宋" w:hAnsi="仿宋" w:eastAsia="仿宋" w:cs="仿宋"/>
                <w:color w:val="000000"/>
                <w:kern w:val="0"/>
                <w:sz w:val="28"/>
                <w:szCs w:val="28"/>
              </w:rPr>
              <w:t>3.土地整治项目地块落实种植适宜的农作物，确保地块无建设占用，无撂荒。（2分）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5</w:t>
            </w:r>
          </w:p>
        </w:tc>
        <w:tc>
          <w:tcPr>
            <w:tcW w:w="882"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县资源规划局</w:t>
            </w:r>
          </w:p>
        </w:tc>
      </w:tr>
      <w:tr>
        <w:tblPrEx>
          <w:tblCellMar>
            <w:top w:w="0" w:type="dxa"/>
            <w:left w:w="108" w:type="dxa"/>
            <w:bottom w:w="0" w:type="dxa"/>
            <w:right w:w="108" w:type="dxa"/>
          </w:tblCellMar>
        </w:tblPrEx>
        <w:trPr>
          <w:trHeight w:val="994" w:hRule="atLeast"/>
        </w:trPr>
        <w:tc>
          <w:tcPr>
            <w:tcW w:w="2512" w:type="dxa"/>
            <w:vMerge w:val="continue"/>
            <w:tcBorders>
              <w:left w:val="single" w:color="auto" w:sz="4" w:space="0"/>
              <w:bottom w:val="single" w:color="auto" w:sz="4" w:space="0"/>
              <w:right w:val="single" w:color="auto" w:sz="4" w:space="0"/>
            </w:tcBorders>
            <w:noWrap/>
            <w:vAlign w:val="center"/>
          </w:tcPr>
          <w:p>
            <w:pPr>
              <w:jc w:val="center"/>
              <w:rPr>
                <w:rFonts w:ascii="仿宋" w:hAnsi="仿宋" w:eastAsia="仿宋" w:cs="仿宋"/>
                <w:color w:val="000000"/>
                <w:kern w:val="0"/>
                <w:sz w:val="28"/>
                <w:szCs w:val="28"/>
              </w:rPr>
            </w:pPr>
          </w:p>
        </w:tc>
        <w:tc>
          <w:tcPr>
            <w:tcW w:w="3084"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6.高标准农田建后管护与利用</w:t>
            </w:r>
          </w:p>
        </w:tc>
        <w:tc>
          <w:tcPr>
            <w:tcW w:w="5287"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1.有管护制度。（2分）</w:t>
            </w:r>
          </w:p>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2.有管护合同。（2分）</w:t>
            </w:r>
          </w:p>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3.落实管护主体。（1分）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5</w:t>
            </w:r>
          </w:p>
        </w:tc>
        <w:tc>
          <w:tcPr>
            <w:tcW w:w="882"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县农业农村局</w:t>
            </w:r>
          </w:p>
        </w:tc>
      </w:tr>
      <w:tr>
        <w:tblPrEx>
          <w:tblCellMar>
            <w:top w:w="0" w:type="dxa"/>
            <w:left w:w="108" w:type="dxa"/>
            <w:bottom w:w="0" w:type="dxa"/>
            <w:right w:w="108" w:type="dxa"/>
          </w:tblCellMar>
        </w:tblPrEx>
        <w:trPr>
          <w:trHeight w:val="1204" w:hRule="atLeast"/>
        </w:trPr>
        <w:tc>
          <w:tcPr>
            <w:tcW w:w="2512" w:type="dxa"/>
            <w:tcBorders>
              <w:top w:val="nil"/>
              <w:left w:val="single" w:color="auto" w:sz="4" w:space="0"/>
              <w:bottom w:val="single" w:color="auto" w:sz="4" w:space="0"/>
              <w:right w:val="single" w:color="auto" w:sz="4" w:space="0"/>
            </w:tcBorders>
            <w:noWrap/>
            <w:vAlign w:val="center"/>
          </w:tcPr>
          <w:p>
            <w:pPr>
              <w:widowControl/>
              <w:numPr>
                <w:ilvl w:val="0"/>
                <w:numId w:val="1"/>
              </w:numPr>
              <w:jc w:val="center"/>
              <w:rPr>
                <w:rFonts w:ascii="仿宋" w:hAnsi="仿宋" w:eastAsia="仿宋" w:cs="仿宋"/>
                <w:sz w:val="28"/>
                <w:szCs w:val="28"/>
              </w:rPr>
            </w:pPr>
            <w:r>
              <w:rPr>
                <w:rFonts w:hint="eastAsia" w:ascii="仿宋" w:hAnsi="仿宋" w:eastAsia="仿宋" w:cs="仿宋"/>
                <w:sz w:val="28"/>
                <w:szCs w:val="28"/>
              </w:rPr>
              <w:t>耕地质量保护与提升情况</w:t>
            </w:r>
          </w:p>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(5分)</w:t>
            </w:r>
          </w:p>
        </w:tc>
        <w:tc>
          <w:tcPr>
            <w:tcW w:w="3084"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7.土壤肥力保护及提升管理情况</w:t>
            </w:r>
          </w:p>
        </w:tc>
        <w:tc>
          <w:tcPr>
            <w:tcW w:w="5287"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根据耕地土壤肥力监测结果，较上年度</w:t>
            </w:r>
            <w:r>
              <w:rPr>
                <w:rFonts w:ascii="仿宋" w:hAnsi="仿宋" w:eastAsia="仿宋" w:cs="仿宋"/>
                <w:color w:val="000000"/>
                <w:kern w:val="0"/>
                <w:sz w:val="28"/>
                <w:szCs w:val="28"/>
              </w:rPr>
              <w:t>土</w:t>
            </w:r>
            <w:r>
              <w:rPr>
                <w:rFonts w:hint="eastAsia" w:ascii="仿宋" w:hAnsi="仿宋" w:eastAsia="仿宋" w:cs="仿宋"/>
                <w:color w:val="000000"/>
                <w:kern w:val="0"/>
                <w:sz w:val="28"/>
                <w:szCs w:val="28"/>
              </w:rPr>
              <w:t>壤肥力有所提升，得满分（5分）；土壤肥力下降不得分。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5</w:t>
            </w:r>
          </w:p>
        </w:tc>
        <w:tc>
          <w:tcPr>
            <w:tcW w:w="882"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县农业农村局</w:t>
            </w:r>
          </w:p>
        </w:tc>
      </w:tr>
      <w:tr>
        <w:tblPrEx>
          <w:tblCellMar>
            <w:top w:w="0" w:type="dxa"/>
            <w:left w:w="108" w:type="dxa"/>
            <w:bottom w:w="0" w:type="dxa"/>
            <w:right w:w="108" w:type="dxa"/>
          </w:tblCellMar>
        </w:tblPrEx>
        <w:trPr>
          <w:trHeight w:val="1204" w:hRule="atLeast"/>
        </w:trPr>
        <w:tc>
          <w:tcPr>
            <w:tcW w:w="2512" w:type="dxa"/>
            <w:tcBorders>
              <w:top w:val="nil"/>
              <w:left w:val="single" w:color="auto" w:sz="4" w:space="0"/>
              <w:bottom w:val="single" w:color="auto" w:sz="4" w:space="0"/>
              <w:right w:val="single" w:color="auto" w:sz="4" w:space="0"/>
            </w:tcBorders>
            <w:noWrap/>
            <w:vAlign w:val="center"/>
          </w:tcPr>
          <w:p>
            <w:pPr>
              <w:widowControl/>
              <w:numPr>
                <w:ilvl w:val="0"/>
                <w:numId w:val="1"/>
              </w:numPr>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耕地保护“田长制”建立及长效机制等制度建设情况(10分)</w:t>
            </w:r>
          </w:p>
        </w:tc>
        <w:tc>
          <w:tcPr>
            <w:tcW w:w="3084"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8.保护措施建立与管理落实情况</w:t>
            </w:r>
          </w:p>
        </w:tc>
        <w:tc>
          <w:tcPr>
            <w:tcW w:w="5287"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根据落实省、市、县耕地保护政策，是否建立“田长制”管理层级和网络员。建立得满分，未建立不得分。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10</w:t>
            </w:r>
          </w:p>
        </w:tc>
        <w:tc>
          <w:tcPr>
            <w:tcW w:w="882"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　</w:t>
            </w: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县资源规划局</w:t>
            </w:r>
          </w:p>
        </w:tc>
      </w:tr>
      <w:tr>
        <w:tblPrEx>
          <w:tblCellMar>
            <w:top w:w="0" w:type="dxa"/>
            <w:left w:w="108" w:type="dxa"/>
            <w:bottom w:w="0" w:type="dxa"/>
            <w:right w:w="108" w:type="dxa"/>
          </w:tblCellMar>
        </w:tblPrEx>
        <w:trPr>
          <w:trHeight w:val="1529" w:hRule="atLeast"/>
        </w:trPr>
        <w:tc>
          <w:tcPr>
            <w:tcW w:w="2512" w:type="dxa"/>
            <w:vMerge w:val="restart"/>
            <w:tcBorders>
              <w:left w:val="single" w:color="auto" w:sz="4" w:space="0"/>
              <w:right w:val="single" w:color="auto" w:sz="4" w:space="0"/>
            </w:tcBorders>
            <w:noWrap/>
            <w:vAlign w:val="center"/>
          </w:tcPr>
          <w:p>
            <w:pPr>
              <w:numPr>
                <w:ilvl w:val="0"/>
                <w:numId w:val="1"/>
              </w:numPr>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耕地“非农化”“非粮化”</w:t>
            </w:r>
          </w:p>
          <w:p>
            <w:pPr>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（20分）</w:t>
            </w:r>
          </w:p>
        </w:tc>
        <w:tc>
          <w:tcPr>
            <w:tcW w:w="3084"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9.“非农化”管理及查处整改完成情况</w:t>
            </w:r>
          </w:p>
        </w:tc>
        <w:tc>
          <w:tcPr>
            <w:tcW w:w="5287"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1.有“非农化”宣传政策资料。（2分）</w:t>
            </w:r>
          </w:p>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2.有地方党委或政府负责人主持召开图斑整改会议或对“非农化”图斑整改工作专门批示。（2分）</w:t>
            </w:r>
          </w:p>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3.根据违法占用耕地或永久基本农田整改完成率百分比得分（完成率与分值相乘等于得分）。（5分）</w:t>
            </w:r>
          </w:p>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4.未因违法占用耕地或永久基本农田问题被部、省、市通报、督办。未通报满分，通报扣1分。（1分）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10</w:t>
            </w:r>
          </w:p>
        </w:tc>
        <w:tc>
          <w:tcPr>
            <w:tcW w:w="882"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　</w:t>
            </w: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县资源规划局</w:t>
            </w:r>
          </w:p>
        </w:tc>
      </w:tr>
      <w:tr>
        <w:tblPrEx>
          <w:tblCellMar>
            <w:top w:w="0" w:type="dxa"/>
            <w:left w:w="108" w:type="dxa"/>
            <w:bottom w:w="0" w:type="dxa"/>
            <w:right w:w="108" w:type="dxa"/>
          </w:tblCellMar>
        </w:tblPrEx>
        <w:trPr>
          <w:trHeight w:val="1271" w:hRule="atLeast"/>
        </w:trPr>
        <w:tc>
          <w:tcPr>
            <w:tcW w:w="2512" w:type="dxa"/>
            <w:vMerge w:val="continue"/>
            <w:tcBorders>
              <w:left w:val="single" w:color="auto" w:sz="4" w:space="0"/>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p>
        </w:tc>
        <w:tc>
          <w:tcPr>
            <w:tcW w:w="3084"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10.耕地“非粮化”管理情况</w:t>
            </w:r>
          </w:p>
        </w:tc>
        <w:tc>
          <w:tcPr>
            <w:tcW w:w="5287"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1.有“非粮化”管理台账。（3分）</w:t>
            </w:r>
          </w:p>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2.有退出以后种植粮食蔬菜的。（4分）</w:t>
            </w:r>
          </w:p>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3.“非粮化”政策宣传方面落实到位。（3分）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10</w:t>
            </w:r>
          </w:p>
        </w:tc>
        <w:tc>
          <w:tcPr>
            <w:tcW w:w="882"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　</w:t>
            </w: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县农业农村局</w:t>
            </w:r>
          </w:p>
        </w:tc>
      </w:tr>
      <w:tr>
        <w:tblPrEx>
          <w:tblCellMar>
            <w:top w:w="0" w:type="dxa"/>
            <w:left w:w="108" w:type="dxa"/>
            <w:bottom w:w="0" w:type="dxa"/>
            <w:right w:w="108" w:type="dxa"/>
          </w:tblCellMar>
        </w:tblPrEx>
        <w:trPr>
          <w:trHeight w:val="991" w:hRule="atLeast"/>
        </w:trPr>
        <w:tc>
          <w:tcPr>
            <w:tcW w:w="2512"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八、其他与耕地保护相关工作的完成情况(5分)</w:t>
            </w:r>
          </w:p>
        </w:tc>
        <w:tc>
          <w:tcPr>
            <w:tcW w:w="3084"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11.项目资金使用及奖补资金的使用情况</w:t>
            </w:r>
          </w:p>
        </w:tc>
        <w:tc>
          <w:tcPr>
            <w:tcW w:w="5287"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资金按照规定使用，无资金分配使用要求规定的负面内容，得5分，其他不得分。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5</w:t>
            </w:r>
          </w:p>
        </w:tc>
        <w:tc>
          <w:tcPr>
            <w:tcW w:w="882" w:type="dxa"/>
            <w:tcBorders>
              <w:top w:val="nil"/>
              <w:left w:val="nil"/>
              <w:bottom w:val="single" w:color="auto" w:sz="4" w:space="0"/>
              <w:right w:val="single" w:color="auto" w:sz="4" w:space="0"/>
            </w:tcBorders>
            <w:noWrap/>
            <w:vAlign w:val="center"/>
          </w:tcPr>
          <w:p>
            <w:pPr>
              <w:widowControl/>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　</w:t>
            </w: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县财政局</w:t>
            </w:r>
          </w:p>
        </w:tc>
      </w:tr>
      <w:tr>
        <w:tblPrEx>
          <w:tblCellMar>
            <w:top w:w="0" w:type="dxa"/>
            <w:left w:w="108" w:type="dxa"/>
            <w:bottom w:w="0" w:type="dxa"/>
            <w:right w:w="108" w:type="dxa"/>
          </w:tblCellMar>
        </w:tblPrEx>
        <w:trPr>
          <w:trHeight w:val="764" w:hRule="atLeast"/>
        </w:trPr>
        <w:tc>
          <w:tcPr>
            <w:tcW w:w="10883" w:type="dxa"/>
            <w:gridSpan w:val="3"/>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总分</w:t>
            </w:r>
          </w:p>
        </w:tc>
        <w:tc>
          <w:tcPr>
            <w:tcW w:w="881"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100</w:t>
            </w:r>
          </w:p>
        </w:tc>
        <w:tc>
          <w:tcPr>
            <w:tcW w:w="882"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p>
        </w:tc>
        <w:tc>
          <w:tcPr>
            <w:tcW w:w="205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color w:val="000000"/>
                <w:kern w:val="0"/>
                <w:sz w:val="28"/>
                <w:szCs w:val="28"/>
              </w:rPr>
            </w:pPr>
          </w:p>
        </w:tc>
      </w:tr>
    </w:tbl>
    <w:p>
      <w:pPr>
        <w:ind w:right="1280" w:firstLine="700" w:firstLineChars="250"/>
        <w:rPr>
          <w:rFonts w:ascii="Times New Roman" w:hAnsi="Times New Roman" w:eastAsia="仿宋_GB2312"/>
          <w:bCs/>
          <w:sz w:val="32"/>
          <w:szCs w:val="24"/>
        </w:rPr>
      </w:pPr>
      <w:r>
        <w:rPr>
          <w:rFonts w:hint="eastAsia" w:ascii="仿宋" w:hAnsi="仿宋" w:eastAsia="仿宋" w:cs="仿宋"/>
          <w:bCs/>
          <w:sz w:val="28"/>
          <w:szCs w:val="28"/>
        </w:rPr>
        <w:t>注：总分值100分。</w:t>
      </w:r>
      <w:r>
        <w:rPr>
          <w:rFonts w:hint="eastAsia" w:ascii="仿宋" w:hAnsi="仿宋" w:eastAsia="仿宋" w:cs="仿宋"/>
          <w:sz w:val="28"/>
          <w:szCs w:val="28"/>
        </w:rPr>
        <w:t>考核评价结果根据得分（100分制）分为优秀、合格、不合格三个等次。得分在90分以上，且无细则规定“第十条”所列情形的为优秀；得分80分以上、不足90分的为合格；不足80分的为不合格。</w:t>
      </w:r>
    </w:p>
    <w:p/>
    <w:p/>
    <w:sectPr>
      <w:pgSz w:w="16838" w:h="11906" w:orient="landscape"/>
      <w:pgMar w:top="1417" w:right="1077" w:bottom="1417" w:left="107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110A7B"/>
    <w:multiLevelType w:val="singleLevel"/>
    <w:tmpl w:val="21110A7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059C35B9"/>
    <w:rsid w:val="059C35B9"/>
    <w:rsid w:val="5D445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style>
  <w:style w:type="paragraph" w:styleId="3">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2023-03-09T11:09:00Z</dcterms:created>
  <dc:creator>byx</dc:creator>
  <cp:lastModifiedBy>byx</cp:lastModifiedBy>
  <dcterms:modified xsi:type="dcterms:W3CDTF">2023-03-09T11:12:03Z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082DF6C93E1C44278A522174DB945B6F</vt:lpwstr>
  </property>
</Properties>
</file>