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原中共蓝田县委政策研究室</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sz w:val="32"/>
          <w:szCs w:val="32"/>
        </w:rPr>
      </w:pPr>
      <w:r>
        <w:rPr>
          <w:rFonts w:hint="eastAsia" w:ascii="方正小标宋简体" w:hAnsi="方正小标宋简体" w:eastAsia="方正小标宋简体" w:cs="方正小标宋简体"/>
          <w:b/>
          <w:sz w:val="44"/>
          <w:szCs w:val="44"/>
        </w:rPr>
        <w:t>2019年度部门决算说明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按照蓝办发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2019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4号《中共蓝田县委办公室蓝田县人民政府办公室关于印发</w:t>
      </w:r>
      <w:r>
        <w:rPr>
          <w:rFonts w:hint="eastAsia" w:ascii="仿宋_GB2312" w:hAnsi="仿宋_GB2312" w:eastAsia="仿宋_GB2312" w:cs="仿宋_GB2312"/>
          <w:sz w:val="32"/>
          <w:szCs w:val="32"/>
        </w:rPr>
        <w:t>&lt;</w:t>
      </w:r>
      <w:r>
        <w:rPr>
          <w:rFonts w:hint="eastAsia" w:ascii="仿宋_GB2312" w:hAnsi="仿宋_GB2312" w:eastAsia="仿宋_GB2312" w:cs="仿宋_GB2312"/>
          <w:sz w:val="32"/>
          <w:szCs w:val="32"/>
        </w:rPr>
        <w:t>蓝田县机构改革实施方案</w:t>
      </w:r>
      <w:r>
        <w:rPr>
          <w:rFonts w:hint="eastAsia" w:ascii="仿宋_GB2312" w:hAnsi="仿宋_GB2312" w:eastAsia="仿宋_GB2312" w:cs="仿宋_GB2312"/>
          <w:sz w:val="32"/>
          <w:szCs w:val="32"/>
        </w:rPr>
        <w:t>&gt;</w:t>
      </w:r>
      <w:r>
        <w:rPr>
          <w:rFonts w:hint="eastAsia" w:ascii="仿宋_GB2312" w:hAnsi="仿宋_GB2312" w:eastAsia="仿宋_GB2312" w:cs="仿宋_GB2312"/>
          <w:sz w:val="32"/>
          <w:szCs w:val="32"/>
        </w:rPr>
        <w:t>的通知》中“将</w:t>
      </w:r>
      <w:r>
        <w:rPr>
          <w:rFonts w:hint="eastAsia" w:ascii="仿宋_GB2312" w:hAnsi="仿宋_GB2312" w:eastAsia="仿宋_GB2312" w:cs="仿宋_GB2312"/>
          <w:sz w:val="32"/>
          <w:szCs w:val="32"/>
        </w:rPr>
        <w:t>县委政策研究室职责划入县委办公室，不再保留县委政策研究室牌子”的精神，划转工作已2019年8月完成。对原中共蓝田县委政策研究（县委改革办）2019年8月以前度部门决算说明如下：</w:t>
      </w:r>
      <w:bookmarkStart w:id="0" w:name="_GoBack"/>
      <w:bookmarkEnd w:id="0"/>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一、部门主要职责。</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原中共蓝田县委政策研究室（县委改革办）是从事全县经济社会发展重大问题调查研究，为县委决策和中心工作服务的职能部门。其主要职责是：</w:t>
      </w:r>
    </w:p>
    <w:p>
      <w:pPr>
        <w:keepNext w:val="0"/>
        <w:keepLines w:val="0"/>
        <w:pageBreakBefore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、根据县委部署，对全县经济、政治、文化、社会、生态文明、党的建设和全面深化改革等重大问题进行调查研究，提出意见和建议，为县委决策提供参考。</w:t>
      </w:r>
    </w:p>
    <w:p>
      <w:pPr>
        <w:keepNext w:val="0"/>
        <w:keepLines w:val="0"/>
        <w:pageBreakBefore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、参与县委重大决策的实施，并进行宏观指导、督促检查，向县委报告情况。</w:t>
      </w:r>
    </w:p>
    <w:p>
      <w:pPr>
        <w:keepNext w:val="0"/>
        <w:keepLines w:val="0"/>
        <w:pageBreakBefore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、参与县委有关重要文稿修审，为县委提供信息服务。</w:t>
      </w:r>
    </w:p>
    <w:p>
      <w:pPr>
        <w:keepNext w:val="0"/>
        <w:keepLines w:val="0"/>
        <w:pageBreakBefore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t>、指导各镇街、县级部门调研工作。</w:t>
      </w:r>
    </w:p>
    <w:p>
      <w:pPr>
        <w:keepNext w:val="0"/>
        <w:keepLines w:val="0"/>
        <w:pageBreakBefore w:val="0"/>
        <w:kinsoku/>
        <w:wordWrap/>
        <w:overflowPunct/>
        <w:topLinePunct w:val="0"/>
        <w:autoSpaceDE/>
        <w:autoSpaceDN/>
        <w:bidi w:val="0"/>
        <w:adjustRightInd/>
        <w:snapToGrid/>
        <w:spacing w:line="240" w:lineRule="auto"/>
        <w:ind w:firstLine="7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t>、承担县委全面深化改革领导小组办公室日常工作。</w:t>
      </w:r>
    </w:p>
    <w:p>
      <w:pPr>
        <w:keepNext w:val="0"/>
        <w:keepLines w:val="0"/>
        <w:pageBreakBefore w:val="0"/>
        <w:kinsoku/>
        <w:wordWrap/>
        <w:overflowPunct/>
        <w:topLinePunct w:val="0"/>
        <w:autoSpaceDE/>
        <w:autoSpaceDN/>
        <w:bidi w:val="0"/>
        <w:adjustRightInd/>
        <w:snapToGrid/>
        <w:spacing w:line="240" w:lineRule="auto"/>
        <w:ind w:firstLine="7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t>、承办县委交办的其他事项。</w:t>
      </w:r>
    </w:p>
    <w:p>
      <w:pPr>
        <w:keepNext w:val="0"/>
        <w:keepLines w:val="0"/>
        <w:pageBreakBefore w:val="0"/>
        <w:kinsoku/>
        <w:wordWrap/>
        <w:overflowPunct/>
        <w:topLinePunct w:val="0"/>
        <w:autoSpaceDE/>
        <w:autoSpaceDN/>
        <w:bidi w:val="0"/>
        <w:adjustRightInd/>
        <w:snapToGrid/>
        <w:spacing w:line="240" w:lineRule="auto"/>
        <w:ind w:firstLine="78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机构设置情况为：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1、办公室  负责贯彻落实县委、县政府的重要会议、重大决策，起草政研室有关重要文件；负责政研室的机构编制、文秘、会务、学习、人事、档案、保密、接待、后勤和离退休人员的服务等工作；负责政研室会议组织、议题收集、会议记录、决定事项的跟踪落实；负责政研室年度考核、上报工作，对各项工作任务进行的检查、督促、落实；负责对外联系、宣传与综合协调工作；</w:t>
      </w:r>
      <w:r>
        <w:rPr>
          <w:rFonts w:hint="eastAsia" w:ascii="仿宋_GB2312" w:hAnsi="仿宋_GB2312" w:eastAsia="仿宋_GB2312" w:cs="仿宋_GB2312"/>
          <w:spacing w:val="-5"/>
          <w:sz w:val="32"/>
          <w:szCs w:val="32"/>
        </w:rPr>
        <w:t>负责宣传贯彻落实中央、省、市、县党风廉政建设工作；</w:t>
      </w:r>
      <w:r>
        <w:rPr>
          <w:rFonts w:hint="eastAsia" w:ascii="仿宋_GB2312" w:hAnsi="仿宋_GB2312" w:eastAsia="仿宋_GB2312" w:cs="仿宋_GB2312"/>
          <w:sz w:val="32"/>
          <w:szCs w:val="32"/>
        </w:rPr>
        <w:t>组织开展机关精神文明建设、文体活动、安全生产等工作；完成领导交办的其它工作。</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2、改革科：按照中共蓝田县委深化改革领导委员会的要求开展工作。</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原中共蓝田县委政策研究室（县委改革办）行政编制7名，设主任1名，副主任1名。</w:t>
      </w: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二、部门决算单位构成</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从决算单位构成看，本部门的部门决算为部门本级（机关）决算。</w:t>
      </w:r>
    </w:p>
    <w:p>
      <w:pPr>
        <w:keepNext w:val="0"/>
        <w:keepLines w:val="0"/>
        <w:pageBreakBefore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三、部门人员情况说明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9年8月底，本部门人员编制</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t>人；实有人员4人，其中行政人。单位管理的离退休人员</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t>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column">
              <wp:posOffset>384175</wp:posOffset>
            </wp:positionH>
            <wp:positionV relativeFrom="paragraph">
              <wp:posOffset>171450</wp:posOffset>
            </wp:positionV>
            <wp:extent cx="4657725" cy="2828925"/>
            <wp:effectExtent l="0" t="0" r="0" b="0"/>
            <wp:wrapSquare wrapText="bothSides"/>
            <wp:docPr id="1" name="OLE 对象1" descr="image1"/>
            <wp:cNvGraphicFramePr/>
            <a:graphic xmlns:a="http://schemas.openxmlformats.org/drawingml/2006/main">
              <a:graphicData uri="http://schemas.openxmlformats.org/drawingml/2006/picture">
                <pic:pic xmlns:pic="http://schemas.openxmlformats.org/drawingml/2006/picture">
                  <pic:nvPicPr>
                    <pic:cNvPr id="1" name="OLE 对象1" descr="image1"/>
                    <pic:cNvPicPr/>
                  </pic:nvPicPr>
                  <pic:blipFill>
                    <a:blip r:embed="rId5"/>
                    <a:stretch>
                      <a:fillRect/>
                    </a:stretch>
                  </pic:blipFill>
                  <pic:spPr>
                    <a:xfrm>
                      <a:off x="0" y="0"/>
                      <a:ext cx="4657725" cy="2828925"/>
                    </a:xfrm>
                    <a:prstGeom prst="rect">
                      <a:avLst/>
                    </a:prstGeom>
                    <a:noFill/>
                    <a:ln>
                      <a:noFill/>
                    </a:ln>
                  </pic:spPr>
                </pic:pic>
              </a:graphicData>
            </a:graphic>
          </wp:anchor>
        </w:drawing>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v</w:t>
      </w:r>
    </w:p>
    <w:p>
      <w:pPr>
        <w:keepNext w:val="0"/>
        <w:keepLines w:val="0"/>
        <w:pageBreakBefore w:val="0"/>
        <w:kinsoku/>
        <w:wordWrap/>
        <w:overflowPunct/>
        <w:topLinePunct w:val="0"/>
        <w:autoSpaceDE/>
        <w:autoSpaceDN/>
        <w:bidi w:val="0"/>
        <w:adjustRightInd/>
        <w:snapToGrid/>
        <w:spacing w:line="240" w:lineRule="auto"/>
        <w:ind w:firstLine="72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w:t>
      </w:r>
      <w:r>
        <w:rPr>
          <w:rFonts w:hint="eastAsia" w:ascii="仿宋_GB2312" w:hAnsi="仿宋_GB2312" w:eastAsia="仿宋_GB2312" w:cs="仿宋_GB2312"/>
          <w:b/>
          <w:sz w:val="32"/>
          <w:szCs w:val="32"/>
        </w:rPr>
        <w:t>201</w:t>
      </w:r>
      <w:r>
        <w:rPr>
          <w:rFonts w:hint="eastAsia" w:ascii="仿宋_GB2312" w:hAnsi="仿宋_GB2312" w:eastAsia="仿宋_GB2312" w:cs="仿宋_GB2312"/>
          <w:b/>
          <w:sz w:val="32"/>
          <w:szCs w:val="32"/>
        </w:rPr>
        <w:t>9年度部门工作完成情况</w:t>
      </w:r>
    </w:p>
    <w:p>
      <w:pPr>
        <w:pStyle w:val="12"/>
        <w:keepNext w:val="0"/>
        <w:keepLines w:val="0"/>
        <w:pageBreakBefore w:val="0"/>
        <w:numPr>
          <w:ilvl w:val="0"/>
          <w:numId w:val="1"/>
        </w:numPr>
        <w:kinsoku/>
        <w:wordWrap/>
        <w:overflowPunct/>
        <w:topLinePunct w:val="0"/>
        <w:autoSpaceDE/>
        <w:autoSpaceDN/>
        <w:bidi w:val="0"/>
        <w:adjustRightInd/>
        <w:snapToGrid/>
        <w:spacing w:line="240" w:lineRule="auto"/>
        <w:ind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强化担当，改革工作圆满完成。</w:t>
      </w:r>
    </w:p>
    <w:p>
      <w:pPr>
        <w:pStyle w:val="12"/>
        <w:keepNext w:val="0"/>
        <w:keepLines w:val="0"/>
        <w:pageBreakBefore w:val="0"/>
        <w:kinsoku/>
        <w:wordWrap/>
        <w:overflowPunct/>
        <w:topLinePunct w:val="0"/>
        <w:autoSpaceDE/>
        <w:autoSpaceDN/>
        <w:bidi w:val="0"/>
        <w:adjustRightInd/>
        <w:snapToGrid/>
        <w:spacing w:line="240" w:lineRule="auto"/>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召开县委深改委会议3次，学习研究议题16个，制定下发《县委全面深化改革委员会2019年工作要点》，全年确定改革任务49项，完成年度任务48项（1项因上级未出台文件），出台文件（方案）36个。一是推动改革工作全面完成，年初县委召开蓝田县机构改革动员大会，全面启动机构改革工作，印发《蓝田县机构改革方案》，全县36个部门6个直属事业单位“三定规定”全部印发，机构改革主要任务全面完成；二是深化“放管服”和商事制度改革，“一网通办”129项高频事项正式上线，实现“进一扇门、做多跑一次、办成所有事”，印发《一单两库一细则》，全面推行“双随机一公开”监管，不断优化市场环境和营商环境，进一步提升政务服务效能；三是深入实施国企国资和生态文明改革，完成交通建设集团有限公司组建方案编制、公司注册，建立运行机制；制定出台多个秦岭保护管理文件，招录秦岭环境保护网格员，切实加强秦岭生态环境保护；四是稳步推进农业农村改革工作，编制蓝田县乡村振兴战略实施规划（2018-2020）；五是创新推进文化体制改革，大力推进“书香蓝田”建设，融媒体改革工作得到国家、省市各方关注和充分肯定。六是深入推进社会民生领域改革工作，积极推进高质量教育发展，实施“党建+教育”和“双培养”工程。深入开展综合医改试点，积极推进县级医院改革工作。</w:t>
      </w:r>
    </w:p>
    <w:p>
      <w:pPr>
        <w:keepNext w:val="0"/>
        <w:keepLines w:val="0"/>
        <w:pageBreakBefore w:val="0"/>
        <w:numPr>
          <w:ilvl w:val="0"/>
          <w:numId w:val="1"/>
        </w:numPr>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共性工作</w:t>
      </w:r>
    </w:p>
    <w:p>
      <w:pPr>
        <w:keepNext w:val="0"/>
        <w:keepLines w:val="0"/>
        <w:pageBreakBefore w:val="0"/>
        <w:widowControl/>
        <w:kinsoku/>
        <w:wordWrap/>
        <w:overflowPunct/>
        <w:topLinePunct w:val="0"/>
        <w:autoSpaceDE/>
        <w:autoSpaceDN/>
        <w:bidi w:val="0"/>
        <w:adjustRightInd/>
        <w:snapToGrid/>
        <w:spacing w:line="240" w:lineRule="auto"/>
        <w:ind w:firstLine="64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rPr>
        <w:t>、铁军建设：</w:t>
      </w:r>
      <w:r>
        <w:rPr>
          <w:rFonts w:hint="eastAsia" w:ascii="仿宋_GB2312" w:hAnsi="仿宋_GB2312" w:eastAsia="仿宋_GB2312" w:cs="仿宋_GB2312"/>
          <w:sz w:val="32"/>
          <w:szCs w:val="32"/>
        </w:rPr>
        <w:t>按照年初干部教育培训计划，采取多种形式，抓好我室干部教育培训工作；认真落实从严加强干部队任建设实意见和激助干部奋力追赶超越二十条措施，强化“三项机制”运用，激发干事创业激情；抓好年轻干部实践锻炼，加强领导班子成员思想政治建设，干部日常管理监督持续强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b/>
          <w:bCs/>
          <w:sz w:val="32"/>
          <w:szCs w:val="32"/>
        </w:rPr>
        <w:t xml:space="preserve">    2</w:t>
      </w:r>
      <w:r>
        <w:rPr>
          <w:rFonts w:hint="eastAsia" w:ascii="仿宋_GB2312" w:hAnsi="仿宋_GB2312" w:eastAsia="仿宋_GB2312" w:cs="仿宋_GB2312"/>
          <w:b/>
          <w:bCs/>
          <w:sz w:val="32"/>
          <w:szCs w:val="32"/>
        </w:rPr>
        <w:t>、基层党组织建设：</w:t>
      </w:r>
      <w:r>
        <w:rPr>
          <w:rFonts w:hint="eastAsia" w:ascii="仿宋_GB2312" w:hAnsi="仿宋_GB2312" w:eastAsia="仿宋_GB2312" w:cs="仿宋_GB2312"/>
          <w:sz w:val="32"/>
          <w:szCs w:val="32"/>
        </w:rPr>
        <w:t>按照县委组织部安排，认真开展“不忘初心、</w:t>
      </w:r>
      <w:r>
        <w:rPr>
          <w:rFonts w:hint="eastAsia" w:ascii="仿宋_GB2312" w:hAnsi="仿宋_GB2312" w:eastAsia="仿宋_GB2312" w:cs="仿宋_GB2312"/>
          <w:sz w:val="32"/>
          <w:szCs w:val="32"/>
          <w:lang w:val="en-US" w:eastAsia="zh-CN"/>
        </w:rPr>
        <w:t>牢</w:t>
      </w:r>
      <w:r>
        <w:rPr>
          <w:rFonts w:hint="eastAsia" w:ascii="仿宋_GB2312" w:hAnsi="仿宋_GB2312" w:eastAsia="仿宋_GB2312" w:cs="仿宋_GB2312"/>
          <w:sz w:val="32"/>
          <w:szCs w:val="32"/>
        </w:rPr>
        <w:t>记使命，加快追赶超越步伐，落实五个扎实要求”大调研和“讲政治、敢担当、改作风”专题教育；深化“三会一课、固定党日等度，开展好主题党日、“两抓两强”和“三讲三比”活动。落实党建工作“四化”要求，机关党建工作名列前茅；强化党员发展和教育管理监督，落实党员积分制、承诺制和民主评议等制度，机关党员按规定进社区报到工作，积极开展向先进党组织和党员学习活动，党建工作不断创新。</w:t>
      </w:r>
    </w:p>
    <w:p>
      <w:pPr>
        <w:keepNext w:val="0"/>
        <w:keepLines w:val="0"/>
        <w:pageBreakBefore w:val="0"/>
        <w:widowControl/>
        <w:kinsoku/>
        <w:wordWrap/>
        <w:overflowPunct/>
        <w:topLinePunct w:val="0"/>
        <w:autoSpaceDE/>
        <w:autoSpaceDN/>
        <w:bidi w:val="0"/>
        <w:adjustRightInd/>
        <w:snapToGrid/>
        <w:spacing w:line="240" w:lineRule="auto"/>
        <w:ind w:firstLine="64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rPr>
        <w:t>、人才队伍建设：</w:t>
      </w:r>
      <w:r>
        <w:rPr>
          <w:rFonts w:hint="eastAsia" w:ascii="仿宋_GB2312" w:hAnsi="仿宋_GB2312" w:eastAsia="仿宋_GB2312" w:cs="仿宋_GB2312"/>
          <w:sz w:val="32"/>
          <w:szCs w:val="32"/>
        </w:rPr>
        <w:t>注重人才引进，推荐我室干部参与</w:t>
      </w:r>
      <w:r>
        <w:rPr>
          <w:rFonts w:hint="eastAsia" w:ascii="仿宋_GB2312" w:hAnsi="仿宋_GB2312" w:eastAsia="仿宋_GB2312" w:cs="仿宋_GB2312"/>
          <w:sz w:val="32"/>
          <w:szCs w:val="32"/>
        </w:rPr>
        <w:t>E</w:t>
      </w:r>
      <w:r>
        <w:rPr>
          <w:rFonts w:hint="eastAsia" w:ascii="仿宋_GB2312" w:hAnsi="仿宋_GB2312" w:eastAsia="仿宋_GB2312" w:cs="仿宋_GB2312"/>
          <w:sz w:val="32"/>
          <w:szCs w:val="32"/>
        </w:rPr>
        <w:t>类人才申报认定，同时积极引进高学历、紧缺型人才；积极通过参加西安干部教育在线培训、市委改革办培训、县级职能部门培训、自主培训等形式，加大机关干部教育培训力度，提升业务能力，落实三项机制，激发室机关干部人才干事创业活力。</w:t>
      </w:r>
    </w:p>
    <w:p>
      <w:pPr>
        <w:keepNext w:val="0"/>
        <w:keepLines w:val="0"/>
        <w:pageBreakBefore w:val="0"/>
        <w:widowControl/>
        <w:kinsoku/>
        <w:wordWrap/>
        <w:overflowPunct/>
        <w:topLinePunct w:val="0"/>
        <w:autoSpaceDE/>
        <w:autoSpaceDN/>
        <w:bidi w:val="0"/>
        <w:adjustRightInd/>
        <w:snapToGrid/>
        <w:spacing w:line="240" w:lineRule="auto"/>
        <w:ind w:firstLine="64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rPr>
        <w:t>、党风廉政建设：</w:t>
      </w:r>
      <w:r>
        <w:rPr>
          <w:rFonts w:hint="eastAsia" w:ascii="仿宋_GB2312" w:hAnsi="仿宋_GB2312" w:eastAsia="仿宋_GB2312" w:cs="仿宋_GB2312"/>
          <w:sz w:val="32"/>
          <w:szCs w:val="32"/>
        </w:rPr>
        <w:t>坚持党要管党、全面从严治党，坚持稳中求进工作总基调，全面落实党章要求、党的十九大精神及中省市县决策部署，以政治建设为统领，全面推进党的各项建设，持之以恒正风肃纪，营造了风清气正的良好政治生态。</w:t>
      </w:r>
    </w:p>
    <w:p>
      <w:pPr>
        <w:keepNext w:val="0"/>
        <w:keepLines w:val="0"/>
        <w:pageBreakBefore w:val="0"/>
        <w:widowControl/>
        <w:kinsoku/>
        <w:wordWrap/>
        <w:overflowPunct/>
        <w:topLinePunct w:val="0"/>
        <w:autoSpaceDE/>
        <w:autoSpaceDN/>
        <w:bidi w:val="0"/>
        <w:adjustRightInd/>
        <w:snapToGrid/>
        <w:spacing w:line="240" w:lineRule="auto"/>
        <w:ind w:firstLine="64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rPr>
        <w:t>、思想政治建设：</w:t>
      </w:r>
      <w:r>
        <w:rPr>
          <w:rFonts w:hint="eastAsia" w:ascii="仿宋_GB2312" w:hAnsi="仿宋_GB2312" w:eastAsia="仿宋_GB2312" w:cs="仿宋_GB2312"/>
          <w:sz w:val="32"/>
          <w:szCs w:val="32"/>
        </w:rPr>
        <w:t>坚持全面贯彻党的十九大精神，深入学习贯彻习近平新时代中国特色社会主义思想、网络强国战略思想，紧紧围绕“四个全面”战略布局，以“五大发展理念”为引领，牢牢把握“两个巩固”根本任务，牢固树立“四个意识”，始终坚定“两个维护”，不断加强理论武装，落实意识形态工作责任制；强化网络安全意识，落实网信工作要求；深化培育和践行社会主义核心价值观；积极有序开展政策宣传、文明志愿等活动，搜集上报资料，全面推进省级文明城市创建；以庆祝改革开放40周年为契机，通过中省市主流媒体和新媒体，强化改革成效宣传，凝聚发展合力，树立蓝田形象；配合开展城乡群众文化活动，为建设“人文山水蓝田，生态丝路慢城”提供良好的思想保证、舆论支持、精神动力和文化条件。</w:t>
      </w:r>
    </w:p>
    <w:p>
      <w:pPr>
        <w:keepNext w:val="0"/>
        <w:keepLines w:val="0"/>
        <w:pageBreakBefore w:val="0"/>
        <w:widowControl/>
        <w:kinsoku/>
        <w:wordWrap/>
        <w:overflowPunct/>
        <w:topLinePunct w:val="0"/>
        <w:autoSpaceDE/>
        <w:autoSpaceDN/>
        <w:bidi w:val="0"/>
        <w:adjustRightInd/>
        <w:snapToGrid/>
        <w:spacing w:line="240" w:lineRule="auto"/>
        <w:ind w:firstLine="64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rPr>
        <w:t>、行政效能革命：</w:t>
      </w:r>
      <w:r>
        <w:rPr>
          <w:rFonts w:hint="eastAsia" w:ascii="仿宋_GB2312" w:hAnsi="仿宋_GB2312" w:eastAsia="仿宋_GB2312" w:cs="仿宋_GB2312"/>
          <w:sz w:val="32"/>
          <w:szCs w:val="32"/>
        </w:rPr>
        <w:t>落实《西安市“马上就办、办就办好”若干规定》，全面推行“五星级”限务，持续推进“最多跑一次”改革，实施党务政务服务标准化，做好群众服务工作。</w:t>
      </w:r>
    </w:p>
    <w:p>
      <w:pPr>
        <w:keepNext w:val="0"/>
        <w:keepLines w:val="0"/>
        <w:pageBreakBefore w:val="0"/>
        <w:widowControl/>
        <w:tabs>
          <w:tab w:val="center" w:pos="4482"/>
          <w:tab w:val="left" w:pos="6977"/>
        </w:tabs>
        <w:kinsoku/>
        <w:wordWrap/>
        <w:overflowPunct/>
        <w:topLinePunct w:val="0"/>
        <w:autoSpaceDE/>
        <w:autoSpaceDN/>
        <w:bidi w:val="0"/>
        <w:adjustRightInd/>
        <w:snapToGrid/>
        <w:spacing w:line="240" w:lineRule="auto"/>
        <w:ind w:firstLine="723"/>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rPr>
        <w:t>、法治建设：</w:t>
      </w:r>
      <w:r>
        <w:rPr>
          <w:rFonts w:hint="eastAsia" w:ascii="仿宋_GB2312" w:hAnsi="仿宋_GB2312" w:eastAsia="仿宋_GB2312" w:cs="仿宋_GB2312"/>
          <w:sz w:val="32"/>
          <w:szCs w:val="32"/>
        </w:rPr>
        <w:t>认真贯彻落实党中央关于全面依法治国的部署要求，室主任履行第一责任人职责，定期研究解决问题。严格落实《法治政府建设实施纲要（</w:t>
      </w:r>
      <w:r>
        <w:rPr>
          <w:rFonts w:hint="eastAsia" w:ascii="仿宋_GB2312" w:hAnsi="仿宋_GB2312" w:eastAsia="仿宋_GB2312" w:cs="仿宋_GB2312"/>
          <w:sz w:val="32"/>
          <w:szCs w:val="32"/>
        </w:rPr>
        <w:t>2015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年）》和省、市、县实施方案，规范性文件坚持审查备案，领导干部带头学法，推进普法宣传教育；推进行政决策、执行、管理、服务、结果“五公开”，涉及的互联网＋政务服务工作有序开展。</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五、部门决算收支情况说明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9年度收入支出总体情况说明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、本年度收入支出总体情况及比上年增长（减少）情</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县委政研室本年收入28.82万元，比上年度60.32万元减少31.5万元，减少52.22%；原因为原政研室已于2019年8月划归县委办公室改革办工作任务增加。本年度支出28.82万元，占全年收入的</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。比上年度60.32万元减少31.5万元，减少52.22%。</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、本年度收入构成情况。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本年度收入全部为全额财政拨款28.82万元。</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、本年度支出构成情况。</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sz w:val="32"/>
          <w:szCs w:val="32"/>
        </w:rPr>
        <w:t>本年度支出构成情况为：</w:t>
      </w:r>
      <w:r>
        <w:rPr>
          <w:rFonts w:hint="eastAsia" w:ascii="仿宋_GB2312" w:hAnsi="仿宋_GB2312" w:eastAsia="仿宋_GB2312" w:cs="仿宋_GB2312"/>
          <w:color w:val="3D3D3C"/>
          <w:sz w:val="32"/>
          <w:szCs w:val="32"/>
        </w:rPr>
        <w:t>本年度实际支出28.82万元，其中基本支出28.82万元，占全部支出的100</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。基本支出包括：工资福利22.92万元，即行政人员工资津贴支出，占全部支出的79.52</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；社会保障和就业支出3.01万元，即机关事业单位基本养老保险缴费支出，占全部支出的10.44</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；卫生健康支出0.88万元，即医疗保险缴费支出，占全部支出的3.05</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；日常公用经费支出2万元，即行政办公经费，占全部支出的6.93</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8年度财政拨款收入支出总体情况说明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、财政拨款收入支出总体情况及比上年增减情况。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县委政研室本年收入28.82万元，比上年度60.32万元减少31.5万元，减少52.22%；原因为原政研室已于2019年8月划归县委办公室。本年度支出28.82万元，占全年收入的</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。比上年度60.32万元减少31.5万元，减少52.22%。</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、一般公共预算财政拨款支出情况。</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县委政研室本年度一般公共预算财政拨款支出中一般公共服务支出28.82万元，占收入的100%；</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64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行政运行支24.92万元，占比86.47%；</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64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其中一般公共预算财政拨款基本支出28.82万元，占全部支出的100%。包括人员经费 26.82万元，公用经费2万元；</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、一般公共预算财政拨款基本支出决算情况。</w:t>
      </w:r>
      <w:r>
        <w:rPr>
          <w:rFonts w:hint="eastAsia" w:ascii="仿宋_GB2312" w:hAnsi="仿宋_GB2312" w:eastAsia="仿宋_GB2312" w:cs="仿宋_GB2312"/>
          <w:color w:val="3D3D3C"/>
          <w:sz w:val="32"/>
          <w:szCs w:val="32"/>
        </w:rPr>
        <w:t>本年度县委政研室一般公共预算财政拨款基本支出28.82万元，占全部支出的100</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。包括：</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工资福利22.92万元，即行政人员工资津贴支出，占全部支出的79.52</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；社会保障和就业支出3.01万元，即机关事业单位基本养老保险缴费支出，占全部支出的10.44</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；卫生健康支出0.88万元，即医疗保险缴费支出，占全部支出的3.05</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日常公用经费支出2万元，即行政办公经费，占全部支出的6.93</w:t>
      </w:r>
      <w:r>
        <w:rPr>
          <w:rFonts w:hint="eastAsia" w:ascii="仿宋_GB2312" w:hAnsi="仿宋_GB2312" w:eastAsia="仿宋_GB2312" w:cs="仿宋_GB2312"/>
          <w:color w:val="3D3D3C"/>
          <w:sz w:val="32"/>
          <w:szCs w:val="32"/>
        </w:rPr>
        <w:t>%</w:t>
      </w:r>
      <w:r>
        <w:rPr>
          <w:rFonts w:hint="eastAsia" w:ascii="仿宋_GB2312" w:hAnsi="仿宋_GB2312" w:eastAsia="仿宋_GB2312" w:cs="仿宋_GB2312"/>
          <w:color w:val="3D3D3C"/>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t>、政府性基金财政拨款收支情说明。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本部门无政府性基金决算收支，并已公开空表。</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t>、国有资本经营财政按款收支情况说明。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本部门无国有资本经营决算拨款收支。</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6、政府采购支出情况。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9年无政府采购支出。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9年度“三公”经费、培训费及会议费支出情况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、“三公”经费财政拨款支出总体情况说明。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2019年度“三公”经费与当年预算对比相同为0。</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9年度无一般公共预算财政拨款安排的“三公经费”，与上年持平。</w:t>
      </w:r>
      <w:r>
        <w:rPr>
          <w:rFonts w:hint="eastAsia" w:ascii="仿宋_GB2312" w:hAnsi="仿宋_GB2312" w:eastAsia="仿宋_GB2312" w:cs="仿宋_GB2312"/>
          <w:color w:val="3D3D3C"/>
          <w:sz w:val="32"/>
          <w:szCs w:val="32"/>
        </w:rPr>
        <w:t>本年度无因公出国（境）团组情况、无购买公务用车，无公务用车保养等费用。</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、培训费本年度支出</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万元。</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、会议费支出0万元。</w:t>
      </w: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六、</w:t>
      </w:r>
      <w:r>
        <w:rPr>
          <w:rFonts w:hint="eastAsia" w:ascii="仿宋_GB2312" w:hAnsi="仿宋_GB2312" w:eastAsia="仿宋_GB2312" w:cs="仿宋_GB2312"/>
          <w:b/>
          <w:sz w:val="32"/>
          <w:szCs w:val="32"/>
        </w:rPr>
        <w:t>201</w:t>
      </w:r>
      <w:r>
        <w:rPr>
          <w:rFonts w:hint="eastAsia" w:ascii="仿宋_GB2312" w:hAnsi="仿宋_GB2312" w:eastAsia="仿宋_GB2312" w:cs="仿宋_GB2312"/>
          <w:b/>
          <w:sz w:val="32"/>
          <w:szCs w:val="32"/>
        </w:rPr>
        <w:t>9年度部门绩效管理情况说明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9年度开展了绩效评价工作，为部门整体评价，涉及一般公共预算当年拨款28.82万元。评价结果为优。</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具体四大类指标得分见下表1，计算过程详见指标表。</w:t>
      </w:r>
    </w:p>
    <w:p>
      <w:pPr>
        <w:keepNext w:val="0"/>
        <w:keepLines w:val="0"/>
        <w:pageBreakBefore w:val="0"/>
        <w:kinsoku/>
        <w:wordWrap/>
        <w:overflowPunct/>
        <w:topLinePunct w:val="0"/>
        <w:autoSpaceDE/>
        <w:autoSpaceDN/>
        <w:bidi w:val="0"/>
        <w:adjustRightInd/>
        <w:snapToGrid/>
        <w:spacing w:line="240" w:lineRule="auto"/>
        <w:ind w:firstLine="602"/>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表1：部门整体评价综合得分表</w:t>
      </w:r>
    </w:p>
    <w:tbl>
      <w:tblPr>
        <w:tblStyle w:val="4"/>
        <w:tblW w:w="8757" w:type="dxa"/>
        <w:tblInd w:w="-110" w:type="dxa"/>
        <w:tblLayout w:type="autofit"/>
        <w:tblCellMar>
          <w:top w:w="0" w:type="dxa"/>
          <w:left w:w="10" w:type="dxa"/>
          <w:bottom w:w="0" w:type="dxa"/>
          <w:right w:w="10" w:type="dxa"/>
        </w:tblCellMar>
      </w:tblPr>
      <w:tblGrid>
        <w:gridCol w:w="2662"/>
        <w:gridCol w:w="3118"/>
        <w:gridCol w:w="2977"/>
      </w:tblGrid>
      <w:tr>
        <w:tblPrEx>
          <w:tblCellMar>
            <w:top w:w="0" w:type="dxa"/>
            <w:left w:w="10" w:type="dxa"/>
            <w:bottom w:w="0" w:type="dxa"/>
            <w:right w:w="10" w:type="dxa"/>
          </w:tblCellMar>
        </w:tblPrEx>
        <w:trPr>
          <w:trHeight w:val="454" w:hRule="atLeast"/>
        </w:trPr>
        <w:tc>
          <w:tcPr>
            <w:tcW w:w="2662" w:type="dxa"/>
            <w:tcBorders>
              <w:top w:val="single" w:color="000000" w:sz="12"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22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tc>
        <w:tc>
          <w:tcPr>
            <w:tcW w:w="3118" w:type="dxa"/>
            <w:tcBorders>
              <w:top w:val="single" w:color="000000" w:sz="12"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标准分值</w:t>
            </w:r>
          </w:p>
        </w:tc>
        <w:tc>
          <w:tcPr>
            <w:tcW w:w="2977" w:type="dxa"/>
            <w:tcBorders>
              <w:top w:val="single" w:color="000000" w:sz="12" w:space="0"/>
              <w:left w:val="single" w:color="000000" w:sz="4" w:space="0"/>
              <w:bottom w:val="single" w:color="000000" w:sz="4"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right="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项目得分</w:t>
            </w:r>
          </w:p>
        </w:tc>
      </w:tr>
      <w:tr>
        <w:tblPrEx>
          <w:tblCellMar>
            <w:top w:w="0" w:type="dxa"/>
            <w:left w:w="10" w:type="dxa"/>
            <w:bottom w:w="0" w:type="dxa"/>
            <w:right w:w="10" w:type="dxa"/>
          </w:tblCellMar>
        </w:tblPrEx>
        <w:trPr>
          <w:trHeight w:val="454" w:hRule="atLeast"/>
        </w:trPr>
        <w:tc>
          <w:tcPr>
            <w:tcW w:w="266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一、投入类</w:t>
            </w:r>
          </w:p>
        </w:tc>
        <w:tc>
          <w:tcPr>
            <w:tcW w:w="31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15.00</w:t>
            </w:r>
          </w:p>
        </w:tc>
        <w:tc>
          <w:tcPr>
            <w:tcW w:w="2977" w:type="dxa"/>
            <w:tcBorders>
              <w:top w:val="single" w:color="000000" w:sz="4" w:space="0"/>
              <w:left w:val="single" w:color="000000" w:sz="4" w:space="0"/>
              <w:bottom w:val="single" w:color="000000" w:sz="4"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15 </w:t>
            </w:r>
          </w:p>
        </w:tc>
      </w:tr>
      <w:tr>
        <w:tblPrEx>
          <w:tblCellMar>
            <w:top w:w="0" w:type="dxa"/>
            <w:left w:w="10" w:type="dxa"/>
            <w:bottom w:w="0" w:type="dxa"/>
            <w:right w:w="10" w:type="dxa"/>
          </w:tblCellMar>
        </w:tblPrEx>
        <w:trPr>
          <w:trHeight w:val="454" w:hRule="atLeast"/>
        </w:trPr>
        <w:tc>
          <w:tcPr>
            <w:tcW w:w="266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二、过程类</w:t>
            </w:r>
          </w:p>
        </w:tc>
        <w:tc>
          <w:tcPr>
            <w:tcW w:w="31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40.00</w:t>
            </w:r>
          </w:p>
        </w:tc>
        <w:tc>
          <w:tcPr>
            <w:tcW w:w="2977" w:type="dxa"/>
            <w:tcBorders>
              <w:top w:val="single" w:color="000000" w:sz="4" w:space="0"/>
              <w:left w:val="single" w:color="000000" w:sz="4" w:space="0"/>
              <w:bottom w:val="single" w:color="000000" w:sz="4"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38</w:t>
            </w:r>
          </w:p>
        </w:tc>
      </w:tr>
      <w:tr>
        <w:tblPrEx>
          <w:tblCellMar>
            <w:top w:w="0" w:type="dxa"/>
            <w:left w:w="10" w:type="dxa"/>
            <w:bottom w:w="0" w:type="dxa"/>
            <w:right w:w="10" w:type="dxa"/>
          </w:tblCellMar>
        </w:tblPrEx>
        <w:trPr>
          <w:trHeight w:val="454" w:hRule="atLeast"/>
        </w:trPr>
        <w:tc>
          <w:tcPr>
            <w:tcW w:w="266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三、产出类</w:t>
            </w:r>
          </w:p>
        </w:tc>
        <w:tc>
          <w:tcPr>
            <w:tcW w:w="31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20.00</w:t>
            </w:r>
          </w:p>
        </w:tc>
        <w:tc>
          <w:tcPr>
            <w:tcW w:w="2977" w:type="dxa"/>
            <w:tcBorders>
              <w:top w:val="single" w:color="000000" w:sz="4" w:space="0"/>
              <w:left w:val="single" w:color="000000" w:sz="4" w:space="0"/>
              <w:bottom w:val="single" w:color="000000" w:sz="4"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w:t>
            </w:r>
          </w:p>
        </w:tc>
      </w:tr>
      <w:tr>
        <w:tblPrEx>
          <w:tblCellMar>
            <w:top w:w="0" w:type="dxa"/>
            <w:left w:w="10" w:type="dxa"/>
            <w:bottom w:w="0" w:type="dxa"/>
            <w:right w:w="10" w:type="dxa"/>
          </w:tblCellMar>
        </w:tblPrEx>
        <w:trPr>
          <w:trHeight w:val="454" w:hRule="atLeast"/>
        </w:trPr>
        <w:tc>
          <w:tcPr>
            <w:tcW w:w="266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四、效果类</w:t>
            </w:r>
          </w:p>
        </w:tc>
        <w:tc>
          <w:tcPr>
            <w:tcW w:w="31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25.00</w:t>
            </w:r>
          </w:p>
        </w:tc>
        <w:tc>
          <w:tcPr>
            <w:tcW w:w="2977" w:type="dxa"/>
            <w:tcBorders>
              <w:top w:val="single" w:color="000000" w:sz="4" w:space="0"/>
              <w:left w:val="single" w:color="000000" w:sz="4" w:space="0"/>
              <w:bottom w:val="single" w:color="000000" w:sz="4"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w:t>
            </w:r>
          </w:p>
        </w:tc>
      </w:tr>
      <w:tr>
        <w:tblPrEx>
          <w:tblCellMar>
            <w:top w:w="0" w:type="dxa"/>
            <w:left w:w="10" w:type="dxa"/>
            <w:bottom w:w="0" w:type="dxa"/>
            <w:right w:w="10" w:type="dxa"/>
          </w:tblCellMar>
        </w:tblPrEx>
        <w:trPr>
          <w:trHeight w:val="454" w:hRule="atLeast"/>
        </w:trPr>
        <w:tc>
          <w:tcPr>
            <w:tcW w:w="2662" w:type="dxa"/>
            <w:tcBorders>
              <w:top w:val="single" w:color="000000" w:sz="4" w:space="0"/>
              <w:left w:val="nil"/>
              <w:bottom w:val="single" w:color="000000" w:sz="12"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合计</w:t>
            </w:r>
          </w:p>
        </w:tc>
        <w:tc>
          <w:tcPr>
            <w:tcW w:w="3118" w:type="dxa"/>
            <w:tcBorders>
              <w:top w:val="single" w:color="000000" w:sz="4" w:space="0"/>
              <w:left w:val="single" w:color="000000" w:sz="4" w:space="0"/>
              <w:bottom w:val="single" w:color="000000" w:sz="12"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100.00</w:t>
            </w:r>
          </w:p>
        </w:tc>
        <w:tc>
          <w:tcPr>
            <w:tcW w:w="2977" w:type="dxa"/>
            <w:tcBorders>
              <w:top w:val="single" w:color="000000" w:sz="4" w:space="0"/>
              <w:left w:val="single" w:color="000000" w:sz="4" w:space="0"/>
              <w:bottom w:val="single" w:color="000000" w:sz="12" w:space="0"/>
              <w:right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96</w:t>
            </w:r>
          </w:p>
        </w:tc>
      </w:tr>
    </w:tbl>
    <w:p>
      <w:pPr>
        <w:keepNext w:val="0"/>
        <w:keepLines w:val="0"/>
        <w:pageBreakBefore w:val="0"/>
        <w:tabs>
          <w:tab w:val="left" w:pos="7155"/>
        </w:tabs>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sz w:val="32"/>
          <w:szCs w:val="32"/>
        </w:rPr>
      </w:pPr>
    </w:p>
    <w:p>
      <w:pPr>
        <w:keepNext w:val="0"/>
        <w:keepLines w:val="0"/>
        <w:pageBreakBefore w:val="0"/>
        <w:tabs>
          <w:tab w:val="left" w:pos="7155"/>
        </w:tabs>
        <w:kinsoku/>
        <w:wordWrap/>
        <w:overflowPunct/>
        <w:topLinePunct w:val="0"/>
        <w:autoSpaceDE/>
        <w:autoSpaceDN/>
        <w:bidi w:val="0"/>
        <w:adjustRightInd/>
        <w:snapToGrid/>
        <w:spacing w:line="240" w:lineRule="auto"/>
        <w:ind w:firstLine="80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四、主要指标分析</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（一）投入类指标赋分15.00分，评价得分15.00分。主要考核目标设定和预算配置。</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目标设定指标：我单位所设立的整体绩效目标依据充分，符合社会发展总体规划和部门“三定”方案确定的职责，目标经调研符合部门制定的中长期实施规划。各预算指标明确，并已将部门整体的绩效目标细化分解为具体的工作任务。</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2、预算配置：2019年末在职人员4人，编制7人，未出现超职数配备干部。</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2019年无“三公经费”支出。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（二）过程类指标赋分40.00分，评价得分 38  分。主要考核预算执行、预算管理和资产管理。</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1、预算执行：2019年部门预算28.82万元，其中：基本支出28.82万元（人员经费26.82万元，办公经费2万元），</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rPr>
        <w:t>0元。2019年部门决算28.82万元，其中：基本支出28.82万元（人员经费26.82万元，行政经费2万元），</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rPr>
        <w:t>0万元。</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基本支出完成率100%。支付进度率100%。</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2、预算管理：财务管理制度、会计核算制度不健全扣1分，预算资金的拨付符合管理制度的规定，按规定内容和时限完成了2018预决算公开。</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3、资产管理：2019年政府采购0元。未制定资产管理办法扣1分。</w:t>
      </w:r>
    </w:p>
    <w:p>
      <w:pPr>
        <w:keepNext w:val="0"/>
        <w:keepLines w:val="0"/>
        <w:pageBreakBefore w:val="0"/>
        <w:kinsoku/>
        <w:wordWrap/>
        <w:overflowPunct/>
        <w:topLinePunct w:val="0"/>
        <w:autoSpaceDE/>
        <w:autoSpaceDN/>
        <w:bidi w:val="0"/>
        <w:adjustRightInd/>
        <w:snapToGrid/>
        <w:spacing w:line="240" w:lineRule="auto"/>
        <w:ind w:firstLine="3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（三）产出类指标赋分20.00分，评价得分20.00分。主要考核完成率、及时率。</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64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2019年，在县委的正确</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"http://www.5ykj.com/Article/"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3D3D3C"/>
          <w:sz w:val="32"/>
          <w:szCs w:val="32"/>
        </w:rPr>
        <w:t>领导</w:t>
      </w:r>
      <w:r>
        <w:rPr>
          <w:rFonts w:hint="eastAsia" w:ascii="仿宋_GB2312" w:hAnsi="仿宋_GB2312" w:eastAsia="仿宋_GB2312" w:cs="仿宋_GB2312"/>
          <w:color w:val="3D3D3C"/>
          <w:sz w:val="32"/>
          <w:szCs w:val="32"/>
        </w:rPr>
        <w:fldChar w:fldCharType="end"/>
      </w:r>
      <w:r>
        <w:rPr>
          <w:rFonts w:hint="eastAsia" w:ascii="仿宋_GB2312" w:hAnsi="仿宋_GB2312" w:eastAsia="仿宋_GB2312" w:cs="仿宋_GB2312"/>
          <w:color w:val="3D3D3C"/>
          <w:sz w:val="32"/>
          <w:szCs w:val="32"/>
        </w:rPr>
        <w:t>下，县委政研室团结一心，积极履行</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"http://www.5ykj.com/Article/"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3D3D3C"/>
          <w:sz w:val="32"/>
          <w:szCs w:val="32"/>
        </w:rPr>
        <w:t>岗位职责</w:t>
      </w:r>
      <w:r>
        <w:rPr>
          <w:rFonts w:hint="eastAsia" w:ascii="仿宋_GB2312" w:hAnsi="仿宋_GB2312" w:eastAsia="仿宋_GB2312" w:cs="仿宋_GB2312"/>
          <w:color w:val="3D3D3C"/>
          <w:sz w:val="32"/>
          <w:szCs w:val="32"/>
        </w:rPr>
        <w:fldChar w:fldCharType="end"/>
      </w:r>
      <w:r>
        <w:rPr>
          <w:rFonts w:hint="eastAsia" w:ascii="仿宋_GB2312" w:hAnsi="仿宋_GB2312" w:eastAsia="仿宋_GB2312" w:cs="仿宋_GB2312"/>
          <w:color w:val="3D3D3C"/>
          <w:sz w:val="32"/>
          <w:szCs w:val="32"/>
        </w:rPr>
        <w:t>，扎实做好各项工作，开展活动，顺利完成各项任务，达到预期效果和目的，故赋值20分。</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64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sz w:val="32"/>
          <w:szCs w:val="32"/>
        </w:rPr>
        <w:t>（四）、效果类指标赋分25分，评价得分23分。</w:t>
      </w:r>
      <w:r>
        <w:rPr>
          <w:rFonts w:hint="eastAsia" w:ascii="仿宋_GB2312" w:hAnsi="仿宋_GB2312" w:eastAsia="仿宋_GB2312" w:cs="仿宋_GB2312"/>
          <w:color w:val="3D3D3C"/>
          <w:sz w:val="32"/>
          <w:szCs w:val="32"/>
        </w:rPr>
        <w:t>主要考核经济效益、社会效益、目标责任考核、服务对象满意度。</w:t>
      </w:r>
    </w:p>
    <w:p>
      <w:pPr>
        <w:keepNext w:val="0"/>
        <w:keepLines w:val="0"/>
        <w:pageBreakBefore w:val="0"/>
        <w:widowControl/>
        <w:pBdr>
          <w:top w:val="none" w:color="000000" w:sz="0" w:space="3"/>
          <w:left w:val="none" w:color="000000" w:sz="0" w:space="3"/>
          <w:bottom w:val="none" w:color="000000" w:sz="0" w:space="3"/>
          <w:right w:val="none" w:color="000000" w:sz="0" w:space="3"/>
          <w:between w:val="none" w:color="000000" w:sz="0" w:space="0"/>
        </w:pBdr>
        <w:shd w:val="clear" w:color="000000" w:fill="FFFFFF"/>
        <w:kinsoku/>
        <w:wordWrap/>
        <w:overflowPunct/>
        <w:topLinePunct w:val="0"/>
        <w:autoSpaceDE/>
        <w:autoSpaceDN/>
        <w:bidi w:val="0"/>
        <w:adjustRightInd/>
        <w:snapToGrid/>
        <w:spacing w:line="240" w:lineRule="auto"/>
        <w:ind w:firstLine="640"/>
        <w:jc w:val="left"/>
        <w:textAlignment w:val="auto"/>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rPr>
        <w:t>2019年县委政研室较好的完成了县委交办的各项工作任务。由于调查研究和深化改革工作是涉及全社会方方面面的工作，各项制度还需继续完善，工作方法有待进一步创新提高，发现问题的能力还需提高，党建规范化还需进一步加强，故此项扣2分，综合评分为23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七、其他重要事项的情况说明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（一）机关运行经费支出情况。</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本年度机关运行经费2万元，用于机关日常办公事务支出。比上年度增长32.36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，原因为原政研室已于2019年8月划归县委办公室</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（二）国有资产占用及购置情况说明。</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9年8月末，本部门共有车辆</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辆；单价</w:t>
      </w:r>
      <w:r>
        <w:rPr>
          <w:rFonts w:hint="eastAsia" w:ascii="仿宋_GB2312" w:hAnsi="仿宋_GB2312" w:eastAsia="仿宋_GB2312" w:cs="仿宋_GB2312"/>
          <w:sz w:val="32"/>
          <w:szCs w:val="32"/>
        </w:rPr>
        <w:t>50</w:t>
      </w:r>
      <w:r>
        <w:rPr>
          <w:rFonts w:hint="eastAsia" w:ascii="仿宋_GB2312" w:hAnsi="仿宋_GB2312" w:eastAsia="仿宋_GB2312" w:cs="仿宋_GB2312"/>
          <w:sz w:val="32"/>
          <w:szCs w:val="32"/>
        </w:rPr>
        <w:t>万元以上的通用设备</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台（套）；单价</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万元以上的通用设备</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rPr>
        <w:t>8年当年购置车辆</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辆；购置单价</w:t>
      </w:r>
      <w:r>
        <w:rPr>
          <w:rFonts w:hint="eastAsia" w:ascii="仿宋_GB2312" w:hAnsi="仿宋_GB2312" w:eastAsia="仿宋_GB2312" w:cs="仿宋_GB2312"/>
          <w:sz w:val="32"/>
          <w:szCs w:val="32"/>
        </w:rPr>
        <w:t>50</w:t>
      </w:r>
      <w:r>
        <w:rPr>
          <w:rFonts w:hint="eastAsia" w:ascii="仿宋_GB2312" w:hAnsi="仿宋_GB2312" w:eastAsia="仿宋_GB2312" w:cs="仿宋_GB2312"/>
          <w:sz w:val="32"/>
          <w:szCs w:val="32"/>
        </w:rPr>
        <w:t>万元以上的设备</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台（套）；购置单价</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万元以上的通用设备</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rPr>
        <w:t>台（套）。</w:t>
      </w:r>
    </w:p>
    <w:p>
      <w:pPr>
        <w:keepNext w:val="0"/>
        <w:keepLines w:val="0"/>
        <w:pageBreakBefore w:val="0"/>
        <w:kinsoku/>
        <w:wordWrap/>
        <w:overflowPunct/>
        <w:topLinePunct w:val="0"/>
        <w:autoSpaceDE/>
        <w:autoSpaceDN/>
        <w:bidi w:val="0"/>
        <w:adjustRightInd/>
        <w:snapToGrid/>
        <w:spacing w:line="240" w:lineRule="auto"/>
        <w:ind w:firstLine="643"/>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八、专业名词解释</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、基本支出：指为保障机构正常运转、完成日常工作任务而发生的各项支出。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、项目支出：指单位为完成特定的行政工作任务或事业发展目标所发生的各项支出。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、“三公”经费：指部门使用一般公共预算财政拨款安排的因公出国（境）费、公务用车购置及运行费和公务接待费支出。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t>、机关运行经费：指行政单位和参照公务员法管理的事业单位使用一般公共预算财政拨款安排的日常公用经费支出。</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九、部门决算表</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封面、目录</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（一）中共蓝田县委政策研究室2019年度部门收支总体情况表。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01</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（二）中共蓝田县委政策研究室2019年度部门收入总体情况表。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02</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（三）中共蓝田县委政策研究室2019年度部门支出总体情况表。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03</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（四）中共蓝田县委政策研究室2019年度财政拨款收支总体情况表。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04</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（五）中共蓝田县委政策研究室2019年度</w:t>
      </w:r>
      <w:r>
        <w:rPr>
          <w:rFonts w:hint="eastAsia" w:ascii="仿宋_GB2312" w:hAnsi="仿宋_GB2312" w:eastAsia="仿宋_GB2312" w:cs="仿宋_GB2312"/>
          <w:sz w:val="32"/>
          <w:szCs w:val="32"/>
        </w:rPr>
        <w:t>一般公共预算支出情况表（按功能分类科目）。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05</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（六）中共蓝田县委政策研究室2019年度</w:t>
      </w:r>
      <w:r>
        <w:rPr>
          <w:rFonts w:hint="eastAsia" w:ascii="仿宋_GB2312" w:hAnsi="仿宋_GB2312" w:eastAsia="仿宋_GB2312" w:cs="仿宋_GB2312"/>
          <w:sz w:val="32"/>
          <w:szCs w:val="32"/>
        </w:rPr>
        <w:t>一般公共预算基本支出情况表（按经济分类科目）</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06</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（七）中共蓝田县委政策研究室2019年度一般公共预算“三公”经费及会议费、培训费支出情况表。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07</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（八）中共蓝田县委政策研究室2019年度</w:t>
      </w:r>
      <w:r>
        <w:rPr>
          <w:rFonts w:hint="eastAsia" w:ascii="仿宋_GB2312" w:hAnsi="仿宋_GB2312" w:eastAsia="仿宋_GB2312" w:cs="仿宋_GB2312"/>
          <w:sz w:val="32"/>
          <w:szCs w:val="32"/>
        </w:rPr>
        <w:t>政府性基金预算收支情况表。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rPr>
        <w:t>08</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t>)</w:t>
      </w:r>
    </w:p>
    <w:sectPr>
      <w:headerReference r:id="rId3" w:type="default"/>
      <w:endnotePr>
        <w:numFmt w:val="decimal"/>
      </w:endnotePr>
      <w:pgSz w:w="11906" w:h="16838"/>
      <w:pgMar w:top="1984" w:right="1531" w:bottom="1417" w:left="1587" w:header="851"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Roman PS">
    <w:altName w:val="Segoe Print"/>
    <w:panose1 w:val="00000000000000000000"/>
    <w:charset w:val="00"/>
    <w:family w:val="roman"/>
    <w:pitch w:val="default"/>
    <w:sig w:usb0="00000000" w:usb1="00000000" w:usb2="00000000" w:usb3="00000000" w:csb0="00000000" w:csb1="00000000"/>
  </w:font>
  <w:font w:name="新宋体">
    <w:panose1 w:val="02010609030101010101"/>
    <w:charset w:val="86"/>
    <w:family w:val="modern"/>
    <w:pitch w:val="default"/>
    <w:sig w:usb0="00000203" w:usb1="288F0000" w:usb2="00000006" w:usb3="00000000" w:csb0="00040001" w:csb1="00000000"/>
  </w:font>
  <w:font w:name="宋体-18030">
    <w:altName w:val="微软雅黑"/>
    <w:panose1 w:val="00000000000000000000"/>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bottom w:val="none" w:color="000000" w:sz="0" w:space="0"/>
        <w:right w:val="none" w:color="000000" w:sz="0" w:space="3"/>
        <w:between w:val="none" w:color="000000"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24E9A"/>
    <w:multiLevelType w:val="singleLevel"/>
    <w:tmpl w:val="5E024E9A"/>
    <w:lvl w:ilvl="0" w:tentative="0">
      <w:start w:val="1"/>
      <w:numFmt w:val="chineseCounting"/>
      <w:suff w:val="nothing"/>
      <w:lvlText w:val="（%1）"/>
      <w:lvlJc w:val="left"/>
      <w:pPr>
        <w:ind w:left="0" w:firstLine="0"/>
      </w:pPr>
      <w:rPr>
        <w:rFonts w:hint="eastAsia" w:cs="Times New Roman"/>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characterSpacingControl w:val="doNotCompress"/>
  <w:endnotePr>
    <w:numFmt w:val="decimal"/>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0630809"/>
    <w:rsid w:val="001E5355"/>
    <w:rsid w:val="00286AAF"/>
    <w:rsid w:val="00630809"/>
    <w:rsid w:val="006C5F7B"/>
    <w:rsid w:val="00737701"/>
    <w:rsid w:val="009352E5"/>
    <w:rsid w:val="009C125F"/>
    <w:rsid w:val="00CE293E"/>
    <w:rsid w:val="00DD498E"/>
    <w:rsid w:val="00DF3B1C"/>
    <w:rsid w:val="00E83DC4"/>
    <w:rsid w:val="00EE3035"/>
    <w:rsid w:val="18A74B0E"/>
    <w:rsid w:val="7AD21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1"/>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uiPriority w:val="99"/>
    <w:pPr>
      <w:tabs>
        <w:tab w:val="center" w:pos="4153"/>
        <w:tab w:val="right" w:pos="8306"/>
      </w:tabs>
      <w:snapToGrid w:val="0"/>
      <w:jc w:val="left"/>
    </w:pPr>
    <w:rPr>
      <w:sz w:val="18"/>
      <w:szCs w:val="18"/>
    </w:rPr>
  </w:style>
  <w:style w:type="paragraph" w:styleId="3">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Footer"/>
    <w:basedOn w:val="1"/>
    <w:qFormat/>
    <w:uiPriority w:val="0"/>
    <w:pPr>
      <w:tabs>
        <w:tab w:val="center" w:pos="4153"/>
        <w:tab w:val="right" w:pos="8306"/>
      </w:tabs>
      <w:jc w:val="left"/>
    </w:pPr>
    <w:rPr>
      <w:sz w:val="18"/>
      <w:szCs w:val="18"/>
    </w:rPr>
  </w:style>
  <w:style w:type="paragraph" w:customStyle="1" w:styleId="7">
    <w:name w:val="Header"/>
    <w:basedOn w:val="6"/>
    <w:qFormat/>
    <w:uiPriority w:val="0"/>
    <w:pPr>
      <w:pBdr>
        <w:top w:val="none" w:color="000000" w:sz="0" w:space="3"/>
        <w:left w:val="none" w:color="000000" w:sz="0" w:space="3"/>
        <w:bottom w:val="single" w:color="000000" w:sz="6" w:space="1"/>
        <w:right w:val="none" w:color="000000" w:sz="0" w:space="3"/>
        <w:between w:val="none" w:color="000000" w:sz="0" w:space="0"/>
      </w:pBdr>
      <w:jc w:val="center"/>
    </w:pPr>
  </w:style>
  <w:style w:type="character" w:customStyle="1" w:styleId="8">
    <w:name w:val="页眉 Char"/>
    <w:uiPriority w:val="0"/>
    <w:rPr>
      <w:rFonts w:ascii="Roman PS" w:hAnsi="Roman PS" w:cs="Roman PS"/>
      <w:sz w:val="18"/>
      <w:szCs w:val="18"/>
      <w:lang w:val="en-US" w:eastAsia="zh-CN" w:bidi="ar-SA"/>
    </w:rPr>
  </w:style>
  <w:style w:type="character" w:customStyle="1" w:styleId="9">
    <w:name w:val="页脚 Char"/>
    <w:uiPriority w:val="0"/>
    <w:rPr>
      <w:rFonts w:ascii="Roman PS" w:hAnsi="Roman PS" w:cs="Roman PS"/>
      <w:sz w:val="18"/>
      <w:szCs w:val="18"/>
      <w:lang w:val="en-US" w:eastAsia="zh-CN" w:bidi="ar-SA"/>
    </w:rPr>
  </w:style>
  <w:style w:type="character" w:customStyle="1" w:styleId="10">
    <w:name w:val="页眉 Char1"/>
    <w:basedOn w:val="5"/>
    <w:link w:val="3"/>
    <w:semiHidden/>
    <w:uiPriority w:val="99"/>
    <w:rPr>
      <w:sz w:val="18"/>
      <w:szCs w:val="18"/>
    </w:rPr>
  </w:style>
  <w:style w:type="character" w:customStyle="1" w:styleId="11">
    <w:name w:val="页脚 Char1"/>
    <w:basedOn w:val="5"/>
    <w:link w:val="2"/>
    <w:semiHidden/>
    <w:uiPriority w:val="99"/>
    <w:rPr>
      <w:sz w:val="18"/>
      <w:szCs w:val="18"/>
    </w:rPr>
  </w:style>
  <w:style w:type="paragraph"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B6E73-4A43-4E03-99B4-1D1AE84C99D5}">
  <ds:schemaRefs/>
</ds:datastoreItem>
</file>

<file path=docProps/app.xml><?xml version="1.0" encoding="utf-8"?>
<Properties xmlns="http://schemas.openxmlformats.org/officeDocument/2006/extended-properties" xmlns:vt="http://schemas.openxmlformats.org/officeDocument/2006/docPropsVTypes">
  <Template>Normal</Template>
  <Pages>9</Pages>
  <Words>5133</Words>
  <Characters>5542</Characters>
  <Lines>40</Lines>
  <Paragraphs>11</Paragraphs>
  <TotalTime>113</TotalTime>
  <ScaleCrop>false</ScaleCrop>
  <LinksUpToDate>false</LinksUpToDate>
  <CharactersWithSpaces>5556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2018-09-18T07:13:00Z</dcterms:created>
  <dc:creator>lenovo</dc:creator>
  <cp:lastModifiedBy>byx</cp:lastModifiedBy>
  <dcterms:modified xsi:type="dcterms:W3CDTF">2023-04-14T07:37:32Z</dcterms:modified>
  <dc:title>**年度县级部门决算公开参考格式</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600AF8959A814BDA97F72F1F96428FCF_13</vt:lpwstr>
  </property>
</Properties>
</file>