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ind w:firstLine="482"/>
        <w:contextualSpacing/>
        <w:jc w:val="center"/>
        <w:rPr>
          <w:rFonts w:hint="eastAsia" w:ascii="方正小标宋简体" w:hAnsi="微软雅黑" w:eastAsia="方正小标宋简体" w:cs="宋体"/>
          <w:color w:val="3D3D3C"/>
          <w:kern w:val="0"/>
          <w:sz w:val="44"/>
          <w:szCs w:val="44"/>
        </w:rPr>
      </w:pPr>
      <w:r>
        <w:rPr>
          <w:rFonts w:hint="eastAsia" w:ascii="方正小标宋简体" w:hAnsi="微软雅黑" w:eastAsia="方正小标宋简体" w:cs="宋体"/>
          <w:color w:val="3D3D3C"/>
          <w:kern w:val="0"/>
          <w:sz w:val="44"/>
          <w:szCs w:val="44"/>
        </w:rPr>
        <w:t>蓝田县人民政府政务服务中心</w:t>
      </w:r>
    </w:p>
    <w:p>
      <w:pPr>
        <w:widowControl/>
        <w:shd w:val="clear" w:color="auto" w:fill="FFFFFF"/>
        <w:spacing w:line="560" w:lineRule="exact"/>
        <w:ind w:firstLine="482"/>
        <w:contextualSpacing/>
        <w:jc w:val="center"/>
        <w:rPr>
          <w:rFonts w:hint="eastAsia" w:ascii="方正小标宋简体" w:hAnsi="微软雅黑" w:eastAsia="方正小标宋简体" w:cs="宋体"/>
          <w:color w:val="3D3D3C"/>
          <w:kern w:val="0"/>
          <w:sz w:val="44"/>
          <w:szCs w:val="44"/>
        </w:rPr>
      </w:pPr>
      <w:r>
        <w:rPr>
          <w:rFonts w:hint="eastAsia" w:ascii="方正小标宋简体" w:hAnsi="微软雅黑" w:eastAsia="方正小标宋简体" w:cs="宋体"/>
          <w:color w:val="3D3D3C"/>
          <w:kern w:val="0"/>
          <w:sz w:val="44"/>
          <w:szCs w:val="44"/>
        </w:rPr>
        <w:t>2018年度部门决算说明</w:t>
      </w:r>
    </w:p>
    <w:p>
      <w:pPr>
        <w:pStyle w:val="4"/>
        <w:widowControl/>
        <w:numPr>
          <w:ilvl w:val="0"/>
          <w:numId w:val="1"/>
        </w:numPr>
        <w:shd w:val="clear" w:color="auto" w:fill="FFFFFF"/>
        <w:spacing w:before="0" w:beforeAutospacing="0" w:after="0" w:afterAutospacing="0"/>
        <w:ind w:firstLine="352" w:firstLineChars="98"/>
        <w:jc w:val="both"/>
        <w:rPr>
          <w:rFonts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6"/>
          <w:szCs w:val="36"/>
          <w:shd w:val="clear" w:color="auto" w:fill="FFFFFF"/>
        </w:rPr>
        <w:t>部门主要职责</w:t>
      </w:r>
    </w:p>
    <w:p>
      <w:pPr>
        <w:pStyle w:val="4"/>
        <w:widowControl/>
        <w:shd w:val="clear" w:color="auto" w:fill="FFFFFF"/>
        <w:spacing w:before="0" w:beforeAutospacing="0" w:after="0" w:afterAutospacing="0"/>
        <w:ind w:left="206" w:leftChars="98"/>
        <w:jc w:val="both"/>
        <w:rPr>
          <w:rFonts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（一）部门主要职责</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（1）、贯彻执行《行政许可法》和行政审批制度改革方面的法律法规，起草有关实施细则并组织实施。</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（2）、负责县级部门行政审批项目集中办理的组织实施；建立完善工作流程，协调进驻单位行政审批有关工作；负责对审批事项进行督查、督办。</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（3）、负责对进驻中心的部门及其工作人员进行管理和考核。</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（4）、负责受理服务对象对窗口单位及其工作人员的服务质量、办事效率、工作作风等方面的投诉。</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（5）、组织、协调投资项目联合审批和项目跟踪服务。</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（6）、制定规范中心业务运行和工作人员管理的规章制度、管理办法并组织实施。</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（7）、负责全县政务及行政审批信息网络建设和有关统计工作。</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（8）、负责指导乡镇政务大厅工作。</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（9）、完成上级交办的其他工作。</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shd w:val="clear" w:color="auto" w:fill="FFFFFF"/>
        </w:rPr>
      </w:pPr>
      <w:r>
        <w:rPr>
          <w:rFonts w:hint="eastAsia" w:hAnsi="宋体"/>
          <w:bCs/>
          <w:sz w:val="32"/>
          <w:szCs w:val="32"/>
        </w:rPr>
        <w:t>（二）机构设置</w:t>
      </w:r>
    </w:p>
    <w:p>
      <w:pPr>
        <w:ind w:firstLine="640" w:firstLineChars="200"/>
        <w:rPr>
          <w:rFonts w:hint="eastAsia" w:ascii="仿宋_GB2312" w:hAnsi="仿宋_GB2312" w:eastAsia="仿宋_GB2312" w:cs="仿宋_GB2312"/>
          <w:color w:val="3D3D3C"/>
          <w:sz w:val="30"/>
          <w:szCs w:val="30"/>
          <w:highlight w:val="yellow"/>
          <w:shd w:val="clear" w:color="auto" w:fill="FFFFFF"/>
        </w:rPr>
      </w:pPr>
      <w:r>
        <w:rPr>
          <w:rFonts w:hint="eastAsia" w:ascii="仿宋_GB2312" w:hAnsi="宋体" w:eastAsia="仿宋_GB2312"/>
          <w:bCs/>
          <w:sz w:val="32"/>
          <w:szCs w:val="32"/>
        </w:rPr>
        <w:t>依据部门三定方案，蓝田县人民政府政务服务中心为县政府直属事业单位。</w:t>
      </w:r>
    </w:p>
    <w:p>
      <w:pPr>
        <w:ind w:firstLine="480" w:firstLineChars="150"/>
        <w:jc w:val="left"/>
        <w:rPr>
          <w:rFonts w:hint="eastAsia" w:ascii="宋体" w:hAnsi="宋体" w:cs="宋体"/>
          <w:color w:val="3D3D3C"/>
          <w:sz w:val="32"/>
          <w:szCs w:val="32"/>
        </w:rPr>
      </w:pPr>
      <w:r>
        <w:rPr>
          <w:rFonts w:hint="eastAsia" w:ascii="宋体" w:hAnsi="宋体" w:cs="宋体"/>
          <w:color w:val="000000"/>
          <w:sz w:val="32"/>
          <w:szCs w:val="32"/>
        </w:rPr>
        <w:t>二</w:t>
      </w:r>
      <w:r>
        <w:rPr>
          <w:rFonts w:hint="eastAsia" w:ascii="宋体" w:hAnsi="宋体" w:cs="宋体"/>
          <w:color w:val="3D3D3C"/>
          <w:sz w:val="32"/>
          <w:szCs w:val="32"/>
          <w:shd w:val="clear" w:color="auto" w:fill="FFFFFF"/>
        </w:rPr>
        <w:t>、部门决算单位构成</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从决算单位构成看，本部门的部门决算只包括蓝田县人民政府政务服务中心部门本级决算  ，无内设机构。</w:t>
      </w:r>
    </w:p>
    <w:tbl>
      <w:tblPr>
        <w:tblStyle w:val="5"/>
        <w:tblW w:w="0" w:type="auto"/>
        <w:jc w:val="center"/>
        <w:tblCellSpacing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
      <w:tblGrid>
        <w:gridCol w:w="950"/>
        <w:gridCol w:w="577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rPr>
          <w:tblCellSpacing w:w="0" w:type="dxa"/>
          <w:jc w:val="center"/>
        </w:trPr>
        <w:tc>
          <w:tcPr>
            <w:tcW w:w="950" w:type="dxa"/>
            <w:vAlign w:val="center"/>
          </w:tcPr>
          <w:p>
            <w:pPr>
              <w:pStyle w:val="4"/>
              <w:widowControl/>
              <w:spacing w:before="0" w:beforeAutospacing="0" w:after="0" w:afterAutospacing="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5770" w:type="dxa"/>
            <w:vAlign w:val="center"/>
          </w:tcPr>
          <w:p>
            <w:pPr>
              <w:pStyle w:val="4"/>
              <w:widowControl/>
              <w:spacing w:before="0" w:beforeAutospacing="0" w:after="0" w:afterAutospacing="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单位名称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blCellSpacing w:w="0" w:type="dxa"/>
          <w:jc w:val="center"/>
        </w:trPr>
        <w:tc>
          <w:tcPr>
            <w:tcW w:w="950" w:type="dxa"/>
            <w:vAlign w:val="center"/>
          </w:tcPr>
          <w:p>
            <w:pPr>
              <w:pStyle w:val="4"/>
              <w:widowControl/>
              <w:spacing w:before="0" w:beforeAutospacing="0" w:after="0" w:afterAutospacing="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5770" w:type="dxa"/>
            <w:vAlign w:val="center"/>
          </w:tcPr>
          <w:p>
            <w:pPr>
              <w:pStyle w:val="4"/>
              <w:widowControl/>
              <w:spacing w:before="0" w:beforeAutospacing="0" w:after="0" w:afterAutospacing="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蓝田县人民政府政务服务中心</w:t>
            </w:r>
          </w:p>
        </w:tc>
      </w:tr>
    </w:tbl>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三、部门人员情况说明</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截止2018年底，本部门人员编5人，其中行政编制2人、事业编制3人；实有人员4人，其中行政1人、事业3人。单位管理的离退休人员0人。</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drawing>
          <wp:inline distT="0" distB="0" distL="0" distR="0">
            <wp:extent cx="3028950" cy="1943100"/>
            <wp:effectExtent l="19050" t="0" r="0" b="0"/>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noChangeArrowheads="1"/>
                    </pic:cNvPicPr>
                  </pic:nvPicPr>
                  <pic:blipFill>
                    <a:blip r:embed="rId4"/>
                    <a:srcRect/>
                    <a:stretch>
                      <a:fillRect/>
                    </a:stretch>
                  </pic:blipFill>
                  <pic:spPr>
                    <a:xfrm>
                      <a:off x="0" y="0"/>
                      <a:ext cx="3028950" cy="1943100"/>
                    </a:xfrm>
                    <a:prstGeom prst="rect">
                      <a:avLst/>
                    </a:prstGeom>
                    <a:noFill/>
                    <a:ln w="9525" cmpd="sng">
                      <a:noFill/>
                      <a:miter lim="800000"/>
                      <a:headEnd/>
                      <a:tailEnd/>
                    </a:ln>
                  </pic:spPr>
                </pic:pic>
              </a:graphicData>
            </a:graphic>
          </wp:inline>
        </w:drawing>
      </w:r>
    </w:p>
    <w:p>
      <w:pPr>
        <w:pStyle w:val="4"/>
        <w:widowControl/>
        <w:shd w:val="clear" w:color="auto" w:fill="FFFFFF"/>
        <w:spacing w:before="0" w:beforeAutospacing="0" w:after="0" w:afterAutospacing="0"/>
        <w:ind w:firstLine="420"/>
        <w:rPr>
          <w:rFonts w:hint="eastAsia" w:ascii="黑体" w:hAnsi="黑体" w:eastAsia="黑体" w:cs="仿宋"/>
          <w:color w:val="000000"/>
          <w:sz w:val="32"/>
          <w:szCs w:val="32"/>
        </w:rPr>
      </w:pPr>
      <w:r>
        <w:rPr>
          <w:rFonts w:hint="eastAsia" w:ascii="仿宋_GB2312" w:hAnsi="仿宋_GB2312" w:eastAsia="仿宋_GB2312" w:cs="仿宋_GB2312"/>
          <w:color w:val="3D3D3C"/>
          <w:sz w:val="32"/>
          <w:szCs w:val="32"/>
          <w:shd w:val="clear" w:color="auto" w:fill="FFFFFF"/>
        </w:rPr>
        <w:t>四、2018年度部门工作完成情况</w:t>
      </w:r>
    </w:p>
    <w:p>
      <w:pPr>
        <w:ind w:firstLine="640" w:firstLineChars="200"/>
        <w:rPr>
          <w:rFonts w:hint="eastAsia" w:ascii="仿宋_GB2312" w:hAnsi="仿宋_GB2312" w:eastAsia="仿宋_GB2312" w:cs="仿宋_GB2312"/>
          <w:color w:val="3D3D3C"/>
          <w:kern w:val="0"/>
          <w:sz w:val="32"/>
          <w:szCs w:val="32"/>
          <w:shd w:val="clear" w:color="auto" w:fill="FFFFFF"/>
        </w:rPr>
      </w:pPr>
      <w:r>
        <w:rPr>
          <w:rFonts w:hint="eastAsia" w:ascii="楷体_GB2312" w:hAnsi="楷体_GB2312" w:eastAsia="楷体_GB2312" w:cs="楷体_GB2312"/>
          <w:color w:val="000000"/>
          <w:sz w:val="32"/>
          <w:szCs w:val="32"/>
        </w:rPr>
        <w:t>（</w:t>
      </w:r>
      <w:r>
        <w:rPr>
          <w:rFonts w:hint="eastAsia" w:ascii="仿宋_GB2312" w:hAnsi="仿宋_GB2312" w:eastAsia="仿宋_GB2312" w:cs="仿宋_GB2312"/>
          <w:color w:val="3D3D3C"/>
          <w:kern w:val="0"/>
          <w:sz w:val="32"/>
          <w:szCs w:val="32"/>
          <w:shd w:val="clear" w:color="auto" w:fill="FFFFFF"/>
        </w:rPr>
        <w:t>一）以提升效能为抓手，落实“集中办”。完善基础设施，新装修办公厅室21个，统一配置桌椅、电脑、打印机、空调等办公设备；为全体工作人员定制工装、提供午餐，为“集中办”提供保障。新建办公场所6880平方米，目前大楼主体已竣工，正在装修。推进“三集中三到位”，制定“三集中三到位”标准，进驻部门36个，开设窗口27个，</w:t>
      </w:r>
      <w:r>
        <w:rPr>
          <w:rFonts w:hint="eastAsia" w:ascii="仿宋_GB2312" w:hAnsi="仿宋_GB2312" w:eastAsia="仿宋_GB2312" w:cs="仿宋_GB2312"/>
          <w:color w:val="000000"/>
          <w:sz w:val="32"/>
          <w:szCs w:val="32"/>
        </w:rPr>
        <w:t>市</w:t>
      </w:r>
      <w:r>
        <w:rPr>
          <w:rFonts w:hint="eastAsia" w:ascii="仿宋_GB2312" w:hAnsi="仿宋_GB2312" w:eastAsia="仿宋_GB2312" w:cs="仿宋_GB2312"/>
          <w:color w:val="3D3D3C"/>
          <w:kern w:val="0"/>
          <w:sz w:val="32"/>
          <w:szCs w:val="32"/>
          <w:shd w:val="clear" w:color="auto" w:fill="FFFFFF"/>
        </w:rPr>
        <w:t>场监管局、卫计局、国土局、住建局、民政局等18个部门成立行政审批科，审批科室整建制进驻，共承办812项事项，占全部事项的94%；其余18个部门组建4个一窗受理窗口，受理、接转52项事项。强化纪律要求，严格开展干部作风纪律问题排查整改工作和作风纪律大整顿活动，制定作风纪律“十条”规范，通过不定时巡查和全时段视频监控的方式强化纪律落实，杜绝迟到、早退、缺岗、串岗以及班内玩手机、上网、闲聊等问题发生，全面提升政务服务工作效能。</w:t>
      </w:r>
    </w:p>
    <w:p>
      <w:pPr>
        <w:ind w:firstLine="640" w:firstLineChars="200"/>
        <w:jc w:val="left"/>
        <w:rPr>
          <w:rFonts w:hint="eastAsia" w:ascii="仿宋_GB2312" w:hAnsi="仿宋_GB2312" w:eastAsia="仿宋_GB2312" w:cs="仿宋_GB2312"/>
          <w:color w:val="3D3D3C"/>
          <w:kern w:val="0"/>
          <w:sz w:val="32"/>
          <w:szCs w:val="32"/>
          <w:shd w:val="clear" w:color="auto" w:fill="FFFFFF"/>
        </w:rPr>
      </w:pPr>
      <w:r>
        <w:rPr>
          <w:rFonts w:hint="eastAsia" w:ascii="仿宋_GB2312" w:hAnsi="仿宋_GB2312" w:eastAsia="仿宋_GB2312" w:cs="仿宋_GB2312"/>
          <w:color w:val="3D3D3C"/>
          <w:kern w:val="0"/>
          <w:sz w:val="32"/>
          <w:szCs w:val="32"/>
          <w:shd w:val="clear" w:color="auto" w:fill="FFFFFF"/>
        </w:rPr>
        <w:t>（二）以执行“跑一次”制度为抓手，突出“一次办”。明确“最多跑一次”事项，按照全市“最多跑一次”事项占比80%以上的要求，梳理核定“最多跑一次”事项798项，占政务中心承办事项比率达92%，容缺事项205项，占比24%，拓宽政务服务事项公示渠道，通过微信公众号、二维码、政府网站、电子大屏等公布办事指南、办理流程、提交资料，让办事群众提前准备所需材料，少跑路、不跑弯路。设立一窗受理，集成服务。按照事项分类，设立综合窗口8个，减少办事环节、优化服务流程、提高行政效能。探索“一件事跑一次”事项24件涉及事项59项，实现群众只进一扇门、一个窗口，办理残疾证和医疗救助报销等事项。建立项目投资一站式服务中心及项目代办中心，集中发改、国土、住建、环保、秦岭办、人防办与一体的综合服务平台。企业不用多个窗口分头跑，前期审批均可通过这个中心一站式受办。通过一个平台议事、决策、审批、牵头、统筹、协调，办理所有投资项目涉审事项。</w:t>
      </w:r>
    </w:p>
    <w:p>
      <w:pPr>
        <w:ind w:firstLine="640" w:firstLineChars="200"/>
        <w:rPr>
          <w:rFonts w:hint="eastAsia" w:ascii="仿宋_GB2312" w:hAnsi="仿宋_GB2312" w:eastAsia="仿宋_GB2312" w:cs="仿宋_GB2312"/>
          <w:color w:val="3D3D3C"/>
          <w:kern w:val="0"/>
          <w:sz w:val="32"/>
          <w:szCs w:val="32"/>
          <w:shd w:val="clear" w:color="auto" w:fill="FFFFFF"/>
        </w:rPr>
      </w:pPr>
      <w:r>
        <w:rPr>
          <w:rFonts w:hint="eastAsia" w:ascii="仿宋_GB2312" w:hAnsi="仿宋_GB2312" w:eastAsia="仿宋_GB2312" w:cs="仿宋_GB2312"/>
          <w:color w:val="3D3D3C"/>
          <w:kern w:val="0"/>
          <w:sz w:val="32"/>
          <w:szCs w:val="32"/>
          <w:shd w:val="clear" w:color="auto" w:fill="FFFFFF"/>
        </w:rPr>
        <w:t>（三）以政务服务网建设为抓手，构建“网上办”。开展“最多跑一次”改革试点，按照市政务中心安排，加快落实“5+6+N” 试点工作，落实“最多跑一次”改革承担的各项任务，梳理高频民生事项12项作为第一批试点。通过标准化、精益化梳理和流程再造，着力打造融“PC端、移动端APP、综合自助端”三位一体的“网上办”“掌上办”“就近办”智慧政务“数小二”品牌，实现远郊、山区群众在所属镇村就近办理。实施网络设施建设，配合县政府办将政务服务网络延伸至各镇街，社区，并对19个镇街政务服务事项管理系统及实施清单负责人开展业务培训，构建县、镇两级政务服务网络，为打造15分钟便民政务服务圈奠定基础。推行网上审批，围绕陕西政务服务网上线运行，配置县级各部门网上政务服务事项流程864项，镇街65项，对所有事项实施清单36要素逐一核查，做到要素齐全、无空白、无差错。6月22日蓝田政务服务网正式运行以来累计办理政务服务事项3416项。</w:t>
      </w:r>
    </w:p>
    <w:p>
      <w:pPr>
        <w:ind w:firstLine="640" w:firstLineChars="200"/>
        <w:rPr>
          <w:rFonts w:hint="eastAsia" w:ascii="仿宋_GB2312" w:hAnsi="仿宋_GB2312" w:eastAsia="仿宋_GB2312" w:cs="仿宋_GB2312"/>
          <w:color w:val="3D3D3C"/>
          <w:kern w:val="0"/>
          <w:sz w:val="32"/>
          <w:szCs w:val="32"/>
          <w:shd w:val="clear" w:color="auto" w:fill="FFFFFF"/>
        </w:rPr>
      </w:pPr>
      <w:r>
        <w:rPr>
          <w:rFonts w:hint="eastAsia" w:ascii="仿宋_GB2312" w:hAnsi="仿宋_GB2312" w:eastAsia="仿宋_GB2312" w:cs="仿宋_GB2312"/>
          <w:color w:val="3D3D3C"/>
          <w:kern w:val="0"/>
          <w:sz w:val="32"/>
          <w:szCs w:val="32"/>
          <w:shd w:val="clear" w:color="auto" w:fill="FFFFFF"/>
        </w:rPr>
        <w:t>（四）以规范资料清单为抓手，实现“简捷办”。开展体验式服务，各进驻部门、镇街领导定期开展“局、镇长（主任）驻窗口”体验式服务，通过直接为企业、群众办理事项，发现问题、改进问题，推动办理事项标准化。目前，局（镇）长驻窗口2600余人次，办理事项接待群众3400余件次。精简办事指南，按照精简、“瘦身”的原则，对每一承办事项所需提交资料逐项研讨、审查，取消没有法律依据、可有可无、重复要求的无谓的证明材料，并全部在县政府网站、政务中心微信平台上公布。规范中介服务，针对中介服务中存在的环节多、耗时长、收费乱、垄断性强等问题，配合市政务中心，建立中介机构名录，组建政务服务网中介服务超市，将中介服务的不可控变为可控，实现简易、快捷的审批服务方式。</w:t>
      </w:r>
    </w:p>
    <w:p>
      <w:pPr>
        <w:ind w:firstLine="640" w:firstLineChars="200"/>
        <w:rPr>
          <w:rFonts w:hint="eastAsia" w:ascii="仿宋_GB2312" w:hAnsi="仿宋_GB2312" w:eastAsia="仿宋_GB2312" w:cs="仿宋_GB2312"/>
          <w:color w:val="3D3D3C"/>
          <w:kern w:val="0"/>
          <w:sz w:val="32"/>
          <w:szCs w:val="32"/>
          <w:shd w:val="clear" w:color="auto" w:fill="FFFFFF"/>
        </w:rPr>
      </w:pPr>
      <w:r>
        <w:rPr>
          <w:rFonts w:hint="eastAsia" w:ascii="仿宋_GB2312" w:hAnsi="仿宋_GB2312" w:eastAsia="仿宋_GB2312" w:cs="仿宋_GB2312"/>
          <w:color w:val="3D3D3C"/>
          <w:kern w:val="0"/>
          <w:sz w:val="32"/>
          <w:szCs w:val="32"/>
          <w:shd w:val="clear" w:color="auto" w:fill="FFFFFF"/>
        </w:rPr>
        <w:t>（五）以优化服务方式为抓手，推进“便民办”。开展代办帮办，制定《县政务中心代办帮办工作实施方案》，组建代办帮办队伍，跨行业、跨部门进行行政审批业务交叉培训，采取业务指导、协调问题、跟踪办理等服务方式，开展重点建设项目审批代办帮办,提升重点建设项目行政审批效率。实行免费邮寄送达，与邮政公司合作，为办事企业、群众免费寄送证照等。探索24小时网办，结合个人网络终端设备，实行24小时提交资料、及时受理、及时办结，工商营业执照等事项已经实现24小时网办、不见面审批。实施延时服务，通过AB岗、轮休等方式，落实“365天不打烊”的承诺。开通政务服务公交线路，着力让办事企业、群众切实感受到政务服务工作的方便、快捷。</w:t>
      </w:r>
    </w:p>
    <w:p>
      <w:pPr>
        <w:ind w:firstLine="645"/>
        <w:rPr>
          <w:rFonts w:hint="eastAsia" w:ascii="仿宋_GB2312" w:hAnsi="仿宋_GB2312" w:eastAsia="仿宋_GB2312" w:cs="仿宋_GB2312"/>
          <w:color w:val="3D3D3C"/>
          <w:kern w:val="0"/>
          <w:sz w:val="32"/>
          <w:szCs w:val="32"/>
          <w:shd w:val="clear" w:color="auto" w:fill="FFFFFF"/>
        </w:rPr>
      </w:pPr>
      <w:r>
        <w:rPr>
          <w:rFonts w:hint="eastAsia" w:ascii="仿宋_GB2312" w:hAnsi="仿宋_GB2312" w:eastAsia="仿宋_GB2312" w:cs="仿宋_GB2312"/>
          <w:color w:val="3D3D3C"/>
          <w:kern w:val="0"/>
          <w:sz w:val="32"/>
          <w:szCs w:val="32"/>
          <w:shd w:val="clear" w:color="auto" w:fill="FFFFFF"/>
        </w:rPr>
        <w:t>（六）以筹建便民综合服务中心为抓手，开展“就近办”。为了全面贯彻落实中省市关于政务服务工作要求，切实解决县域偏远地区群众反映的办事不方便、办事难等问题，有效降低群众办事成本，县政务中心按照“方便、快捷、贴心、周到”的为民服务理念，将政务服务向村组和社区延伸。与县残联、中医医院、医康精神病院等对全县19个镇街各村疑似残疾人上门进行等级鉴定，组织上门入户152人次，走访评定疑似残疾人  621人，办理残疾证 508 个，上门为山区老年人办理老年证200多张；同时与邮政公司合作，依托邮政网银系统、邮储终端设备和快寄物流网点，在灞源镇、玉山镇移民社区建立村（社区）级便民综合服务中心，开展代办政务事项，真正把服务送到企业、群众家门口。</w:t>
      </w:r>
    </w:p>
    <w:p>
      <w:pPr>
        <w:ind w:firstLine="645"/>
        <w:rPr>
          <w:rFonts w:hint="eastAsia" w:ascii="仿宋_GB2312" w:hAnsi="仿宋_GB2312" w:eastAsia="仿宋_GB2312" w:cs="仿宋_GB2312"/>
          <w:color w:val="3D3D3C"/>
          <w:kern w:val="0"/>
          <w:sz w:val="32"/>
          <w:szCs w:val="32"/>
          <w:shd w:val="clear" w:color="auto" w:fill="FFFFFF"/>
        </w:rPr>
      </w:pPr>
      <w:r>
        <w:rPr>
          <w:rFonts w:hint="eastAsia" w:ascii="仿宋_GB2312" w:hAnsi="仿宋_GB2312" w:eastAsia="仿宋_GB2312" w:cs="仿宋_GB2312"/>
          <w:color w:val="3D3D3C"/>
          <w:kern w:val="0"/>
          <w:sz w:val="32"/>
          <w:szCs w:val="32"/>
          <w:shd w:val="clear" w:color="auto" w:fill="FFFFFF"/>
        </w:rPr>
        <w:t>（七）以加强和改进营商环境为抓手，提升“满意度”。始终坚持把公众满意度调查作为衡量蓝田经济社会发展成效和营商环境提升的重要指向标，2018年以来，狠抓落实“最多跑一次”“帮办代办”“容缺受理”等政务服务工作机制，建立企业和群众投诉举报回访机制以及反馈、投诉问题台账，深入推进领导干部亲商助企活动，坚持开展“体验式”调研走访，逐项落实全县营商大会、市第五期擂台赛陈书记讲话中的承诺事项，截</w:t>
      </w:r>
      <w:r>
        <w:rPr>
          <w:rFonts w:hint="eastAsia" w:ascii="仿宋_GB2312" w:hAnsi="仿宋_GB2312" w:eastAsia="仿宋_GB2312" w:cs="仿宋_GB2312"/>
          <w:color w:val="3D3D3C"/>
          <w:kern w:val="0"/>
          <w:sz w:val="32"/>
          <w:szCs w:val="32"/>
          <w:shd w:val="clear" w:color="auto" w:fill="FFFFFF"/>
          <w:lang w:val="en-US" w:eastAsia="zh-CN"/>
        </w:rPr>
        <w:t>至</w:t>
      </w:r>
      <w:r>
        <w:rPr>
          <w:rFonts w:hint="eastAsia" w:ascii="仿宋_GB2312" w:hAnsi="仿宋_GB2312" w:eastAsia="仿宋_GB2312" w:cs="仿宋_GB2312"/>
          <w:color w:val="3D3D3C"/>
          <w:kern w:val="0"/>
          <w:sz w:val="32"/>
          <w:szCs w:val="32"/>
          <w:shd w:val="clear" w:color="auto" w:fill="FFFFFF"/>
        </w:rPr>
        <w:t>目前共办理政务服务事项36135件，第一时间转办、办结 “12345市民热线”转办事项5704件。收到办事企业、群众送来锦旗12取得全市第4名。通过实实在在的工作，切实让企业、群众感受到县域营商环境的提升。面，感谢信1封，市级、县级媒体正面报道6次，2018年下半年蓝田县公众满意度测评排名全市第1名，窗口服务单位满意度。</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五、部门决算收支情况说明</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（一）2018年度收入支出总体情况说明。</w:t>
      </w:r>
    </w:p>
    <w:p>
      <w:pPr>
        <w:pStyle w:val="4"/>
        <w:widowControl/>
        <w:shd w:val="clear" w:color="auto" w:fill="FFFFFF"/>
        <w:spacing w:before="0" w:beforeAutospacing="0" w:after="0" w:afterAutospacing="0"/>
        <w:ind w:firstLine="420"/>
        <w:rPr>
          <w:rFonts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2018年度收入164.47万元，支出164.47万元，</w:t>
      </w:r>
      <w:r>
        <w:rPr>
          <w:rFonts w:hint="eastAsia" w:ascii="仿宋_GB2312" w:eastAsia="仿宋_GB2312"/>
          <w:color w:val="3D3D3C"/>
          <w:sz w:val="32"/>
          <w:szCs w:val="32"/>
        </w:rPr>
        <w:t>收支平衡。</w:t>
      </w:r>
      <w:r>
        <w:rPr>
          <w:rFonts w:hint="eastAsia" w:ascii="仿宋_GB2312" w:hAnsi="仿宋_GB2312" w:eastAsia="仿宋_GB2312" w:cs="仿宋_GB2312"/>
          <w:color w:val="3D3D3C"/>
          <w:sz w:val="32"/>
          <w:szCs w:val="32"/>
          <w:shd w:val="clear" w:color="auto" w:fill="FFFFFF"/>
        </w:rPr>
        <w:t>2017年收入59.71万元，支出59.71万元，总体收入支出均比上年增加104.76万元，其中增加原因为2018年人员工资、目标责任制奖金及伙食补助费增加14.62万元；一般公共服务增加90.14万元，增加原因为政务中心2018年搬迁费、临聘人员工资及进驻部门增加办公经费增多。</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2、本年度收入构成情况</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2018年度收入164.47万元。其中一般公共服务121.63万元；事业运行42.84万元。</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3、本年度支出构成情况。</w:t>
      </w: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2018年度支出为164.47元，其中基本支出42.84万元，项目支出121.63万元。</w:t>
      </w:r>
    </w:p>
    <w:p>
      <w:pPr>
        <w:widowControl/>
        <w:shd w:val="clear" w:color="auto" w:fill="FFFFFF"/>
        <w:spacing w:line="313" w:lineRule="atLeast"/>
        <w:ind w:firstLine="320" w:firstLineChars="100"/>
        <w:jc w:val="left"/>
        <w:rPr>
          <w:rFonts w:hint="eastAsia" w:ascii="仿宋_GB2312" w:hAnsi="宋体" w:eastAsia="仿宋_GB2312" w:cs="宋体"/>
          <w:color w:val="3D3D3C"/>
          <w:kern w:val="0"/>
          <w:sz w:val="32"/>
          <w:szCs w:val="32"/>
        </w:rPr>
      </w:pPr>
      <w:r>
        <w:rPr>
          <w:rFonts w:hint="eastAsia" w:ascii="仿宋_GB2312" w:hAnsi="仿宋_GB2312" w:eastAsia="仿宋_GB2312" w:cs="仿宋_GB2312"/>
          <w:color w:val="3D3D3C"/>
          <w:sz w:val="32"/>
          <w:szCs w:val="32"/>
          <w:shd w:val="clear" w:color="auto" w:fill="FFFFFF"/>
        </w:rPr>
        <w:t>（二）2018年度财政拨款收入支出总体情况说明</w:t>
      </w:r>
    </w:p>
    <w:p>
      <w:pPr>
        <w:pStyle w:val="4"/>
        <w:widowControl/>
        <w:shd w:val="clear" w:color="auto" w:fill="FFFFFF"/>
        <w:spacing w:before="0" w:beforeAutospacing="0" w:after="0" w:afterAutospacing="0"/>
        <w:ind w:firstLine="320" w:firstLineChars="100"/>
        <w:rPr>
          <w:rFonts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2018年度财政拨款收入164.47万元，财政拨款支出164.47万元，2017年财政拨款收入59.71万元，财政拨款支出59.71万元，总体财政拨款收入支出均比上年增加104.76万元，其中增加原因为2018年人员工资、目标责任制奖金及伙食补助费增加14.62万元；一般公共服务增加90.14万元，增加原因为政务中心2018年搬迁费、临聘人员工资及进驻部门增加办公经费增多。</w:t>
      </w:r>
    </w:p>
    <w:p>
      <w:pPr>
        <w:pStyle w:val="4"/>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2、一般公共预算财政拨款支出情况。</w:t>
      </w:r>
    </w:p>
    <w:p>
      <w:pPr>
        <w:pStyle w:val="4"/>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一般公共预算财政拨款164.47万元，其中一般公共服务121.63万元；事业运行42.84万元。</w:t>
      </w:r>
    </w:p>
    <w:p>
      <w:pPr>
        <w:pStyle w:val="4"/>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3、一般公共预算财政拨款基本支出决算情况。</w:t>
      </w:r>
    </w:p>
    <w:p>
      <w:pPr>
        <w:pStyle w:val="4"/>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2018年一般公共预算财政拨款基本支出42.84万元，其中人员经费41.54万元，公用经费1.3万元。</w:t>
      </w:r>
    </w:p>
    <w:p>
      <w:pPr>
        <w:pStyle w:val="4"/>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4、政府性基金财政拨款收支情况说明。</w:t>
      </w:r>
    </w:p>
    <w:p>
      <w:pPr>
        <w:pStyle w:val="4"/>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本部门无政府性基金财政拨款收入。并已公开空表。</w:t>
      </w:r>
    </w:p>
    <w:p>
      <w:pPr>
        <w:pStyle w:val="4"/>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5、国有资本经营财政拨款收支情况说明。</w:t>
      </w:r>
    </w:p>
    <w:p>
      <w:pPr>
        <w:pStyle w:val="4"/>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本部门无国有资本经营决算拨款收支。</w:t>
      </w:r>
    </w:p>
    <w:p>
      <w:pPr>
        <w:pStyle w:val="4"/>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6、政府采购支出情况。</w:t>
      </w:r>
    </w:p>
    <w:p>
      <w:pPr>
        <w:ind w:firstLine="640" w:firstLineChars="20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2018年度本部门政府采购支出总额共29.93万元，其中政府采购货物类支出29.93万元、无政府采购工程类支出。无政府采购类服务支出。</w:t>
      </w:r>
      <w:r>
        <w:rPr>
          <w:rFonts w:hint="eastAsia" w:ascii="仿宋_GB2312" w:hAnsi="仿宋" w:eastAsia="仿宋_GB2312"/>
          <w:sz w:val="32"/>
          <w:szCs w:val="32"/>
        </w:rPr>
        <w:t>授</w:t>
      </w:r>
      <w:r>
        <w:rPr>
          <w:rFonts w:hint="eastAsia" w:ascii="仿宋_GB2312" w:hAnsi="仿宋_GB2312" w:eastAsia="仿宋_GB2312" w:cs="仿宋_GB2312"/>
          <w:color w:val="3D3D3C"/>
          <w:sz w:val="32"/>
          <w:szCs w:val="32"/>
          <w:shd w:val="clear" w:color="auto" w:fill="FFFFFF"/>
        </w:rPr>
        <w:t>予中小企业的合同金额29.93万元，占政府采购支出总金额的100%。</w:t>
      </w:r>
    </w:p>
    <w:p>
      <w:pPr>
        <w:ind w:firstLine="640" w:firstLineChars="20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（三）2018年度“三公”经费、培训费及会议费支出情况。</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2018年度一般公共预算财政拨款“三公”经费实际支出0万元，比2017年减少了0万元，比当年预算减少了0万元，主要是无公务接待支出。本年度一般公共预算财政拨款安排的“三公”经费支出中，公务接待费支出0万元，占“三公”经费的0%；公务用车购置及运行维护费0万元，占“三公”经费的0%；无因公出国出境费用支出。具体情况如下</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1、因公出国（境）费支出0万元，我单位认真贯彻落实</w:t>
      </w:r>
      <w:r>
        <w:rPr>
          <w:rFonts w:hint="eastAsia" w:ascii="仿宋_GB2312" w:hAnsi="仿宋" w:eastAsia="仿宋_GB2312"/>
          <w:sz w:val="32"/>
          <w:szCs w:val="32"/>
          <w:lang w:val="en-US" w:eastAsia="zh-CN"/>
        </w:rPr>
        <w:t>中央</w:t>
      </w:r>
      <w:bookmarkStart w:id="0" w:name="_GoBack"/>
      <w:r>
        <w:rPr>
          <w:rFonts w:hint="eastAsia" w:ascii="仿宋_GB2312" w:hAnsi="仿宋" w:eastAsia="仿宋_GB2312"/>
          <w:sz w:val="32"/>
          <w:szCs w:val="32"/>
        </w:rPr>
        <w:t>八项规定</w:t>
      </w:r>
      <w:bookmarkEnd w:id="0"/>
      <w:r>
        <w:rPr>
          <w:rFonts w:hint="eastAsia" w:ascii="仿宋_GB2312" w:hAnsi="仿宋" w:eastAsia="仿宋_GB2312"/>
          <w:sz w:val="32"/>
          <w:szCs w:val="32"/>
        </w:rPr>
        <w:t>精神，以节俭为原则，当年预算未安排该项该支出，与当年预算相比无增减变化。该支出与上年度相同。</w:t>
      </w:r>
    </w:p>
    <w:p>
      <w:pPr>
        <w:numPr>
          <w:ilvl w:val="0"/>
          <w:numId w:val="2"/>
        </w:numPr>
        <w:ind w:firstLine="640" w:firstLineChars="200"/>
        <w:rPr>
          <w:rFonts w:hint="eastAsia" w:ascii="仿宋_GB2312" w:hAnsi="仿宋" w:eastAsia="仿宋_GB2312"/>
          <w:sz w:val="32"/>
          <w:szCs w:val="32"/>
        </w:rPr>
      </w:pPr>
      <w:r>
        <w:rPr>
          <w:rFonts w:hint="eastAsia" w:ascii="仿宋_GB2312" w:hAnsi="仿宋" w:eastAsia="仿宋_GB2312"/>
          <w:sz w:val="32"/>
          <w:szCs w:val="32"/>
        </w:rPr>
        <w:t>公务接待费支出情况</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公务接待费支出0万元，当年预算未安排该项该支出，与当年预算相比无增减变化。该支出与上年度相同。主要原因是根据中央八项规定要求，严格控制公务接待费支出。</w:t>
      </w:r>
    </w:p>
    <w:p>
      <w:pPr>
        <w:numPr>
          <w:ilvl w:val="0"/>
          <w:numId w:val="2"/>
        </w:numPr>
        <w:ind w:firstLine="640" w:firstLineChars="200"/>
        <w:rPr>
          <w:rFonts w:hint="eastAsia" w:ascii="仿宋_GB2312" w:hAnsi="仿宋" w:eastAsia="仿宋_GB2312"/>
          <w:sz w:val="32"/>
          <w:szCs w:val="32"/>
        </w:rPr>
      </w:pPr>
      <w:r>
        <w:rPr>
          <w:rFonts w:hint="eastAsia" w:ascii="仿宋_GB2312" w:hAnsi="仿宋" w:eastAsia="仿宋_GB2312"/>
          <w:sz w:val="32"/>
          <w:szCs w:val="32"/>
        </w:rPr>
        <w:t>公务用车购置及运行维护费情况</w:t>
      </w:r>
    </w:p>
    <w:p>
      <w:pPr>
        <w:ind w:firstLine="640" w:firstLineChars="200"/>
        <w:rPr>
          <w:rFonts w:hint="eastAsia" w:ascii="仿宋_GB2312" w:hAnsi="宋体" w:eastAsia="仿宋_GB2312"/>
          <w:bCs/>
          <w:sz w:val="32"/>
          <w:szCs w:val="32"/>
        </w:rPr>
      </w:pPr>
      <w:r>
        <w:rPr>
          <w:rFonts w:hint="eastAsia" w:ascii="仿宋_GB2312" w:hAnsi="仿宋" w:eastAsia="仿宋_GB2312"/>
          <w:sz w:val="32"/>
          <w:szCs w:val="32"/>
        </w:rPr>
        <w:t xml:space="preserve"> </w:t>
      </w:r>
      <w:r>
        <w:rPr>
          <w:rFonts w:hint="eastAsia" w:ascii="仿宋_GB2312" w:hAnsi="宋体" w:eastAsia="仿宋_GB2312"/>
          <w:bCs/>
          <w:sz w:val="32"/>
          <w:szCs w:val="32"/>
        </w:rPr>
        <w:t>（1）公务用车购置支出0元，与上年决算相比无变化；与当年预算相比无变化。</w:t>
      </w:r>
    </w:p>
    <w:p>
      <w:pPr>
        <w:ind w:firstLine="640" w:firstLineChars="200"/>
        <w:rPr>
          <w:rFonts w:hint="eastAsia" w:ascii="仿宋_GB2312" w:hAnsi="宋体" w:eastAsia="仿宋_GB2312"/>
          <w:bCs/>
          <w:sz w:val="32"/>
          <w:szCs w:val="32"/>
        </w:rPr>
      </w:pPr>
      <w:r>
        <w:rPr>
          <w:rFonts w:hint="eastAsia" w:ascii="仿宋_GB2312" w:hAnsi="宋体" w:eastAsia="仿宋_GB2312"/>
          <w:bCs/>
          <w:sz w:val="32"/>
          <w:szCs w:val="32"/>
        </w:rPr>
        <w:t>（2）公务用车运行维护费支出0万元，与上年决算相比无变化；与当年预算相比无变化。</w:t>
      </w:r>
    </w:p>
    <w:p>
      <w:pPr>
        <w:spacing w:line="6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4、会议费支出情况</w:t>
      </w:r>
    </w:p>
    <w:p>
      <w:pPr>
        <w:ind w:firstLine="640" w:firstLineChars="200"/>
        <w:rPr>
          <w:rFonts w:hint="eastAsia" w:ascii="仿宋_GB2312" w:hAnsi="宋体" w:eastAsia="仿宋_GB2312"/>
          <w:bCs/>
          <w:sz w:val="32"/>
          <w:szCs w:val="32"/>
        </w:rPr>
      </w:pPr>
      <w:r>
        <w:rPr>
          <w:rFonts w:hint="eastAsia" w:ascii="仿宋_GB2312" w:hAnsi="仿宋" w:eastAsia="仿宋_GB2312"/>
          <w:sz w:val="32"/>
          <w:szCs w:val="32"/>
        </w:rPr>
        <w:t>2018年一般公共预算财政拨款会议费支出0万元，</w:t>
      </w:r>
      <w:r>
        <w:rPr>
          <w:rFonts w:hint="eastAsia" w:ascii="仿宋_GB2312" w:hAnsi="宋体" w:eastAsia="仿宋_GB2312"/>
          <w:bCs/>
          <w:sz w:val="32"/>
          <w:szCs w:val="32"/>
        </w:rPr>
        <w:t>与上年决算相比无变化；与当年预算相比无变化。</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5、培训费支出情况</w:t>
      </w:r>
    </w:p>
    <w:p>
      <w:pPr>
        <w:ind w:firstLine="640" w:firstLineChars="200"/>
        <w:rPr>
          <w:rFonts w:hint="eastAsia" w:ascii="仿宋_GB2312" w:hAnsi="宋体" w:eastAsia="仿宋_GB2312"/>
          <w:bCs/>
          <w:sz w:val="32"/>
          <w:szCs w:val="32"/>
        </w:rPr>
      </w:pPr>
      <w:r>
        <w:rPr>
          <w:rFonts w:hint="eastAsia" w:ascii="仿宋_GB2312" w:hAnsi="仿宋" w:eastAsia="仿宋_GB2312"/>
          <w:sz w:val="32"/>
          <w:szCs w:val="32"/>
        </w:rPr>
        <w:t>2018年一般公共预算财政拨款培训费支出0万元，</w:t>
      </w:r>
      <w:r>
        <w:rPr>
          <w:rFonts w:hint="eastAsia" w:ascii="仿宋_GB2312" w:hAnsi="宋体" w:eastAsia="仿宋_GB2312"/>
          <w:bCs/>
          <w:sz w:val="32"/>
          <w:szCs w:val="32"/>
        </w:rPr>
        <w:t>与上年决算相比无变化；与当年预算相比无变化。</w:t>
      </w:r>
    </w:p>
    <w:p>
      <w:pPr>
        <w:pStyle w:val="4"/>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六、2018年度部门绩效管理情况说明</w:t>
      </w:r>
    </w:p>
    <w:p>
      <w:pPr>
        <w:numPr>
          <w:ilvl w:val="0"/>
          <w:numId w:val="3"/>
        </w:numPr>
        <w:ind w:firstLine="640" w:firstLineChars="200"/>
        <w:rPr>
          <w:rFonts w:hint="eastAsia" w:ascii="仿宋_GB2312" w:hAnsi="仿宋" w:eastAsia="仿宋_GB2312" w:cs="仿宋"/>
          <w:sz w:val="32"/>
          <w:szCs w:val="32"/>
        </w:rPr>
      </w:pPr>
      <w:r>
        <w:rPr>
          <w:rFonts w:hint="eastAsia" w:ascii="仿宋_GB2312" w:hAnsi="仿宋_GB2312" w:eastAsia="仿宋_GB2312" w:cs="仿宋_GB2312"/>
          <w:color w:val="3D3D3C"/>
          <w:sz w:val="32"/>
          <w:szCs w:val="32"/>
          <w:shd w:val="clear" w:color="auto" w:fill="FFFFFF"/>
        </w:rPr>
        <w:t>根据预算绩效管理要求，本部门对2018年度一般公共预算项目支出全面开展绩效自评，其中，一级项目一个，涉及资金121.63万元，占一般公共预算项目支出总额的100%。</w:t>
      </w:r>
      <w:r>
        <w:rPr>
          <w:rFonts w:hint="eastAsia" w:ascii="仿宋_GB2312" w:hAnsi="仿宋" w:eastAsia="仿宋_GB2312" w:cs="仿宋"/>
          <w:sz w:val="32"/>
          <w:szCs w:val="32"/>
        </w:rPr>
        <w:t>从评价情况来看，属于县级安排项目资金，绩效目标完整，资金使用符合规定。</w:t>
      </w:r>
    </w:p>
    <w:p>
      <w:pPr>
        <w:pStyle w:val="4"/>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七、其他重要事项的情况说明</w:t>
      </w:r>
    </w:p>
    <w:p>
      <w:pPr>
        <w:pStyle w:val="4"/>
        <w:widowControl/>
        <w:shd w:val="clear" w:color="auto" w:fill="FFFFFF"/>
        <w:spacing w:before="0" w:beforeAutospacing="0" w:after="0" w:afterAutospacing="0"/>
        <w:ind w:firstLine="480" w:firstLineChars="15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（一）机关运行经费支出情况。</w:t>
      </w:r>
    </w:p>
    <w:p>
      <w:pPr>
        <w:pStyle w:val="4"/>
        <w:widowControl/>
        <w:shd w:val="clear" w:color="auto" w:fill="FFFFFF"/>
        <w:spacing w:before="0" w:beforeAutospacing="0" w:after="0" w:afterAutospacing="0"/>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2018年机关运行费支出1.3万元，与上年保持平衡，与</w:t>
      </w:r>
      <w:r>
        <w:rPr>
          <w:rFonts w:hint="eastAsia" w:ascii="仿宋_GB2312" w:hAnsi="仿宋" w:eastAsia="仿宋_GB2312"/>
          <w:sz w:val="32"/>
          <w:szCs w:val="32"/>
        </w:rPr>
        <w:t>当年预算保持平衡，</w:t>
      </w:r>
      <w:r>
        <w:rPr>
          <w:rFonts w:hint="eastAsia" w:ascii="仿宋_GB2312" w:hAnsi="仿宋_GB2312" w:eastAsia="仿宋_GB2312" w:cs="仿宋_GB2312"/>
          <w:color w:val="3D3D3C"/>
          <w:sz w:val="32"/>
          <w:szCs w:val="32"/>
          <w:shd w:val="clear" w:color="auto" w:fill="FFFFFF"/>
        </w:rPr>
        <w:t>原因是人员无变化。</w:t>
      </w:r>
    </w:p>
    <w:p>
      <w:pPr>
        <w:numPr>
          <w:ilvl w:val="0"/>
          <w:numId w:val="4"/>
        </w:numPr>
        <w:pBdr>
          <w:bottom w:val="single" w:color="FFFFFF" w:sz="4" w:space="31"/>
        </w:pBdr>
        <w:spacing w:line="660" w:lineRule="exact"/>
        <w:ind w:firstLine="640" w:firstLineChars="20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国有资产占用及购置情况说明。</w:t>
      </w:r>
    </w:p>
    <w:p>
      <w:pPr>
        <w:pBdr>
          <w:bottom w:val="single" w:color="FFFFFF" w:sz="4" w:space="31"/>
        </w:pBdr>
        <w:spacing w:line="6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截至2018年末，本部门所属单位共有车辆0辆；单价50万元以上的通用设备0台（套）；单价100万元以上的通用设备0台（套）。2018年当年购置车辆0辆；购置单价50万元以上的设备0台（套）；购置单价100万元以上的通用设备0台（套）。</w:t>
      </w:r>
    </w:p>
    <w:p>
      <w:pPr>
        <w:numPr>
          <w:ilvl w:val="0"/>
          <w:numId w:val="5"/>
        </w:numPr>
        <w:pBdr>
          <w:bottom w:val="single" w:color="FFFFFF" w:sz="4" w:space="31"/>
        </w:pBdr>
        <w:spacing w:line="660" w:lineRule="exact"/>
        <w:ind w:firstLine="640" w:firstLineChars="20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专业名词解释</w:t>
      </w:r>
    </w:p>
    <w:p>
      <w:pPr>
        <w:numPr>
          <w:ilvl w:val="0"/>
          <w:numId w:val="6"/>
        </w:numPr>
        <w:pBdr>
          <w:bottom w:val="single" w:color="FFFFFF" w:sz="4" w:space="31"/>
        </w:pBdr>
        <w:spacing w:line="660" w:lineRule="exact"/>
        <w:ind w:firstLine="640" w:firstLineChars="20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基本支出：支为保障机构正常运转、完成日常工作任务而发生的各项支出。</w:t>
      </w:r>
    </w:p>
    <w:p>
      <w:pPr>
        <w:numPr>
          <w:ilvl w:val="0"/>
          <w:numId w:val="6"/>
        </w:numPr>
        <w:pBdr>
          <w:bottom w:val="single" w:color="FFFFFF" w:sz="4" w:space="31"/>
        </w:pBdr>
        <w:spacing w:line="660" w:lineRule="exact"/>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项目支出：指单位为完成特定的行政工作任务或事业发展目标所发生的各项支出。</w:t>
      </w:r>
    </w:p>
    <w:p>
      <w:pPr>
        <w:numPr>
          <w:ilvl w:val="0"/>
          <w:numId w:val="6"/>
        </w:numPr>
        <w:pBdr>
          <w:bottom w:val="single" w:color="FFFFFF" w:sz="4" w:space="31"/>
        </w:pBdr>
        <w:spacing w:line="660" w:lineRule="exact"/>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“三公”经费 ：指部门使用一般公共预算财政拨款安排的因公出国（境）费、公务用车购置及运行费和公务接待费支出。</w:t>
      </w:r>
    </w:p>
    <w:p>
      <w:pPr>
        <w:numPr>
          <w:ilvl w:val="0"/>
          <w:numId w:val="6"/>
        </w:numPr>
        <w:pBdr>
          <w:bottom w:val="single" w:color="FFFFFF" w:sz="4" w:space="31"/>
        </w:pBdr>
        <w:spacing w:line="660" w:lineRule="exact"/>
        <w:ind w:firstLine="640" w:firstLineChars="200"/>
        <w:rPr>
          <w:rFonts w:hint="eastAsia" w:ascii="仿宋_GB2312" w:hAnsi="仿宋_GB2312" w:eastAsia="仿宋_GB2312" w:cs="仿宋_GB2312"/>
          <w:color w:val="3D3D3C"/>
          <w:sz w:val="32"/>
          <w:szCs w:val="32"/>
        </w:rPr>
      </w:pPr>
      <w:r>
        <w:rPr>
          <w:rFonts w:hint="eastAsia" w:ascii="仿宋_GB2312" w:hAnsi="仿宋_GB2312" w:eastAsia="仿宋_GB2312" w:cs="仿宋_GB2312"/>
          <w:color w:val="3D3D3C"/>
          <w:sz w:val="32"/>
          <w:szCs w:val="32"/>
          <w:shd w:val="clear" w:color="auto" w:fill="FFFFFF"/>
        </w:rPr>
        <w:t>机关运行经费：指行政单位和参照公务员法管理的事业单位使用一般公共预算财政拨款安排的日常公用经费支出。</w:t>
      </w:r>
    </w:p>
    <w:p>
      <w:pPr>
        <w:pBdr>
          <w:bottom w:val="single" w:color="FFFFFF" w:sz="4" w:space="31"/>
        </w:pBdr>
        <w:spacing w:line="660" w:lineRule="exact"/>
        <w:rPr>
          <w:rFonts w:hint="eastAsia" w:ascii="仿宋_GB2312" w:hAnsi="仿宋_GB2312" w:eastAsia="仿宋_GB2312" w:cs="仿宋_GB2312"/>
          <w:color w:val="3D3D3C"/>
          <w:sz w:val="32"/>
          <w:szCs w:val="32"/>
          <w:shd w:val="clear" w:color="auto" w:fill="FFFFFF"/>
        </w:rPr>
      </w:pPr>
    </w:p>
    <w:p>
      <w:pPr>
        <w:pBdr>
          <w:bottom w:val="single" w:color="FFFFFF" w:sz="4" w:space="31"/>
        </w:pBdr>
        <w:spacing w:line="660" w:lineRule="exact"/>
        <w:rPr>
          <w:rFonts w:hint="eastAsia" w:ascii="仿宋_GB2312" w:hAnsi="仿宋_GB2312" w:eastAsia="仿宋_GB2312" w:cs="仿宋_GB2312"/>
          <w:color w:val="3D3D3C"/>
          <w:sz w:val="32"/>
          <w:szCs w:val="32"/>
          <w:shd w:val="clear" w:color="auto" w:fill="FFFFFF"/>
        </w:rPr>
      </w:pPr>
    </w:p>
    <w:p>
      <w:pPr>
        <w:pBdr>
          <w:bottom w:val="single" w:color="FFFFFF" w:sz="4" w:space="31"/>
        </w:pBdr>
        <w:spacing w:line="660" w:lineRule="exact"/>
        <w:rPr>
          <w:rFonts w:hint="eastAsia" w:ascii="仿宋_GB2312" w:hAnsi="仿宋_GB2312" w:eastAsia="仿宋_GB2312" w:cs="仿宋_GB2312"/>
          <w:color w:val="3D3D3C"/>
          <w:sz w:val="32"/>
          <w:szCs w:val="32"/>
          <w:shd w:val="clear" w:color="auto" w:fill="FFFFFF"/>
        </w:rPr>
      </w:pPr>
    </w:p>
    <w:p>
      <w:pPr>
        <w:pBdr>
          <w:bottom w:val="single" w:color="FFFFFF" w:sz="4" w:space="31"/>
        </w:pBdr>
        <w:spacing w:line="660" w:lineRule="exact"/>
        <w:ind w:firstLine="3200" w:firstLineChars="1000"/>
        <w:rPr>
          <w:rFonts w:hint="eastAsia" w:ascii="仿宋_GB2312" w:hAnsi="仿宋_GB2312" w:eastAsia="仿宋_GB2312" w:cs="仿宋_GB2312"/>
          <w:color w:val="3D3D3C"/>
          <w:sz w:val="32"/>
          <w:szCs w:val="32"/>
          <w:shd w:val="clear" w:color="auto" w:fill="FFFFFF"/>
        </w:rPr>
      </w:pPr>
      <w:r>
        <w:rPr>
          <w:rFonts w:hint="eastAsia" w:ascii="仿宋_GB2312" w:hAnsi="仿宋_GB2312" w:eastAsia="仿宋_GB2312" w:cs="仿宋_GB2312"/>
          <w:color w:val="3D3D3C"/>
          <w:sz w:val="32"/>
          <w:szCs w:val="32"/>
          <w:shd w:val="clear" w:color="auto" w:fill="FFFFFF"/>
        </w:rPr>
        <w:t>蓝田县人民政府政务服务中心</w:t>
      </w:r>
    </w:p>
    <w:p>
      <w:pPr>
        <w:pBdr>
          <w:bottom w:val="single" w:color="FFFFFF" w:sz="4" w:space="31"/>
        </w:pBdr>
        <w:spacing w:line="660" w:lineRule="exact"/>
        <w:ind w:firstLine="4160" w:firstLineChars="1300"/>
        <w:rPr>
          <w:rFonts w:hint="eastAsia" w:ascii="仿宋_GB2312" w:eastAsia="仿宋_GB2312"/>
          <w:sz w:val="32"/>
          <w:szCs w:val="32"/>
        </w:rPr>
      </w:pPr>
      <w:r>
        <w:rPr>
          <w:rFonts w:hint="eastAsia" w:ascii="仿宋_GB2312" w:eastAsia="仿宋_GB2312"/>
          <w:sz w:val="32"/>
          <w:szCs w:val="32"/>
        </w:rPr>
        <w:t>2019年9月25日</w:t>
      </w:r>
    </w:p>
    <w:p>
      <w:pPr>
        <w:pBdr>
          <w:bottom w:val="single" w:color="FFFFFF" w:sz="4" w:space="31"/>
        </w:pBdr>
        <w:spacing w:line="660" w:lineRule="exact"/>
        <w:rPr>
          <w:rFonts w:hint="eastAsia" w:ascii="仿宋_GB2312" w:hAnsi="仿宋_GB2312" w:eastAsia="仿宋_GB2312" w:cs="仿宋_GB2312"/>
          <w:color w:val="3D3D3C"/>
          <w:sz w:val="32"/>
          <w:szCs w:val="32"/>
          <w:shd w:val="clear" w:color="auto" w:fill="FFFFFF"/>
        </w:rPr>
      </w:pPr>
    </w:p>
    <w:p>
      <w:pPr>
        <w:pStyle w:val="4"/>
        <w:widowControl/>
        <w:shd w:val="clear" w:color="auto" w:fill="FFFFFF"/>
        <w:spacing w:before="0" w:beforeAutospacing="0" w:after="0" w:afterAutospacing="0"/>
        <w:ind w:firstLine="420"/>
        <w:rPr>
          <w:rFonts w:hint="eastAsia" w:ascii="仿宋_GB2312" w:hAnsi="仿宋_GB2312" w:eastAsia="仿宋_GB2312" w:cs="仿宋_GB2312"/>
          <w:color w:val="3D3D3C"/>
          <w:sz w:val="32"/>
          <w:szCs w:val="32"/>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5948D3"/>
    <w:multiLevelType w:val="singleLevel"/>
    <w:tmpl w:val="945948D3"/>
    <w:lvl w:ilvl="0" w:tentative="0">
      <w:start w:val="1"/>
      <w:numFmt w:val="decimal"/>
      <w:suff w:val="nothing"/>
      <w:lvlText w:val="%1、"/>
      <w:lvlJc w:val="left"/>
    </w:lvl>
  </w:abstractNum>
  <w:abstractNum w:abstractNumId="1">
    <w:nsid w:val="EB9AFF4E"/>
    <w:multiLevelType w:val="singleLevel"/>
    <w:tmpl w:val="EB9AFF4E"/>
    <w:lvl w:ilvl="0" w:tentative="0">
      <w:start w:val="8"/>
      <w:numFmt w:val="chineseCounting"/>
      <w:suff w:val="nothing"/>
      <w:lvlText w:val="%1、"/>
      <w:lvlJc w:val="left"/>
      <w:rPr>
        <w:rFonts w:hint="eastAsia"/>
      </w:rPr>
    </w:lvl>
  </w:abstractNum>
  <w:abstractNum w:abstractNumId="2">
    <w:nsid w:val="F29EFC27"/>
    <w:multiLevelType w:val="singleLevel"/>
    <w:tmpl w:val="F29EFC27"/>
    <w:lvl w:ilvl="0" w:tentative="0">
      <w:start w:val="1"/>
      <w:numFmt w:val="chineseCounting"/>
      <w:suff w:val="nothing"/>
      <w:lvlText w:val="%1、"/>
      <w:lvlJc w:val="left"/>
      <w:rPr>
        <w:rFonts w:hint="eastAsia"/>
      </w:rPr>
    </w:lvl>
  </w:abstractNum>
  <w:abstractNum w:abstractNumId="3">
    <w:nsid w:val="1E7DC0C6"/>
    <w:multiLevelType w:val="singleLevel"/>
    <w:tmpl w:val="1E7DC0C6"/>
    <w:lvl w:ilvl="0" w:tentative="0">
      <w:start w:val="1"/>
      <w:numFmt w:val="decimal"/>
      <w:suff w:val="nothing"/>
      <w:lvlText w:val="%1、"/>
      <w:lvlJc w:val="left"/>
    </w:lvl>
  </w:abstractNum>
  <w:abstractNum w:abstractNumId="4">
    <w:nsid w:val="23D63A28"/>
    <w:multiLevelType w:val="singleLevel"/>
    <w:tmpl w:val="23D63A28"/>
    <w:lvl w:ilvl="0" w:tentative="0">
      <w:start w:val="3"/>
      <w:numFmt w:val="chineseCounting"/>
      <w:suff w:val="nothing"/>
      <w:lvlText w:val="（%1）"/>
      <w:lvlJc w:val="left"/>
      <w:rPr>
        <w:rFonts w:hint="eastAsia"/>
      </w:rPr>
    </w:lvl>
  </w:abstractNum>
  <w:abstractNum w:abstractNumId="5">
    <w:nsid w:val="5D8C1CFD"/>
    <w:multiLevelType w:val="singleLevel"/>
    <w:tmpl w:val="5D8C1CFD"/>
    <w:lvl w:ilvl="0" w:tentative="0">
      <w:start w:val="2"/>
      <w:numFmt w:val="decimal"/>
      <w:suff w:val="nothing"/>
      <w:lvlText w:val="%1、"/>
      <w:lvlJc w:val="left"/>
    </w:lvl>
  </w:abstractNum>
  <w:num w:numId="1">
    <w:abstractNumId w:val="2"/>
  </w:num>
  <w:num w:numId="2">
    <w:abstractNumId w:val="5"/>
  </w:num>
  <w:num w:numId="3">
    <w:abstractNumId w:val="0"/>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VhYjFmODgzYzM0NjExZTlhNzM0OTM0ZWZkMGMwZWYifQ=="/>
  </w:docVars>
  <w:rsids>
    <w:rsidRoot w:val="0049473D"/>
    <w:rsid w:val="00086775"/>
    <w:rsid w:val="00095CF4"/>
    <w:rsid w:val="001560FC"/>
    <w:rsid w:val="001E4E4F"/>
    <w:rsid w:val="00235577"/>
    <w:rsid w:val="00277DF4"/>
    <w:rsid w:val="00313192"/>
    <w:rsid w:val="0049473D"/>
    <w:rsid w:val="0063468F"/>
    <w:rsid w:val="00665627"/>
    <w:rsid w:val="00694311"/>
    <w:rsid w:val="006A6965"/>
    <w:rsid w:val="00795BD7"/>
    <w:rsid w:val="008116DC"/>
    <w:rsid w:val="008E5DE6"/>
    <w:rsid w:val="00A630A2"/>
    <w:rsid w:val="00A7691C"/>
    <w:rsid w:val="00B60C3F"/>
    <w:rsid w:val="00BE47C1"/>
    <w:rsid w:val="00C050D5"/>
    <w:rsid w:val="00C2676F"/>
    <w:rsid w:val="00CC06ED"/>
    <w:rsid w:val="00D340A9"/>
    <w:rsid w:val="00D50213"/>
    <w:rsid w:val="00D600AD"/>
    <w:rsid w:val="00D72133"/>
    <w:rsid w:val="00F04D31"/>
    <w:rsid w:val="00FA64E3"/>
    <w:rsid w:val="01997278"/>
    <w:rsid w:val="03A85275"/>
    <w:rsid w:val="0BEC21E8"/>
    <w:rsid w:val="0C232B32"/>
    <w:rsid w:val="11FC7A92"/>
    <w:rsid w:val="163C497F"/>
    <w:rsid w:val="17286BB6"/>
    <w:rsid w:val="1A855338"/>
    <w:rsid w:val="1C5B361A"/>
    <w:rsid w:val="1D5D625B"/>
    <w:rsid w:val="1F782133"/>
    <w:rsid w:val="2808776B"/>
    <w:rsid w:val="29D65A12"/>
    <w:rsid w:val="35A462B7"/>
    <w:rsid w:val="3BDE4C4B"/>
    <w:rsid w:val="3C4A5438"/>
    <w:rsid w:val="46602660"/>
    <w:rsid w:val="46D877F0"/>
    <w:rsid w:val="52F31A50"/>
    <w:rsid w:val="54DA15EA"/>
    <w:rsid w:val="55256FFB"/>
    <w:rsid w:val="55A918EF"/>
    <w:rsid w:val="56085C55"/>
    <w:rsid w:val="5AA83A16"/>
    <w:rsid w:val="5AE16F7B"/>
    <w:rsid w:val="5D842B6E"/>
    <w:rsid w:val="61FE37E8"/>
    <w:rsid w:val="63275FBA"/>
    <w:rsid w:val="633B05E6"/>
    <w:rsid w:val="65384151"/>
    <w:rsid w:val="655A1539"/>
    <w:rsid w:val="67FF10BD"/>
    <w:rsid w:val="6B3935C2"/>
    <w:rsid w:val="6B8E1675"/>
    <w:rsid w:val="6F63729F"/>
    <w:rsid w:val="74E640C8"/>
    <w:rsid w:val="7AF217A2"/>
    <w:rsid w:val="7C311D37"/>
    <w:rsid w:val="7D364493"/>
    <w:rsid w:val="7D8536B9"/>
    <w:rsid w:val="7F714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100" w:beforeAutospacing="1" w:after="100" w:afterAutospacing="1"/>
      <w:jc w:val="left"/>
    </w:pPr>
    <w:rPr>
      <w:kern w:val="0"/>
      <w:sz w:val="24"/>
    </w:rPr>
  </w:style>
  <w:style w:type="character" w:customStyle="1" w:styleId="7">
    <w:name w:val="页眉 Char"/>
    <w:link w:val="3"/>
    <w:qFormat/>
    <w:uiPriority w:val="0"/>
    <w:rPr>
      <w:rFonts w:ascii="Calibri" w:hAnsi="Calibri"/>
      <w:kern w:val="2"/>
      <w:sz w:val="18"/>
      <w:szCs w:val="18"/>
    </w:rPr>
  </w:style>
  <w:style w:type="character" w:customStyle="1" w:styleId="8">
    <w:name w:val="页脚 Char"/>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11</Pages>
  <Words>4657</Words>
  <Characters>4971</Characters>
  <Lines>35</Lines>
  <Paragraphs>10</Paragraphs>
  <TotalTime>8</TotalTime>
  <ScaleCrop>false</ScaleCrop>
  <LinksUpToDate>false</LinksUpToDate>
  <CharactersWithSpaces>4981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2022-04-24T04:35:00Z</dcterms:created>
  <dc:creator>Administrator</dc:creator>
  <cp:lastModifiedBy>byx</cp:lastModifiedBy>
  <dcterms:modified xsi:type="dcterms:W3CDTF">2023-04-23T09:58:29Z</dcterms:modified>
  <dc:title>蓝田县人民政府政务服务中心</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23B7D09EDA054DC19078CD499AA31906_12</vt:lpwstr>
  </property>
</Properties>
</file>