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heme="majorEastAsia" w:hAnsiTheme="majorEastAsia" w:eastAsiaTheme="majorEastAsia"/>
          <w:b/>
          <w:bCs/>
          <w:sz w:val="44"/>
          <w:szCs w:val="44"/>
        </w:rPr>
      </w:pPr>
      <w:bookmarkStart w:id="0" w:name="_GoBack"/>
      <w:r>
        <w:rPr>
          <w:rFonts w:hint="eastAsia" w:asciiTheme="majorEastAsia" w:hAnsiTheme="majorEastAsia" w:eastAsiaTheme="majorEastAsia"/>
          <w:b/>
          <w:bCs/>
          <w:sz w:val="44"/>
          <w:szCs w:val="44"/>
        </w:rPr>
        <w:t>中共蓝田县委组织部</w:t>
      </w:r>
    </w:p>
    <w:p>
      <w:pPr>
        <w:adjustRightInd w:val="0"/>
        <w:snapToGrid w:val="0"/>
        <w:jc w:val="center"/>
        <w:rPr>
          <w:rFonts w:asciiTheme="minorEastAsia" w:hAnsiTheme="minorEastAsia" w:eastAsiaTheme="minorEastAsia" w:cstheme="minorEastAsia"/>
          <w:b/>
          <w:bCs/>
          <w:sz w:val="32"/>
          <w:szCs w:val="32"/>
        </w:rPr>
      </w:pPr>
      <w:r>
        <w:rPr>
          <w:rFonts w:hint="eastAsia" w:asciiTheme="majorEastAsia" w:hAnsiTheme="majorEastAsia" w:eastAsiaTheme="majorEastAsia"/>
          <w:b/>
          <w:bCs/>
          <w:sz w:val="44"/>
          <w:szCs w:val="44"/>
        </w:rPr>
        <w:t>2019年部门综合预算说明</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一、部门主要职责及机构设置</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1、贯彻落实党的干部路线、方针、政策，制定或参与制定干部、人事工作的有关规定和干部人事制度改革建议方案；研究制定选拔、考核干部的规定和程序，加强对全县干部工作的管理。</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对县委管理的领导班子和领导干部进行考察，提出调整配备的意见和建议，抓好领导理论联系实际的思想建设；按照县委意见办理市管干部任免报批和向县人大推荐干部；办理县管干部的职务任免；承办干部调配事宜；负责对科级干部的宏观管理；负责县管干部的轮岗交流工作；负责出国（境）人员的政审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3、制定全县干部队伍建设的发展规划，负责后备干部队伍建设和培养选拔年轻干部的指导、管理工作。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贯彻落实党的组织工作的路线、方针和政策；对全县各级党的组织建设进行调查研究，提出意见、建议；研究制定加强党的组织建设的措施并进行宏观指导、督促检查；负责全县党员的管理、教育和发展工作；指导全县党员远程教育工作，抓好组织员队伍建设。</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5、组织制订全县干部培训规划和年度计划，并组织实施；对全县党政干部教育培训工作进行协调、督促、检查、指导；</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6、开展人才工作调研，向县委提出加强和改进人才工作的意见建议；指导全县知识分子工作，会同有关部门负责省、市管理的有突出贡献专家的选拔、推荐和管理工作。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7、指导、管理全县组织系统干部监督工作，参与拟订干部监督工作的政策规定，审理县委管理领导干部的有关问题。</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8、负责县委、人大、政协、法院、检察院、群众团体机关参照《中华人民共和国公务员法》管理工作；指导全县参照国家公务员管理工作。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9、负责离（退）休干部工作的宏观指导；做好县委管理干部的退休审批工作。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10、负责党员、干部的来信来访工作。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11、负责党员和干部的统计工作；负责县委管理干部的档案管理，并指导全县的干部档案管理工作。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12、指导全县组工干部开展工作，及时向县委、市委报告党的组织、干部工作的重要情况；负责全县组织史的收集、编撰、印刷、出版、发行工作。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13、完成上级和县委交办的其它工作。</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本部门设6个内设机构（办公室、干部科、组织科、干部教育科、干部监督科和县非公有制经济组织党建办公室)；下设事业单位为现代农村党员远程教育中心、县人才工作办公室。</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二、2019年年度部门工作任务</w:t>
      </w:r>
    </w:p>
    <w:p>
      <w:pPr>
        <w:widowControl/>
        <w:spacing w:line="360" w:lineRule="auto"/>
        <w:ind w:firstLine="640" w:firstLineChars="200"/>
        <w:jc w:val="left"/>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1、切实突出政治建设。一是持续抓好习近平新时代中国特色社会主义思想</w:t>
      </w:r>
      <w:r>
        <w:rPr>
          <w:rFonts w:hint="eastAsia" w:asciiTheme="minorEastAsia" w:hAnsiTheme="minorEastAsia" w:eastAsiaTheme="minorEastAsia" w:cstheme="minorEastAsia"/>
          <w:kern w:val="0"/>
          <w:sz w:val="32"/>
          <w:szCs w:val="32"/>
          <w:lang w:val="en-US" w:eastAsia="zh-CN"/>
        </w:rPr>
        <w:t>和党</w:t>
      </w:r>
      <w:r>
        <w:rPr>
          <w:rFonts w:hint="eastAsia" w:asciiTheme="minorEastAsia" w:hAnsiTheme="minorEastAsia" w:eastAsiaTheme="minorEastAsia" w:cstheme="minorEastAsia"/>
          <w:kern w:val="0"/>
          <w:sz w:val="32"/>
          <w:szCs w:val="32"/>
        </w:rPr>
        <w:t>的十九大精神教育培训，把延安精神、“西迁精神”、“当代愚公”徐余章精神作为必修课，抓好新任职领导干部“3+1”党性教育、新发展党员“五个一”党性教育，增强培训穿透力、感染力。二是把秦岭北麓违建整治作为生动深刻的政治纪律教育课，持续抓好各级党员干部纪律规矩教育，切实严明政治纪律政治规矩；在各级党组织和党员中全面开展“政治体检”，引导党员干部真正把思想和行动统一到中央的决策部署上来，切实增强“四个意识”，做到“两个坚决维护”。三是高质量谋划开展“不忘初心、牢记使命”主题教育，严格落实民主集中制、“三会一课”、民主生活会、领导干部双重组织生活会、谈心谈话、批评和自我批评等党内政治生活制度，坚持和完善新党员入党宣誓、重温入党誓词等政治仪式，推动党员干部将政治信仰融入情感之中、内心深处。</w:t>
      </w:r>
    </w:p>
    <w:p>
      <w:pPr>
        <w:widowControl/>
        <w:spacing w:line="360" w:lineRule="auto"/>
        <w:ind w:firstLine="640" w:firstLineChars="200"/>
        <w:jc w:val="left"/>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2、持续打造蓝田铁军。一是健全素质培养体系，制定出台《提升党员干部“八种本领”的实施意见》，发挥县镇党校、县内培训基地等作用，灵活干部教育培训方式方法，抓好干部能力素质提升。二是建立知事识人体系，落实“1+2+3+X”追赶超越机制，完善点评会、擂台赛及“五张报表”考核等载体，加强日常考核、分类考核、近距离考核，推进考人考事有机融合，科学精准识别干部。三是健全选拔任用体系，严格落实20字“好干部”标准，坚持事业为上、以事择人、人岗相适，坚持“五个调整”、“五个任用”，改进干部推荐考察方式，抓好干部选拔任用；根据机构改革需要，做好镇街、部门领导班子调整充实工作；突出加强年轻干部选拔培养，真正把政治过硬、实绩突出、群众公认的干部选出来、用起来。四是构筑从严管理体系，强化源头把关、过程把关和结果把关，把从严监督贯穿于选人用人全过程；强化常态化管理，管好关键人、管到关键处、管住关键事、管在关键时；持续加大作风建设力度，把作风建设抓在经常、严在日常。五是完善正向激励体系，认真贯彻落实《关于进一步激励广大干部新时代新担当新作为的意见》，完善干部考核评价机制，强化“三项机制”运用，激励各级干事担当作为、干事创业。</w:t>
      </w:r>
    </w:p>
    <w:p>
      <w:pPr>
        <w:widowControl/>
        <w:spacing w:line="360" w:lineRule="auto"/>
        <w:ind w:firstLine="640" w:firstLineChars="200"/>
        <w:jc w:val="left"/>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3、加强组织体系建设。一是落实“五个基本”要求,实施村党组织带头人整体优化行动和村级后备干部“千人培养计划”，开展各领域党支部书记轮训，加强第一书记选派管理，抓好发展党员工作，建强基本队伍；在各领域基层党组织开展“五星创建”活动，表彰一批“五星级”党组织，推广“互联网＋党建”“智慧党建”等做法，深化基本活动，全面提升各领域党建水平；发挥好县委党校、党员干部教育培训基地、书记论坛、乡约论坛、非公学院以及红色教育资源等党建阵地作用，抓好村级活动场所改善提升，巩固基本阵地。抓好党支部工作条例、党员教育管理工作条例等党内法规制度贯彻落实，严格党员教育管理监督，稳妥有序开展不合格党员处置工作，落实好基本制度；开展村级集体经济“清零”行动，用三年时间全面消灭“空壳村”，落实好村（社区）“两委”主要干部工薪激励和警示约束机制，建立村干部补贴和村级组织经费保障正常增长机制，强化基本保障。二是聚焦中心工作，推行“行动支部”工作法和“联村党委”模式，打造美丽党建示范村，持续开展软弱涣散党组织集中整顿，服务脱贫攻坚、生态环保、乡村振兴等中心工作、重点任务。三是聚焦基层治理，深入开展扫黑除恶专项斗争，深入开展扶贫领域腐败和作风问题专项治理，整治村霸、“蝇贪”、宗族恶势力，严查党员违纪违法行为；完善“村民说事”、四议两公开、党务村务财务公开、“三资”管理等制度，提升基层治理水平，净化基层政治生态。四坚持从严从实，完善基层党建工作考核办法，落实党建工作例会、月检查、季点评和积分排名、约谈问责等制度措施，推动党建工作落实。</w:t>
      </w:r>
    </w:p>
    <w:p>
      <w:pPr>
        <w:widowControl/>
        <w:spacing w:line="360" w:lineRule="auto"/>
        <w:ind w:firstLine="640" w:firstLineChars="200"/>
        <w:jc w:val="left"/>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4、着力强化人才支撑。一是制定高层次人才队伍建设“五年计划”，完善蓝田人才库，落实蓝田人才新政及其“升级版”优惠政策，注重挖掘培育乡土人才、本地人才，精准引进高层次紧缺型人才，壮大人才队伍规模，改善人才队伍结构。二是加大高层次人才工作室建设力度，建立一批创业街区、创客空间；推进产教融合、校地合作，引导支持高等院校来我县建立专家工作站和研发中心，继续做好“蓝田之星”“蓝田工匠”评选表彰。三要在全县知识分子中深入开展“弘扬爱国奉献精神、建功立业新时代”活动，增强政治认同；成立高层次人才联谊会，推行领导干部联系人才制度，县级领导每人联系2名以上高层次人才，为各类人才发挥聪明才智创造良好条件。</w:t>
      </w:r>
    </w:p>
    <w:p>
      <w:pPr>
        <w:widowControl/>
        <w:spacing w:line="360" w:lineRule="auto"/>
        <w:ind w:firstLine="640" w:firstLineChars="200"/>
        <w:jc w:val="left"/>
        <w:rPr>
          <w:rFonts w:asciiTheme="minorEastAsia" w:hAnsiTheme="minorEastAsia" w:eastAsiaTheme="minorEastAsia" w:cstheme="minorEastAsia"/>
          <w:sz w:val="32"/>
          <w:szCs w:val="32"/>
        </w:rPr>
      </w:pPr>
      <w:r>
        <w:rPr>
          <w:rFonts w:hint="eastAsia" w:asciiTheme="minorEastAsia" w:hAnsiTheme="minorEastAsia" w:eastAsiaTheme="minorEastAsia" w:cstheme="minorEastAsia"/>
          <w:kern w:val="0"/>
          <w:sz w:val="32"/>
          <w:szCs w:val="32"/>
        </w:rPr>
        <w:t>5、持续打造组工铁军队伍。一是带头开展“不忘初心、牢记使命”主题教育，分批开展教育培训，定期举办部机关“追赶超越”擂台赛，提升组工干部业务能力本领；二是持续深化党的建设制度改革工作，深入开展组织工作调查研究，切实抓好信息宣传等各项工作，全面提升组织工作水平；三是突出实践实干实效，强化组工干部队伍建设，积极培育践行“心要静、脑要动、腰要硬、行要正”优良部风，持之以恒建设“讲政治、重公道、业务精、作风好”模范部门，把组工干部打造成蓝田铁军排头兵。</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三、部门预算单位构成</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从预算单位构成看，本部门的部门预算包括部门本级（机关）预算和所属事业单位预算。</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纳入本部门2019年部门预算编制范围的</w:t>
      </w:r>
      <w:r>
        <w:rPr>
          <w:rFonts w:hint="eastAsia" w:asciiTheme="minorEastAsia" w:hAnsiTheme="minorEastAsia" w:eastAsiaTheme="minorEastAsia" w:cstheme="minorEastAsia"/>
          <w:sz w:val="32"/>
          <w:szCs w:val="32"/>
          <w:highlight w:val="none"/>
          <w:lang w:val="en-US" w:eastAsia="zh-CN"/>
        </w:rPr>
        <w:t>一</w:t>
      </w:r>
      <w:r>
        <w:rPr>
          <w:rFonts w:hint="eastAsia" w:asciiTheme="minorEastAsia" w:hAnsiTheme="minorEastAsia" w:eastAsiaTheme="minorEastAsia" w:cstheme="minorEastAsia"/>
          <w:sz w:val="32"/>
          <w:szCs w:val="32"/>
          <w:highlight w:val="none"/>
        </w:rPr>
        <w:t>级</w:t>
      </w:r>
      <w:r>
        <w:rPr>
          <w:rFonts w:hint="eastAsia" w:asciiTheme="minorEastAsia" w:hAnsiTheme="minorEastAsia" w:eastAsiaTheme="minorEastAsia" w:cstheme="minorEastAsia"/>
          <w:sz w:val="32"/>
          <w:szCs w:val="32"/>
        </w:rPr>
        <w:t>预算单位共有1个为中共蓝田县委组织部本级（机关）。</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6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9" w:type="dxa"/>
            <w:vAlign w:val="bottom"/>
          </w:tcPr>
          <w:p>
            <w:pPr>
              <w:numPr>
                <w:ilvl w:val="0"/>
                <w:numId w:val="0"/>
              </w:numPr>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序号</w:t>
            </w:r>
          </w:p>
        </w:tc>
        <w:tc>
          <w:tcPr>
            <w:tcW w:w="6803" w:type="dxa"/>
            <w:vAlign w:val="bottom"/>
          </w:tcPr>
          <w:p>
            <w:pPr>
              <w:numPr>
                <w:ilvl w:val="0"/>
                <w:numId w:val="0"/>
              </w:numPr>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9" w:type="dxa"/>
            <w:vAlign w:val="bottom"/>
          </w:tcPr>
          <w:p>
            <w:pPr>
              <w:numPr>
                <w:ilvl w:val="0"/>
                <w:numId w:val="0"/>
              </w:numPr>
              <w:adjustRightInd w:val="0"/>
              <w:snapToGrid w:val="0"/>
              <w:spacing w:line="240" w:lineRule="auto"/>
              <w:jc w:val="center"/>
              <w:rPr>
                <w:rFonts w:hint="eastAsia"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1</w:t>
            </w:r>
          </w:p>
        </w:tc>
        <w:tc>
          <w:tcPr>
            <w:tcW w:w="6803" w:type="dxa"/>
            <w:vAlign w:val="bottom"/>
          </w:tcPr>
          <w:p>
            <w:pPr>
              <w:numPr>
                <w:ilvl w:val="0"/>
                <w:numId w:val="0"/>
              </w:numPr>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中共蓝田县委组织部本级（机关）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9" w:type="dxa"/>
            <w:vAlign w:val="bottom"/>
          </w:tcPr>
          <w:p>
            <w:pPr>
              <w:numPr>
                <w:ilvl w:val="0"/>
                <w:numId w:val="0"/>
              </w:numPr>
              <w:adjustRightInd w:val="0"/>
              <w:snapToGrid w:val="0"/>
              <w:spacing w:line="240" w:lineRule="auto"/>
              <w:jc w:val="center"/>
              <w:rPr>
                <w:rFonts w:hint="eastAsia"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2</w:t>
            </w:r>
          </w:p>
        </w:tc>
        <w:tc>
          <w:tcPr>
            <w:tcW w:w="6803" w:type="dxa"/>
            <w:vAlign w:val="bottom"/>
          </w:tcPr>
          <w:p>
            <w:pPr>
              <w:numPr>
                <w:ilvl w:val="0"/>
                <w:numId w:val="0"/>
              </w:numPr>
              <w:tabs>
                <w:tab w:val="left" w:pos="2562"/>
              </w:tabs>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9" w:type="dxa"/>
            <w:vAlign w:val="bottom"/>
          </w:tcPr>
          <w:p>
            <w:pPr>
              <w:numPr>
                <w:ilvl w:val="0"/>
                <w:numId w:val="0"/>
              </w:numPr>
              <w:adjustRightInd w:val="0"/>
              <w:snapToGrid w:val="0"/>
              <w:spacing w:line="240" w:lineRule="auto"/>
              <w:jc w:val="center"/>
              <w:rPr>
                <w:rFonts w:hint="eastAsia"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3</w:t>
            </w:r>
          </w:p>
        </w:tc>
        <w:tc>
          <w:tcPr>
            <w:tcW w:w="6803" w:type="dxa"/>
            <w:vAlign w:val="bottom"/>
          </w:tcPr>
          <w:p>
            <w:pPr>
              <w:numPr>
                <w:ilvl w:val="0"/>
                <w:numId w:val="0"/>
              </w:numPr>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9" w:type="dxa"/>
            <w:vAlign w:val="bottom"/>
          </w:tcPr>
          <w:p>
            <w:pPr>
              <w:numPr>
                <w:ilvl w:val="0"/>
                <w:numId w:val="0"/>
              </w:numPr>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w:t>
            </w:r>
          </w:p>
        </w:tc>
        <w:tc>
          <w:tcPr>
            <w:tcW w:w="6803" w:type="dxa"/>
            <w:vAlign w:val="bottom"/>
          </w:tcPr>
          <w:p>
            <w:pPr>
              <w:numPr>
                <w:ilvl w:val="0"/>
                <w:numId w:val="0"/>
              </w:numPr>
              <w:adjustRightInd w:val="0"/>
              <w:snapToGrid w:val="0"/>
              <w:spacing w:line="240" w:lineRule="auto"/>
              <w:jc w:val="center"/>
              <w:rPr>
                <w:rFonts w:hint="default" w:asciiTheme="minorEastAsia" w:hAnsiTheme="minorEastAsia" w:eastAsiaTheme="minorEastAsia" w:cstheme="minorEastAsia"/>
                <w:sz w:val="32"/>
                <w:szCs w:val="32"/>
                <w:highlight w:val="none"/>
                <w:vertAlign w:val="baseline"/>
                <w:lang w:val="en-US" w:eastAsia="zh-CN"/>
              </w:rPr>
            </w:pPr>
            <w:r>
              <w:rPr>
                <w:rFonts w:hint="eastAsia" w:asciiTheme="minorEastAsia" w:hAnsiTheme="minorEastAsia" w:eastAsiaTheme="minorEastAsia" w:cstheme="minorEastAsia"/>
                <w:sz w:val="32"/>
                <w:szCs w:val="32"/>
                <w:highlight w:val="none"/>
                <w:vertAlign w:val="baseline"/>
                <w:lang w:val="en-US" w:eastAsia="zh-CN"/>
              </w:rPr>
              <w:t>......</w:t>
            </w:r>
          </w:p>
        </w:tc>
      </w:tr>
    </w:tbl>
    <w:p>
      <w:pPr>
        <w:adjustRightInd w:val="0"/>
        <w:snapToGrid w:val="0"/>
        <w:spacing w:line="360" w:lineRule="auto"/>
        <w:ind w:firstLine="643" w:firstLineChars="200"/>
        <w:rPr>
          <w:rFonts w:asciiTheme="minorEastAsia" w:hAnsiTheme="minorEastAsia" w:eastAsiaTheme="minorEastAsia" w:cstheme="minorEastAsia"/>
          <w:b/>
          <w:sz w:val="32"/>
          <w:szCs w:val="32"/>
        </w:rPr>
      </w:pP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县委组织部为独立预算部门，含下设事业单位蓝田县现代农村党员远程教育中心和蓝田县人才工作办公室预算，无下级预算单位，为全额财政拨款的行政单位。</w:t>
      </w:r>
    </w:p>
    <w:p>
      <w:pPr>
        <w:adjustRightInd w:val="0"/>
        <w:snapToGrid w:val="0"/>
        <w:spacing w:line="360" w:lineRule="auto"/>
        <w:ind w:firstLine="643"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b/>
          <w:sz w:val="32"/>
          <w:szCs w:val="32"/>
        </w:rPr>
        <w:t>四、部门人员情况说明</w:t>
      </w:r>
    </w:p>
    <w:p>
      <w:pPr>
        <w:adjustRightInd w:val="0"/>
        <w:snapToGrid w:val="0"/>
        <w:spacing w:line="360" w:lineRule="auto"/>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截止2018年底，本部门人员编制33人，其中行政编制24人、事业编制9人；实有人员28人，其中行政24人、事业4人。单位管理的离退休</w:t>
      </w:r>
      <w:r>
        <w:rPr>
          <w:rFonts w:hint="eastAsia" w:asciiTheme="minorEastAsia" w:hAnsiTheme="minorEastAsia" w:eastAsiaTheme="minorEastAsia" w:cstheme="minorEastAsia"/>
          <w:sz w:val="32"/>
          <w:szCs w:val="32"/>
          <w:highlight w:val="none"/>
          <w:lang w:val="en-US" w:eastAsia="zh-CN"/>
        </w:rPr>
        <w:t>正科级人员2人。</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（人员情况柱状图或饼状图）</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napToGrid w:val="0"/>
          <w:sz w:val="32"/>
          <w:szCs w:val="32"/>
        </w:rPr>
        <w:drawing>
          <wp:inline distT="0" distB="0" distL="0" distR="0">
            <wp:extent cx="4750435" cy="2696210"/>
            <wp:effectExtent l="4445" t="5080" r="7620" b="2286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五、部门国有资产占有使用及资产购置情况说明</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截止2018年底，本部门所属预算单位共有车辆0辆，本部门所属预算单位单价20万元以上的设备0台（套）；2019年部门预算安排购置车辆0辆；安排购置单价20万元以上的设备0台（套）。公车改革后无公务车辆预算。</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六、部门预算绩效目标说明</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2019年本部门实现了绩效目标管理全覆盖，涉及一般公共预算当年拨款555.13万元,无政府性基金预算当年拨款。</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无涉及扶贫项目的预算。</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七、2019年部门预算收支说明</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（一）收支预算总体情况。</w:t>
      </w:r>
    </w:p>
    <w:p>
      <w:pPr>
        <w:adjustRightInd w:val="0"/>
        <w:snapToGrid w:val="0"/>
        <w:spacing w:line="360" w:lineRule="auto"/>
        <w:ind w:left="210" w:leftChars="100"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本部门预算收入555.13万元，其中一般公共预算拨款收入555.13万元，政府性基金拨款收入0万元，2019年本部门预算收入较上年增加249.54万元，主要原因是人员增加及工资标准提升，工资福利支出增加44.68万元，离任村干部补助较上年标准提升多预算165.25万元，远程教育管理员补贴县配套资金较上年减少0.84万元，基本养老保险2018年度及以前由财政拨款，现由单位预算拨付增加33.26万元，商品和服务支出增加7.18万元为人员增加后公用经费和交通补贴增加；2019年本部门预算支出555.13万元，政府性基金拨款收入0万元，其中一般公共预算拨款支出555.13万元，2019年本部门预算支出较上年增加249.54万元，主要原因是人员增加及工资标准提升，工资福利支出增加44.68万元，离任村干部补助较上年标准提升多预算165.25万元，远程教育管理员补贴县配套资金较上年减少0.84万元，基本养老保险2018年度及以前由财政拨款，现由单位预算拨付增加33.26万元，商品和服务支出增加7.18万元为人员增加后公用经费和交通补贴增加。</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（二）财政拨款收支情况。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本部门财政拨款收入555.13万元，其中一般公共预算拨款收入555.13万元，2019年本部门财政拨款收入较上年增加249.54万元，主要原因是人员增加及工资标准提升，工资福利支出增加44.68万元，离任村干部补助较上年标准提升多预算165.25万元，远程教育管理员补贴县配套资金较上年减少0.84万元，基本养老保险2018年度及以前由财政拨款，现由单位预算拨付增加33.26万元，商品和服务支出增加7.18万元为人员增加后公用经费和交通补贴增加。2019年本部门财政拨款支出555.13万元，其中一般公共预算拨款支出555.13万元，2019年本部门财政拨款支出较上年增加249.54万元，主要原因是人员增加及工资标准提升，工资福利支出增加44.68万元，离任村干部补助较上年标准提升多预算165.25万元，远程教育管理员补贴县配套资金较上年减少0.84万元，基本养老保险2018年度及以前由财政拨款，现由单位预算拨付增加33.26万元，商品和服务支出增加7.18万元为人员增加后公用经费和交通补贴增加。</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（三）一般公共预算拨款支出明细情况。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1、一般公共预算当年拨款规模变化情况。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本部门一般公共预算拨款支出555.13万元，较上年增加249.54万元，主要原因是人员增加及工资标准提升，工资福利支出增加44.68万元，离任村干部补助较上年标准提升多预算165.25万元，远程教育管理员补贴县配套资金较上年减少0.84万元，基本养老保险2018年度及以前由财政拨款，现由单位预算拨付增加33.26万元，商品和服务支出增加7.18万元为人员增加后公用经费和交通补贴增加。</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2、支出按功能科目分类的明细情况。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本部门2019年一般公共预算支出555.13万元，其中：</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（1）行政运行（2013201）191.02万元，较上年增加45.08万元，原因是人员增加及工资标准提升，工资福利支出增加37.89万元，商品和服务支出增加7.18为人员增加后公用经费和交通补贴增加；</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（2）事业运行（2013250）27.76万元，较上年增加6.78万元，原因是工资标准提升；</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（3）一般行政管理事务（2013202）300万元，较上年增加165.25万元，原因是换届后离任村干部人员增加及标准提升；</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（4）其他组织事务（2013299）3.09万元，较上年减少0.84万元，原因是远程教育站点撤并管理人员减少；</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（5）机关事业单位基本养老保险缴费支出（2080505）33.26万元，较上年增加33.26万元，原因是2018年度及以前单位承担部分由财政直接拨付，现由单位预算拨付。</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w:t>
      </w:r>
      <w:r>
        <w:rPr>
          <w:rFonts w:hint="eastAsia" w:asciiTheme="minorEastAsia" w:hAnsiTheme="minorEastAsia" w:eastAsiaTheme="minorEastAsia" w:cstheme="minorEastAsia"/>
          <w:b/>
          <w:bCs/>
          <w:sz w:val="32"/>
          <w:szCs w:val="32"/>
        </w:rPr>
        <w:t>支出按经济科目分类的明细情况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w:t>
      </w:r>
      <w:r>
        <w:rPr>
          <w:rFonts w:hint="eastAsia" w:asciiTheme="minorEastAsia" w:hAnsiTheme="minorEastAsia" w:eastAsiaTheme="minorEastAsia" w:cstheme="minorEastAsia"/>
          <w:b/>
          <w:bCs/>
          <w:sz w:val="32"/>
          <w:szCs w:val="32"/>
        </w:rPr>
        <w:t>按照部门预算支出经济分类的类级科目说明</w:t>
      </w:r>
      <w:r>
        <w:rPr>
          <w:rFonts w:hint="eastAsia" w:asciiTheme="minorEastAsia" w:hAnsiTheme="minorEastAsia" w:eastAsiaTheme="minorEastAsia" w:cstheme="minorEastAsia"/>
          <w:sz w:val="32"/>
          <w:szCs w:val="32"/>
        </w:rPr>
        <w:t>：</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2019年本部门一般公共预算支出555.13万元，其中：</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工资福利支出（301）222.52万元，较上年增加77.94万元，原因是人员增加及工资标准提升基本工资增加44.68，2018年度及以前单位承担部分由财政直接拨付，现由单位预算拨付基本养老支出增加33.26万元；</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商品和服务支出（302）28.74万元，较上年增加7.18万元，原因是人员增加后公用经费和交通补贴增加；</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对个人和家庭的补助支出（303）303.87万元，较上年增加164.42万元，原因是离任村干部补助较上年标准提升多预算165.25万元，远程教育管理员补贴县配套资金较上年减少0.84万元；</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2018、2019年度均未有项目支出预算及比照。</w:t>
      </w:r>
    </w:p>
    <w:p>
      <w:pPr>
        <w:numPr>
          <w:ilvl w:val="0"/>
          <w:numId w:val="1"/>
        </w:num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按照政府预算支出经济分类的类级科目说明。</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2019年本部门一般公共预算支出555.13万元，其中：</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机关工资福利支出（501）191.64万元，较上年增加66.83万元，原因是人员增加工资标准提升增加37.89万元，2018年度及以前单位承担部分由财政直接拨付，现由单位预算拨付基本养老支出增加28.94万元；</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机关商品和服务支出（502）28.74万元，较上年增加7.18万元，原因是人员增加后公用经费和交通补贴增加；</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对事业单位经常性补助（505）30.88万元，较上年增加11.1万元，原因是工资标准提升增加6.78万元，2018年度及以前单位承担部分由财政直接拨付，现由单位预算拨付基本养老支出增加4.32万元；</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社会福利和救助（509）303.87万元，较上年增加164.42万元，原因是离任村干部补助较上年标准提升多预算165.25万元，远程教育管理员补贴县配套资金较上年减少0.84万元；</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（四）政府性基金预算支出情况。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本部门无政府性基金预算收支，并已公开空表。</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（五）国有资本经营预算拨款收支情况。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本部门无国有资本经营预算拨款收支。</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（六）“三公”经费等预算情况。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2018年和2019年，本部门无三公经费预算。</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2018年和2019年，本部门无培训和会议费用经费预算。原因为压减经费开支。</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（七）机关运行经费安排情况。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本部门2019年机关运行经费预算安排28.74万元，较上年增加7.18万元，主要原因是人员增加后公用经费和交通补贴增加。</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（八）政府采购情况。</w:t>
      </w:r>
    </w:p>
    <w:p>
      <w:pPr>
        <w:adjustRightInd w:val="0"/>
        <w:snapToGrid w:val="0"/>
        <w:spacing w:line="360" w:lineRule="auto"/>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本部门2019年无政府采购预算，并已公开空表。</w:t>
      </w:r>
    </w:p>
    <w:p>
      <w:pPr>
        <w:adjustRightInd w:val="0"/>
        <w:snapToGrid w:val="0"/>
        <w:spacing w:line="360" w:lineRule="auto"/>
        <w:ind w:firstLine="643" w:firstLineChars="2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八、专业名词解释</w:t>
      </w:r>
    </w:p>
    <w:p>
      <w:pPr>
        <w:adjustRightInd w:val="0"/>
        <w:snapToGrid w:val="0"/>
        <w:spacing w:line="360" w:lineRule="auto"/>
        <w:ind w:firstLine="640" w:firstLineChars="200"/>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1、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pPr>
        <w:adjustRightInd w:val="0"/>
        <w:snapToGrid w:val="0"/>
        <w:spacing w:line="360" w:lineRule="auto"/>
        <w:ind w:firstLine="640" w:firstLineChars="200"/>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2、基本支出：指为保障机构正常运转、完成日常工作任务而发生的各项支出。</w:t>
      </w:r>
    </w:p>
    <w:p>
      <w:pPr>
        <w:adjustRightInd w:val="0"/>
        <w:snapToGrid w:val="0"/>
        <w:spacing w:line="360" w:lineRule="auto"/>
        <w:ind w:firstLine="640" w:firstLineChars="200"/>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3、项目支出：指单位为完成特定的行政工作任务或事业发展目标所发生的各项支出。</w:t>
      </w:r>
    </w:p>
    <w:p>
      <w:pPr>
        <w:adjustRightInd w:val="0"/>
        <w:snapToGrid w:val="0"/>
        <w:spacing w:line="360" w:lineRule="auto"/>
        <w:ind w:firstLine="640" w:firstLineChars="200"/>
        <w:rPr>
          <w:rFonts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4、“三公”经费：指部门使用一般公共预算财政拨款安排的因公出国（境）费、公务用车购置及运行费和公务接待费支出</w:t>
      </w:r>
    </w:p>
    <w:p>
      <w:pPr>
        <w:adjustRightInd w:val="0"/>
        <w:snapToGrid w:val="0"/>
        <w:spacing w:line="360" w:lineRule="auto"/>
        <w:rPr>
          <w:rFonts w:ascii="仿宋" w:hAnsi="仿宋" w:eastAsia="仿宋" w:cs="宋体"/>
          <w:kern w:val="0"/>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879778"/>
    <w:multiLevelType w:val="singleLevel"/>
    <w:tmpl w:val="F487977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0ZTNhMWUzMDM3YWFjNjBlMmU0ODc5MWI4Njc1NTcifQ=="/>
  </w:docVars>
  <w:rsids>
    <w:rsidRoot w:val="00EA26C9"/>
    <w:rsid w:val="00012A28"/>
    <w:rsid w:val="000845A6"/>
    <w:rsid w:val="000B41FB"/>
    <w:rsid w:val="000C63DD"/>
    <w:rsid w:val="00132F82"/>
    <w:rsid w:val="001331A0"/>
    <w:rsid w:val="00142A43"/>
    <w:rsid w:val="00143DFF"/>
    <w:rsid w:val="001D252F"/>
    <w:rsid w:val="002930B6"/>
    <w:rsid w:val="002C6156"/>
    <w:rsid w:val="00596604"/>
    <w:rsid w:val="005B403B"/>
    <w:rsid w:val="005C3359"/>
    <w:rsid w:val="006540DF"/>
    <w:rsid w:val="0065711B"/>
    <w:rsid w:val="00685367"/>
    <w:rsid w:val="006A1394"/>
    <w:rsid w:val="006C2C11"/>
    <w:rsid w:val="00737A90"/>
    <w:rsid w:val="00795579"/>
    <w:rsid w:val="007C466C"/>
    <w:rsid w:val="007E0311"/>
    <w:rsid w:val="009866D9"/>
    <w:rsid w:val="00A07175"/>
    <w:rsid w:val="00A34D12"/>
    <w:rsid w:val="00AD079D"/>
    <w:rsid w:val="00AD4D72"/>
    <w:rsid w:val="00AF6FC3"/>
    <w:rsid w:val="00B92954"/>
    <w:rsid w:val="00C063BC"/>
    <w:rsid w:val="00C125E2"/>
    <w:rsid w:val="00C3111D"/>
    <w:rsid w:val="00C65597"/>
    <w:rsid w:val="00C72477"/>
    <w:rsid w:val="00C77D7A"/>
    <w:rsid w:val="00CD5673"/>
    <w:rsid w:val="00D6008B"/>
    <w:rsid w:val="00D743AD"/>
    <w:rsid w:val="00D92023"/>
    <w:rsid w:val="00DA36E9"/>
    <w:rsid w:val="00E51D13"/>
    <w:rsid w:val="00EA26C9"/>
    <w:rsid w:val="00EA37B7"/>
    <w:rsid w:val="00F4795E"/>
    <w:rsid w:val="02421DE4"/>
    <w:rsid w:val="02FB4AA6"/>
    <w:rsid w:val="0927247C"/>
    <w:rsid w:val="0D88174D"/>
    <w:rsid w:val="16460166"/>
    <w:rsid w:val="1E1E5AB5"/>
    <w:rsid w:val="1F9F370C"/>
    <w:rsid w:val="1FA66E3A"/>
    <w:rsid w:val="21915D9A"/>
    <w:rsid w:val="250336FF"/>
    <w:rsid w:val="2F4721F8"/>
    <w:rsid w:val="304E73D3"/>
    <w:rsid w:val="33FF1389"/>
    <w:rsid w:val="423A7FBD"/>
    <w:rsid w:val="465E156A"/>
    <w:rsid w:val="4C4536E4"/>
    <w:rsid w:val="51CC0B2F"/>
    <w:rsid w:val="51FA7A84"/>
    <w:rsid w:val="5E3E52BB"/>
    <w:rsid w:val="6A3D7046"/>
    <w:rsid w:val="6F202009"/>
    <w:rsid w:val="7A0D0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Char"/>
    <w:basedOn w:val="7"/>
    <w:link w:val="2"/>
    <w:semiHidden/>
    <w:qFormat/>
    <w:uiPriority w:val="99"/>
    <w:rPr>
      <w:rFonts w:ascii="Times New Roman" w:hAnsi="Times New Roman" w:eastAsia="宋体" w:cs="Times New Roman"/>
      <w:snapToGrid/>
      <w:sz w:val="18"/>
      <w:szCs w:val="18"/>
    </w:rPr>
  </w:style>
  <w:style w:type="character" w:customStyle="1" w:styleId="9">
    <w:name w:val="页眉 Char"/>
    <w:basedOn w:val="7"/>
    <w:link w:val="4"/>
    <w:qFormat/>
    <w:uiPriority w:val="99"/>
    <w:rPr>
      <w:rFonts w:ascii="Times New Roman" w:hAnsi="Times New Roman" w:eastAsia="宋体" w:cs="Times New Roman"/>
      <w:snapToGrid/>
      <w:sz w:val="18"/>
      <w:szCs w:val="18"/>
    </w:rPr>
  </w:style>
  <w:style w:type="character" w:customStyle="1" w:styleId="10">
    <w:name w:val="页脚 Char"/>
    <w:basedOn w:val="7"/>
    <w:link w:val="3"/>
    <w:qFormat/>
    <w:uiPriority w:val="99"/>
    <w:rPr>
      <w:rFonts w:ascii="Times New Roman" w:hAnsi="Times New Roman" w:eastAsia="宋体" w:cs="Times New Roman"/>
      <w:snapToGrid/>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34"/>
    </mc:Choice>
    <mc:Fallback>
      <c:style val="34"/>
    </mc:Fallback>
  </mc:AlternateContent>
  <c:chart>
    <c:autoTitleDeleted val="1"/>
    <c:plotArea>
      <c:layout/>
      <c:barChart>
        <c:barDir val="col"/>
        <c:grouping val="clustered"/>
        <c:varyColors val="0"/>
        <c:ser>
          <c:idx val="0"/>
          <c:order val="0"/>
          <c:tx>
            <c:strRef>
              <c:f>Sheet1!$B$1</c:f>
              <c:strCache>
                <c:ptCount val="1"/>
                <c:pt idx="0">
                  <c:v>编制数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Sheet1!$B$2:$B$13</c:f>
              <c:numCache>
                <c:formatCode>General</c:formatCode>
                <c:ptCount val="12"/>
                <c:pt idx="0">
                  <c:v>33</c:v>
                </c:pt>
                <c:pt idx="1">
                  <c:v>33</c:v>
                </c:pt>
                <c:pt idx="2">
                  <c:v>33</c:v>
                </c:pt>
                <c:pt idx="3">
                  <c:v>33</c:v>
                </c:pt>
                <c:pt idx="4">
                  <c:v>33</c:v>
                </c:pt>
                <c:pt idx="5">
                  <c:v>33</c:v>
                </c:pt>
                <c:pt idx="6">
                  <c:v>33</c:v>
                </c:pt>
                <c:pt idx="7">
                  <c:v>33</c:v>
                </c:pt>
                <c:pt idx="8">
                  <c:v>33</c:v>
                </c:pt>
                <c:pt idx="9">
                  <c:v>33</c:v>
                </c:pt>
                <c:pt idx="10">
                  <c:v>33</c:v>
                </c:pt>
                <c:pt idx="11">
                  <c:v>33</c:v>
                </c:pt>
              </c:numCache>
            </c:numRef>
          </c:val>
        </c:ser>
        <c:ser>
          <c:idx val="1"/>
          <c:order val="1"/>
          <c:tx>
            <c:strRef>
              <c:f>Sheet1!$C$1</c:f>
              <c:strCache>
                <c:ptCount val="1"/>
                <c:pt idx="0">
                  <c:v>行政编制数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Sheet1!$C$2:$C$13</c:f>
              <c:numCache>
                <c:formatCode>General</c:formatCode>
                <c:ptCount val="12"/>
                <c:pt idx="0">
                  <c:v>24</c:v>
                </c:pt>
                <c:pt idx="1">
                  <c:v>24</c:v>
                </c:pt>
                <c:pt idx="2">
                  <c:v>24</c:v>
                </c:pt>
                <c:pt idx="3">
                  <c:v>24</c:v>
                </c:pt>
                <c:pt idx="4">
                  <c:v>24</c:v>
                </c:pt>
                <c:pt idx="5">
                  <c:v>24</c:v>
                </c:pt>
                <c:pt idx="6">
                  <c:v>24</c:v>
                </c:pt>
                <c:pt idx="7">
                  <c:v>24</c:v>
                </c:pt>
                <c:pt idx="8">
                  <c:v>24</c:v>
                </c:pt>
                <c:pt idx="9">
                  <c:v>24</c:v>
                </c:pt>
                <c:pt idx="10">
                  <c:v>24</c:v>
                </c:pt>
                <c:pt idx="11">
                  <c:v>24</c:v>
                </c:pt>
              </c:numCache>
            </c:numRef>
          </c:val>
        </c:ser>
        <c:ser>
          <c:idx val="2"/>
          <c:order val="2"/>
          <c:tx>
            <c:strRef>
              <c:f>Sheet1!$D$1</c:f>
              <c:strCache>
                <c:ptCount val="1"/>
                <c:pt idx="0">
                  <c:v>事业编制数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Sheet1!$D$2:$D$13</c:f>
              <c:numCache>
                <c:formatCode>General</c:formatCode>
                <c:ptCount val="12"/>
                <c:pt idx="0">
                  <c:v>9</c:v>
                </c:pt>
                <c:pt idx="1">
                  <c:v>9</c:v>
                </c:pt>
                <c:pt idx="2">
                  <c:v>9</c:v>
                </c:pt>
                <c:pt idx="3">
                  <c:v>9</c:v>
                </c:pt>
                <c:pt idx="4">
                  <c:v>9</c:v>
                </c:pt>
                <c:pt idx="5">
                  <c:v>9</c:v>
                </c:pt>
                <c:pt idx="6">
                  <c:v>9</c:v>
                </c:pt>
                <c:pt idx="7">
                  <c:v>9</c:v>
                </c:pt>
                <c:pt idx="8">
                  <c:v>9</c:v>
                </c:pt>
                <c:pt idx="9">
                  <c:v>9</c:v>
                </c:pt>
                <c:pt idx="10">
                  <c:v>9</c:v>
                </c:pt>
                <c:pt idx="11">
                  <c:v>9</c:v>
                </c:pt>
              </c:numCache>
            </c:numRef>
          </c:val>
        </c:ser>
        <c:ser>
          <c:idx val="3"/>
          <c:order val="3"/>
          <c:tx>
            <c:strRef>
              <c:f>Sheet1!$E$1</c:f>
              <c:strCache>
                <c:ptCount val="1"/>
                <c:pt idx="0">
                  <c:v>实有人员</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Sheet1!$E$2:$E$13</c:f>
              <c:numCache>
                <c:formatCode>General</c:formatCode>
                <c:ptCount val="12"/>
                <c:pt idx="0">
                  <c:v>22</c:v>
                </c:pt>
                <c:pt idx="1">
                  <c:v>22</c:v>
                </c:pt>
                <c:pt idx="2">
                  <c:v>22</c:v>
                </c:pt>
                <c:pt idx="3">
                  <c:v>22</c:v>
                </c:pt>
                <c:pt idx="4">
                  <c:v>22</c:v>
                </c:pt>
                <c:pt idx="5">
                  <c:v>22</c:v>
                </c:pt>
                <c:pt idx="6">
                  <c:v>22</c:v>
                </c:pt>
                <c:pt idx="7">
                  <c:v>22</c:v>
                </c:pt>
                <c:pt idx="8">
                  <c:v>25</c:v>
                </c:pt>
                <c:pt idx="9">
                  <c:v>25</c:v>
                </c:pt>
                <c:pt idx="10">
                  <c:v>25</c:v>
                </c:pt>
                <c:pt idx="11">
                  <c:v>24</c:v>
                </c:pt>
              </c:numCache>
            </c:numRef>
          </c:val>
        </c:ser>
        <c:ser>
          <c:idx val="4"/>
          <c:order val="4"/>
          <c:tx>
            <c:strRef>
              <c:f>Sheet1!$F$1</c:f>
              <c:strCache>
                <c:ptCount val="1"/>
                <c:pt idx="0">
                  <c:v>行政人员</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Sheet1!$F$2:$F$13</c:f>
              <c:numCache>
                <c:formatCode>General</c:formatCode>
                <c:ptCount val="12"/>
              </c:numCache>
            </c:numRef>
          </c:val>
        </c:ser>
        <c:ser>
          <c:idx val="5"/>
          <c:order val="5"/>
          <c:tx>
            <c:strRef>
              <c:f>Sheet1!$G$1</c:f>
              <c:strCache>
                <c:ptCount val="1"/>
                <c:pt idx="0">
                  <c:v>事业人员</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Sheet1!$G$2:$G$13</c:f>
              <c:numCache>
                <c:formatCode>General</c:formatCode>
                <c:ptCount val="12"/>
                <c:pt idx="0">
                  <c:v>4</c:v>
                </c:pt>
                <c:pt idx="1">
                  <c:v>4</c:v>
                </c:pt>
                <c:pt idx="2">
                  <c:v>4</c:v>
                </c:pt>
                <c:pt idx="3">
                  <c:v>4</c:v>
                </c:pt>
                <c:pt idx="4">
                  <c:v>4</c:v>
                </c:pt>
                <c:pt idx="5">
                  <c:v>4</c:v>
                </c:pt>
                <c:pt idx="6">
                  <c:v>4</c:v>
                </c:pt>
                <c:pt idx="7">
                  <c:v>4</c:v>
                </c:pt>
                <c:pt idx="8">
                  <c:v>4</c:v>
                </c:pt>
                <c:pt idx="9">
                  <c:v>4</c:v>
                </c:pt>
                <c:pt idx="10">
                  <c:v>4</c:v>
                </c:pt>
                <c:pt idx="11">
                  <c:v>4</c:v>
                </c:pt>
              </c:numCache>
            </c:numRef>
          </c:val>
        </c:ser>
        <c:ser>
          <c:idx val="6"/>
          <c:order val="6"/>
          <c:tx>
            <c:strRef>
              <c:f>"离退休人员"</c:f>
              <c:strCache>
                <c:ptCount val="1"/>
                <c:pt idx="0">
                  <c:v>离退休人员</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Sheet1!$A$2:$A$13</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{1}</c:f>
              <c:numCache>
                <c:formatCode>General</c:formatCode>
                <c:ptCount val="1"/>
                <c:pt idx="0">
                  <c:v>1</c:v>
                </c:pt>
              </c:numCache>
            </c:numRef>
          </c:val>
        </c:ser>
        <c:dLbls>
          <c:showLegendKey val="0"/>
          <c:showVal val="1"/>
          <c:showCatName val="0"/>
          <c:showSerName val="0"/>
          <c:showPercent val="0"/>
          <c:showBubbleSize val="0"/>
        </c:dLbls>
        <c:gapWidth val="150"/>
        <c:axId val="688330240"/>
        <c:axId val="173445056"/>
      </c:barChart>
      <c:catAx>
        <c:axId val="6883302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173445056"/>
        <c:crosses val="autoZero"/>
        <c:auto val="1"/>
        <c:lblAlgn val="ctr"/>
        <c:lblOffset val="100"/>
        <c:noMultiLvlLbl val="0"/>
      </c:catAx>
      <c:valAx>
        <c:axId val="1734450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688330240"/>
        <c:crosses val="autoZero"/>
        <c:crossBetween val="between"/>
      </c:valAx>
      <c:spPr>
        <a:solidFill>
          <a:schemeClr val="dk1">
            <a:tint val="20000"/>
          </a:schemeClr>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微软用户</Company>
  <Pages>13</Pages>
  <Words>5815</Words>
  <Characters>6342</Characters>
  <Lines>45</Lines>
  <Paragraphs>12</Paragraphs>
  <TotalTime>20</TotalTime>
  <ScaleCrop>false</ScaleCrop>
  <LinksUpToDate>false</LinksUpToDate>
  <CharactersWithSpaces>6342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2019-02-14T03:37:00Z</dcterms:created>
  <dc:creator>微软用户</dc:creator>
  <cp:lastModifiedBy>hxy</cp:lastModifiedBy>
  <dcterms:modified xsi:type="dcterms:W3CDTF">2023-05-06T08:33:54Z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50DB08F2A22345D9B470AB559BB20E0F_13</vt:lpwstr>
  </property>
</Properties>
</file>