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1"/>
        <w:tabs>
          <w:tab w:val="left" w:pos="673"/>
          <w:tab w:val="right" w:leader="middleDot" w:pos="20291"/>
        </w:tabs>
        <w:spacing w:before="240" w:beforeLines="100" w:after="240" w:afterLines="100" w:line="560" w:lineRule="exact"/>
        <w:ind w:left="0" w:firstLine="0"/>
        <w:jc w:val="center"/>
        <w:outlineLvl w:val="0"/>
        <w:rPr>
          <w:rFonts w:hint="eastAsia" w:ascii="方正小标宋_GBK" w:hAnsi="方正小标宋_GBK" w:eastAsia="方正小标宋_GBK" w:cs="方正小标宋_GBK"/>
          <w:b w:val="0"/>
          <w:bCs w:val="0"/>
          <w:color w:val="2B2B2B"/>
          <w:sz w:val="44"/>
          <w:szCs w:val="44"/>
          <w:lang w:val="en-US" w:bidi="ar"/>
        </w:rPr>
      </w:pPr>
      <w:bookmarkStart w:id="0" w:name="_Toc32619"/>
      <w:r>
        <w:rPr>
          <w:rFonts w:hint="eastAsia" w:ascii="方正小标宋_GBK" w:hAnsi="方正小标宋_GBK" w:eastAsia="方正小标宋_GBK" w:cs="方正小标宋_GBK"/>
          <w:b w:val="0"/>
          <w:bCs w:val="0"/>
          <w:color w:val="2B2B2B"/>
          <w:sz w:val="44"/>
          <w:szCs w:val="44"/>
          <w:lang w:bidi="ar"/>
        </w:rPr>
        <w:t>二十</w:t>
      </w:r>
      <w:r>
        <w:rPr>
          <w:rFonts w:hint="eastAsia" w:ascii="方正小标宋_GBK" w:hAnsi="方正小标宋_GBK" w:eastAsia="方正小标宋_GBK" w:cs="方正小标宋_GBK"/>
          <w:b w:val="0"/>
          <w:bCs w:val="0"/>
          <w:color w:val="2B2B2B"/>
          <w:sz w:val="44"/>
          <w:szCs w:val="44"/>
          <w:lang w:val="en-US" w:eastAsia="zh-CN" w:bidi="ar"/>
        </w:rPr>
        <w:t>九</w:t>
      </w:r>
      <w:r>
        <w:rPr>
          <w:rFonts w:hint="eastAsia" w:ascii="方正小标宋_GBK" w:hAnsi="方正小标宋_GBK" w:eastAsia="方正小标宋_GBK" w:cs="方正小标宋_GBK"/>
          <w:b w:val="0"/>
          <w:bCs w:val="0"/>
          <w:color w:val="2B2B2B"/>
          <w:sz w:val="44"/>
          <w:szCs w:val="44"/>
          <w:lang w:bidi="ar"/>
        </w:rPr>
        <w:t>、</w:t>
      </w:r>
      <w:r>
        <w:rPr>
          <w:rFonts w:hint="eastAsia" w:ascii="方正小标宋_GBK" w:hAnsi="方正小标宋_GBK" w:eastAsia="方正小标宋_GBK" w:cs="方正小标宋_GBK"/>
          <w:b w:val="0"/>
          <w:bCs w:val="0"/>
          <w:color w:val="2B2B2B"/>
          <w:sz w:val="44"/>
          <w:szCs w:val="44"/>
          <w:lang w:val="en-US" w:eastAsia="zh-CN" w:bidi="ar"/>
        </w:rPr>
        <w:t>蓝关街道</w:t>
      </w:r>
      <w:r>
        <w:rPr>
          <w:rFonts w:hint="eastAsia" w:ascii="方正小标宋_GBK" w:hAnsi="方正小标宋_GBK" w:eastAsia="方正小标宋_GBK" w:cs="方正小标宋_GBK"/>
          <w:b w:val="0"/>
          <w:bCs w:val="0"/>
          <w:color w:val="2B2B2B"/>
          <w:sz w:val="44"/>
          <w:szCs w:val="44"/>
          <w:lang w:val="en-US" w:bidi="ar"/>
        </w:rPr>
        <w:t>统计领域基层政务公开标准目录</w:t>
      </w:r>
      <w:bookmarkEnd w:id="0"/>
    </w:p>
    <w:tbl>
      <w:tblPr>
        <w:tblStyle w:val="9"/>
        <w:tblW w:w="15611"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340"/>
        <w:gridCol w:w="1191"/>
        <w:gridCol w:w="1191"/>
        <w:gridCol w:w="2373"/>
        <w:gridCol w:w="3297"/>
        <w:gridCol w:w="1191"/>
        <w:gridCol w:w="1191"/>
        <w:gridCol w:w="1191"/>
        <w:gridCol w:w="542"/>
        <w:gridCol w:w="657"/>
        <w:gridCol w:w="426"/>
        <w:gridCol w:w="773"/>
        <w:gridCol w:w="426"/>
        <w:gridCol w:w="82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40" w:hRule="atLeast"/>
          <w:jc w:val="center"/>
        </w:trPr>
        <w:tc>
          <w:tcPr>
            <w:tcW w:w="340" w:type="dxa"/>
            <w:vMerge w:val="restart"/>
            <w:shd w:val="clear" w:color="auto" w:fill="auto"/>
            <w:vAlign w:val="center"/>
          </w:tcPr>
          <w:p>
            <w:pPr>
              <w:pStyle w:val="8"/>
              <w:widowControl/>
              <w:spacing w:line="320" w:lineRule="exact"/>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2382" w:type="dxa"/>
            <w:gridSpan w:val="2"/>
            <w:shd w:val="clear" w:color="auto" w:fill="auto"/>
            <w:vAlign w:val="center"/>
          </w:tcPr>
          <w:p>
            <w:pPr>
              <w:pStyle w:val="8"/>
              <w:widowControl/>
              <w:spacing w:line="320" w:lineRule="exact"/>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公开事项</w:t>
            </w:r>
          </w:p>
        </w:tc>
        <w:tc>
          <w:tcPr>
            <w:tcW w:w="2373" w:type="dxa"/>
            <w:vMerge w:val="restart"/>
            <w:shd w:val="clear" w:color="auto" w:fill="auto"/>
            <w:vAlign w:val="center"/>
          </w:tcPr>
          <w:p>
            <w:pPr>
              <w:pStyle w:val="8"/>
              <w:widowControl/>
              <w:spacing w:line="320" w:lineRule="exact"/>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公开内容</w:t>
            </w:r>
          </w:p>
        </w:tc>
        <w:tc>
          <w:tcPr>
            <w:tcW w:w="3297" w:type="dxa"/>
            <w:vMerge w:val="restart"/>
            <w:shd w:val="clear" w:color="auto" w:fill="auto"/>
            <w:vAlign w:val="center"/>
          </w:tcPr>
          <w:p>
            <w:pPr>
              <w:pStyle w:val="8"/>
              <w:widowControl/>
              <w:spacing w:line="320" w:lineRule="exact"/>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公开依据</w:t>
            </w:r>
          </w:p>
        </w:tc>
        <w:tc>
          <w:tcPr>
            <w:tcW w:w="1191" w:type="dxa"/>
            <w:vMerge w:val="restart"/>
            <w:shd w:val="clear" w:color="auto" w:fill="auto"/>
            <w:vAlign w:val="center"/>
          </w:tcPr>
          <w:p>
            <w:pPr>
              <w:pStyle w:val="8"/>
              <w:widowControl/>
              <w:spacing w:line="320" w:lineRule="exact"/>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公开时限</w:t>
            </w:r>
          </w:p>
        </w:tc>
        <w:tc>
          <w:tcPr>
            <w:tcW w:w="1191" w:type="dxa"/>
            <w:vMerge w:val="restart"/>
            <w:shd w:val="clear" w:color="auto" w:fill="auto"/>
            <w:vAlign w:val="center"/>
          </w:tcPr>
          <w:p>
            <w:pPr>
              <w:pStyle w:val="8"/>
              <w:widowControl/>
              <w:spacing w:line="320" w:lineRule="exact"/>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公开主体</w:t>
            </w:r>
          </w:p>
        </w:tc>
        <w:tc>
          <w:tcPr>
            <w:tcW w:w="1191" w:type="dxa"/>
            <w:vMerge w:val="restart"/>
            <w:shd w:val="clear" w:color="auto" w:fill="auto"/>
            <w:vAlign w:val="center"/>
          </w:tcPr>
          <w:p>
            <w:pPr>
              <w:pStyle w:val="8"/>
              <w:widowControl/>
              <w:spacing w:line="320" w:lineRule="exact"/>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公开渠道和载体</w:t>
            </w:r>
          </w:p>
        </w:tc>
        <w:tc>
          <w:tcPr>
            <w:tcW w:w="1199" w:type="dxa"/>
            <w:gridSpan w:val="2"/>
            <w:shd w:val="clear" w:color="auto" w:fill="auto"/>
            <w:vAlign w:val="center"/>
          </w:tcPr>
          <w:p>
            <w:pPr>
              <w:pStyle w:val="8"/>
              <w:widowControl/>
              <w:spacing w:line="320" w:lineRule="exact"/>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公开对象</w:t>
            </w:r>
          </w:p>
        </w:tc>
        <w:tc>
          <w:tcPr>
            <w:tcW w:w="1199" w:type="dxa"/>
            <w:gridSpan w:val="2"/>
            <w:shd w:val="clear" w:color="auto" w:fill="auto"/>
            <w:vAlign w:val="center"/>
          </w:tcPr>
          <w:p>
            <w:pPr>
              <w:pStyle w:val="8"/>
              <w:widowControl/>
              <w:spacing w:line="320" w:lineRule="exact"/>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公开方式</w:t>
            </w:r>
          </w:p>
        </w:tc>
        <w:tc>
          <w:tcPr>
            <w:tcW w:w="1248" w:type="dxa"/>
            <w:gridSpan w:val="2"/>
            <w:shd w:val="clear" w:color="auto" w:fill="auto"/>
            <w:vAlign w:val="center"/>
          </w:tcPr>
          <w:p>
            <w:pPr>
              <w:pStyle w:val="8"/>
              <w:widowControl/>
              <w:spacing w:line="320" w:lineRule="exact"/>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020" w:hRule="atLeast"/>
          <w:jc w:val="center"/>
        </w:trPr>
        <w:tc>
          <w:tcPr>
            <w:tcW w:w="340" w:type="dxa"/>
            <w:vMerge w:val="continue"/>
            <w:shd w:val="clear" w:color="auto" w:fill="auto"/>
            <w:vAlign w:val="center"/>
          </w:tcPr>
          <w:p>
            <w:pPr>
              <w:spacing w:line="320" w:lineRule="exact"/>
              <w:jc w:val="center"/>
              <w:rPr>
                <w:rFonts w:ascii="仿宋_GB2312" w:hAnsi="仿宋_GB2312" w:eastAsia="仿宋_GB2312" w:cs="仿宋_GB2312"/>
                <w:b/>
                <w:bCs/>
                <w:color w:val="2B2B2B"/>
                <w:sz w:val="24"/>
                <w:szCs w:val="24"/>
              </w:rPr>
            </w:pPr>
          </w:p>
        </w:tc>
        <w:tc>
          <w:tcPr>
            <w:tcW w:w="1191" w:type="dxa"/>
            <w:shd w:val="clear" w:color="auto" w:fill="auto"/>
            <w:vAlign w:val="center"/>
          </w:tcPr>
          <w:p>
            <w:pPr>
              <w:pStyle w:val="8"/>
              <w:widowControl/>
              <w:spacing w:line="320" w:lineRule="exact"/>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一级事项</w:t>
            </w:r>
          </w:p>
        </w:tc>
        <w:tc>
          <w:tcPr>
            <w:tcW w:w="1191" w:type="dxa"/>
            <w:shd w:val="clear" w:color="auto" w:fill="auto"/>
            <w:vAlign w:val="center"/>
          </w:tcPr>
          <w:p>
            <w:pPr>
              <w:pStyle w:val="8"/>
              <w:widowControl/>
              <w:spacing w:line="320" w:lineRule="exact"/>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二级事项</w:t>
            </w:r>
          </w:p>
        </w:tc>
        <w:tc>
          <w:tcPr>
            <w:tcW w:w="2373" w:type="dxa"/>
            <w:vMerge w:val="continue"/>
            <w:shd w:val="clear" w:color="auto" w:fill="auto"/>
            <w:vAlign w:val="center"/>
          </w:tcPr>
          <w:p>
            <w:pPr>
              <w:spacing w:line="320" w:lineRule="exact"/>
              <w:jc w:val="center"/>
              <w:rPr>
                <w:rFonts w:ascii="仿宋_GB2312" w:hAnsi="仿宋_GB2312" w:eastAsia="仿宋_GB2312" w:cs="仿宋_GB2312"/>
                <w:b/>
                <w:bCs/>
                <w:color w:val="2B2B2B"/>
                <w:sz w:val="24"/>
                <w:szCs w:val="24"/>
              </w:rPr>
            </w:pPr>
          </w:p>
        </w:tc>
        <w:tc>
          <w:tcPr>
            <w:tcW w:w="3297" w:type="dxa"/>
            <w:vMerge w:val="continue"/>
            <w:shd w:val="clear" w:color="auto" w:fill="auto"/>
            <w:vAlign w:val="center"/>
          </w:tcPr>
          <w:p>
            <w:pPr>
              <w:spacing w:line="320" w:lineRule="exact"/>
              <w:jc w:val="center"/>
              <w:rPr>
                <w:rFonts w:ascii="仿宋_GB2312" w:hAnsi="仿宋_GB2312" w:eastAsia="仿宋_GB2312" w:cs="仿宋_GB2312"/>
                <w:b/>
                <w:bCs/>
                <w:color w:val="2B2B2B"/>
                <w:sz w:val="24"/>
                <w:szCs w:val="24"/>
              </w:rPr>
            </w:pPr>
          </w:p>
        </w:tc>
        <w:tc>
          <w:tcPr>
            <w:tcW w:w="1191" w:type="dxa"/>
            <w:vMerge w:val="continue"/>
            <w:shd w:val="clear" w:color="auto" w:fill="auto"/>
            <w:vAlign w:val="center"/>
          </w:tcPr>
          <w:p>
            <w:pPr>
              <w:spacing w:line="320" w:lineRule="exact"/>
              <w:jc w:val="center"/>
              <w:rPr>
                <w:rFonts w:ascii="仿宋_GB2312" w:hAnsi="仿宋_GB2312" w:eastAsia="仿宋_GB2312" w:cs="仿宋_GB2312"/>
                <w:b/>
                <w:bCs/>
                <w:color w:val="2B2B2B"/>
                <w:sz w:val="24"/>
                <w:szCs w:val="24"/>
              </w:rPr>
            </w:pPr>
          </w:p>
        </w:tc>
        <w:tc>
          <w:tcPr>
            <w:tcW w:w="1191" w:type="dxa"/>
            <w:vMerge w:val="continue"/>
            <w:shd w:val="clear" w:color="auto" w:fill="auto"/>
            <w:vAlign w:val="center"/>
          </w:tcPr>
          <w:p>
            <w:pPr>
              <w:spacing w:line="320" w:lineRule="exact"/>
              <w:jc w:val="center"/>
              <w:rPr>
                <w:rFonts w:ascii="仿宋_GB2312" w:hAnsi="仿宋_GB2312" w:eastAsia="仿宋_GB2312" w:cs="仿宋_GB2312"/>
                <w:b/>
                <w:bCs/>
                <w:color w:val="2B2B2B"/>
                <w:sz w:val="24"/>
                <w:szCs w:val="24"/>
              </w:rPr>
            </w:pPr>
          </w:p>
        </w:tc>
        <w:tc>
          <w:tcPr>
            <w:tcW w:w="1191" w:type="dxa"/>
            <w:vMerge w:val="continue"/>
            <w:shd w:val="clear" w:color="auto" w:fill="auto"/>
            <w:vAlign w:val="center"/>
          </w:tcPr>
          <w:p>
            <w:pPr>
              <w:spacing w:line="320" w:lineRule="exact"/>
              <w:jc w:val="center"/>
              <w:rPr>
                <w:rFonts w:ascii="仿宋_GB2312" w:hAnsi="仿宋_GB2312" w:eastAsia="仿宋_GB2312" w:cs="仿宋_GB2312"/>
                <w:b/>
                <w:bCs/>
                <w:color w:val="2B2B2B"/>
                <w:sz w:val="24"/>
                <w:szCs w:val="24"/>
              </w:rPr>
            </w:pPr>
          </w:p>
        </w:tc>
        <w:tc>
          <w:tcPr>
            <w:tcW w:w="542" w:type="dxa"/>
            <w:shd w:val="clear" w:color="auto" w:fill="auto"/>
            <w:vAlign w:val="center"/>
          </w:tcPr>
          <w:p>
            <w:pPr>
              <w:pStyle w:val="8"/>
              <w:widowControl/>
              <w:spacing w:line="320" w:lineRule="exact"/>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全社会</w:t>
            </w:r>
          </w:p>
        </w:tc>
        <w:tc>
          <w:tcPr>
            <w:tcW w:w="657" w:type="dxa"/>
            <w:shd w:val="clear" w:color="auto" w:fill="auto"/>
            <w:vAlign w:val="center"/>
          </w:tcPr>
          <w:p>
            <w:pPr>
              <w:pStyle w:val="8"/>
              <w:widowControl/>
              <w:spacing w:line="320" w:lineRule="exact"/>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特定群众</w:t>
            </w:r>
          </w:p>
        </w:tc>
        <w:tc>
          <w:tcPr>
            <w:tcW w:w="426" w:type="dxa"/>
            <w:shd w:val="clear" w:color="auto" w:fill="auto"/>
            <w:vAlign w:val="center"/>
          </w:tcPr>
          <w:p>
            <w:pPr>
              <w:pStyle w:val="8"/>
              <w:widowControl/>
              <w:spacing w:line="320" w:lineRule="exact"/>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主动</w:t>
            </w:r>
          </w:p>
        </w:tc>
        <w:tc>
          <w:tcPr>
            <w:tcW w:w="773" w:type="dxa"/>
            <w:shd w:val="clear" w:color="auto" w:fill="auto"/>
            <w:vAlign w:val="center"/>
          </w:tcPr>
          <w:p>
            <w:pPr>
              <w:pStyle w:val="8"/>
              <w:widowControl/>
              <w:spacing w:line="320" w:lineRule="exact"/>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依申请公开</w:t>
            </w:r>
          </w:p>
        </w:tc>
        <w:tc>
          <w:tcPr>
            <w:tcW w:w="426" w:type="dxa"/>
            <w:shd w:val="clear" w:color="auto" w:fill="auto"/>
            <w:vAlign w:val="center"/>
          </w:tcPr>
          <w:p>
            <w:pPr>
              <w:pStyle w:val="8"/>
              <w:widowControl/>
              <w:spacing w:line="320" w:lineRule="exact"/>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县级</w:t>
            </w:r>
          </w:p>
        </w:tc>
        <w:tc>
          <w:tcPr>
            <w:tcW w:w="822" w:type="dxa"/>
            <w:shd w:val="clear" w:color="auto" w:fill="auto"/>
            <w:vAlign w:val="center"/>
          </w:tcPr>
          <w:p>
            <w:pPr>
              <w:pStyle w:val="8"/>
              <w:widowControl/>
              <w:spacing w:line="320" w:lineRule="exact"/>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837" w:hRule="atLeast"/>
          <w:jc w:val="center"/>
        </w:trPr>
        <w:tc>
          <w:tcPr>
            <w:tcW w:w="340" w:type="dxa"/>
            <w:shd w:val="clear" w:color="auto" w:fill="auto"/>
            <w:vAlign w:val="center"/>
          </w:tcPr>
          <w:p>
            <w:pPr>
              <w:pStyle w:val="8"/>
              <w:widowControl/>
              <w:spacing w:line="320" w:lineRule="exact"/>
              <w:jc w:val="center"/>
              <w:rPr>
                <w:rFonts w:ascii="仿宋_GB2312" w:hAnsi="仿宋_GB2312" w:eastAsia="仿宋_GB2312" w:cs="仿宋_GB2312"/>
                <w:sz w:val="24"/>
                <w:szCs w:val="24"/>
              </w:rPr>
            </w:pPr>
            <w:r>
              <w:rPr>
                <w:rFonts w:ascii="仿宋_GB2312" w:hAnsi="仿宋_GB2312" w:eastAsia="仿宋_GB2312" w:cs="仿宋_GB2312"/>
                <w:sz w:val="24"/>
                <w:szCs w:val="24"/>
              </w:rPr>
              <w:t>1</w:t>
            </w:r>
          </w:p>
        </w:tc>
        <w:tc>
          <w:tcPr>
            <w:tcW w:w="1191" w:type="dxa"/>
            <w:shd w:val="clear" w:color="auto" w:fill="auto"/>
            <w:vAlign w:val="center"/>
          </w:tcPr>
          <w:p>
            <w:pPr>
              <w:spacing w:line="320" w:lineRule="exact"/>
              <w:jc w:val="center"/>
              <w:rPr>
                <w:rFonts w:ascii="仿宋_GB2312" w:hAnsi="仿宋_GB2312" w:eastAsia="仿宋_GB2312" w:cs="仿宋_GB2312"/>
                <w:color w:val="2B2B2B"/>
                <w:sz w:val="24"/>
                <w:szCs w:val="24"/>
                <w:lang w:val="en-US"/>
              </w:rPr>
            </w:pPr>
            <w:r>
              <w:rPr>
                <w:rFonts w:hint="eastAsia" w:ascii="仿宋_GB2312" w:hAnsi="仿宋_GB2312" w:eastAsia="仿宋_GB2312" w:cs="仿宋_GB2312"/>
                <w:color w:val="2B2B2B"/>
                <w:sz w:val="24"/>
                <w:szCs w:val="24"/>
                <w:lang w:val="en-US"/>
              </w:rPr>
              <w:t>统计数据</w:t>
            </w:r>
          </w:p>
        </w:tc>
        <w:tc>
          <w:tcPr>
            <w:tcW w:w="1191" w:type="dxa"/>
            <w:shd w:val="clear" w:color="auto" w:fill="auto"/>
            <w:vAlign w:val="center"/>
          </w:tcPr>
          <w:p>
            <w:pPr>
              <w:pStyle w:val="8"/>
              <w:widowControl/>
              <w:spacing w:line="32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数据发布</w:t>
            </w:r>
          </w:p>
        </w:tc>
        <w:tc>
          <w:tcPr>
            <w:tcW w:w="2373" w:type="dxa"/>
            <w:shd w:val="clear" w:color="auto" w:fill="auto"/>
            <w:vAlign w:val="center"/>
          </w:tcPr>
          <w:p>
            <w:pPr>
              <w:pStyle w:val="8"/>
              <w:widowControl/>
              <w:spacing w:line="32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年度、季度主要统计数据</w:t>
            </w:r>
          </w:p>
        </w:tc>
        <w:tc>
          <w:tcPr>
            <w:tcW w:w="3297" w:type="dxa"/>
            <w:shd w:val="clear" w:color="auto" w:fill="auto"/>
            <w:vAlign w:val="center"/>
          </w:tcPr>
          <w:p>
            <w:pPr>
              <w:pStyle w:val="8"/>
              <w:widowControl/>
              <w:spacing w:line="32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《中华人民共和国统计法》《中华人民共和国政府信息公开条例》《中华人民共和国统计法实施条例》</w:t>
            </w:r>
          </w:p>
        </w:tc>
        <w:tc>
          <w:tcPr>
            <w:tcW w:w="1191" w:type="dxa"/>
            <w:shd w:val="clear" w:color="auto" w:fill="auto"/>
            <w:vAlign w:val="center"/>
          </w:tcPr>
          <w:p>
            <w:pPr>
              <w:pStyle w:val="8"/>
              <w:widowControl/>
              <w:spacing w:line="32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适时发布</w:t>
            </w:r>
          </w:p>
        </w:tc>
        <w:tc>
          <w:tcPr>
            <w:tcW w:w="1191" w:type="dxa"/>
            <w:shd w:val="clear" w:color="auto" w:fill="auto"/>
            <w:vAlign w:val="center"/>
          </w:tcPr>
          <w:p>
            <w:pPr>
              <w:widowControl/>
              <w:spacing w:line="320" w:lineRule="exact"/>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蓝关街道办事处</w:t>
            </w:r>
          </w:p>
        </w:tc>
        <w:tc>
          <w:tcPr>
            <w:tcW w:w="1191" w:type="dxa"/>
            <w:shd w:val="clear" w:color="auto" w:fill="auto"/>
            <w:vAlign w:val="center"/>
          </w:tcPr>
          <w:p>
            <w:pPr>
              <w:spacing w:line="320" w:lineRule="exact"/>
              <w:jc w:val="center"/>
              <w:rPr>
                <w:rFonts w:ascii="仿宋_GB2312" w:hAnsi="仿宋_GB2312" w:eastAsia="仿宋_GB2312" w:cs="仿宋_GB2312"/>
                <w:color w:val="2B2B2B"/>
                <w:sz w:val="24"/>
                <w:szCs w:val="24"/>
              </w:rPr>
            </w:pPr>
            <w:r>
              <w:rPr>
                <w:rFonts w:hint="eastAsia" w:ascii="仿宋_GB2312" w:hAnsi="仿宋_GB2312" w:eastAsia="仿宋_GB2312" w:cs="仿宋_GB2312"/>
                <w:sz w:val="24"/>
                <w:szCs w:val="24"/>
              </w:rPr>
              <w:t>政府网站</w:t>
            </w:r>
          </w:p>
        </w:tc>
        <w:tc>
          <w:tcPr>
            <w:tcW w:w="542" w:type="dxa"/>
            <w:shd w:val="clear" w:color="auto" w:fill="auto"/>
            <w:vAlign w:val="center"/>
          </w:tcPr>
          <w:p>
            <w:pPr>
              <w:pStyle w:val="8"/>
              <w:widowControl/>
              <w:spacing w:line="32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57" w:type="dxa"/>
            <w:shd w:val="clear" w:color="auto" w:fill="auto"/>
            <w:vAlign w:val="center"/>
          </w:tcPr>
          <w:p>
            <w:pPr>
              <w:widowControl/>
              <w:spacing w:line="320" w:lineRule="exact"/>
              <w:jc w:val="center"/>
              <w:rPr>
                <w:rFonts w:ascii="仿宋_GB2312" w:hAnsi="仿宋_GB2312" w:eastAsia="仿宋_GB2312" w:cs="仿宋_GB2312"/>
                <w:color w:val="2B2B2B"/>
                <w:sz w:val="24"/>
                <w:szCs w:val="24"/>
              </w:rPr>
            </w:pPr>
          </w:p>
        </w:tc>
        <w:tc>
          <w:tcPr>
            <w:tcW w:w="426" w:type="dxa"/>
            <w:shd w:val="clear" w:color="auto" w:fill="auto"/>
            <w:vAlign w:val="center"/>
          </w:tcPr>
          <w:p>
            <w:pPr>
              <w:pStyle w:val="8"/>
              <w:widowControl/>
              <w:spacing w:line="32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3" w:type="dxa"/>
            <w:shd w:val="clear" w:color="auto" w:fill="auto"/>
            <w:vAlign w:val="center"/>
          </w:tcPr>
          <w:p>
            <w:pPr>
              <w:widowControl/>
              <w:spacing w:line="320" w:lineRule="exact"/>
              <w:jc w:val="center"/>
              <w:rPr>
                <w:rFonts w:ascii="仿宋_GB2312" w:hAnsi="仿宋_GB2312" w:eastAsia="仿宋_GB2312" w:cs="仿宋_GB2312"/>
                <w:color w:val="2B2B2B"/>
                <w:sz w:val="24"/>
                <w:szCs w:val="24"/>
              </w:rPr>
            </w:pPr>
          </w:p>
        </w:tc>
        <w:tc>
          <w:tcPr>
            <w:tcW w:w="426" w:type="dxa"/>
            <w:shd w:val="clear" w:color="auto" w:fill="auto"/>
            <w:vAlign w:val="center"/>
          </w:tcPr>
          <w:p>
            <w:pPr>
              <w:pStyle w:val="8"/>
              <w:widowControl/>
              <w:spacing w:line="320" w:lineRule="exact"/>
              <w:jc w:val="center"/>
              <w:rPr>
                <w:rFonts w:ascii="仿宋_GB2312" w:hAnsi="仿宋_GB2312" w:eastAsia="仿宋_GB2312" w:cs="仿宋_GB2312"/>
                <w:sz w:val="24"/>
                <w:szCs w:val="24"/>
              </w:rPr>
            </w:pPr>
          </w:p>
        </w:tc>
        <w:tc>
          <w:tcPr>
            <w:tcW w:w="822" w:type="dxa"/>
            <w:shd w:val="clear" w:color="auto" w:fill="auto"/>
            <w:vAlign w:val="center"/>
          </w:tcPr>
          <w:p>
            <w:pPr>
              <w:pStyle w:val="8"/>
              <w:widowControl/>
              <w:spacing w:line="32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10" w:hRule="atLeast"/>
          <w:jc w:val="center"/>
        </w:trPr>
        <w:tc>
          <w:tcPr>
            <w:tcW w:w="340" w:type="dxa"/>
            <w:shd w:val="clear" w:color="auto" w:fill="auto"/>
            <w:vAlign w:val="center"/>
          </w:tcPr>
          <w:p>
            <w:pPr>
              <w:pStyle w:val="8"/>
              <w:widowControl/>
              <w:spacing w:line="320" w:lineRule="exact"/>
              <w:jc w:val="center"/>
              <w:rPr>
                <w:rFonts w:ascii="仿宋_GB2312" w:hAnsi="仿宋_GB2312" w:eastAsia="仿宋_GB2312" w:cs="仿宋_GB2312"/>
                <w:sz w:val="24"/>
                <w:szCs w:val="24"/>
              </w:rPr>
            </w:pPr>
            <w:r>
              <w:rPr>
                <w:rFonts w:ascii="仿宋_GB2312" w:hAnsi="仿宋_GB2312" w:eastAsia="仿宋_GB2312" w:cs="仿宋_GB2312"/>
                <w:sz w:val="24"/>
                <w:szCs w:val="24"/>
              </w:rPr>
              <w:t>2</w:t>
            </w:r>
          </w:p>
        </w:tc>
        <w:tc>
          <w:tcPr>
            <w:tcW w:w="1191" w:type="dxa"/>
            <w:shd w:val="clear" w:color="auto" w:fill="auto"/>
            <w:vAlign w:val="center"/>
          </w:tcPr>
          <w:p>
            <w:pPr>
              <w:pStyle w:val="8"/>
              <w:widowControl/>
              <w:spacing w:line="32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统计执法监督</w:t>
            </w:r>
          </w:p>
        </w:tc>
        <w:tc>
          <w:tcPr>
            <w:tcW w:w="1191" w:type="dxa"/>
            <w:shd w:val="clear" w:color="auto" w:fill="auto"/>
            <w:vAlign w:val="center"/>
          </w:tcPr>
          <w:p>
            <w:pPr>
              <w:pStyle w:val="8"/>
              <w:widowControl/>
              <w:spacing w:line="32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行政处罚信息公示</w:t>
            </w:r>
          </w:p>
        </w:tc>
        <w:tc>
          <w:tcPr>
            <w:tcW w:w="2373" w:type="dxa"/>
            <w:shd w:val="clear" w:color="auto" w:fill="auto"/>
            <w:vAlign w:val="center"/>
          </w:tcPr>
          <w:p>
            <w:pPr>
              <w:pStyle w:val="8"/>
              <w:widowControl/>
              <w:spacing w:line="32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作出的行政处罚决定信息（法律、行政法规另有规定的除外）</w:t>
            </w:r>
          </w:p>
        </w:tc>
        <w:tc>
          <w:tcPr>
            <w:tcW w:w="3297" w:type="dxa"/>
            <w:shd w:val="clear" w:color="auto" w:fill="auto"/>
            <w:vAlign w:val="center"/>
          </w:tcPr>
          <w:p>
            <w:pPr>
              <w:pStyle w:val="8"/>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《中华人民共和国行政处罚法》《中华人民共和国统计法》《中华人民共和国政府信息公开条例》《中华人民共和国统计法实施条例》《 </w:t>
            </w:r>
          </w:p>
          <w:p>
            <w:pPr>
              <w:pStyle w:val="8"/>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统计执法监督检查办法》《国家发展改革委办公厅关于进一步完善行政许可和行政处罚等信用信息公示工作的指导意见》</w:t>
            </w:r>
          </w:p>
        </w:tc>
        <w:tc>
          <w:tcPr>
            <w:tcW w:w="1191" w:type="dxa"/>
            <w:shd w:val="clear" w:color="auto" w:fill="auto"/>
            <w:vAlign w:val="center"/>
          </w:tcPr>
          <w:p>
            <w:pPr>
              <w:pStyle w:val="8"/>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适时公开</w:t>
            </w:r>
          </w:p>
        </w:tc>
        <w:tc>
          <w:tcPr>
            <w:tcW w:w="1191" w:type="dxa"/>
            <w:shd w:val="clear" w:color="auto" w:fill="auto"/>
            <w:vAlign w:val="center"/>
          </w:tcPr>
          <w:p>
            <w:pPr>
              <w:widowControl/>
              <w:spacing w:line="32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lang w:eastAsia="zh-CN"/>
              </w:rPr>
              <w:t>蓝关街道办事</w:t>
            </w:r>
            <w:bookmarkStart w:id="1" w:name="_GoBack"/>
            <w:bookmarkEnd w:id="1"/>
            <w:r>
              <w:rPr>
                <w:rFonts w:hint="eastAsia" w:ascii="仿宋_GB2312" w:hAnsi="仿宋_GB2312" w:eastAsia="仿宋_GB2312" w:cs="仿宋_GB2312"/>
                <w:sz w:val="24"/>
                <w:szCs w:val="24"/>
                <w:lang w:eastAsia="zh-CN"/>
              </w:rPr>
              <w:t>处</w:t>
            </w:r>
          </w:p>
        </w:tc>
        <w:tc>
          <w:tcPr>
            <w:tcW w:w="1191" w:type="dxa"/>
            <w:shd w:val="clear" w:color="auto" w:fill="auto"/>
            <w:vAlign w:val="center"/>
          </w:tcPr>
          <w:p>
            <w:pPr>
              <w:spacing w:line="320" w:lineRule="exact"/>
              <w:jc w:val="center"/>
              <w:rPr>
                <w:rFonts w:ascii="仿宋_GB2312" w:hAnsi="仿宋_GB2312" w:eastAsia="仿宋_GB2312" w:cs="仿宋_GB2312"/>
                <w:color w:val="2B2B2B"/>
                <w:sz w:val="24"/>
                <w:szCs w:val="24"/>
              </w:rPr>
            </w:pPr>
            <w:r>
              <w:rPr>
                <w:rFonts w:hint="eastAsia" w:ascii="仿宋_GB2312" w:hAnsi="仿宋_GB2312" w:eastAsia="仿宋_GB2312" w:cs="仿宋_GB2312"/>
                <w:sz w:val="24"/>
                <w:szCs w:val="24"/>
              </w:rPr>
              <w:t>政府网站</w:t>
            </w:r>
          </w:p>
        </w:tc>
        <w:tc>
          <w:tcPr>
            <w:tcW w:w="542" w:type="dxa"/>
            <w:shd w:val="clear" w:color="auto" w:fill="auto"/>
            <w:vAlign w:val="center"/>
          </w:tcPr>
          <w:p>
            <w:pPr>
              <w:pStyle w:val="8"/>
              <w:widowControl/>
              <w:spacing w:line="32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57" w:type="dxa"/>
            <w:shd w:val="clear" w:color="auto" w:fill="auto"/>
            <w:vAlign w:val="center"/>
          </w:tcPr>
          <w:p>
            <w:pPr>
              <w:widowControl/>
              <w:spacing w:line="320" w:lineRule="exact"/>
              <w:jc w:val="center"/>
              <w:rPr>
                <w:rFonts w:ascii="仿宋_GB2312" w:hAnsi="仿宋_GB2312" w:eastAsia="仿宋_GB2312" w:cs="仿宋_GB2312"/>
                <w:color w:val="2B2B2B"/>
                <w:sz w:val="24"/>
                <w:szCs w:val="24"/>
              </w:rPr>
            </w:pPr>
          </w:p>
        </w:tc>
        <w:tc>
          <w:tcPr>
            <w:tcW w:w="426" w:type="dxa"/>
            <w:shd w:val="clear" w:color="auto" w:fill="auto"/>
            <w:vAlign w:val="center"/>
          </w:tcPr>
          <w:p>
            <w:pPr>
              <w:pStyle w:val="8"/>
              <w:widowControl/>
              <w:spacing w:line="32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3" w:type="dxa"/>
            <w:shd w:val="clear" w:color="auto" w:fill="auto"/>
            <w:vAlign w:val="center"/>
          </w:tcPr>
          <w:p>
            <w:pPr>
              <w:widowControl/>
              <w:spacing w:line="320" w:lineRule="exact"/>
              <w:jc w:val="center"/>
              <w:rPr>
                <w:rFonts w:ascii="仿宋_GB2312" w:hAnsi="仿宋_GB2312" w:eastAsia="仿宋_GB2312" w:cs="仿宋_GB2312"/>
                <w:color w:val="2B2B2B"/>
                <w:sz w:val="24"/>
                <w:szCs w:val="24"/>
              </w:rPr>
            </w:pPr>
          </w:p>
        </w:tc>
        <w:tc>
          <w:tcPr>
            <w:tcW w:w="426" w:type="dxa"/>
            <w:shd w:val="clear" w:color="auto" w:fill="auto"/>
            <w:vAlign w:val="center"/>
          </w:tcPr>
          <w:p>
            <w:pPr>
              <w:pStyle w:val="8"/>
              <w:widowControl/>
              <w:spacing w:line="320" w:lineRule="exact"/>
              <w:jc w:val="center"/>
              <w:rPr>
                <w:rFonts w:ascii="仿宋_GB2312" w:hAnsi="仿宋_GB2312" w:eastAsia="仿宋_GB2312" w:cs="仿宋_GB2312"/>
                <w:sz w:val="24"/>
                <w:szCs w:val="24"/>
              </w:rPr>
            </w:pPr>
          </w:p>
        </w:tc>
        <w:tc>
          <w:tcPr>
            <w:tcW w:w="822" w:type="dxa"/>
            <w:shd w:val="clear" w:color="auto" w:fill="auto"/>
            <w:vAlign w:val="center"/>
          </w:tcPr>
          <w:p>
            <w:pPr>
              <w:pStyle w:val="8"/>
              <w:widowControl/>
              <w:spacing w:line="32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w:t>
            </w:r>
          </w:p>
        </w:tc>
      </w:tr>
    </w:tbl>
    <w:p>
      <w:pPr>
        <w:rPr>
          <w:rFonts w:ascii="仿宋_GB2312" w:hAnsi="仿宋_GB2312" w:eastAsia="仿宋_GB2312" w:cs="仿宋_GB2312"/>
          <w:sz w:val="28"/>
          <w:szCs w:val="28"/>
        </w:rPr>
      </w:pPr>
    </w:p>
    <w:sectPr>
      <w:pgSz w:w="16783" w:h="11850" w:orient="landscape"/>
      <w:pgMar w:top="720" w:right="720" w:bottom="720" w:left="720" w:header="720" w:footer="964" w:gutter="0"/>
      <w:pgNumType w:fmt="numberInDash"/>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0000000000000000000"/>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小标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720"/>
  <w:drawingGridHorizontalSpacing w:val="110"/>
  <w:noPunctuationKerning w:val="true"/>
  <w:characterSpacingControl w:val="doNotCompress"/>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VjNTVjZGMxNzFiYTNlMDM4YThkZTY5ZGM0OGU3YjMifQ=="/>
  </w:docVars>
  <w:rsids>
    <w:rsidRoot w:val="00351356"/>
    <w:rsid w:val="001E76FB"/>
    <w:rsid w:val="00243790"/>
    <w:rsid w:val="00351356"/>
    <w:rsid w:val="0040540C"/>
    <w:rsid w:val="004947A6"/>
    <w:rsid w:val="004B2DCC"/>
    <w:rsid w:val="00542B0E"/>
    <w:rsid w:val="005A7D35"/>
    <w:rsid w:val="005F3292"/>
    <w:rsid w:val="0067722F"/>
    <w:rsid w:val="00802B7C"/>
    <w:rsid w:val="00863446"/>
    <w:rsid w:val="00C53807"/>
    <w:rsid w:val="00C870A5"/>
    <w:rsid w:val="00DC0CFC"/>
    <w:rsid w:val="00E71430"/>
    <w:rsid w:val="016B396D"/>
    <w:rsid w:val="01FE38A4"/>
    <w:rsid w:val="02AB75F4"/>
    <w:rsid w:val="0411726D"/>
    <w:rsid w:val="04B970D6"/>
    <w:rsid w:val="05A13B6C"/>
    <w:rsid w:val="06E72E78"/>
    <w:rsid w:val="0751611A"/>
    <w:rsid w:val="07594C1D"/>
    <w:rsid w:val="07E21457"/>
    <w:rsid w:val="07E346A6"/>
    <w:rsid w:val="0A9441D4"/>
    <w:rsid w:val="0C590BAD"/>
    <w:rsid w:val="0C635FD2"/>
    <w:rsid w:val="0CB321A9"/>
    <w:rsid w:val="0CCE5C0B"/>
    <w:rsid w:val="0CDD31F0"/>
    <w:rsid w:val="0D415A70"/>
    <w:rsid w:val="0DF3588A"/>
    <w:rsid w:val="0E6F1F27"/>
    <w:rsid w:val="0F896C61"/>
    <w:rsid w:val="0F9C0377"/>
    <w:rsid w:val="107130C3"/>
    <w:rsid w:val="129109F0"/>
    <w:rsid w:val="129543A6"/>
    <w:rsid w:val="13A8596A"/>
    <w:rsid w:val="141F00D5"/>
    <w:rsid w:val="14E94A7D"/>
    <w:rsid w:val="160263E0"/>
    <w:rsid w:val="16B60A28"/>
    <w:rsid w:val="16B80F63"/>
    <w:rsid w:val="16EA1D6E"/>
    <w:rsid w:val="16FC63EE"/>
    <w:rsid w:val="17DD483F"/>
    <w:rsid w:val="17F63C83"/>
    <w:rsid w:val="198848D8"/>
    <w:rsid w:val="19A6557F"/>
    <w:rsid w:val="1AB8083D"/>
    <w:rsid w:val="1AFF47DC"/>
    <w:rsid w:val="1B2B39EC"/>
    <w:rsid w:val="1B8A1FA7"/>
    <w:rsid w:val="1C3A473D"/>
    <w:rsid w:val="1CB64E31"/>
    <w:rsid w:val="1D6A6749"/>
    <w:rsid w:val="1D934DF0"/>
    <w:rsid w:val="1D94455E"/>
    <w:rsid w:val="1DAA1769"/>
    <w:rsid w:val="1E952107"/>
    <w:rsid w:val="1EC71A3D"/>
    <w:rsid w:val="1FCDD8EC"/>
    <w:rsid w:val="205C4850"/>
    <w:rsid w:val="21645399"/>
    <w:rsid w:val="21845738"/>
    <w:rsid w:val="2198641B"/>
    <w:rsid w:val="24C96C30"/>
    <w:rsid w:val="24D03640"/>
    <w:rsid w:val="253C74BA"/>
    <w:rsid w:val="25BA511F"/>
    <w:rsid w:val="270033A4"/>
    <w:rsid w:val="27676C68"/>
    <w:rsid w:val="27945B14"/>
    <w:rsid w:val="27C05B11"/>
    <w:rsid w:val="29422123"/>
    <w:rsid w:val="29610336"/>
    <w:rsid w:val="2A3A7D8C"/>
    <w:rsid w:val="2A9662BD"/>
    <w:rsid w:val="2B25585C"/>
    <w:rsid w:val="2D041D8F"/>
    <w:rsid w:val="2D481418"/>
    <w:rsid w:val="2D70553E"/>
    <w:rsid w:val="2E1819E5"/>
    <w:rsid w:val="2F7964B4"/>
    <w:rsid w:val="2FBA3A84"/>
    <w:rsid w:val="301C468C"/>
    <w:rsid w:val="306D2908"/>
    <w:rsid w:val="31175A24"/>
    <w:rsid w:val="31775912"/>
    <w:rsid w:val="33A4172A"/>
    <w:rsid w:val="344620AF"/>
    <w:rsid w:val="34AB6773"/>
    <w:rsid w:val="354D4978"/>
    <w:rsid w:val="355852D2"/>
    <w:rsid w:val="358BC636"/>
    <w:rsid w:val="359F3F2F"/>
    <w:rsid w:val="35ED7364"/>
    <w:rsid w:val="36155AB6"/>
    <w:rsid w:val="36487353"/>
    <w:rsid w:val="369B6AD0"/>
    <w:rsid w:val="36CE6092"/>
    <w:rsid w:val="37BD071B"/>
    <w:rsid w:val="38EE05A3"/>
    <w:rsid w:val="3A75068A"/>
    <w:rsid w:val="3BA91388"/>
    <w:rsid w:val="3BE86E9B"/>
    <w:rsid w:val="3BEF922D"/>
    <w:rsid w:val="3CE07B72"/>
    <w:rsid w:val="3D00263D"/>
    <w:rsid w:val="3D0039C1"/>
    <w:rsid w:val="3F701D37"/>
    <w:rsid w:val="3F701E69"/>
    <w:rsid w:val="40C36BB0"/>
    <w:rsid w:val="41DD6D76"/>
    <w:rsid w:val="43734973"/>
    <w:rsid w:val="43D02D2A"/>
    <w:rsid w:val="466266F9"/>
    <w:rsid w:val="47645C66"/>
    <w:rsid w:val="47E5ACCA"/>
    <w:rsid w:val="48DC3376"/>
    <w:rsid w:val="490E26F7"/>
    <w:rsid w:val="492E5F80"/>
    <w:rsid w:val="49597AD4"/>
    <w:rsid w:val="49AF5B5F"/>
    <w:rsid w:val="49FD214A"/>
    <w:rsid w:val="4A011587"/>
    <w:rsid w:val="4A121587"/>
    <w:rsid w:val="4A4A42A9"/>
    <w:rsid w:val="4AC07120"/>
    <w:rsid w:val="4AD74441"/>
    <w:rsid w:val="4B5D0F2C"/>
    <w:rsid w:val="4C0552B8"/>
    <w:rsid w:val="4CB85931"/>
    <w:rsid w:val="4D0971F7"/>
    <w:rsid w:val="4D1F1116"/>
    <w:rsid w:val="4D242E94"/>
    <w:rsid w:val="4E727CAA"/>
    <w:rsid w:val="4E9F0568"/>
    <w:rsid w:val="4ECB1EC7"/>
    <w:rsid w:val="50434281"/>
    <w:rsid w:val="50D7042D"/>
    <w:rsid w:val="51B64832"/>
    <w:rsid w:val="52145A08"/>
    <w:rsid w:val="52ED0668"/>
    <w:rsid w:val="52F636BC"/>
    <w:rsid w:val="53275C6E"/>
    <w:rsid w:val="53800BB6"/>
    <w:rsid w:val="53AF0CB2"/>
    <w:rsid w:val="5569798A"/>
    <w:rsid w:val="55935598"/>
    <w:rsid w:val="55DA721F"/>
    <w:rsid w:val="56BE793B"/>
    <w:rsid w:val="57013832"/>
    <w:rsid w:val="588D0864"/>
    <w:rsid w:val="591157A9"/>
    <w:rsid w:val="594F37D0"/>
    <w:rsid w:val="59B77A55"/>
    <w:rsid w:val="59E515E6"/>
    <w:rsid w:val="5A130A68"/>
    <w:rsid w:val="5C455B0B"/>
    <w:rsid w:val="5CE40401"/>
    <w:rsid w:val="5DD874B9"/>
    <w:rsid w:val="5E236D3C"/>
    <w:rsid w:val="5E2828FC"/>
    <w:rsid w:val="5ED71364"/>
    <w:rsid w:val="5F331839"/>
    <w:rsid w:val="5F4609F6"/>
    <w:rsid w:val="5FAC797D"/>
    <w:rsid w:val="5FDE68C7"/>
    <w:rsid w:val="62217ADB"/>
    <w:rsid w:val="63B56BA3"/>
    <w:rsid w:val="63DD719E"/>
    <w:rsid w:val="649F79D2"/>
    <w:rsid w:val="657B408A"/>
    <w:rsid w:val="65F659AF"/>
    <w:rsid w:val="66A705F7"/>
    <w:rsid w:val="67F56822"/>
    <w:rsid w:val="68CD530C"/>
    <w:rsid w:val="68E416B1"/>
    <w:rsid w:val="68FF0E06"/>
    <w:rsid w:val="69687B51"/>
    <w:rsid w:val="6A217021"/>
    <w:rsid w:val="6B182229"/>
    <w:rsid w:val="6B5B4DAC"/>
    <w:rsid w:val="700416C1"/>
    <w:rsid w:val="70B008E6"/>
    <w:rsid w:val="723071CB"/>
    <w:rsid w:val="7282158E"/>
    <w:rsid w:val="72DB4DD7"/>
    <w:rsid w:val="72F835D6"/>
    <w:rsid w:val="753C59CD"/>
    <w:rsid w:val="75687F74"/>
    <w:rsid w:val="757E1CD7"/>
    <w:rsid w:val="75B841C3"/>
    <w:rsid w:val="75FE27F5"/>
    <w:rsid w:val="76ED63C6"/>
    <w:rsid w:val="76F6759C"/>
    <w:rsid w:val="7701242A"/>
    <w:rsid w:val="770E5CEC"/>
    <w:rsid w:val="77B5162F"/>
    <w:rsid w:val="77ED9799"/>
    <w:rsid w:val="77EE0E6F"/>
    <w:rsid w:val="792D09F6"/>
    <w:rsid w:val="79A67EF5"/>
    <w:rsid w:val="79BF322E"/>
    <w:rsid w:val="7A2A63DE"/>
    <w:rsid w:val="7A871188"/>
    <w:rsid w:val="7AB77078"/>
    <w:rsid w:val="7C511203"/>
    <w:rsid w:val="7C6C7220"/>
    <w:rsid w:val="7CFF1AE0"/>
    <w:rsid w:val="7D472D33"/>
    <w:rsid w:val="7D6CADC3"/>
    <w:rsid w:val="7DCB087D"/>
    <w:rsid w:val="7EFD6EFB"/>
    <w:rsid w:val="7FFFA083"/>
    <w:rsid w:val="BAF7022B"/>
    <w:rsid w:val="BFBFFE42"/>
    <w:rsid w:val="DBF97601"/>
    <w:rsid w:val="DD5B5EF0"/>
    <w:rsid w:val="EFF1F600"/>
    <w:rsid w:val="EFFEF3FC"/>
    <w:rsid w:val="F2F3B603"/>
    <w:rsid w:val="F5B815DE"/>
    <w:rsid w:val="F7BBD13F"/>
    <w:rsid w:val="FD1F0DFA"/>
    <w:rsid w:val="FEDF36B7"/>
    <w:rsid w:val="FF9F3B2F"/>
    <w:rsid w:val="FFBF6F39"/>
    <w:rsid w:val="FFFEA2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ind w:right="161"/>
      <w:jc w:val="center"/>
      <w:outlineLvl w:val="0"/>
    </w:pPr>
    <w:rPr>
      <w:sz w:val="48"/>
      <w:szCs w:val="4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rPr>
      <w:sz w:val="24"/>
      <w:szCs w:val="24"/>
    </w:rPr>
  </w:style>
  <w:style w:type="paragraph" w:styleId="4">
    <w:name w:val="Balloon Text"/>
    <w:basedOn w:val="1"/>
    <w:link w:val="28"/>
    <w:qFormat/>
    <w:uiPriority w:val="0"/>
    <w:rPr>
      <w:sz w:val="18"/>
      <w:szCs w:val="18"/>
    </w:rPr>
  </w:style>
  <w:style w:type="paragraph" w:styleId="5">
    <w:name w:val="footer"/>
    <w:basedOn w:val="1"/>
    <w:qFormat/>
    <w:uiPriority w:val="0"/>
    <w:pPr>
      <w:tabs>
        <w:tab w:val="center" w:pos="4153"/>
        <w:tab w:val="right" w:pos="8306"/>
      </w:tabs>
      <w:snapToGrid w:val="0"/>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7">
    <w:name w:val="toc 1"/>
    <w:basedOn w:val="1"/>
    <w:next w:val="1"/>
    <w:qFormat/>
    <w:uiPriority w:val="0"/>
  </w:style>
  <w:style w:type="paragraph" w:styleId="8">
    <w:name w:val="Normal (Web)"/>
    <w:basedOn w:val="1"/>
    <w:qFormat/>
    <w:uiPriority w:val="0"/>
    <w:rPr>
      <w:rFonts w:cs="Times New Roman"/>
      <w:color w:val="2B2B2B"/>
      <w:sz w:val="24"/>
      <w:lang w:val="en-US" w:bidi="ar-SA"/>
    </w:rPr>
  </w:style>
  <w:style w:type="character" w:styleId="11">
    <w:name w:val="Strong"/>
    <w:basedOn w:val="10"/>
    <w:qFormat/>
    <w:uiPriority w:val="0"/>
    <w:rPr>
      <w:b/>
    </w:rPr>
  </w:style>
  <w:style w:type="character" w:styleId="12">
    <w:name w:val="FollowedHyperlink"/>
    <w:basedOn w:val="10"/>
    <w:qFormat/>
    <w:uiPriority w:val="0"/>
    <w:rPr>
      <w:color w:val="333333"/>
      <w:u w:val="none"/>
    </w:rPr>
  </w:style>
  <w:style w:type="character" w:styleId="13">
    <w:name w:val="Emphasis"/>
    <w:basedOn w:val="10"/>
    <w:qFormat/>
    <w:uiPriority w:val="0"/>
  </w:style>
  <w:style w:type="character" w:styleId="14">
    <w:name w:val="HTML Definition"/>
    <w:basedOn w:val="10"/>
    <w:qFormat/>
    <w:uiPriority w:val="0"/>
  </w:style>
  <w:style w:type="character" w:styleId="15">
    <w:name w:val="HTML Acronym"/>
    <w:basedOn w:val="10"/>
    <w:qFormat/>
    <w:uiPriority w:val="0"/>
  </w:style>
  <w:style w:type="character" w:styleId="16">
    <w:name w:val="HTML Variable"/>
    <w:basedOn w:val="10"/>
    <w:qFormat/>
    <w:uiPriority w:val="0"/>
  </w:style>
  <w:style w:type="character" w:styleId="17">
    <w:name w:val="Hyperlink"/>
    <w:basedOn w:val="10"/>
    <w:qFormat/>
    <w:uiPriority w:val="0"/>
    <w:rPr>
      <w:color w:val="333333"/>
      <w:u w:val="none"/>
    </w:rPr>
  </w:style>
  <w:style w:type="character" w:styleId="18">
    <w:name w:val="HTML Code"/>
    <w:basedOn w:val="10"/>
    <w:qFormat/>
    <w:uiPriority w:val="0"/>
    <w:rPr>
      <w:rFonts w:ascii="Courier New" w:hAnsi="Courier New"/>
      <w:sz w:val="20"/>
    </w:rPr>
  </w:style>
  <w:style w:type="character" w:styleId="19">
    <w:name w:val="HTML Cite"/>
    <w:basedOn w:val="10"/>
    <w:qFormat/>
    <w:uiPriority w:val="0"/>
  </w:style>
  <w:style w:type="table" w:customStyle="1" w:styleId="20">
    <w:name w:val="Table Normal"/>
    <w:semiHidden/>
    <w:unhideWhenUsed/>
    <w:qFormat/>
    <w:uiPriority w:val="2"/>
    <w:tblPr>
      <w:tblCellMar>
        <w:top w:w="0" w:type="dxa"/>
        <w:left w:w="0" w:type="dxa"/>
        <w:bottom w:w="0" w:type="dxa"/>
        <w:right w:w="0" w:type="dxa"/>
      </w:tblCellMar>
    </w:tblPr>
  </w:style>
  <w:style w:type="paragraph" w:styleId="21">
    <w:name w:val="List Paragraph"/>
    <w:basedOn w:val="1"/>
    <w:qFormat/>
    <w:uiPriority w:val="1"/>
    <w:pPr>
      <w:spacing w:before="239"/>
      <w:ind w:left="672" w:hanging="542"/>
    </w:pPr>
  </w:style>
  <w:style w:type="paragraph" w:customStyle="1" w:styleId="22">
    <w:name w:val="Table Paragraph"/>
    <w:basedOn w:val="1"/>
    <w:qFormat/>
    <w:uiPriority w:val="1"/>
  </w:style>
  <w:style w:type="character" w:customStyle="1" w:styleId="23">
    <w:name w:val="font"/>
    <w:basedOn w:val="10"/>
    <w:qFormat/>
    <w:uiPriority w:val="0"/>
  </w:style>
  <w:style w:type="character" w:customStyle="1" w:styleId="24">
    <w:name w:val="font1"/>
    <w:basedOn w:val="10"/>
    <w:qFormat/>
    <w:uiPriority w:val="0"/>
  </w:style>
  <w:style w:type="character" w:customStyle="1" w:styleId="25">
    <w:name w:val="u-save2"/>
    <w:basedOn w:val="10"/>
    <w:qFormat/>
    <w:uiPriority w:val="0"/>
  </w:style>
  <w:style w:type="character" w:customStyle="1" w:styleId="26">
    <w:name w:val="u-save"/>
    <w:basedOn w:val="10"/>
    <w:qFormat/>
    <w:uiPriority w:val="0"/>
  </w:style>
  <w:style w:type="paragraph" w:customStyle="1" w:styleId="27">
    <w:name w:val="WPSOffice手动目录 1"/>
    <w:qFormat/>
    <w:uiPriority w:val="0"/>
    <w:rPr>
      <w:rFonts w:ascii="Times New Roman" w:hAnsi="Times New Roman" w:eastAsia="宋体" w:cs="Times New Roman"/>
      <w:lang w:val="en-US" w:eastAsia="zh-CN" w:bidi="ar-SA"/>
    </w:rPr>
  </w:style>
  <w:style w:type="character" w:customStyle="1" w:styleId="28">
    <w:name w:val="批注框文本 字符"/>
    <w:basedOn w:val="10"/>
    <w:link w:val="4"/>
    <w:qFormat/>
    <w:uiPriority w:val="0"/>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65</Words>
  <Characters>374</Characters>
  <Lines>3</Lines>
  <Paragraphs>1</Paragraphs>
  <TotalTime>1</TotalTime>
  <ScaleCrop>false</ScaleCrop>
  <LinksUpToDate>false</LinksUpToDate>
  <CharactersWithSpaces>438</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2022-12-09T18:06:00Z</dcterms:created>
  <dc:creator>Administrator</dc:creator>
  <cp:lastModifiedBy>guest</cp:lastModifiedBy>
  <cp:lastPrinted>2022-12-09T23:27:00Z</cp:lastPrinted>
  <dcterms:modified xsi:type="dcterms:W3CDTF">2023-10-18T15:59:37Z</dcterms:modified>
  <dc:title>就业创业领域</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2020-06-30T00:00:00Z</vt:filetime>
  </property>
  <property fmtid="{D5CDD505-2E9C-101B-9397-08002B2CF9AE}" pid="3" name="Creator">
    <vt:lpwstr>WPS 文字</vt:lpwstr>
  </property>
  <property fmtid="{D5CDD505-2E9C-101B-9397-08002B2CF9AE}" pid="4" name="LastSaved">
    <vt:filetime>2020-10-30T00:00:00Z</vt:filetime>
  </property>
  <property fmtid="{D5CDD505-2E9C-101B-9397-08002B2CF9AE}" pid="5" name="KSOProductBuildVer">
    <vt:lpwstr>2052-11.8.2.9793</vt:lpwstr>
  </property>
  <property fmtid="{D5CDD505-2E9C-101B-9397-08002B2CF9AE}" pid="6" name="ICV">
    <vt:lpwstr>F7874435B9A1428FA4B9F14930CA07BC</vt:lpwstr>
  </property>
</Properties>
</file>