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eastAsia="方正小标宋简体"/>
          <w:b/>
          <w:bCs/>
          <w:sz w:val="32"/>
          <w:szCs w:val="32"/>
        </w:rPr>
      </w:pPr>
      <w:r>
        <w:rPr>
          <w:rFonts w:hint="eastAsia" w:ascii="方正小标宋简体" w:eastAsia="方正小标宋简体"/>
          <w:b/>
          <w:bCs/>
          <w:sz w:val="32"/>
          <w:szCs w:val="32"/>
        </w:rPr>
        <w:t>蓝田县蓝关街道办事处2020年部门综合预算说明</w:t>
      </w:r>
    </w:p>
    <w:p>
      <w:pPr>
        <w:rPr>
          <w:rFonts w:hint="eastAsia" w:ascii="仿宋_GB2312" w:eastAsia="仿宋_GB2312"/>
          <w:b/>
          <w:bCs/>
          <w:sz w:val="32"/>
          <w:szCs w:val="32"/>
        </w:rPr>
      </w:pPr>
      <w:r>
        <w:rPr>
          <w:rFonts w:hint="eastAsia" w:ascii="仿宋_GB2312" w:eastAsia="仿宋_GB2312"/>
          <w:b/>
          <w:bCs/>
          <w:sz w:val="32"/>
          <w:szCs w:val="32"/>
        </w:rPr>
        <w:t>一、部门主要职责及机构设置</w:t>
      </w:r>
    </w:p>
    <w:p>
      <w:pPr>
        <w:rPr>
          <w:rFonts w:hint="eastAsia" w:ascii="仿宋_GB2312" w:eastAsia="仿宋_GB2312"/>
          <w:sz w:val="32"/>
          <w:szCs w:val="32"/>
        </w:rPr>
      </w:pPr>
      <w:r>
        <w:rPr>
          <w:rFonts w:hint="eastAsia" w:ascii="仿宋_GB2312" w:eastAsia="仿宋_GB2312"/>
          <w:sz w:val="32"/>
          <w:szCs w:val="32"/>
        </w:rPr>
        <w:t>（一）部门主要职责</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蓝关街道办事处是县人民政府的派出机构,依据法律法规和有关政策规定,在辖区内行使县人民政府赋予的职权,主要职责是：</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(1)强化公共服务。负责辖区综合事务管理,行使组织领导、综合协调、监督监察等行政管理职责。负责辖区公共服务设施建设。协调有关部门搞好防灾救灾、社会救助、拥军优属、殡葬、老龄、妇幼及维护残疾人合法权益等工作。配合搞好辖区科技、教育、文化、卫生、就业、食品药品监管等工作。做好居民社会养老保险、居民医保、职工医保等社会保障工作及环境保护与驻地各有关方面的社会事务。</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(2)加强社会管理。加强平安建设宣传、普法教育、矛盾纠纷调处,做好群众来信来访处置、民族宗教、社区矫正等工作,提升社会治安综合治理水平。加强流动人口管理,协调做好辖区应急、防汛、防震、抢险、人防、房管及安全生产监督检查等工作。协助做好国防动员、民兵训练和公民服兵役等工作。提高基层组织社会治理和服务能力。规范农村集体经济管理,推进政务村务公开。抓好人口和计划生育工作,保障妇女儿童合法权益加强安全生产和公共安全,及时上报和处置重大社情、疫情、险情。加强动物免疫和疫情监控工作,组织实施畜牧兽医技术的推广、指导、服务。加强食品药品安全、质量、农产品质量等市场监管和环境保护工作,保护人民群众的生命财产安全。依法做好工商注册登记有关工作,查处取缔无照经营行为。</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(3)优化发展环境。加强辖区内土地利用的管理和耕地保护,制止和查处集体土地上乱搭乱建的行为。组织指导农业和农村经济结构调整,加强农业综合生产能力建设。健全农业社会化服务体系,完善农业支持保障体系,推进农业现代化。配合搞好辖区产业规划制定,为招商引资、产业结构调整等提供良好服务配合搞好辖区劳动监察、文化市场监管等有关工作。参与城市管理,配合做好市政建设、社区规划等工作,组织开展创建文明城市、卫生城市、文明单位等活动。提供辖区有关统计数据。</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(4)加强社区组织建设。加强社区党组织建设、党员队伍建设和社区干部队伍建设。指导社区自治组织工作,加强社区居民委员会、业主委员会建设。指导监督物业管理服务站、社区居委会履行职责，提高管理服务能力。引导社会力量共建和谐社区。</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(5)发展公益事业,提供公共服务。组织制定镇村建设规划,加强镇村公共设施建设和小城镇建设,推进新型农村社区建设,提高镇村公共管理服务能力。组织开展就业培训、社会保障服务。发展科教文卫事业,提供经济发展和社会进步的信息服务,促进精神文明建设。</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(6)加强综合治理,维护社会稳定。做好司法行政工作,调解民事纠纷,化解社会矛盾,接待上访群众,处理突发群体事件,维护社会公正,保障人民群众合法权益,维护社会稳定。(七)完成上级人民政府交办的其他工作。</w:t>
      </w:r>
    </w:p>
    <w:p>
      <w:pPr>
        <w:ind w:firstLine="643" w:firstLineChars="200"/>
        <w:rPr>
          <w:rFonts w:hint="eastAsia" w:ascii="仿宋_GB2312" w:eastAsia="仿宋_GB2312"/>
          <w:b/>
          <w:bCs/>
          <w:sz w:val="32"/>
          <w:szCs w:val="32"/>
        </w:rPr>
      </w:pPr>
      <w:r>
        <w:rPr>
          <w:rFonts w:hint="eastAsia" w:ascii="仿宋_GB2312" w:eastAsia="仿宋_GB2312"/>
          <w:b/>
          <w:bCs/>
          <w:sz w:val="32"/>
          <w:szCs w:val="32"/>
        </w:rPr>
        <w:t>（二）机构设置</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根据上述职责,街道机关设置5个内设工作机构。</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1、党政办公室(财政所):主要承担党委、政府日常事务。负责组织、统战和群团等工作。负责党务、政务公开工作。负责镇财政财务工作,</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2、经济发展办公室：(土地管理所制定并实施区域经济社会发展规划和镇村公共基础设施建设规划。负责产业发展、公共基础设施建设、农业综合开发、扶贫开发、商贸流通、动植物防疫、环境保护、安全生产监管等工作。协调经济社会发展相关工作。负责辖区内土地利用的管理,加强耕地保护,制止和查处集体土地上乱搭乱建的行为。</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3、社会事务管理办公室:主要承担民政、社会保障等综合性事务。负责社会救助、防汛抗旱、气象灾害防御和防灾减灾社区建设、拥军优抚、民族宗教、老龄、残疾人等工作。协调社会事务相关工作。</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4、维护稳定办公室(司法所):主要负责人民调解、社区矫正、法律援助、安置帮教、法律服务等司法行政工作;承担社会治安综合治理、信访维稳、国防动员教育、民兵预备役等工作。</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5、宣传科教文卫办公室:主要承担精神文明建设工作。负责宣传、科技、教育、文化、体育、卫生、计生等工作。负责公共教育文化服务体系建设。</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6、公共事业服务站：人大、政协、纪检、监察、共青团、妇联、工会等机构按有关规定设置。</w:t>
      </w:r>
    </w:p>
    <w:p>
      <w:pPr>
        <w:ind w:firstLine="640" w:firstLineChars="200"/>
        <w:rPr>
          <w:rFonts w:hint="eastAsia" w:ascii="仿宋_GB2312" w:hAnsi="宋体" w:eastAsia="仿宋_GB2312" w:cs="宋体"/>
          <w:sz w:val="32"/>
          <w:szCs w:val="32"/>
        </w:rPr>
      </w:pPr>
      <w:r>
        <w:rPr>
          <w:rFonts w:hint="eastAsia" w:ascii="仿宋_GB2312" w:hAnsi="宋体" w:eastAsia="仿宋_GB2312" w:cs="宋体"/>
          <w:sz w:val="32"/>
          <w:szCs w:val="32"/>
        </w:rPr>
        <w:t>人民武装部按照党管武装有关规定设置。</w:t>
      </w:r>
    </w:p>
    <w:p>
      <w:pPr>
        <w:ind w:firstLine="643" w:firstLineChars="200"/>
        <w:rPr>
          <w:rFonts w:hint="eastAsia" w:ascii="仿宋_GB2312" w:eastAsia="仿宋_GB2312"/>
          <w:b/>
          <w:bCs/>
          <w:sz w:val="32"/>
          <w:szCs w:val="32"/>
        </w:rPr>
      </w:pPr>
      <w:r>
        <w:rPr>
          <w:rFonts w:hint="eastAsia" w:ascii="仿宋_GB2312" w:eastAsia="仿宋_GB2312"/>
          <w:b/>
          <w:bCs/>
          <w:sz w:val="32"/>
          <w:szCs w:val="32"/>
        </w:rPr>
        <w:t>二、2020年年度部门工作任务</w:t>
      </w:r>
    </w:p>
    <w:p>
      <w:pPr>
        <w:ind w:firstLine="640" w:firstLineChars="200"/>
        <w:rPr>
          <w:rFonts w:hint="eastAsia" w:ascii="仿宋_GB2312" w:eastAsia="仿宋_GB2312"/>
          <w:sz w:val="32"/>
          <w:szCs w:val="32"/>
        </w:rPr>
      </w:pPr>
      <w:r>
        <w:rPr>
          <w:rFonts w:hint="eastAsia" w:ascii="仿宋_GB2312" w:eastAsia="仿宋_GB2312"/>
          <w:sz w:val="32"/>
          <w:szCs w:val="32"/>
        </w:rPr>
        <w:t>（一）坚持党建引领，强化基层组织建设。全面推进基层党建规范化建设，将党的建设融入到脱贫攻坚、项目建设、“三项革命”、河长路长网格长制、社会稳定、全域旅游等重点工作中；进一步规范村“两委”工作体系，认真贯彻落实《村组干部考核管理办法》、《党员管理教育制度》等村级党建制度，大力开展以整顿工作纪律、整顿工作作风、整顿考核秩序为主要内容的“三项整顿”活动，坚持月督查、季考核制度，强化对村党支部的考核、监督，深入推进服务型党组织建设，培育党建示范点3个；严格落实基层工作责任，切实维护群众利益，坚持不懈地抓好基层治理工作，重点完成村“两委会”换届、农村新型社区建设和基层组织建设工作。强化基层党组织的领导核心作用，突出抓好软弱涣散村党组织整顿工作，加强对基层治理工作的领导，努力形成齐抓共管的基层治理格局，不断提升街道基层治理工作水平。</w:t>
      </w:r>
    </w:p>
    <w:p>
      <w:pPr>
        <w:ind w:firstLine="640" w:firstLineChars="200"/>
        <w:rPr>
          <w:rFonts w:hint="eastAsia" w:ascii="仿宋_GB2312" w:eastAsia="仿宋_GB2312"/>
          <w:sz w:val="32"/>
          <w:szCs w:val="32"/>
        </w:rPr>
      </w:pPr>
      <w:r>
        <w:rPr>
          <w:rFonts w:hint="eastAsia" w:ascii="仿宋_GB2312" w:eastAsia="仿宋_GB2312"/>
          <w:sz w:val="32"/>
          <w:szCs w:val="32"/>
        </w:rPr>
        <w:t>（二）继续完成脱贫攻坚目标任务。继续完善扶贫档案资料整理工作，完成危房改造，加大自主产业户发展规模，落实小额信贷扶贫措施，完成省定贫困村及重点帮扶村扶贫项目建设。抓好连心帮扶及固定扶贫日帮扶工作。</w:t>
      </w:r>
    </w:p>
    <w:p>
      <w:pPr>
        <w:ind w:firstLine="640" w:firstLineChars="200"/>
        <w:rPr>
          <w:rFonts w:hint="eastAsia" w:ascii="仿宋_GB2312" w:eastAsia="仿宋_GB2312"/>
          <w:sz w:val="32"/>
          <w:szCs w:val="32"/>
        </w:rPr>
      </w:pPr>
      <w:r>
        <w:rPr>
          <w:rFonts w:hint="eastAsia" w:ascii="仿宋_GB2312" w:eastAsia="仿宋_GB2312"/>
          <w:sz w:val="32"/>
          <w:szCs w:val="32"/>
        </w:rPr>
        <w:t>（三）加大安全生产和综治维稳排查力度。大力开展安全生产排查、平安创建和社会应急工作，不断加强安全生产排查频次和范围，加大村、社区平安创建红袖章巡逻。明确村、社区信访维稳工作程序，变上访为下访，坚持每周村情民意排查化解，不断调解各类纠纷，把问题解决在村组。坚决杜绝赴京、到省、进市非正常访，集体访和重大安全事故、社会治安案件的发生。</w:t>
      </w:r>
    </w:p>
    <w:p>
      <w:pPr>
        <w:ind w:firstLine="640" w:firstLineChars="200"/>
        <w:rPr>
          <w:rFonts w:hint="eastAsia" w:ascii="仿宋_GB2312" w:eastAsia="仿宋_GB2312"/>
          <w:color w:val="000000" w:themeColor="text1"/>
          <w:sz w:val="32"/>
          <w:szCs w:val="32"/>
        </w:rPr>
      </w:pPr>
      <w:r>
        <w:rPr>
          <w:rFonts w:hint="eastAsia" w:ascii="仿宋_GB2312" w:eastAsia="仿宋_GB2312"/>
          <w:color w:val="000000" w:themeColor="text1"/>
          <w:sz w:val="32"/>
          <w:szCs w:val="32"/>
        </w:rPr>
        <w:t>（四）主要经济指标及重点项目完成情况。2020年力争实现固定资产完成167000万元，引进内资3000万元，争取资金300万元，社会消费品零售总额完成271500万元，限上企业零售总额11633万元。重点抓好蓝田县食用菌精准扶贫产业基地、盛兴华庭、蓝田县城西商贸综合市场、西街二组安置综合楼建设、西街五组商住小区和大寨六组安置楼建设项目。</w:t>
      </w:r>
    </w:p>
    <w:p>
      <w:pPr>
        <w:ind w:firstLine="640" w:firstLineChars="200"/>
        <w:rPr>
          <w:rFonts w:hint="eastAsia" w:ascii="仿宋_GB2312" w:eastAsia="仿宋_GB2312"/>
          <w:sz w:val="32"/>
          <w:szCs w:val="32"/>
        </w:rPr>
      </w:pPr>
      <w:r>
        <w:rPr>
          <w:rFonts w:hint="eastAsia" w:ascii="仿宋_GB2312" w:eastAsia="仿宋_GB2312"/>
          <w:color w:val="000000" w:themeColor="text1"/>
          <w:sz w:val="32"/>
          <w:szCs w:val="32"/>
        </w:rPr>
        <w:t>（五）各项社会事业有序开展。切实抓好治污减霾、环境整治工作，继续推进农村垃圾、污</w:t>
      </w:r>
      <w:r>
        <w:rPr>
          <w:rFonts w:hint="eastAsia" w:ascii="仿宋_GB2312" w:eastAsia="仿宋_GB2312"/>
          <w:sz w:val="32"/>
          <w:szCs w:val="32"/>
        </w:rPr>
        <w:t>水、厕所改革，建立农村垃圾治理清运机制。认真落实民政低保工作、残疾人救助、医疗救助、廉租住房等各项民生政策。严防较大事故发生，常态化抓好防汛抗旱、森林防火工作，确保人民群众生命财产安全。</w:t>
      </w:r>
    </w:p>
    <w:p>
      <w:pPr>
        <w:ind w:firstLine="643" w:firstLineChars="200"/>
        <w:rPr>
          <w:rFonts w:hint="eastAsia" w:ascii="仿宋_GB2312" w:eastAsia="仿宋_GB2312"/>
          <w:b/>
          <w:bCs/>
          <w:sz w:val="32"/>
          <w:szCs w:val="32"/>
        </w:rPr>
      </w:pPr>
      <w:r>
        <w:rPr>
          <w:rFonts w:hint="eastAsia" w:ascii="仿宋_GB2312" w:eastAsia="仿宋_GB2312"/>
          <w:b/>
          <w:bCs/>
          <w:sz w:val="32"/>
          <w:szCs w:val="32"/>
        </w:rPr>
        <w:t>三、部门预算单位构成</w:t>
      </w:r>
    </w:p>
    <w:p>
      <w:pPr>
        <w:ind w:firstLine="640" w:firstLineChars="200"/>
        <w:rPr>
          <w:rFonts w:hint="eastAsia" w:ascii="仿宋_GB2312" w:eastAsia="仿宋_GB2312"/>
          <w:sz w:val="32"/>
          <w:szCs w:val="32"/>
        </w:rPr>
      </w:pPr>
      <w:r>
        <w:rPr>
          <w:rFonts w:hint="eastAsia" w:ascii="仿宋_GB2312" w:eastAsia="仿宋_GB2312"/>
          <w:sz w:val="32"/>
          <w:szCs w:val="32"/>
        </w:rPr>
        <w:t>从预算单位构成看，蓝关街道办事处的部门预算包括部门本级（机关）预算，无下属单位。</w:t>
      </w:r>
    </w:p>
    <w:p>
      <w:pPr>
        <w:ind w:firstLine="643" w:firstLineChars="200"/>
        <w:rPr>
          <w:rFonts w:hint="eastAsia" w:ascii="仿宋_GB2312" w:eastAsia="仿宋_GB2312"/>
          <w:b/>
          <w:bCs/>
          <w:sz w:val="32"/>
          <w:szCs w:val="32"/>
        </w:rPr>
      </w:pPr>
      <w:r>
        <w:rPr>
          <w:rFonts w:hint="eastAsia" w:ascii="仿宋_GB2312" w:eastAsia="仿宋_GB2312"/>
          <w:b/>
          <w:bCs/>
          <w:sz w:val="32"/>
          <w:szCs w:val="32"/>
        </w:rPr>
        <w:t>四、部门人员情况说明</w:t>
      </w:r>
    </w:p>
    <w:p>
      <w:pPr>
        <w:ind w:firstLine="640" w:firstLineChars="200"/>
        <w:rPr>
          <w:rFonts w:hint="eastAsia" w:ascii="仿宋_GB2312" w:eastAsia="仿宋_GB2312"/>
          <w:sz w:val="32"/>
          <w:szCs w:val="32"/>
        </w:rPr>
      </w:pPr>
      <w:r>
        <w:rPr>
          <w:rFonts w:hint="eastAsia" w:ascii="仿宋_GB2312" w:eastAsia="仿宋_GB2312"/>
          <w:sz w:val="32"/>
          <w:szCs w:val="32"/>
        </w:rPr>
        <w:t>截止2020年底，本部门人员编制70人，其中行政编制40人，事业编制30人，实有人员85人，其中行政42人，事业43人。单位管理的离退休人员50人。</w:t>
      </w:r>
    </w:p>
    <w:p>
      <w:pPr>
        <w:rPr>
          <w:rFonts w:hint="eastAsia" w:ascii="仿宋_GB2312" w:eastAsia="仿宋_GB2312"/>
          <w:sz w:val="32"/>
          <w:szCs w:val="32"/>
        </w:rPr>
      </w:pPr>
      <w:r>
        <w:rPr>
          <w:rFonts w:hint="eastAsia" w:eastAsia="仿宋_GB2312"/>
          <w:sz w:val="32"/>
          <w:szCs w:val="32"/>
        </w:rPr>
        <w:t> </w:t>
      </w:r>
      <w:r>
        <w:rPr>
          <w:rFonts w:hint="eastAsia" w:ascii="仿宋_GB2312" w:eastAsia="仿宋_GB2312"/>
          <w:sz w:val="32"/>
          <w:szCs w:val="32"/>
        </w:rPr>
        <w:drawing>
          <wp:inline distT="0" distB="0" distL="114300" distR="114300">
            <wp:extent cx="5356225" cy="2552065"/>
            <wp:effectExtent l="4445" t="4445" r="19050" b="1905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ind w:firstLine="643" w:firstLineChars="200"/>
        <w:rPr>
          <w:rFonts w:hint="eastAsia" w:ascii="仿宋_GB2312" w:eastAsia="仿宋_GB2312"/>
          <w:b/>
          <w:bCs/>
          <w:sz w:val="32"/>
          <w:szCs w:val="32"/>
        </w:rPr>
      </w:pPr>
      <w:r>
        <w:rPr>
          <w:rFonts w:hint="eastAsia" w:ascii="仿宋_GB2312" w:eastAsia="仿宋_GB2312"/>
          <w:b/>
          <w:bCs/>
          <w:sz w:val="32"/>
          <w:szCs w:val="32"/>
        </w:rPr>
        <w:t>五、2020年部门预算收支说明</w:t>
      </w:r>
    </w:p>
    <w:p>
      <w:pPr>
        <w:numPr>
          <w:ilvl w:val="0"/>
          <w:numId w:val="1"/>
        </w:numPr>
        <w:ind w:firstLine="640" w:firstLineChars="200"/>
        <w:rPr>
          <w:rFonts w:hint="eastAsia" w:ascii="仿宋_GB2312" w:eastAsia="仿宋_GB2312"/>
          <w:sz w:val="32"/>
          <w:szCs w:val="32"/>
        </w:rPr>
      </w:pPr>
      <w:r>
        <w:rPr>
          <w:rFonts w:hint="eastAsia" w:ascii="仿宋_GB2312" w:eastAsia="仿宋_GB2312"/>
          <w:sz w:val="32"/>
          <w:szCs w:val="32"/>
        </w:rPr>
        <w:t>收支预算总体情况</w:t>
      </w:r>
    </w:p>
    <w:p>
      <w:pPr>
        <w:ind w:firstLine="640" w:firstLineChars="200"/>
        <w:rPr>
          <w:rFonts w:hint="eastAsia" w:ascii="仿宋_GB2312" w:eastAsia="仿宋_GB2312"/>
          <w:sz w:val="32"/>
          <w:szCs w:val="32"/>
        </w:rPr>
      </w:pPr>
      <w:r>
        <w:rPr>
          <w:rFonts w:hint="eastAsia" w:ascii="仿宋_GB2312" w:eastAsia="仿宋_GB2312"/>
          <w:sz w:val="32"/>
          <w:szCs w:val="32"/>
        </w:rPr>
        <w:t>2020年本部门预算收入11049920元，其中一般公共预算拨款收入11049920元，政府性基金拨款收入0元，2020年本部门预算收入较2019年减少了1692682元，减少13.28%；主要原因是减少了扶贫项目资金，2020年本部门预算支出11049920元，其中一般公共预算拨款支出11049920元，政府性基金拨款支出0元，2020年本部门预算较2019年减少了1692682元，减少13.28%，主要原因是减少了项目扶贫资金。</w:t>
      </w:r>
    </w:p>
    <w:p>
      <w:pPr>
        <w:ind w:firstLine="640" w:firstLineChars="200"/>
        <w:rPr>
          <w:rFonts w:hint="eastAsia" w:ascii="仿宋_GB2312" w:eastAsia="仿宋_GB2312"/>
          <w:sz w:val="32"/>
          <w:szCs w:val="32"/>
        </w:rPr>
      </w:pPr>
      <w:r>
        <w:rPr>
          <w:rFonts w:hint="eastAsia" w:ascii="仿宋_GB2312" w:eastAsia="仿宋_GB2312"/>
          <w:sz w:val="32"/>
          <w:szCs w:val="32"/>
        </w:rPr>
        <w:drawing>
          <wp:inline distT="0" distB="0" distL="114300" distR="114300">
            <wp:extent cx="5304790" cy="2819400"/>
            <wp:effectExtent l="4445" t="4445" r="5715" b="14605"/>
            <wp:docPr id="3"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numPr>
          <w:ilvl w:val="0"/>
          <w:numId w:val="1"/>
        </w:numPr>
        <w:ind w:firstLine="640" w:firstLineChars="200"/>
        <w:rPr>
          <w:rFonts w:hint="eastAsia" w:ascii="仿宋_GB2312" w:eastAsia="仿宋_GB2312"/>
          <w:sz w:val="32"/>
          <w:szCs w:val="32"/>
        </w:rPr>
      </w:pPr>
      <w:r>
        <w:rPr>
          <w:rFonts w:hint="eastAsia" w:ascii="仿宋_GB2312" w:eastAsia="仿宋_GB2312"/>
          <w:sz w:val="32"/>
          <w:szCs w:val="32"/>
        </w:rPr>
        <w:t>财政拨款收支情况。</w:t>
      </w:r>
    </w:p>
    <w:p>
      <w:pPr>
        <w:ind w:firstLine="640" w:firstLineChars="200"/>
        <w:rPr>
          <w:rFonts w:hint="eastAsia" w:ascii="仿宋_GB2312" w:eastAsia="仿宋_GB2312"/>
          <w:sz w:val="32"/>
          <w:szCs w:val="32"/>
        </w:rPr>
      </w:pPr>
      <w:r>
        <w:rPr>
          <w:rFonts w:hint="eastAsia" w:ascii="仿宋_GB2312" w:eastAsia="仿宋_GB2312"/>
          <w:sz w:val="32"/>
          <w:szCs w:val="32"/>
        </w:rPr>
        <w:t>2020年本部门财政拨款收入11049920元，其中一般公共预算拨款收入11049920元、政府性基金拨款收入0元，2020年本部门财政拨款收入较上年减少1692682元，主要原因是减少了项目扶贫资金；2020年本部门财政拨款支出11049920元，其中一般公共预算拨款支出11049920元、政府性基金拨款支出0元，2020年部门财政拨款支出较上年减少1692682元，主要原因是减少了项目扶贫资金。</w:t>
      </w:r>
    </w:p>
    <w:p>
      <w:pPr>
        <w:ind w:firstLine="640" w:firstLineChars="200"/>
        <w:rPr>
          <w:rFonts w:hint="eastAsia" w:ascii="仿宋_GB2312" w:eastAsia="仿宋_GB2312"/>
          <w:sz w:val="32"/>
          <w:szCs w:val="32"/>
        </w:rPr>
      </w:pPr>
      <w:r>
        <w:rPr>
          <w:rFonts w:hint="eastAsia" w:ascii="仿宋_GB2312" w:eastAsia="仿宋_GB2312"/>
          <w:sz w:val="32"/>
          <w:szCs w:val="32"/>
        </w:rPr>
        <w:drawing>
          <wp:inline distT="0" distB="0" distL="114300" distR="114300">
            <wp:extent cx="5269865" cy="3198495"/>
            <wp:effectExtent l="4445" t="4445" r="21590" b="16510"/>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r>
        <w:rPr>
          <w:rFonts w:hint="eastAsia" w:ascii="仿宋_GB2312" w:eastAsia="仿宋_GB2312"/>
          <w:sz w:val="32"/>
          <w:szCs w:val="32"/>
        </w:rPr>
        <w:t>（三）一般公共预算支出明细情况</w:t>
      </w:r>
    </w:p>
    <w:p>
      <w:pPr>
        <w:ind w:firstLine="640" w:firstLineChars="200"/>
        <w:rPr>
          <w:rFonts w:hint="eastAsia" w:ascii="仿宋_GB2312" w:eastAsia="仿宋_GB2312"/>
          <w:sz w:val="32"/>
          <w:szCs w:val="32"/>
        </w:rPr>
      </w:pPr>
      <w:r>
        <w:rPr>
          <w:rFonts w:hint="eastAsia" w:ascii="仿宋_GB2312" w:eastAsia="仿宋_GB2312"/>
          <w:sz w:val="32"/>
          <w:szCs w:val="32"/>
        </w:rPr>
        <w:t>1、一般公共预算当年拨款规模变化情况。</w:t>
      </w:r>
    </w:p>
    <w:p>
      <w:pPr>
        <w:ind w:firstLine="640" w:firstLineChars="200"/>
        <w:rPr>
          <w:rFonts w:hint="eastAsia" w:ascii="仿宋_GB2312" w:eastAsia="仿宋_GB2312"/>
          <w:sz w:val="32"/>
          <w:szCs w:val="32"/>
        </w:rPr>
      </w:pPr>
      <w:r>
        <w:rPr>
          <w:rFonts w:hint="eastAsia" w:ascii="仿宋_GB2312" w:eastAsia="仿宋_GB2312"/>
          <w:sz w:val="32"/>
          <w:szCs w:val="32"/>
        </w:rPr>
        <w:t>2020年本部门一般公共预算拨款支出11049920元，比上年减少了13.28%，主要原因为扶贫项目资金减少。</w:t>
      </w:r>
    </w:p>
    <w:p>
      <w:pPr>
        <w:ind w:firstLine="640" w:firstLineChars="200"/>
        <w:rPr>
          <w:rFonts w:hint="eastAsia" w:ascii="仿宋_GB2312" w:eastAsia="仿宋_GB2312"/>
          <w:sz w:val="32"/>
          <w:szCs w:val="32"/>
        </w:rPr>
      </w:pPr>
      <w:r>
        <w:rPr>
          <w:rFonts w:hint="eastAsia" w:ascii="仿宋_GB2312" w:eastAsia="仿宋_GB2312"/>
          <w:sz w:val="32"/>
          <w:szCs w:val="32"/>
        </w:rPr>
        <w:t>2、支出按功能科目分类的明细情况</w:t>
      </w:r>
    </w:p>
    <w:p>
      <w:pPr>
        <w:ind w:firstLine="640" w:firstLineChars="200"/>
        <w:rPr>
          <w:rFonts w:hint="eastAsia" w:ascii="仿宋_GB2312" w:eastAsia="仿宋_GB2312"/>
          <w:sz w:val="32"/>
          <w:szCs w:val="32"/>
        </w:rPr>
      </w:pPr>
      <w:r>
        <w:rPr>
          <w:rFonts w:hint="eastAsia" w:ascii="仿宋_GB2312" w:eastAsia="仿宋_GB2312"/>
          <w:sz w:val="32"/>
          <w:szCs w:val="32"/>
        </w:rPr>
        <w:t>本部门2020年一般公共预算支出11049920元，其中：</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行政运行（2010301）4290553元，较上年增加504545元，比上年增加了13.32%，主要原因为工资调整及将车补纳入预算，及增加公用经费。</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事业运行（2010650）20000元，较上年减少0元，和上年一样。</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机构运行（2130601）0元，本年及上年无机构运行费用。</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一般行政管理事务（2010602）100000元，较上年减少0元，比上年减少了0%，主要原因是与上年一致。</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群众文化（2070109）201528元，较上年减少135000元，比上年减少40%，主要原因是人员减少经费减少。</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综合业务管理（2080104）1228202元，较上年增加710754元，比上年增加37%，主要原因是人员增加经费增加。</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基层政权和社区建设（2080208）1822767元，较上年减少150585元，比上年减少15.77%，主要原因是项目减少。</w:t>
      </w:r>
    </w:p>
    <w:p>
      <w:pPr>
        <w:numPr>
          <w:ilvl w:val="0"/>
          <w:numId w:val="2"/>
        </w:numPr>
        <w:ind w:firstLine="640" w:firstLineChars="200"/>
        <w:rPr>
          <w:rFonts w:hint="eastAsia" w:ascii="仿宋_GB2312" w:eastAsia="仿宋_GB2312"/>
          <w:sz w:val="32"/>
          <w:szCs w:val="32"/>
        </w:rPr>
      </w:pPr>
      <w:r>
        <w:rPr>
          <w:rFonts w:hint="eastAsia" w:ascii="仿宋_GB2312" w:eastAsia="仿宋_GB2312"/>
          <w:sz w:val="32"/>
          <w:szCs w:val="32"/>
        </w:rPr>
        <w:t>事业运行（2130104）975662元，较上年减少212225元，较上年减少17.86%，主要原因是经费减少项目减少。</w:t>
      </w:r>
    </w:p>
    <w:p>
      <w:pPr>
        <w:ind w:firstLine="640" w:firstLineChars="200"/>
        <w:rPr>
          <w:rFonts w:hint="eastAsia" w:ascii="仿宋_GB2312" w:eastAsia="仿宋_GB2312"/>
          <w:sz w:val="32"/>
          <w:szCs w:val="32"/>
        </w:rPr>
      </w:pPr>
      <w:r>
        <w:rPr>
          <w:rFonts w:hint="eastAsia" w:ascii="仿宋_GB2312" w:eastAsia="仿宋_GB2312"/>
          <w:sz w:val="32"/>
          <w:szCs w:val="32"/>
        </w:rPr>
        <w:t>3、支出按经济科目分类的明细情况</w:t>
      </w:r>
    </w:p>
    <w:p>
      <w:pPr>
        <w:ind w:firstLine="640" w:firstLineChars="200"/>
        <w:rPr>
          <w:rFonts w:hint="eastAsia" w:ascii="仿宋_GB2312" w:eastAsia="仿宋_GB2312"/>
          <w:sz w:val="32"/>
          <w:szCs w:val="32"/>
        </w:rPr>
      </w:pPr>
      <w:r>
        <w:rPr>
          <w:rFonts w:hint="eastAsia" w:ascii="仿宋_GB2312" w:eastAsia="仿宋_GB2312"/>
          <w:sz w:val="32"/>
          <w:szCs w:val="32"/>
        </w:rPr>
        <w:t>（1）部门预算情况说明</w:t>
      </w:r>
    </w:p>
    <w:p>
      <w:pPr>
        <w:ind w:firstLine="640" w:firstLineChars="200"/>
        <w:rPr>
          <w:rFonts w:hint="eastAsia" w:ascii="仿宋_GB2312" w:eastAsia="仿宋_GB2312"/>
          <w:sz w:val="32"/>
          <w:szCs w:val="32"/>
        </w:rPr>
      </w:pPr>
      <w:r>
        <w:rPr>
          <w:rFonts w:hint="eastAsia" w:ascii="仿宋_GB2312" w:eastAsia="仿宋_GB2312"/>
          <w:sz w:val="32"/>
          <w:szCs w:val="32"/>
        </w:rPr>
        <w:t>2020年本部门一般公共预算支出11049920元，其中：</w:t>
      </w:r>
    </w:p>
    <w:p>
      <w:pPr>
        <w:ind w:firstLine="640" w:firstLineChars="200"/>
        <w:rPr>
          <w:rFonts w:hint="eastAsia" w:ascii="仿宋_GB2312" w:eastAsia="仿宋_GB2312"/>
          <w:sz w:val="32"/>
          <w:szCs w:val="32"/>
        </w:rPr>
      </w:pPr>
      <w:r>
        <w:rPr>
          <w:rFonts w:hint="eastAsia" w:ascii="仿宋_GB2312" w:eastAsia="仿宋_GB2312"/>
          <w:sz w:val="32"/>
          <w:szCs w:val="32"/>
        </w:rPr>
        <w:t>工资福利支出2020年8146159元，2019年工资福利支出7581769元，较上年增加了564389元，增加了7.4%；原因是工资及绩效工资增加；</w:t>
      </w:r>
    </w:p>
    <w:p>
      <w:pPr>
        <w:ind w:firstLine="640" w:firstLineChars="200"/>
        <w:rPr>
          <w:rFonts w:hint="eastAsia" w:ascii="仿宋_GB2312" w:eastAsia="仿宋_GB2312"/>
          <w:sz w:val="32"/>
          <w:szCs w:val="32"/>
        </w:rPr>
      </w:pPr>
      <w:r>
        <w:rPr>
          <w:rFonts w:hint="eastAsia" w:ascii="仿宋_GB2312" w:eastAsia="仿宋_GB2312"/>
          <w:sz w:val="32"/>
          <w:szCs w:val="32"/>
        </w:rPr>
        <w:t>商品服务支出2020年2616472元，2019年商品服务支出2518600元，较上年增加了97872元，增加了3%；原因是工会经费增加。</w:t>
      </w:r>
    </w:p>
    <w:p>
      <w:pPr>
        <w:ind w:firstLine="640" w:firstLineChars="200"/>
        <w:rPr>
          <w:rFonts w:hint="eastAsia" w:ascii="仿宋_GB2312" w:eastAsia="仿宋_GB2312"/>
          <w:sz w:val="32"/>
          <w:szCs w:val="32"/>
        </w:rPr>
      </w:pPr>
      <w:r>
        <w:rPr>
          <w:rFonts w:hint="eastAsia" w:ascii="仿宋_GB2312" w:eastAsia="仿宋_GB2312"/>
          <w:sz w:val="32"/>
          <w:szCs w:val="32"/>
        </w:rPr>
        <w:t>对个人和家庭补助2020年287289元，2019年对个人和家庭补助支出2642233元，比上年减少了2354944元，减少89%。增减原因主要是2020年将村级对个人和家庭补助（村干部工资）调至人员经费之中。</w:t>
      </w:r>
    </w:p>
    <w:p>
      <w:pPr>
        <w:numPr>
          <w:ilvl w:val="0"/>
          <w:numId w:val="3"/>
        </w:numPr>
        <w:ind w:firstLine="640" w:firstLineChars="200"/>
        <w:rPr>
          <w:rFonts w:hint="eastAsia" w:ascii="仿宋_GB2312" w:eastAsia="仿宋_GB2312"/>
          <w:sz w:val="32"/>
          <w:szCs w:val="32"/>
        </w:rPr>
      </w:pPr>
      <w:r>
        <w:rPr>
          <w:rFonts w:hint="eastAsia" w:ascii="仿宋_GB2312" w:eastAsia="仿宋_GB2312"/>
          <w:sz w:val="32"/>
          <w:szCs w:val="32"/>
        </w:rPr>
        <w:t>政府预算支出情况说明</w:t>
      </w:r>
    </w:p>
    <w:p>
      <w:pPr>
        <w:ind w:firstLine="640" w:firstLineChars="200"/>
        <w:rPr>
          <w:rFonts w:hint="eastAsia" w:ascii="仿宋_GB2312" w:eastAsia="仿宋_GB2312"/>
          <w:sz w:val="32"/>
          <w:szCs w:val="32"/>
        </w:rPr>
      </w:pPr>
      <w:r>
        <w:rPr>
          <w:rFonts w:hint="eastAsia" w:ascii="仿宋_GB2312" w:eastAsia="仿宋_GB2312"/>
          <w:sz w:val="32"/>
          <w:szCs w:val="32"/>
        </w:rPr>
        <w:t>2020年本部门一般公共预算支出11049920元，其中：</w:t>
      </w:r>
    </w:p>
    <w:p>
      <w:pPr>
        <w:ind w:firstLine="640" w:firstLineChars="200"/>
        <w:rPr>
          <w:rFonts w:hint="eastAsia" w:ascii="仿宋_GB2312" w:eastAsia="仿宋_GB2312"/>
          <w:sz w:val="32"/>
          <w:szCs w:val="32"/>
        </w:rPr>
      </w:pPr>
      <w:r>
        <w:rPr>
          <w:rFonts w:hint="eastAsia" w:ascii="仿宋_GB2312" w:eastAsia="仿宋_GB2312"/>
          <w:sz w:val="32"/>
          <w:szCs w:val="32"/>
        </w:rPr>
        <w:t>工资福利支出2020年8146159元，2019年工资福利支出7581769元，较上年增加了564389元，增加了7.4%；原因是工资及绩效工资增加；</w:t>
      </w:r>
    </w:p>
    <w:p>
      <w:pPr>
        <w:ind w:firstLine="640" w:firstLineChars="200"/>
        <w:rPr>
          <w:rFonts w:hint="eastAsia" w:ascii="仿宋_GB2312" w:eastAsia="仿宋_GB2312"/>
          <w:sz w:val="32"/>
          <w:szCs w:val="32"/>
        </w:rPr>
      </w:pPr>
      <w:r>
        <w:rPr>
          <w:rFonts w:hint="eastAsia" w:ascii="仿宋_GB2312" w:eastAsia="仿宋_GB2312"/>
          <w:sz w:val="32"/>
          <w:szCs w:val="32"/>
        </w:rPr>
        <w:t>商品服务支出2020年2616472元，2019年商品服务支出2518600元，较上年增加了97872元，增加了3%；原因是工会经费增加。</w:t>
      </w:r>
    </w:p>
    <w:p>
      <w:pPr>
        <w:ind w:firstLine="640" w:firstLineChars="200"/>
        <w:rPr>
          <w:rFonts w:hint="eastAsia" w:ascii="仿宋_GB2312" w:eastAsia="仿宋_GB2312"/>
          <w:sz w:val="32"/>
          <w:szCs w:val="32"/>
        </w:rPr>
      </w:pPr>
      <w:r>
        <w:rPr>
          <w:rFonts w:hint="eastAsia" w:ascii="仿宋_GB2312" w:eastAsia="仿宋_GB2312"/>
          <w:sz w:val="32"/>
          <w:szCs w:val="32"/>
        </w:rPr>
        <w:t>对个人和家庭补助2020年287289元，2019年对个人和家庭补助支出2642233元，比上年减少了2354944元，减少89%。增减原因主要是2020年将村级对个人和家庭补助（村干部工资）调至人员经费之中。</w:t>
      </w:r>
    </w:p>
    <w:p>
      <w:pPr>
        <w:ind w:firstLine="640" w:firstLineChars="200"/>
        <w:rPr>
          <w:rFonts w:hint="eastAsia" w:ascii="仿宋_GB2312" w:eastAsia="仿宋_GB2312"/>
          <w:sz w:val="32"/>
          <w:szCs w:val="32"/>
        </w:rPr>
      </w:pPr>
      <w:r>
        <w:rPr>
          <w:rFonts w:hint="eastAsia" w:ascii="仿宋_GB2312" w:eastAsia="仿宋_GB2312"/>
          <w:sz w:val="32"/>
          <w:szCs w:val="32"/>
        </w:rPr>
        <w:t>（四）政府性基金预算支出情况。</w:t>
      </w:r>
    </w:p>
    <w:p>
      <w:pPr>
        <w:ind w:firstLine="640" w:firstLineChars="200"/>
        <w:rPr>
          <w:rFonts w:hint="eastAsia" w:ascii="仿宋_GB2312" w:eastAsia="仿宋_GB2312"/>
          <w:sz w:val="32"/>
          <w:szCs w:val="32"/>
        </w:rPr>
      </w:pPr>
      <w:r>
        <w:rPr>
          <w:rFonts w:hint="eastAsia" w:ascii="仿宋_GB2312" w:eastAsia="仿宋_GB2312"/>
          <w:sz w:val="32"/>
          <w:szCs w:val="32"/>
        </w:rPr>
        <w:t>2020年本部门无政府性基金预算收支，并已公开空表。</w:t>
      </w:r>
    </w:p>
    <w:p>
      <w:pPr>
        <w:numPr>
          <w:ilvl w:val="0"/>
          <w:numId w:val="4"/>
        </w:numPr>
        <w:ind w:firstLine="640" w:firstLineChars="200"/>
        <w:rPr>
          <w:rFonts w:hint="eastAsia" w:ascii="仿宋_GB2312" w:eastAsia="仿宋_GB2312"/>
          <w:sz w:val="32"/>
          <w:szCs w:val="32"/>
        </w:rPr>
      </w:pPr>
      <w:r>
        <w:rPr>
          <w:rFonts w:hint="eastAsia" w:ascii="仿宋_GB2312" w:eastAsia="仿宋_GB2312"/>
          <w:sz w:val="32"/>
          <w:szCs w:val="32"/>
        </w:rPr>
        <w:t>国有资本经营预算拨款收支情况。</w:t>
      </w:r>
    </w:p>
    <w:p>
      <w:pPr>
        <w:ind w:firstLine="640" w:firstLineChars="200"/>
        <w:rPr>
          <w:rFonts w:hint="eastAsia" w:ascii="仿宋_GB2312" w:eastAsia="仿宋_GB2312"/>
          <w:sz w:val="32"/>
          <w:szCs w:val="32"/>
        </w:rPr>
      </w:pPr>
      <w:r>
        <w:rPr>
          <w:rFonts w:hint="eastAsia" w:ascii="仿宋_GB2312" w:eastAsia="仿宋_GB2312"/>
          <w:sz w:val="32"/>
          <w:szCs w:val="32"/>
        </w:rPr>
        <w:t>本部门无国有资本经营预算拨款收支。</w:t>
      </w:r>
    </w:p>
    <w:p>
      <w:pPr>
        <w:ind w:firstLine="643" w:firstLineChars="200"/>
        <w:rPr>
          <w:rFonts w:hint="eastAsia" w:ascii="仿宋_GB2312" w:eastAsia="仿宋_GB2312"/>
          <w:b/>
          <w:bCs/>
          <w:sz w:val="32"/>
          <w:szCs w:val="32"/>
        </w:rPr>
      </w:pPr>
      <w:r>
        <w:rPr>
          <w:rFonts w:hint="eastAsia" w:ascii="仿宋_GB2312" w:eastAsia="仿宋_GB2312"/>
          <w:b/>
          <w:bCs/>
          <w:sz w:val="32"/>
          <w:szCs w:val="32"/>
        </w:rPr>
        <w:t>六、部门三公经费预算情况说明</w:t>
      </w:r>
    </w:p>
    <w:p>
      <w:pPr>
        <w:ind w:firstLine="640" w:firstLineChars="200"/>
        <w:rPr>
          <w:rFonts w:hint="eastAsia" w:ascii="仿宋_GB2312" w:eastAsia="仿宋_GB2312"/>
          <w:sz w:val="32"/>
          <w:szCs w:val="32"/>
        </w:rPr>
      </w:pPr>
      <w:r>
        <w:rPr>
          <w:rFonts w:hint="eastAsia" w:ascii="仿宋_GB2312" w:eastAsia="仿宋_GB2312"/>
          <w:sz w:val="32"/>
          <w:szCs w:val="32"/>
        </w:rPr>
        <w:t>2020年本部门一般公共预算“三公”经费预算支出90000元，较上年减少40000元，减少的主要原因是公务接待费减少。其中：无因公出国经费，会议费30000元，较上年减少0元，主要原因是与上年一致；培训费20000元，较上年减少0元；主要原因是与上年一致，公务接待费30000元，较上年减少30000元；主要原因是单位履行节俭尽量少开支，公务用车维护费用50000元，较上年减少0元，主要原因是与上年一致。公务用车购置费2019年2020年未产生。我单位结合</w:t>
      </w:r>
      <w:r>
        <w:rPr>
          <w:rFonts w:hint="eastAsia" w:ascii="仿宋_GB2312" w:eastAsia="仿宋_GB2312"/>
          <w:sz w:val="32"/>
          <w:szCs w:val="32"/>
          <w:lang w:val="en-US" w:eastAsia="zh-CN"/>
        </w:rPr>
        <w:t>中央</w:t>
      </w:r>
      <w:r>
        <w:rPr>
          <w:rFonts w:hint="eastAsia" w:ascii="仿宋_GB2312" w:eastAsia="仿宋_GB2312"/>
          <w:sz w:val="32"/>
          <w:szCs w:val="32"/>
        </w:rPr>
        <w:t>八项规定</w:t>
      </w:r>
      <w:bookmarkStart w:id="0" w:name="_GoBack"/>
      <w:bookmarkEnd w:id="0"/>
      <w:r>
        <w:rPr>
          <w:rFonts w:hint="eastAsia" w:ascii="仿宋_GB2312" w:eastAsia="仿宋_GB2312"/>
          <w:sz w:val="32"/>
          <w:szCs w:val="32"/>
        </w:rPr>
        <w:t>、“四风”规定，严格控制“三公”经费，切实厉行节约。</w:t>
      </w:r>
    </w:p>
    <w:p>
      <w:pPr>
        <w:ind w:firstLine="643" w:firstLineChars="200"/>
        <w:rPr>
          <w:rFonts w:hint="eastAsia" w:ascii="仿宋_GB2312" w:eastAsia="仿宋_GB2312"/>
          <w:b/>
          <w:bCs/>
          <w:sz w:val="32"/>
          <w:szCs w:val="32"/>
        </w:rPr>
      </w:pPr>
      <w:r>
        <w:rPr>
          <w:rFonts w:hint="eastAsia" w:ascii="仿宋_GB2312" w:eastAsia="仿宋_GB2312"/>
          <w:b/>
          <w:bCs/>
          <w:sz w:val="32"/>
          <w:szCs w:val="32"/>
        </w:rPr>
        <w:t>七、部门国有资产占有使用及资产购置情况说明</w:t>
      </w:r>
    </w:p>
    <w:p>
      <w:pPr>
        <w:ind w:firstLine="640" w:firstLineChars="200"/>
        <w:rPr>
          <w:rFonts w:hint="eastAsia" w:ascii="仿宋_GB2312" w:eastAsia="仿宋_GB2312"/>
          <w:sz w:val="32"/>
          <w:szCs w:val="32"/>
        </w:rPr>
      </w:pPr>
      <w:r>
        <w:rPr>
          <w:rFonts w:hint="eastAsia" w:ascii="仿宋_GB2312" w:eastAsia="仿宋_GB2312"/>
          <w:sz w:val="32"/>
          <w:szCs w:val="32"/>
        </w:rPr>
        <w:t>截止2019年底，本部门所属预算单位共有车辆2辆，无单价20万元以上的设备，2020年本部门无车辆购置安排及单价20万元以上的设备购置。</w:t>
      </w:r>
    </w:p>
    <w:p>
      <w:pPr>
        <w:ind w:firstLine="643" w:firstLineChars="200"/>
        <w:rPr>
          <w:rFonts w:hint="eastAsia" w:ascii="仿宋_GB2312" w:eastAsia="仿宋_GB2312"/>
          <w:sz w:val="32"/>
          <w:szCs w:val="32"/>
        </w:rPr>
      </w:pPr>
      <w:r>
        <w:rPr>
          <w:rFonts w:hint="eastAsia" w:ascii="仿宋_GB2312" w:eastAsia="仿宋_GB2312"/>
          <w:b/>
          <w:bCs/>
          <w:sz w:val="32"/>
          <w:szCs w:val="32"/>
        </w:rPr>
        <w:t>八、部门政府采购情况说明</w:t>
      </w:r>
      <w:r>
        <w:rPr>
          <w:rFonts w:hint="eastAsia" w:ascii="仿宋_GB2312" w:eastAsia="仿宋_GB2312"/>
          <w:sz w:val="32"/>
          <w:szCs w:val="32"/>
        </w:rPr>
        <w:t>政府采购情况</w:t>
      </w:r>
    </w:p>
    <w:p>
      <w:pPr>
        <w:ind w:firstLine="640" w:firstLineChars="200"/>
        <w:rPr>
          <w:rFonts w:hint="eastAsia" w:ascii="仿宋_GB2312" w:eastAsia="仿宋_GB2312"/>
          <w:sz w:val="32"/>
          <w:szCs w:val="32"/>
        </w:rPr>
      </w:pPr>
      <w:r>
        <w:rPr>
          <w:rFonts w:hint="eastAsia" w:ascii="仿宋_GB2312" w:eastAsia="仿宋_GB2312"/>
          <w:sz w:val="32"/>
          <w:szCs w:val="32"/>
        </w:rPr>
        <w:t>2020年本部门2020年无政府采购预算，并已公开空表。</w:t>
      </w:r>
    </w:p>
    <w:p>
      <w:pPr>
        <w:ind w:firstLine="643" w:firstLineChars="200"/>
        <w:rPr>
          <w:rFonts w:hint="eastAsia" w:ascii="仿宋_GB2312" w:eastAsia="仿宋_GB2312"/>
          <w:b/>
          <w:bCs/>
          <w:sz w:val="32"/>
          <w:szCs w:val="32"/>
        </w:rPr>
      </w:pPr>
      <w:r>
        <w:rPr>
          <w:rFonts w:hint="eastAsia" w:ascii="仿宋_GB2312" w:eastAsia="仿宋_GB2312"/>
          <w:b/>
          <w:bCs/>
          <w:sz w:val="32"/>
          <w:szCs w:val="32"/>
        </w:rPr>
        <w:t>九、部门预算绩效目标说明</w:t>
      </w:r>
    </w:p>
    <w:p>
      <w:pPr>
        <w:ind w:firstLine="640" w:firstLineChars="200"/>
        <w:rPr>
          <w:rFonts w:hint="eastAsia" w:ascii="仿宋_GB2312" w:eastAsia="仿宋_GB2312"/>
          <w:sz w:val="32"/>
          <w:szCs w:val="32"/>
        </w:rPr>
      </w:pPr>
      <w:r>
        <w:rPr>
          <w:rFonts w:hint="eastAsia" w:ascii="仿宋_GB2312" w:hAnsi="宋体" w:eastAsia="仿宋_GB2312" w:cs="宋体"/>
          <w:color w:val="3D3D3C"/>
          <w:sz w:val="32"/>
          <w:szCs w:val="32"/>
          <w:shd w:val="clear" w:color="auto" w:fill="FFFFFF"/>
        </w:rPr>
        <w:t>2020年本部门还未全面展开绩效目标管理。以后工作中本部门将严格执行绩效管理制度，实现绩效目标管理全覆盖。</w:t>
      </w:r>
    </w:p>
    <w:p>
      <w:pPr>
        <w:ind w:firstLine="643" w:firstLineChars="200"/>
        <w:rPr>
          <w:rFonts w:hint="eastAsia" w:ascii="仿宋_GB2312" w:hAnsi="黑体" w:eastAsia="仿宋_GB2312" w:cs="黑体"/>
          <w:b/>
          <w:bCs/>
          <w:sz w:val="32"/>
          <w:szCs w:val="32"/>
        </w:rPr>
      </w:pPr>
      <w:r>
        <w:rPr>
          <w:rFonts w:hint="eastAsia" w:ascii="仿宋_GB2312" w:hAnsi="黑体" w:eastAsia="仿宋_GB2312" w:cs="黑体"/>
          <w:b/>
          <w:bCs/>
          <w:sz w:val="32"/>
          <w:szCs w:val="32"/>
        </w:rPr>
        <w:t>十、机关运行经费安排情况。</w:t>
      </w:r>
    </w:p>
    <w:p>
      <w:pPr>
        <w:ind w:firstLine="640" w:firstLineChars="200"/>
        <w:rPr>
          <w:rFonts w:hint="eastAsia" w:ascii="仿宋_GB2312" w:eastAsia="仿宋_GB2312"/>
          <w:sz w:val="32"/>
          <w:szCs w:val="32"/>
        </w:rPr>
      </w:pPr>
      <w:r>
        <w:rPr>
          <w:rFonts w:hint="eastAsia" w:ascii="仿宋_GB2312" w:hAnsi="黑体" w:eastAsia="仿宋_GB2312" w:cs="黑体"/>
          <w:sz w:val="32"/>
          <w:szCs w:val="32"/>
        </w:rPr>
        <w:t>本部门</w:t>
      </w:r>
      <w:r>
        <w:rPr>
          <w:rFonts w:hint="eastAsia" w:ascii="仿宋_GB2312" w:eastAsia="仿宋_GB2312"/>
          <w:sz w:val="32"/>
          <w:szCs w:val="32"/>
        </w:rPr>
        <w:t xml:space="preserve"> 2020年机关运行经费2616472元，2019年机关运行经费2518600元，增加97872元，增加原因是今年将工会经费纳入公用经费中。</w:t>
      </w:r>
    </w:p>
    <w:p>
      <w:pPr>
        <w:ind w:firstLine="643" w:firstLineChars="200"/>
        <w:rPr>
          <w:rFonts w:hint="eastAsia" w:ascii="仿宋_GB2312" w:eastAsia="仿宋_GB2312"/>
          <w:b/>
          <w:bCs/>
          <w:sz w:val="32"/>
          <w:szCs w:val="32"/>
        </w:rPr>
      </w:pPr>
      <w:r>
        <w:rPr>
          <w:rFonts w:hint="eastAsia" w:ascii="仿宋_GB2312" w:eastAsia="仿宋_GB2312"/>
          <w:b/>
          <w:bCs/>
          <w:sz w:val="32"/>
          <w:szCs w:val="32"/>
        </w:rPr>
        <w:t>十一、专业名词解释。</w:t>
      </w:r>
    </w:p>
    <w:p>
      <w:pPr>
        <w:numPr>
          <w:ilvl w:val="0"/>
          <w:numId w:val="5"/>
        </w:numPr>
        <w:ind w:firstLine="640" w:firstLineChars="200"/>
        <w:rPr>
          <w:rFonts w:hint="eastAsia" w:ascii="仿宋_GB2312" w:eastAsia="仿宋_GB2312"/>
          <w:sz w:val="32"/>
          <w:szCs w:val="32"/>
        </w:rPr>
      </w:pPr>
      <w:r>
        <w:rPr>
          <w:rFonts w:hint="eastAsia" w:ascii="仿宋_GB2312" w:eastAsia="仿宋_GB2312"/>
          <w:sz w:val="32"/>
          <w:szCs w:val="32"/>
        </w:rPr>
        <w:t>机关运行经费：指各部门的公用经费，包括办公及印刷费、邮电费、差旅费、会议费、福利费、日常维修费、专用材料及一般设备购置费、办公用房水电费、办公用房取暖费、办公用房物业管理费、公务用车运行维护费以及其他费用。</w:t>
      </w:r>
    </w:p>
    <w:p>
      <w:pPr>
        <w:numPr>
          <w:ilvl w:val="0"/>
          <w:numId w:val="5"/>
        </w:numPr>
        <w:ind w:firstLine="640" w:firstLineChars="200"/>
        <w:rPr>
          <w:rFonts w:hint="eastAsia" w:ascii="仿宋_GB2312" w:eastAsia="仿宋_GB2312"/>
          <w:sz w:val="32"/>
          <w:szCs w:val="32"/>
        </w:rPr>
      </w:pPr>
      <w:r>
        <w:rPr>
          <w:rFonts w:hint="eastAsia" w:ascii="仿宋_GB2312" w:eastAsia="仿宋_GB2312"/>
          <w:sz w:val="32"/>
          <w:szCs w:val="32"/>
        </w:rPr>
        <w:t>基本支出：指为保障机构正常运转、完成日常工作任务而发生的各项支出。</w:t>
      </w:r>
    </w:p>
    <w:p>
      <w:pPr>
        <w:numPr>
          <w:ilvl w:val="0"/>
          <w:numId w:val="5"/>
        </w:numPr>
        <w:ind w:firstLine="640" w:firstLineChars="200"/>
        <w:rPr>
          <w:rFonts w:hint="eastAsia" w:ascii="仿宋_GB2312" w:eastAsia="仿宋_GB2312"/>
          <w:sz w:val="32"/>
          <w:szCs w:val="32"/>
        </w:rPr>
      </w:pPr>
      <w:r>
        <w:rPr>
          <w:rFonts w:hint="eastAsia" w:ascii="仿宋_GB2312" w:eastAsia="仿宋_GB2312"/>
          <w:sz w:val="32"/>
          <w:szCs w:val="32"/>
        </w:rPr>
        <w:t xml:space="preserve">项目支出：指单位为完成特定的行政工作任务或事业发展目标所发生的各项支出。 </w:t>
      </w:r>
    </w:p>
    <w:p>
      <w:pPr>
        <w:numPr>
          <w:ilvl w:val="0"/>
          <w:numId w:val="5"/>
        </w:numPr>
        <w:ind w:firstLine="640" w:firstLineChars="200"/>
        <w:rPr>
          <w:rFonts w:hint="eastAsia" w:ascii="仿宋_GB2312" w:eastAsia="仿宋_GB2312"/>
          <w:sz w:val="32"/>
          <w:szCs w:val="32"/>
        </w:rPr>
      </w:pPr>
      <w:r>
        <w:rPr>
          <w:rFonts w:hint="eastAsia" w:ascii="仿宋_GB2312" w:eastAsia="仿宋_GB2312"/>
          <w:sz w:val="32"/>
          <w:szCs w:val="32"/>
        </w:rPr>
        <w:t>“三公”经费：指部门使用一般公共预算财政拨款安排的因公出国（境）费、公务用车购置及运行费和公务接待费支出。</w:t>
      </w:r>
    </w:p>
    <w:p>
      <w:pPr>
        <w:rPr>
          <w:rFonts w:hint="eastAsia"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5607BA"/>
    <w:multiLevelType w:val="singleLevel"/>
    <w:tmpl w:val="A95607BA"/>
    <w:lvl w:ilvl="0" w:tentative="0">
      <w:start w:val="1"/>
      <w:numFmt w:val="chineseCounting"/>
      <w:suff w:val="nothing"/>
      <w:lvlText w:val="（%1）"/>
      <w:lvlJc w:val="left"/>
      <w:rPr>
        <w:rFonts w:hint="eastAsia"/>
      </w:rPr>
    </w:lvl>
  </w:abstractNum>
  <w:abstractNum w:abstractNumId="1">
    <w:nsid w:val="CA489739"/>
    <w:multiLevelType w:val="singleLevel"/>
    <w:tmpl w:val="CA489739"/>
    <w:lvl w:ilvl="0" w:tentative="0">
      <w:start w:val="1"/>
      <w:numFmt w:val="decimal"/>
      <w:suff w:val="nothing"/>
      <w:lvlText w:val="（%1）"/>
      <w:lvlJc w:val="left"/>
    </w:lvl>
  </w:abstractNum>
  <w:abstractNum w:abstractNumId="2">
    <w:nsid w:val="E0393C56"/>
    <w:multiLevelType w:val="singleLevel"/>
    <w:tmpl w:val="E0393C56"/>
    <w:lvl w:ilvl="0" w:tentative="0">
      <w:start w:val="5"/>
      <w:numFmt w:val="chineseCounting"/>
      <w:suff w:val="nothing"/>
      <w:lvlText w:val="（%1）"/>
      <w:lvlJc w:val="left"/>
      <w:rPr>
        <w:rFonts w:hint="eastAsia"/>
      </w:rPr>
    </w:lvl>
  </w:abstractNum>
  <w:abstractNum w:abstractNumId="3">
    <w:nsid w:val="E0695247"/>
    <w:multiLevelType w:val="singleLevel"/>
    <w:tmpl w:val="E0695247"/>
    <w:lvl w:ilvl="0" w:tentative="0">
      <w:start w:val="2"/>
      <w:numFmt w:val="decimal"/>
      <w:suff w:val="nothing"/>
      <w:lvlText w:val="（%1）"/>
      <w:lvlJc w:val="left"/>
    </w:lvl>
  </w:abstractNum>
  <w:abstractNum w:abstractNumId="4">
    <w:nsid w:val="7AED2B37"/>
    <w:multiLevelType w:val="singleLevel"/>
    <w:tmpl w:val="7AED2B37"/>
    <w:lvl w:ilvl="0" w:tentative="0">
      <w:start w:val="1"/>
      <w:numFmt w:val="decimal"/>
      <w:suff w:val="nothing"/>
      <w:lvlText w:val="%1、"/>
      <w:lvlJc w:val="left"/>
      <w:pPr>
        <w:ind w:left="315" w:firstLine="0"/>
      </w:p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VhYjFmODgzYzM0NjExZTlhNzM0OTM0ZWZkMGMwZWYifQ=="/>
  </w:docVars>
  <w:rsids>
    <w:rsidRoot w:val="21C265FD"/>
    <w:rsid w:val="001838EC"/>
    <w:rsid w:val="002A2671"/>
    <w:rsid w:val="00954754"/>
    <w:rsid w:val="00F3507E"/>
    <w:rsid w:val="025B02B3"/>
    <w:rsid w:val="05787A27"/>
    <w:rsid w:val="07326E8B"/>
    <w:rsid w:val="0A5517CD"/>
    <w:rsid w:val="0C7D464B"/>
    <w:rsid w:val="0E671DCD"/>
    <w:rsid w:val="0F8C77F8"/>
    <w:rsid w:val="111B13BD"/>
    <w:rsid w:val="11D22A3E"/>
    <w:rsid w:val="139544F6"/>
    <w:rsid w:val="139B6776"/>
    <w:rsid w:val="14BA7483"/>
    <w:rsid w:val="14CE03B4"/>
    <w:rsid w:val="14DE2BA8"/>
    <w:rsid w:val="18277ED8"/>
    <w:rsid w:val="199E55C1"/>
    <w:rsid w:val="1CA26E73"/>
    <w:rsid w:val="1DBF4CF4"/>
    <w:rsid w:val="1E713C72"/>
    <w:rsid w:val="21864BD7"/>
    <w:rsid w:val="21C265FD"/>
    <w:rsid w:val="21DF5113"/>
    <w:rsid w:val="23242108"/>
    <w:rsid w:val="23B679A4"/>
    <w:rsid w:val="25AB089A"/>
    <w:rsid w:val="25EA1AA9"/>
    <w:rsid w:val="25FD788E"/>
    <w:rsid w:val="274A4B55"/>
    <w:rsid w:val="283311A8"/>
    <w:rsid w:val="2BB35E4E"/>
    <w:rsid w:val="2C0C09B7"/>
    <w:rsid w:val="31BD5484"/>
    <w:rsid w:val="330B4E24"/>
    <w:rsid w:val="33B737EB"/>
    <w:rsid w:val="360413F6"/>
    <w:rsid w:val="3B5C67CA"/>
    <w:rsid w:val="3C902617"/>
    <w:rsid w:val="3DA57CB3"/>
    <w:rsid w:val="42195EEF"/>
    <w:rsid w:val="422D5E6F"/>
    <w:rsid w:val="45384130"/>
    <w:rsid w:val="4836098C"/>
    <w:rsid w:val="4C307F89"/>
    <w:rsid w:val="4E1C7D4E"/>
    <w:rsid w:val="4EA15072"/>
    <w:rsid w:val="4EBD7AB4"/>
    <w:rsid w:val="51DD50AF"/>
    <w:rsid w:val="527E22A4"/>
    <w:rsid w:val="53D7785F"/>
    <w:rsid w:val="56216AFE"/>
    <w:rsid w:val="56810324"/>
    <w:rsid w:val="576F69D9"/>
    <w:rsid w:val="58CC1BD9"/>
    <w:rsid w:val="5B436886"/>
    <w:rsid w:val="5B9C2F82"/>
    <w:rsid w:val="5C266205"/>
    <w:rsid w:val="5E247900"/>
    <w:rsid w:val="6206618A"/>
    <w:rsid w:val="62C356C1"/>
    <w:rsid w:val="6827714B"/>
    <w:rsid w:val="68E96FB3"/>
    <w:rsid w:val="69657483"/>
    <w:rsid w:val="6AE222FF"/>
    <w:rsid w:val="6BDC62A3"/>
    <w:rsid w:val="6CD16148"/>
    <w:rsid w:val="6D535020"/>
    <w:rsid w:val="705D04B6"/>
    <w:rsid w:val="730F57E6"/>
    <w:rsid w:val="73F402BB"/>
    <w:rsid w:val="74C06F3F"/>
    <w:rsid w:val="756B6ED0"/>
    <w:rsid w:val="7D89759B"/>
    <w:rsid w:val="7DAF7571"/>
    <w:rsid w:val="7DCF759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uiPriority w:val="0"/>
    <w:rPr>
      <w:sz w:val="18"/>
      <w:szCs w:val="18"/>
    </w:r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75" w:after="75"/>
      <w:jc w:val="left"/>
    </w:pPr>
    <w:rPr>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customStyle="1" w:styleId="10">
    <w:name w:val="页眉 Char"/>
    <w:basedOn w:val="8"/>
    <w:link w:val="4"/>
    <w:uiPriority w:val="0"/>
    <w:rPr>
      <w:rFonts w:ascii="Calibri" w:hAnsi="Calibri" w:eastAsia="宋体" w:cs="Times New Roman"/>
      <w:kern w:val="2"/>
      <w:sz w:val="18"/>
      <w:szCs w:val="18"/>
    </w:rPr>
  </w:style>
  <w:style w:type="character" w:customStyle="1" w:styleId="11">
    <w:name w:val="页脚 Char"/>
    <w:basedOn w:val="8"/>
    <w:link w:val="3"/>
    <w:uiPriority w:val="0"/>
    <w:rPr>
      <w:rFonts w:ascii="Calibri" w:hAnsi="Calibri" w:eastAsia="宋体" w:cs="Times New Roman"/>
      <w:kern w:val="2"/>
      <w:sz w:val="18"/>
      <w:szCs w:val="18"/>
    </w:rPr>
  </w:style>
  <w:style w:type="character" w:customStyle="1" w:styleId="12">
    <w:name w:val="批注框文本 Char"/>
    <w:basedOn w:val="8"/>
    <w:link w:val="2"/>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hart" Target="charts/chart3.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Administrator\Desktop\&#26032;&#24314;%20XLS%20&#24037;&#20316;&#34920;.xls"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2019</a:t>
            </a:r>
            <a:r>
              <a:rPr altLang="zh-CN"/>
              <a:t>单位人员构成</a:t>
            </a:r>
            <a:endParaRPr altLang="zh-CN"/>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总人数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Sheet1!$B$2:$B$5</c15:sqref>
                  </c15:fullRef>
                </c:ext>
              </c:extLst>
              <c:f>Sheet1!$B$2:$B$4</c:f>
              <c:numCache>
                <c:formatCode>General</c:formatCode>
                <c:ptCount val="3"/>
                <c:pt idx="0">
                  <c:v>70</c:v>
                </c:pt>
                <c:pt idx="1">
                  <c:v>85</c:v>
                </c:pt>
              </c:numCache>
            </c:numRef>
          </c:val>
        </c:ser>
        <c:ser>
          <c:idx val="1"/>
          <c:order val="1"/>
          <c:tx>
            <c:strRef>
              <c:f>Sheet1!$C$1</c:f>
              <c:strCache>
                <c:ptCount val="1"/>
                <c:pt idx="0">
                  <c:v>行政人数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Sheet1!$C$2:$C$5</c15:sqref>
                  </c15:fullRef>
                </c:ext>
              </c:extLst>
              <c:f>Sheet1!$C$2:$C$4</c:f>
              <c:numCache>
                <c:formatCode>General</c:formatCode>
                <c:ptCount val="3"/>
                <c:pt idx="0">
                  <c:v>40</c:v>
                </c:pt>
                <c:pt idx="1">
                  <c:v>42</c:v>
                </c:pt>
              </c:numCache>
            </c:numRef>
          </c:val>
        </c:ser>
        <c:ser>
          <c:idx val="2"/>
          <c:order val="2"/>
          <c:tx>
            <c:strRef>
              <c:f>Sheet1!$D$1</c:f>
              <c:strCache>
                <c:ptCount val="1"/>
                <c:pt idx="0">
                  <c:v>实有人数</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extLst>
                <c:ext xmlns:c15="http://schemas.microsoft.com/office/drawing/2012/chart" uri="{02D57815-91ED-43cb-92C2-25804820EDAC}">
                  <c15:fullRef>
                    <c15:sqref>Sheet1!$A$2:$A$5</c15:sqref>
                  </c15:fullRef>
                </c:ext>
              </c:extLst>
              <c:f>Sheet1!$A$2:$A$4</c:f>
              <c:strCache>
                <c:ptCount val="3"/>
                <c:pt idx="0">
                  <c:v>编制人员</c:v>
                </c:pt>
                <c:pt idx="1">
                  <c:v>实有人员</c:v>
                </c:pt>
              </c:strCache>
            </c:strRef>
          </c:cat>
          <c:val>
            <c:numRef>
              <c:extLst>
                <c:ext xmlns:c15="http://schemas.microsoft.com/office/drawing/2012/chart" uri="{02D57815-91ED-43cb-92C2-25804820EDAC}">
                  <c15:fullRef>
                    <c15:sqref>Sheet1!$D$2:$D$5</c15:sqref>
                  </c15:fullRef>
                </c:ext>
              </c:extLst>
              <c:f>Sheet1!$D$2:$D$4</c:f>
              <c:numCache>
                <c:formatCode>General</c:formatCode>
                <c:ptCount val="3"/>
                <c:pt idx="0">
                  <c:v>30</c:v>
                </c:pt>
                <c:pt idx="1">
                  <c:v>43</c:v>
                </c:pt>
              </c:numCache>
            </c:numRef>
          </c:val>
        </c:ser>
        <c:dLbls>
          <c:showLegendKey val="0"/>
          <c:showVal val="1"/>
          <c:showCatName val="0"/>
          <c:showSerName val="0"/>
          <c:showPercent val="0"/>
          <c:showBubbleSize val="0"/>
        </c:dLbls>
        <c:gapWidth val="219"/>
        <c:overlap val="-27"/>
        <c:axId val="127941248"/>
        <c:axId val="167122816"/>
      </c:barChart>
      <c:catAx>
        <c:axId val="127941248"/>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67122816"/>
        <c:crosses val="autoZero"/>
        <c:auto val="1"/>
        <c:lblAlgn val="ctr"/>
        <c:lblOffset val="100"/>
        <c:noMultiLvlLbl val="0"/>
      </c:catAx>
      <c:valAx>
        <c:axId val="167122816"/>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27941248"/>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本年度预算收入构成情况</a:t>
            </a:r>
          </a:p>
        </c:rich>
      </c:tx>
      <c:layout>
        <c:manualLayout>
          <c:xMode val="edge"/>
          <c:yMode val="edge"/>
          <c:x val="0.27625"/>
          <c:y val="0.0173611111111111"/>
        </c:manualLayout>
      </c:layout>
      <c:overlay val="0"/>
      <c:spPr>
        <a:noFill/>
        <a:ln>
          <a:noFill/>
        </a:ln>
        <a:effectLst/>
      </c:spPr>
    </c:title>
    <c:autoTitleDeleted val="0"/>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Lbls>
            <c:dLbl>
              <c:idx val="0"/>
              <c:layout>
                <c:manualLayout>
                  <c:x val="-0.00768100537067318"/>
                  <c:y val="-7.46825174739268e-8"/>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11049920</a:t>
                    </a:r>
                    <a:endParaRPr lang="en-US" altLang="zh-CN"/>
                  </a:p>
                  <a:p>
                    <a:pPr>
                      <a:defRPr lang="zh-CN" sz="900" b="0" i="0" u="none" strike="noStrike" kern="1200" baseline="0">
                        <a:solidFill>
                          <a:schemeClr val="tx1">
                            <a:lumMod val="75000"/>
                            <a:lumOff val="25000"/>
                          </a:schemeClr>
                        </a:solidFill>
                        <a:latin typeface="+mn-lt"/>
                        <a:ea typeface="+mn-ea"/>
                        <a:cs typeface="+mn-cs"/>
                      </a:defRPr>
                    </a:pPr>
                    <a:r>
                      <a:t>50%</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101659722222163"/>
                  <c:y val="0.0138889635714065"/>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11049920</a:t>
                    </a:r>
                    <a:r>
                      <a:t> 50%</a:t>
                    </a:r>
                  </a:p>
                </c:rich>
              </c:tx>
              <c:dLblPos val="bestFit"/>
              <c:showLegendKey val="0"/>
              <c:showVal val="1"/>
              <c:showCatName val="0"/>
              <c:showSerName val="0"/>
              <c:showPercent val="1"/>
              <c:showBubbleSize val="0"/>
              <c:extLst>
                <c:ext xmlns:c15="http://schemas.microsoft.com/office/drawing/2012/chart" uri="{CE6537A1-D6FC-4f65-9D91-7224C49458BB}">
                  <c15:layout>
                    <c:manualLayout>
                      <c:w val="0.124027777777778"/>
                      <c:h val="0.165972222222222"/>
                    </c:manualLayout>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'[新建 XLS 工作表.xls]Sheet1'!$A$1:$B$1</c:f>
              <c:strCache>
                <c:ptCount val="2"/>
                <c:pt idx="0">
                  <c:v>全年收入</c:v>
                </c:pt>
                <c:pt idx="1">
                  <c:v>财政拨款收入</c:v>
                </c:pt>
              </c:strCache>
            </c:strRef>
          </c:cat>
          <c:val>
            <c:numRef>
              <c:f>'[新建 XLS 工作表.xls]Sheet1'!$A$2:$B$2</c:f>
              <c:numCache>
                <c:formatCode>General</c:formatCode>
                <c:ptCount val="2"/>
                <c:pt idx="0">
                  <c:v>12742602</c:v>
                </c:pt>
                <c:pt idx="1">
                  <c:v>12742602</c:v>
                </c:pt>
              </c:numCache>
            </c:numRef>
          </c:val>
        </c:ser>
        <c:dLbls>
          <c:showLegendKey val="0"/>
          <c:showVal val="1"/>
          <c:showCatName val="0"/>
          <c:showSerName val="0"/>
          <c:showPercent val="1"/>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本年度支出构成情况</a:t>
            </a:r>
          </a:p>
        </c:rich>
      </c:tx>
      <c:layout>
        <c:manualLayout>
          <c:xMode val="edge"/>
          <c:yMode val="edge"/>
          <c:x val="0.345285087719298"/>
          <c:y val="0.021680216802168"/>
        </c:manualLayout>
      </c:layout>
      <c:overlay val="0"/>
      <c:spPr>
        <a:noFill/>
        <a:ln>
          <a:noFill/>
        </a:ln>
        <a:effectLst/>
      </c:spPr>
    </c:title>
    <c:autoTitleDeleted val="0"/>
    <c:plotArea>
      <c:layout/>
      <c:pieChart>
        <c:varyColors val="1"/>
        <c:ser>
          <c:idx val="0"/>
          <c:order val="0"/>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0.0581018126553135"/>
                  <c:y val="-0.0482664931554914"/>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11049920</a:t>
                    </a:r>
                    <a:endParaRPr lang="en-US" altLang="zh-CN"/>
                  </a:p>
                  <a:p>
                    <a:pPr>
                      <a:defRPr lang="zh-CN" sz="900" b="0" i="0" u="none" strike="noStrike" kern="1200" baseline="0">
                        <a:solidFill>
                          <a:schemeClr val="tx1">
                            <a:lumMod val="75000"/>
                            <a:lumOff val="25000"/>
                          </a:schemeClr>
                        </a:solidFill>
                        <a:latin typeface="+mn-lt"/>
                        <a:ea typeface="+mn-ea"/>
                        <a:cs typeface="+mn-cs"/>
                      </a:defRPr>
                    </a:pPr>
                    <a:r>
                      <a:t>50%</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1"/>
              <c:layout>
                <c:manualLayout>
                  <c:x val="-0.0672282271116659"/>
                  <c:y val="-0.0102965818268478"/>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8146159</a:t>
                    </a:r>
                    <a:endParaRPr lang="en-US" altLang="zh-CN"/>
                  </a:p>
                  <a:p>
                    <a:pPr>
                      <a:defRPr lang="zh-CN" sz="900" b="0" i="0" u="none" strike="noStrike" kern="1200" baseline="0">
                        <a:solidFill>
                          <a:schemeClr val="tx1">
                            <a:lumMod val="75000"/>
                            <a:lumOff val="25000"/>
                          </a:schemeClr>
                        </a:solidFill>
                        <a:latin typeface="+mn-lt"/>
                        <a:ea typeface="+mn-ea"/>
                        <a:cs typeface="+mn-cs"/>
                      </a:defRPr>
                    </a:pPr>
                    <a:r>
                      <a:t> 30%</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2"/>
              <c:layout>
                <c:manualLayout>
                  <c:x val="-0.0830690790068627"/>
                  <c:y val="0.0313249856255684"/>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2616472</a:t>
                    </a:r>
                    <a:endParaRPr lang="en-US" altLang="zh-CN"/>
                  </a:p>
                  <a:p>
                    <a:pPr>
                      <a:defRPr lang="zh-CN" sz="900" b="0" i="0" u="none" strike="noStrike" kern="1200" baseline="0">
                        <a:solidFill>
                          <a:schemeClr val="tx1">
                            <a:lumMod val="75000"/>
                            <a:lumOff val="25000"/>
                          </a:schemeClr>
                        </a:solidFill>
                        <a:latin typeface="+mn-lt"/>
                        <a:ea typeface="+mn-ea"/>
                        <a:cs typeface="+mn-cs"/>
                      </a:defRPr>
                    </a:pPr>
                    <a:r>
                      <a:t>10%</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dLbl>
              <c:idx val="3"/>
              <c:layout>
                <c:manualLayout>
                  <c:x val="-0.0550776233996181"/>
                  <c:y val="0.0171822379465945"/>
                </c:manualLayout>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rPr lang="en-US" altLang="zh-CN"/>
                      <a:t>287289</a:t>
                    </a:r>
                    <a:endParaRPr lang="en-US" altLang="zh-CN"/>
                  </a:p>
                  <a:p>
                    <a:pPr>
                      <a:defRPr lang="zh-CN" sz="900" b="0" i="0" u="none" strike="noStrike" kern="1200" baseline="0">
                        <a:solidFill>
                          <a:schemeClr val="tx1">
                            <a:lumMod val="75000"/>
                            <a:lumOff val="25000"/>
                          </a:schemeClr>
                        </a:solidFill>
                        <a:latin typeface="+mn-lt"/>
                        <a:ea typeface="+mn-ea"/>
                        <a:cs typeface="+mn-cs"/>
                      </a:defRPr>
                    </a:pPr>
                    <a:r>
                      <a:t> 10%</a:t>
                    </a:r>
                  </a:p>
                </c:rich>
              </c:tx>
              <c:dLblPos val="bestFit"/>
              <c:showLegendKey val="0"/>
              <c:showVal val="1"/>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'[新建 XLS 工作表.xls]Sheet1'!$A$6:$D$6</c:f>
              <c:strCache>
                <c:ptCount val="4"/>
                <c:pt idx="0">
                  <c:v>本年支出合计</c:v>
                </c:pt>
                <c:pt idx="1">
                  <c:v>工资福利支出</c:v>
                </c:pt>
                <c:pt idx="2">
                  <c:v>商品和服务支出</c:v>
                </c:pt>
                <c:pt idx="3">
                  <c:v>对个人和家庭补助</c:v>
                </c:pt>
              </c:strCache>
            </c:strRef>
          </c:cat>
          <c:val>
            <c:numRef>
              <c:f>'[新建 XLS 工作表.xls]Sheet1'!$A$7:$D$7</c:f>
              <c:numCache>
                <c:formatCode>General</c:formatCode>
                <c:ptCount val="4"/>
                <c:pt idx="0">
                  <c:v>12742602</c:v>
                </c:pt>
                <c:pt idx="1">
                  <c:v>7581769</c:v>
                </c:pt>
                <c:pt idx="2">
                  <c:v>2518600</c:v>
                </c:pt>
                <c:pt idx="3">
                  <c:v>2642233</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0972916666666667"/>
          <c:y val="0.91597222222222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Micorosoft</Company>
  <Pages>12</Pages>
  <Words>797</Words>
  <Characters>4543</Characters>
  <Lines>37</Lines>
  <Paragraphs>10</Paragraphs>
  <TotalTime>44</TotalTime>
  <ScaleCrop>false</ScaleCrop>
  <LinksUpToDate>false</LinksUpToDate>
  <CharactersWithSpaces>5330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2018-07-28T08:51:00Z</dcterms:created>
  <dc:creator>Administrator</dc:creator>
  <cp:lastModifiedBy>byx</cp:lastModifiedBy>
  <cp:lastPrinted>2020-02-05T03:01:00Z</cp:lastPrinted>
  <dcterms:modified xsi:type="dcterms:W3CDTF">2023-11-24T04:18:15Z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0DAC0F7A107F44FA88F6DFA080170E46_12</vt:lpwstr>
  </property>
</Properties>
</file>