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黑体" w:hAnsi="黑体" w:eastAsia="黑体" w:cs="黑体"/>
          <w:bCs/>
          <w:sz w:val="44"/>
          <w:szCs w:val="44"/>
        </w:rPr>
      </w:pPr>
      <w:r>
        <w:rPr>
          <w:rFonts w:hint="eastAsia" w:ascii="黑体" w:hAnsi="黑体" w:eastAsia="黑体" w:cs="黑体"/>
          <w:bCs/>
          <w:sz w:val="44"/>
          <w:szCs w:val="44"/>
        </w:rPr>
        <w:t>中共蓝田县纪律检查委员会</w:t>
      </w:r>
    </w:p>
    <w:p>
      <w:pPr>
        <w:spacing w:line="360" w:lineRule="auto"/>
        <w:jc w:val="center"/>
        <w:rPr>
          <w:rFonts w:ascii="黑体" w:hAnsi="黑体" w:eastAsia="黑体" w:cs="黑体"/>
          <w:bCs/>
          <w:sz w:val="44"/>
          <w:szCs w:val="44"/>
        </w:rPr>
      </w:pPr>
      <w:r>
        <w:rPr>
          <w:rFonts w:hint="eastAsia" w:ascii="黑体" w:hAnsi="黑体" w:eastAsia="黑体" w:cs="黑体"/>
          <w:bCs/>
          <w:sz w:val="44"/>
          <w:szCs w:val="44"/>
        </w:rPr>
        <w:t>2018年度部门决算说明</w:t>
      </w:r>
    </w:p>
    <w:p>
      <w:pPr>
        <w:spacing w:line="360" w:lineRule="auto"/>
        <w:ind w:firstLine="640" w:firstLineChars="200"/>
        <w:rPr>
          <w:rFonts w:ascii="仿宋_GB2312" w:eastAsia="仿宋_GB2312"/>
          <w:sz w:val="32"/>
          <w:szCs w:val="32"/>
        </w:rPr>
      </w:pPr>
    </w:p>
    <w:p>
      <w:pPr>
        <w:spacing w:line="360" w:lineRule="auto"/>
        <w:ind w:firstLine="643" w:firstLineChars="200"/>
        <w:rPr>
          <w:rFonts w:ascii="宋体" w:hAnsi="宋体" w:eastAsia="宋体" w:cs="宋体"/>
          <w:b/>
          <w:sz w:val="32"/>
          <w:szCs w:val="32"/>
        </w:rPr>
      </w:pPr>
      <w:r>
        <w:rPr>
          <w:rFonts w:hint="eastAsia" w:ascii="宋体" w:hAnsi="宋体" w:eastAsia="宋体" w:cs="宋体"/>
          <w:b/>
          <w:sz w:val="32"/>
          <w:szCs w:val="32"/>
        </w:rPr>
        <w:t>一、部门主要职责</w:t>
      </w:r>
    </w:p>
    <w:p>
      <w:pPr>
        <w:spacing w:line="620" w:lineRule="exact"/>
        <w:ind w:firstLine="640" w:firstLineChars="200"/>
        <w:rPr>
          <w:rFonts w:ascii="仿宋_GB2312" w:hAnsi="仿宋" w:eastAsia="仿宋_GB2312"/>
          <w:sz w:val="32"/>
          <w:szCs w:val="32"/>
        </w:rPr>
      </w:pPr>
      <w:r>
        <w:rPr>
          <w:rFonts w:hint="eastAsia" w:ascii="仿宋_GB2312" w:hAnsi="仿宋" w:eastAsia="仿宋_GB2312"/>
          <w:sz w:val="32"/>
          <w:szCs w:val="32"/>
        </w:rPr>
        <w:t>（一）负责主管全县党的纪律检查和行政监察工作。贯彻落实中央、省、市和县委关于加强党风廉政建设的决定，协助县委加强党风建设和组织协调反腐败工作，维护党章和纪律检查等党内法规，检查党的路线、方针、政策和决议执行情况；协助县委加强党风建设和组织协调反腐败工作；贯彻落实市委、市政府和县委、县政府有关行政监察工作的决定，监督检查县政府各部门及其工作人员和各镇政府、街道办及其主要负责人执行国家政策和法律法规、国民经济和社会发展计划及县政府颁发的决议和命令情况。</w:t>
      </w:r>
    </w:p>
    <w:p>
      <w:pPr>
        <w:spacing w:line="620" w:lineRule="exact"/>
        <w:ind w:firstLine="640" w:firstLineChars="200"/>
        <w:rPr>
          <w:rFonts w:ascii="仿宋_GB2312" w:hAnsi="仿宋" w:eastAsia="仿宋_GB2312"/>
          <w:sz w:val="32"/>
          <w:szCs w:val="32"/>
        </w:rPr>
      </w:pPr>
      <w:r>
        <w:rPr>
          <w:rFonts w:hint="eastAsia" w:ascii="仿宋_GB2312" w:hAnsi="仿宋" w:eastAsia="仿宋_GB2312"/>
          <w:sz w:val="32"/>
          <w:szCs w:val="32"/>
        </w:rPr>
        <w:t>（二）负责查办腐败案件有关工作。检查并处理县委、县政府机关各部门、各镇（街办）党组织和县委管理的党员领导干部违反党章及其他党内法规案件，决定或取消对这些案件中的党员干部处分；负责调查处理县政府各部门及其工作人员、各镇政府、街道办及其负责人违反国家政策、法律、法规以及违反政纪的行为，并根据责任人所犯错误的情节轻重，作出撤职及撤职以下的行政处分；受理党员的控告和申诉，可直接查处派驻纪检组管辖范围内的比较重要或复杂的案件；受理监察对象不服政纪处分的申诉，受理个人或单位对监察对象违纪行为的检举、控告。</w:t>
      </w:r>
    </w:p>
    <w:p>
      <w:pPr>
        <w:spacing w:line="620" w:lineRule="exact"/>
        <w:ind w:firstLine="640" w:firstLineChars="200"/>
        <w:rPr>
          <w:rFonts w:ascii="仿宋_GB2312" w:hAnsi="仿宋" w:eastAsia="仿宋_GB2312"/>
          <w:sz w:val="32"/>
          <w:szCs w:val="32"/>
        </w:rPr>
      </w:pPr>
      <w:r>
        <w:rPr>
          <w:rFonts w:hint="eastAsia" w:ascii="仿宋_GB2312" w:hAnsi="仿宋" w:eastAsia="仿宋_GB2312"/>
          <w:sz w:val="32"/>
          <w:szCs w:val="32"/>
        </w:rPr>
        <w:t>（三）负责作出关于维护党纪的决定，制定全县党风党纪教育规划，配合有关部门做好党的纪检工作方针、政策的宣传和党员遵守纪律的教育；会同有关部门做好行政监察工作方针、政策和法律法规的宣传，教育国家机关工作人员遵纪守法、为政清廉。</w:t>
      </w:r>
    </w:p>
    <w:p>
      <w:pPr>
        <w:spacing w:line="620" w:lineRule="exact"/>
        <w:ind w:firstLine="640" w:firstLineChars="200"/>
        <w:rPr>
          <w:rFonts w:ascii="仿宋_GB2312" w:hAnsi="仿宋" w:eastAsia="仿宋_GB2312"/>
          <w:sz w:val="32"/>
          <w:szCs w:val="32"/>
        </w:rPr>
      </w:pPr>
      <w:r>
        <w:rPr>
          <w:rFonts w:hint="eastAsia" w:ascii="仿宋_GB2312" w:hAnsi="仿宋" w:eastAsia="仿宋_GB2312"/>
          <w:sz w:val="32"/>
          <w:szCs w:val="32"/>
        </w:rPr>
        <w:t>（四）负责对党的纪检工作理论及有关问题进行调查研究，拟订党纪条规和政策规定，参与制定党内法规；调查研究县政府各部门和各镇政府、街道办执行有关行政监察的政策、法规情况，对其违反国家法律、法规的条款，提出修改、补充的建议。</w:t>
      </w:r>
    </w:p>
    <w:p>
      <w:pPr>
        <w:spacing w:line="620" w:lineRule="exact"/>
        <w:ind w:firstLine="640" w:firstLineChars="200"/>
        <w:rPr>
          <w:rFonts w:ascii="仿宋_GB2312" w:hAnsi="仿宋" w:eastAsia="仿宋_GB2312"/>
          <w:sz w:val="32"/>
          <w:szCs w:val="32"/>
        </w:rPr>
      </w:pPr>
      <w:r>
        <w:rPr>
          <w:rFonts w:hint="eastAsia" w:ascii="仿宋_GB2312" w:hAnsi="仿宋" w:eastAsia="仿宋_GB2312"/>
          <w:sz w:val="32"/>
          <w:szCs w:val="32"/>
        </w:rPr>
        <w:t>（五）负责全县纪检监察系统干部队伍建设和组织建设。会同有关部门负责县纪检监察系统领导班子建设；会同有关部门负责镇纪委、街道纪工委、县级部门派驻纪检组的人员考察、组织建设等相关工作；负责落实派驻机构统一管理工作；组织和指导全县纪检监察系统干部培训工作。</w:t>
      </w:r>
    </w:p>
    <w:p>
      <w:pPr>
        <w:spacing w:line="620" w:lineRule="exact"/>
        <w:ind w:firstLine="640" w:firstLineChars="200"/>
        <w:rPr>
          <w:rFonts w:ascii="仿宋_GB2312" w:hAnsi="仿宋" w:eastAsia="仿宋_GB2312"/>
          <w:sz w:val="32"/>
          <w:szCs w:val="32"/>
        </w:rPr>
      </w:pPr>
      <w:r>
        <w:rPr>
          <w:rFonts w:hint="eastAsia" w:ascii="仿宋_GB2312" w:hAnsi="仿宋" w:eastAsia="仿宋_GB2312"/>
          <w:sz w:val="32"/>
          <w:szCs w:val="32"/>
        </w:rPr>
        <w:t>（六）负责全县预防腐败工作的组织协调、综合规划、政策制定、检查指导等工作。</w:t>
      </w:r>
    </w:p>
    <w:p>
      <w:pPr>
        <w:spacing w:line="620" w:lineRule="exact"/>
        <w:ind w:firstLine="640" w:firstLineChars="200"/>
        <w:rPr>
          <w:rFonts w:ascii="仿宋_GB2312" w:hAnsi="仿宋" w:eastAsia="仿宋_GB2312"/>
          <w:sz w:val="32"/>
          <w:szCs w:val="32"/>
        </w:rPr>
      </w:pPr>
      <w:r>
        <w:rPr>
          <w:rFonts w:hint="eastAsia" w:ascii="仿宋_GB2312" w:hAnsi="仿宋" w:eastAsia="仿宋_GB2312"/>
          <w:sz w:val="32"/>
          <w:szCs w:val="32"/>
        </w:rPr>
        <w:t>（七）承办县委、县政府和市纪委、市监察局授权和交办的其他事项。</w:t>
      </w:r>
    </w:p>
    <w:p>
      <w:pPr>
        <w:spacing w:line="620" w:lineRule="exact"/>
        <w:ind w:firstLine="640" w:firstLineChars="200"/>
        <w:rPr>
          <w:rFonts w:ascii="仿宋_GB2312" w:hAnsi="仿宋" w:eastAsia="仿宋_GB2312"/>
          <w:sz w:val="32"/>
          <w:szCs w:val="32"/>
        </w:rPr>
      </w:pPr>
      <w:r>
        <w:rPr>
          <w:rFonts w:hint="eastAsia" w:ascii="仿宋_GB2312" w:hAnsi="仿宋" w:eastAsia="仿宋_GB2312"/>
          <w:sz w:val="32"/>
          <w:szCs w:val="32"/>
        </w:rPr>
        <w:t>内部机构设置：</w:t>
      </w:r>
    </w:p>
    <w:p>
      <w:pPr>
        <w:ind w:firstLine="640" w:firstLineChars="200"/>
        <w:rPr>
          <w:rFonts w:ascii="仿宋_GB2312" w:hAnsi="仿宋" w:eastAsia="仿宋_GB2312"/>
          <w:sz w:val="32"/>
          <w:szCs w:val="32"/>
        </w:rPr>
      </w:pPr>
      <w:r>
        <w:rPr>
          <w:rFonts w:hint="eastAsia" w:ascii="仿宋_GB2312" w:hAnsi="仿宋" w:eastAsia="仿宋_GB2312"/>
          <w:sz w:val="32"/>
          <w:szCs w:val="32"/>
        </w:rPr>
        <w:t>内设13个部门：办公室、组织宣传部、信访室、党风政风监督室、案件审理室、案件管理室、第一纪检监察室、第二纪检监察室、第三纪检监察室、第四纪检监察室、第五纪检监察室、第六纪检监察室、第七纪检监察室。下属1个事业单位：县投资商及企业投诉服务中心。</w:t>
      </w:r>
    </w:p>
    <w:p>
      <w:pPr>
        <w:spacing w:line="360" w:lineRule="auto"/>
        <w:ind w:firstLine="643" w:firstLineChars="200"/>
        <w:rPr>
          <w:rFonts w:ascii="宋体" w:hAnsi="宋体" w:eastAsia="宋体" w:cs="宋体"/>
          <w:b/>
          <w:sz w:val="32"/>
          <w:szCs w:val="32"/>
        </w:rPr>
      </w:pPr>
      <w:r>
        <w:rPr>
          <w:rFonts w:hint="eastAsia" w:ascii="宋体" w:hAnsi="宋体" w:eastAsia="宋体" w:cs="宋体"/>
          <w:b/>
          <w:sz w:val="32"/>
          <w:szCs w:val="32"/>
        </w:rPr>
        <w:t>二、部门决算单位构成</w:t>
      </w:r>
    </w:p>
    <w:p>
      <w:pPr>
        <w:ind w:firstLine="640" w:firstLineChars="200"/>
        <w:rPr>
          <w:rFonts w:ascii="仿宋_GB2312" w:hAnsi="仿宋" w:eastAsia="仿宋_GB2312"/>
          <w:sz w:val="32"/>
          <w:szCs w:val="32"/>
        </w:rPr>
      </w:pPr>
      <w:r>
        <w:rPr>
          <w:rFonts w:hint="eastAsia" w:ascii="仿宋_GB2312" w:hAnsi="仿宋" w:eastAsia="仿宋_GB2312"/>
          <w:sz w:val="32"/>
          <w:szCs w:val="32"/>
        </w:rPr>
        <w:t>纳入本部门2018年部门决算编制范围的一级决算单位1个，二级决算单位共有1个，包括：</w:t>
      </w:r>
    </w:p>
    <w:tbl>
      <w:tblPr>
        <w:tblStyle w:val="6"/>
        <w:tblW w:w="810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1"/>
        <w:gridCol w:w="6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381" w:type="dxa"/>
          </w:tcPr>
          <w:p>
            <w:pPr>
              <w:spacing w:line="560" w:lineRule="exact"/>
              <w:jc w:val="center"/>
              <w:rPr>
                <w:rFonts w:ascii="仿宋_GB2312" w:hAnsi="仿宋" w:eastAsia="仿宋_GB2312" w:cs="仿宋_GB2312"/>
                <w:sz w:val="32"/>
                <w:szCs w:val="32"/>
              </w:rPr>
            </w:pPr>
            <w:r>
              <w:rPr>
                <w:rFonts w:hint="eastAsia" w:ascii="仿宋_GB2312" w:hAnsi="仿宋" w:eastAsia="仿宋_GB2312" w:cs="仿宋_GB2312"/>
                <w:sz w:val="32"/>
                <w:szCs w:val="32"/>
              </w:rPr>
              <w:t>序号</w:t>
            </w:r>
          </w:p>
        </w:tc>
        <w:tc>
          <w:tcPr>
            <w:tcW w:w="6720" w:type="dxa"/>
          </w:tcPr>
          <w:p>
            <w:pPr>
              <w:spacing w:line="560" w:lineRule="exact"/>
              <w:jc w:val="center"/>
              <w:rPr>
                <w:rFonts w:ascii="仿宋_GB2312" w:hAnsi="仿宋" w:eastAsia="仿宋_GB2312" w:cs="仿宋_GB2312"/>
                <w:sz w:val="32"/>
                <w:szCs w:val="32"/>
              </w:rPr>
            </w:pPr>
            <w:r>
              <w:rPr>
                <w:rFonts w:hint="eastAsia" w:ascii="仿宋_GB2312" w:hAnsi="仿宋" w:eastAsia="仿宋_GB2312" w:cs="仿宋_GB2312"/>
                <w:sz w:val="32"/>
                <w:szCs w:val="32"/>
              </w:rPr>
              <w:t>单位名称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81" w:type="dxa"/>
          </w:tcPr>
          <w:p>
            <w:pPr>
              <w:spacing w:line="560" w:lineRule="exact"/>
              <w:jc w:val="center"/>
              <w:rPr>
                <w:rFonts w:ascii="仿宋_GB2312" w:hAnsi="仿宋" w:eastAsia="仿宋_GB2312" w:cs="仿宋_GB2312"/>
                <w:sz w:val="32"/>
                <w:szCs w:val="32"/>
              </w:rPr>
            </w:pPr>
            <w:r>
              <w:rPr>
                <w:rFonts w:hint="eastAsia" w:ascii="仿宋_GB2312" w:hAnsi="仿宋" w:eastAsia="仿宋_GB2312" w:cs="仿宋_GB2312"/>
                <w:sz w:val="32"/>
                <w:szCs w:val="32"/>
              </w:rPr>
              <w:t>1</w:t>
            </w:r>
          </w:p>
        </w:tc>
        <w:tc>
          <w:tcPr>
            <w:tcW w:w="6720" w:type="dxa"/>
          </w:tcPr>
          <w:p>
            <w:pPr>
              <w:spacing w:line="560" w:lineRule="exact"/>
              <w:rPr>
                <w:rFonts w:ascii="仿宋_GB2312" w:hAnsi="仿宋" w:eastAsia="仿宋_GB2312" w:cs="仿宋_GB2312"/>
                <w:sz w:val="32"/>
                <w:szCs w:val="32"/>
              </w:rPr>
            </w:pPr>
            <w:r>
              <w:rPr>
                <w:rFonts w:hint="eastAsia" w:ascii="仿宋_GB2312" w:hAnsi="仿宋" w:eastAsia="仿宋_GB2312" w:cs="仿宋_GB2312"/>
                <w:sz w:val="32"/>
                <w:szCs w:val="32"/>
              </w:rPr>
              <w:t>中共蓝田县纪律检查委员会本级（机关）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81" w:type="dxa"/>
          </w:tcPr>
          <w:p>
            <w:pPr>
              <w:spacing w:line="560" w:lineRule="exact"/>
              <w:jc w:val="center"/>
              <w:rPr>
                <w:rFonts w:ascii="仿宋_GB2312" w:hAnsi="仿宋" w:eastAsia="仿宋_GB2312" w:cs="仿宋_GB2312"/>
                <w:sz w:val="32"/>
                <w:szCs w:val="32"/>
              </w:rPr>
            </w:pPr>
            <w:r>
              <w:rPr>
                <w:rFonts w:hint="eastAsia" w:ascii="仿宋_GB2312" w:hAnsi="仿宋" w:eastAsia="仿宋_GB2312" w:cs="仿宋_GB2312"/>
                <w:sz w:val="32"/>
                <w:szCs w:val="32"/>
              </w:rPr>
              <w:t>2</w:t>
            </w:r>
          </w:p>
        </w:tc>
        <w:tc>
          <w:tcPr>
            <w:tcW w:w="6720" w:type="dxa"/>
          </w:tcPr>
          <w:p>
            <w:pPr>
              <w:spacing w:line="560" w:lineRule="exact"/>
              <w:rPr>
                <w:rFonts w:ascii="仿宋_GB2312" w:hAnsi="仿宋" w:eastAsia="仿宋_GB2312" w:cs="仿宋_GB2312"/>
                <w:sz w:val="32"/>
                <w:szCs w:val="32"/>
              </w:rPr>
            </w:pPr>
            <w:r>
              <w:rPr>
                <w:rFonts w:hint="eastAsia" w:ascii="仿宋_GB2312" w:hAnsi="仿宋" w:eastAsia="仿宋_GB2312" w:cs="仿宋_GB2312"/>
                <w:sz w:val="32"/>
                <w:szCs w:val="32"/>
              </w:rPr>
              <w:t>蓝田县投资商及企业投诉服务中心</w:t>
            </w:r>
          </w:p>
        </w:tc>
      </w:tr>
    </w:tbl>
    <w:p>
      <w:pPr>
        <w:spacing w:line="360" w:lineRule="auto"/>
        <w:ind w:firstLine="630" w:firstLineChars="196"/>
        <w:rPr>
          <w:rFonts w:ascii="宋体" w:hAnsi="宋体" w:eastAsia="宋体" w:cs="宋体"/>
          <w:b/>
          <w:sz w:val="32"/>
          <w:szCs w:val="32"/>
          <w:highlight w:val="yellow"/>
        </w:rPr>
      </w:pPr>
      <w:r>
        <w:rPr>
          <w:rFonts w:hint="eastAsia" w:ascii="宋体" w:hAnsi="宋体" w:eastAsia="宋体" w:cs="宋体"/>
          <w:b/>
          <w:sz w:val="32"/>
          <w:szCs w:val="32"/>
        </w:rPr>
        <w:t>三、部门人员情况说明</w:t>
      </w:r>
    </w:p>
    <w:tbl>
      <w:tblPr>
        <w:tblStyle w:val="7"/>
        <w:tblpPr w:leftFromText="180" w:rightFromText="180" w:vertAnchor="text" w:horzAnchor="page" w:tblpX="1702" w:tblpY="1989"/>
        <w:tblOverlap w:val="never"/>
        <w:tblW w:w="86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2"/>
        <w:gridCol w:w="3847"/>
        <w:gridCol w:w="1258"/>
        <w:gridCol w:w="932"/>
        <w:gridCol w:w="927"/>
        <w:gridCol w:w="9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682" w:type="dxa"/>
            <w:vAlign w:val="center"/>
          </w:tcPr>
          <w:p>
            <w:pPr>
              <w:spacing w:line="560" w:lineRule="exact"/>
              <w:jc w:val="center"/>
              <w:rPr>
                <w:rFonts w:ascii="仿宋_GB2312" w:hAnsi="仿宋" w:eastAsia="仿宋_GB2312"/>
                <w:szCs w:val="21"/>
              </w:rPr>
            </w:pPr>
            <w:r>
              <w:rPr>
                <w:rFonts w:hint="eastAsia" w:ascii="仿宋_GB2312" w:hAnsi="仿宋" w:eastAsia="仿宋_GB2312" w:cs="仿宋_GB2312"/>
                <w:szCs w:val="21"/>
              </w:rPr>
              <w:t>序号</w:t>
            </w:r>
          </w:p>
        </w:tc>
        <w:tc>
          <w:tcPr>
            <w:tcW w:w="3847" w:type="dxa"/>
            <w:vAlign w:val="center"/>
          </w:tcPr>
          <w:p>
            <w:pPr>
              <w:spacing w:line="560" w:lineRule="exact"/>
              <w:jc w:val="center"/>
              <w:rPr>
                <w:rFonts w:ascii="仿宋_GB2312" w:hAnsi="仿宋" w:eastAsia="仿宋_GB2312"/>
                <w:szCs w:val="21"/>
              </w:rPr>
            </w:pPr>
            <w:r>
              <w:rPr>
                <w:rFonts w:hint="eastAsia" w:ascii="仿宋_GB2312" w:hAnsi="仿宋" w:eastAsia="仿宋_GB2312" w:cs="仿宋_GB2312"/>
                <w:szCs w:val="21"/>
              </w:rPr>
              <w:t>单位名称</w:t>
            </w:r>
          </w:p>
        </w:tc>
        <w:tc>
          <w:tcPr>
            <w:tcW w:w="1258" w:type="dxa"/>
            <w:vAlign w:val="center"/>
          </w:tcPr>
          <w:p>
            <w:pPr>
              <w:jc w:val="center"/>
              <w:rPr>
                <w:rFonts w:ascii="仿宋_GB2312" w:hAnsi="仿宋" w:eastAsia="仿宋_GB2312"/>
                <w:szCs w:val="21"/>
              </w:rPr>
            </w:pPr>
            <w:r>
              <w:rPr>
                <w:rFonts w:hint="eastAsia" w:ascii="仿宋_GB2312" w:hAnsi="仿宋" w:eastAsia="仿宋_GB2312"/>
                <w:szCs w:val="21"/>
              </w:rPr>
              <w:t>单位性质</w:t>
            </w:r>
          </w:p>
        </w:tc>
        <w:tc>
          <w:tcPr>
            <w:tcW w:w="932" w:type="dxa"/>
            <w:vAlign w:val="center"/>
          </w:tcPr>
          <w:p>
            <w:pPr>
              <w:jc w:val="center"/>
              <w:rPr>
                <w:rFonts w:ascii="仿宋_GB2312" w:hAnsi="仿宋" w:eastAsia="仿宋_GB2312"/>
                <w:szCs w:val="21"/>
              </w:rPr>
            </w:pPr>
            <w:r>
              <w:rPr>
                <w:rFonts w:hint="eastAsia" w:ascii="仿宋_GB2312" w:hAnsi="仿宋" w:eastAsia="仿宋_GB2312"/>
                <w:szCs w:val="21"/>
              </w:rPr>
              <w:t>编制数</w:t>
            </w:r>
          </w:p>
        </w:tc>
        <w:tc>
          <w:tcPr>
            <w:tcW w:w="927" w:type="dxa"/>
            <w:vAlign w:val="center"/>
          </w:tcPr>
          <w:p>
            <w:pPr>
              <w:jc w:val="center"/>
              <w:rPr>
                <w:rFonts w:ascii="仿宋_GB2312" w:hAnsi="仿宋" w:eastAsia="仿宋_GB2312"/>
                <w:szCs w:val="21"/>
              </w:rPr>
            </w:pPr>
            <w:r>
              <w:rPr>
                <w:rFonts w:hint="eastAsia" w:ascii="仿宋_GB2312" w:hAnsi="仿宋" w:eastAsia="仿宋_GB2312"/>
                <w:szCs w:val="21"/>
              </w:rPr>
              <w:t>实有数</w:t>
            </w:r>
          </w:p>
        </w:tc>
        <w:tc>
          <w:tcPr>
            <w:tcW w:w="959" w:type="dxa"/>
            <w:vAlign w:val="center"/>
          </w:tcPr>
          <w:p>
            <w:pPr>
              <w:jc w:val="center"/>
              <w:rPr>
                <w:rFonts w:ascii="仿宋_GB2312" w:hAnsi="仿宋" w:eastAsia="仿宋_GB2312"/>
                <w:szCs w:val="21"/>
              </w:rPr>
            </w:pPr>
            <w:r>
              <w:rPr>
                <w:rFonts w:hint="eastAsia" w:ascii="仿宋_GB2312" w:hAnsi="仿宋" w:eastAsia="仿宋_GB2312"/>
                <w:szCs w:val="21"/>
              </w:rPr>
              <w:t>离退休人员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682" w:type="dxa"/>
            <w:vAlign w:val="bottom"/>
          </w:tcPr>
          <w:p>
            <w:pPr>
              <w:jc w:val="center"/>
              <w:rPr>
                <w:rFonts w:ascii="仿宋_GB2312" w:hAnsi="仿宋" w:eastAsia="仿宋_GB2312"/>
                <w:szCs w:val="21"/>
              </w:rPr>
            </w:pPr>
            <w:r>
              <w:rPr>
                <w:rFonts w:hint="eastAsia" w:ascii="仿宋_GB2312" w:hAnsi="仿宋" w:eastAsia="仿宋_GB2312"/>
                <w:szCs w:val="21"/>
              </w:rPr>
              <w:t>1</w:t>
            </w:r>
          </w:p>
        </w:tc>
        <w:tc>
          <w:tcPr>
            <w:tcW w:w="3847" w:type="dxa"/>
            <w:vAlign w:val="bottom"/>
          </w:tcPr>
          <w:p>
            <w:pPr>
              <w:spacing w:line="560" w:lineRule="exact"/>
              <w:jc w:val="left"/>
              <w:rPr>
                <w:rFonts w:ascii="仿宋_GB2312" w:hAnsi="仿宋" w:eastAsia="仿宋_GB2312"/>
                <w:szCs w:val="21"/>
              </w:rPr>
            </w:pPr>
            <w:r>
              <w:rPr>
                <w:rFonts w:hint="eastAsia" w:ascii="仿宋_GB2312" w:hAnsi="仿宋" w:eastAsia="仿宋_GB2312" w:cs="仿宋_GB2312"/>
                <w:szCs w:val="21"/>
              </w:rPr>
              <w:t>中共蓝田县纪律检查委员会本级（机关）</w:t>
            </w:r>
          </w:p>
        </w:tc>
        <w:tc>
          <w:tcPr>
            <w:tcW w:w="1258" w:type="dxa"/>
            <w:vAlign w:val="bottom"/>
          </w:tcPr>
          <w:p>
            <w:pPr>
              <w:jc w:val="center"/>
              <w:rPr>
                <w:rFonts w:ascii="仿宋_GB2312" w:hAnsi="仿宋" w:eastAsia="仿宋_GB2312"/>
                <w:szCs w:val="21"/>
              </w:rPr>
            </w:pPr>
            <w:r>
              <w:rPr>
                <w:rFonts w:hint="eastAsia" w:ascii="仿宋_GB2312" w:hAnsi="仿宋" w:eastAsia="仿宋_GB2312"/>
                <w:szCs w:val="21"/>
              </w:rPr>
              <w:t>行政</w:t>
            </w:r>
          </w:p>
        </w:tc>
        <w:tc>
          <w:tcPr>
            <w:tcW w:w="932" w:type="dxa"/>
            <w:vAlign w:val="bottom"/>
          </w:tcPr>
          <w:p>
            <w:pPr>
              <w:jc w:val="center"/>
              <w:rPr>
                <w:rFonts w:ascii="仿宋_GB2312" w:hAnsi="仿宋" w:eastAsia="仿宋_GB2312"/>
                <w:szCs w:val="21"/>
              </w:rPr>
            </w:pPr>
            <w:r>
              <w:rPr>
                <w:rFonts w:hint="eastAsia" w:ascii="仿宋_GB2312" w:hAnsi="仿宋" w:eastAsia="仿宋_GB2312"/>
                <w:szCs w:val="21"/>
              </w:rPr>
              <w:t>61</w:t>
            </w:r>
          </w:p>
        </w:tc>
        <w:tc>
          <w:tcPr>
            <w:tcW w:w="927" w:type="dxa"/>
            <w:vAlign w:val="bottom"/>
          </w:tcPr>
          <w:p>
            <w:pPr>
              <w:jc w:val="center"/>
              <w:rPr>
                <w:rFonts w:ascii="仿宋_GB2312" w:hAnsi="仿宋" w:eastAsia="仿宋_GB2312"/>
                <w:szCs w:val="21"/>
              </w:rPr>
            </w:pPr>
            <w:r>
              <w:rPr>
                <w:rFonts w:hint="eastAsia" w:ascii="仿宋_GB2312" w:hAnsi="仿宋" w:eastAsia="仿宋_GB2312"/>
                <w:szCs w:val="21"/>
              </w:rPr>
              <w:t>53</w:t>
            </w:r>
          </w:p>
        </w:tc>
        <w:tc>
          <w:tcPr>
            <w:tcW w:w="959" w:type="dxa"/>
            <w:vAlign w:val="bottom"/>
          </w:tcPr>
          <w:p>
            <w:pPr>
              <w:jc w:val="center"/>
              <w:rPr>
                <w:rFonts w:ascii="仿宋_GB2312" w:hAnsi="仿宋" w:eastAsia="仿宋_GB2312"/>
                <w:szCs w:val="21"/>
              </w:rPr>
            </w:pPr>
            <w:r>
              <w:rPr>
                <w:rFonts w:hint="eastAsia" w:ascii="仿宋_GB2312" w:hAnsi="仿宋" w:eastAsia="仿宋_GB2312"/>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682" w:type="dxa"/>
            <w:vAlign w:val="bottom"/>
          </w:tcPr>
          <w:p>
            <w:pPr>
              <w:jc w:val="center"/>
              <w:rPr>
                <w:rFonts w:ascii="仿宋_GB2312" w:hAnsi="仿宋" w:eastAsia="仿宋_GB2312"/>
                <w:szCs w:val="21"/>
              </w:rPr>
            </w:pPr>
            <w:r>
              <w:rPr>
                <w:rFonts w:hint="eastAsia" w:ascii="仿宋_GB2312" w:hAnsi="仿宋" w:eastAsia="仿宋_GB2312"/>
                <w:szCs w:val="21"/>
              </w:rPr>
              <w:t>2</w:t>
            </w:r>
          </w:p>
        </w:tc>
        <w:tc>
          <w:tcPr>
            <w:tcW w:w="3847" w:type="dxa"/>
            <w:vAlign w:val="bottom"/>
          </w:tcPr>
          <w:p>
            <w:pPr>
              <w:spacing w:line="560" w:lineRule="exact"/>
              <w:jc w:val="left"/>
              <w:rPr>
                <w:rFonts w:ascii="仿宋_GB2312" w:hAnsi="仿宋" w:eastAsia="仿宋_GB2312"/>
                <w:szCs w:val="21"/>
              </w:rPr>
            </w:pPr>
            <w:r>
              <w:rPr>
                <w:rFonts w:hint="eastAsia" w:ascii="仿宋_GB2312" w:hAnsi="仿宋" w:eastAsia="仿宋_GB2312" w:cs="仿宋_GB2312"/>
                <w:szCs w:val="21"/>
              </w:rPr>
              <w:t>蓝田县投资商及企业投诉服务中心</w:t>
            </w:r>
          </w:p>
        </w:tc>
        <w:tc>
          <w:tcPr>
            <w:tcW w:w="1258" w:type="dxa"/>
            <w:vAlign w:val="bottom"/>
          </w:tcPr>
          <w:p>
            <w:pPr>
              <w:jc w:val="center"/>
              <w:rPr>
                <w:rFonts w:ascii="仿宋_GB2312" w:hAnsi="仿宋" w:eastAsia="仿宋_GB2312"/>
                <w:szCs w:val="21"/>
              </w:rPr>
            </w:pPr>
            <w:r>
              <w:rPr>
                <w:rFonts w:hint="eastAsia" w:ascii="仿宋_GB2312" w:hAnsi="仿宋" w:eastAsia="仿宋_GB2312"/>
                <w:szCs w:val="21"/>
              </w:rPr>
              <w:t>事业</w:t>
            </w:r>
          </w:p>
        </w:tc>
        <w:tc>
          <w:tcPr>
            <w:tcW w:w="932" w:type="dxa"/>
            <w:vAlign w:val="bottom"/>
          </w:tcPr>
          <w:p>
            <w:pPr>
              <w:jc w:val="center"/>
              <w:rPr>
                <w:rFonts w:ascii="仿宋_GB2312" w:hAnsi="仿宋" w:eastAsia="仿宋_GB2312"/>
                <w:szCs w:val="21"/>
              </w:rPr>
            </w:pPr>
            <w:r>
              <w:rPr>
                <w:rFonts w:hint="eastAsia" w:ascii="仿宋_GB2312" w:hAnsi="仿宋" w:eastAsia="仿宋_GB2312"/>
                <w:szCs w:val="21"/>
              </w:rPr>
              <w:t>6</w:t>
            </w:r>
          </w:p>
        </w:tc>
        <w:tc>
          <w:tcPr>
            <w:tcW w:w="927" w:type="dxa"/>
            <w:vAlign w:val="bottom"/>
          </w:tcPr>
          <w:p>
            <w:pPr>
              <w:jc w:val="center"/>
              <w:rPr>
                <w:rFonts w:ascii="仿宋_GB2312" w:hAnsi="仿宋" w:eastAsia="仿宋_GB2312"/>
                <w:szCs w:val="21"/>
              </w:rPr>
            </w:pPr>
            <w:r>
              <w:rPr>
                <w:rFonts w:hint="eastAsia" w:ascii="仿宋_GB2312" w:hAnsi="仿宋" w:eastAsia="仿宋_GB2312"/>
                <w:szCs w:val="21"/>
              </w:rPr>
              <w:t>11</w:t>
            </w:r>
          </w:p>
        </w:tc>
        <w:tc>
          <w:tcPr>
            <w:tcW w:w="959" w:type="dxa"/>
            <w:vAlign w:val="bottom"/>
          </w:tcPr>
          <w:p>
            <w:pPr>
              <w:jc w:val="center"/>
              <w:rPr>
                <w:rFonts w:ascii="仿宋_GB2312" w:hAnsi="仿宋" w:eastAsia="仿宋_GB2312"/>
                <w:szCs w:val="21"/>
              </w:rPr>
            </w:pPr>
            <w:r>
              <w:rPr>
                <w:rFonts w:hint="eastAsia" w:ascii="仿宋_GB2312" w:hAnsi="仿宋" w:eastAsia="仿宋_GB2312"/>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682" w:type="dxa"/>
            <w:vAlign w:val="bottom"/>
          </w:tcPr>
          <w:p>
            <w:pPr>
              <w:jc w:val="center"/>
              <w:rPr>
                <w:rFonts w:ascii="仿宋_GB2312" w:hAnsi="仿宋" w:eastAsia="仿宋_GB2312"/>
                <w:szCs w:val="21"/>
              </w:rPr>
            </w:pPr>
          </w:p>
        </w:tc>
        <w:tc>
          <w:tcPr>
            <w:tcW w:w="3847" w:type="dxa"/>
            <w:vAlign w:val="bottom"/>
          </w:tcPr>
          <w:p>
            <w:pPr>
              <w:spacing w:line="560" w:lineRule="exact"/>
              <w:jc w:val="center"/>
              <w:rPr>
                <w:rFonts w:ascii="仿宋_GB2312" w:hAnsi="仿宋" w:eastAsia="仿宋_GB2312" w:cs="仿宋_GB2312"/>
                <w:szCs w:val="21"/>
              </w:rPr>
            </w:pPr>
            <w:r>
              <w:rPr>
                <w:rFonts w:hint="eastAsia" w:ascii="仿宋_GB2312" w:hAnsi="仿宋" w:eastAsia="仿宋_GB2312" w:cs="仿宋_GB2312"/>
                <w:szCs w:val="21"/>
              </w:rPr>
              <w:t>合  计</w:t>
            </w:r>
          </w:p>
        </w:tc>
        <w:tc>
          <w:tcPr>
            <w:tcW w:w="1258" w:type="dxa"/>
            <w:vAlign w:val="bottom"/>
          </w:tcPr>
          <w:p>
            <w:pPr>
              <w:jc w:val="center"/>
              <w:rPr>
                <w:rFonts w:ascii="仿宋_GB2312" w:hAnsi="仿宋" w:eastAsia="仿宋_GB2312"/>
                <w:szCs w:val="21"/>
              </w:rPr>
            </w:pPr>
          </w:p>
        </w:tc>
        <w:tc>
          <w:tcPr>
            <w:tcW w:w="932" w:type="dxa"/>
            <w:vAlign w:val="bottom"/>
          </w:tcPr>
          <w:p>
            <w:pPr>
              <w:jc w:val="center"/>
              <w:rPr>
                <w:rFonts w:ascii="仿宋_GB2312" w:hAnsi="仿宋" w:eastAsia="仿宋_GB2312"/>
                <w:szCs w:val="21"/>
              </w:rPr>
            </w:pPr>
            <w:r>
              <w:rPr>
                <w:rFonts w:hint="eastAsia" w:ascii="仿宋_GB2312" w:hAnsi="仿宋" w:eastAsia="仿宋_GB2312"/>
                <w:szCs w:val="21"/>
              </w:rPr>
              <w:t>67</w:t>
            </w:r>
          </w:p>
        </w:tc>
        <w:tc>
          <w:tcPr>
            <w:tcW w:w="927" w:type="dxa"/>
            <w:vAlign w:val="bottom"/>
          </w:tcPr>
          <w:p>
            <w:pPr>
              <w:jc w:val="center"/>
              <w:rPr>
                <w:rFonts w:ascii="仿宋_GB2312" w:hAnsi="仿宋" w:eastAsia="仿宋_GB2312"/>
                <w:szCs w:val="21"/>
              </w:rPr>
            </w:pPr>
            <w:r>
              <w:rPr>
                <w:rFonts w:hint="eastAsia" w:ascii="仿宋_GB2312" w:hAnsi="仿宋" w:eastAsia="仿宋_GB2312"/>
                <w:szCs w:val="21"/>
              </w:rPr>
              <w:t>64</w:t>
            </w:r>
          </w:p>
        </w:tc>
        <w:tc>
          <w:tcPr>
            <w:tcW w:w="959" w:type="dxa"/>
            <w:vAlign w:val="bottom"/>
          </w:tcPr>
          <w:p>
            <w:pPr>
              <w:jc w:val="center"/>
              <w:rPr>
                <w:rFonts w:ascii="仿宋_GB2312" w:hAnsi="仿宋" w:eastAsia="仿宋_GB2312"/>
                <w:szCs w:val="21"/>
              </w:rPr>
            </w:pPr>
            <w:r>
              <w:rPr>
                <w:rFonts w:hint="eastAsia" w:ascii="仿宋_GB2312" w:hAnsi="仿宋" w:eastAsia="仿宋_GB2312"/>
                <w:szCs w:val="21"/>
              </w:rPr>
              <w:t>3</w:t>
            </w:r>
          </w:p>
        </w:tc>
      </w:tr>
    </w:tbl>
    <w:p>
      <w:pPr>
        <w:ind w:firstLine="640" w:firstLineChars="200"/>
        <w:rPr>
          <w:rFonts w:ascii="仿宋_GB2312" w:hAnsi="仿宋" w:eastAsia="仿宋_GB2312"/>
          <w:sz w:val="32"/>
          <w:szCs w:val="32"/>
        </w:rPr>
      </w:pPr>
      <w:r>
        <w:rPr>
          <w:rFonts w:hint="eastAsia" w:ascii="仿宋_GB2312" w:hAnsi="仿宋" w:eastAsia="仿宋_GB2312"/>
          <w:sz w:val="32"/>
          <w:szCs w:val="32"/>
        </w:rPr>
        <w:t>截止2018年底，本部门人员编制67人，其中：行政编制61人、事业编制6人；实有人员64人，其中：行政53人、事业11人。单位管理的离退休人员3人。</w:t>
      </w:r>
    </w:p>
    <w:p>
      <w:pPr>
        <w:ind w:firstLine="420" w:firstLineChars="200"/>
        <w:rPr>
          <w:rFonts w:ascii="仿宋_GB2312" w:eastAsia="仿宋_GB2312"/>
          <w:b/>
          <w:sz w:val="32"/>
          <w:szCs w:val="32"/>
        </w:rPr>
      </w:pPr>
      <w:r>
        <w:drawing>
          <wp:inline distT="0" distB="0" distL="114300" distR="114300">
            <wp:extent cx="4572000" cy="2743200"/>
            <wp:effectExtent l="4445" t="4445" r="14605" b="14605"/>
            <wp:docPr id="5"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4"/>
              </a:graphicData>
            </a:graphic>
          </wp:inline>
        </w:drawing>
      </w:r>
    </w:p>
    <w:p>
      <w:pPr>
        <w:spacing w:line="360" w:lineRule="auto"/>
        <w:ind w:firstLine="643" w:firstLineChars="200"/>
        <w:rPr>
          <w:rFonts w:ascii="黑体" w:hAnsi="黑体" w:eastAsia="黑体" w:cs="黑体"/>
          <w:b/>
          <w:sz w:val="32"/>
          <w:szCs w:val="32"/>
        </w:rPr>
      </w:pPr>
      <w:r>
        <w:rPr>
          <w:rFonts w:hint="eastAsia" w:ascii="黑体" w:hAnsi="黑体" w:eastAsia="黑体" w:cs="黑体"/>
          <w:b/>
          <w:sz w:val="32"/>
          <w:szCs w:val="32"/>
        </w:rPr>
        <w:t>四、2018年度部门工作完成情况</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（一）协助县委抓好党风廉政建设工作</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1、实行清单式管理，压实党组织主体责任。</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2、坚持抓细抓常，落实纪委监督责任。</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3、加强派驻监督和廉政风险防控</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（二）严肃查处群众身边不正之风和腐败问题</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1、开展“阳光接访”，强化信访举报处置。</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2、严肃查处违反中央八项规定精神问题，坚决防止“四风”反弹回潮。</w:t>
      </w:r>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3、坚持重拳出击，持续保持反腐高压态势。</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4、创新方式方法，强化警示宣传教育。</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（三）保障中心工作顺利推进</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1、助力脱贫攻坚，持续加大查处力度。</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2、助力生态环境保护，落实监督执纪责任。</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3、助力优化营商环境，持续转变干部作风。</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4、助力扫黑除恶斗争，促进社会和谐稳定。</w:t>
      </w:r>
    </w:p>
    <w:p>
      <w:pPr>
        <w:spacing w:line="560" w:lineRule="exact"/>
        <w:ind w:firstLine="640" w:firstLineChars="200"/>
        <w:rPr>
          <w:rFonts w:ascii="仿宋_GB2312" w:hAnsi="仿宋_GB2312" w:eastAsia="仿宋_GB2312" w:cs="仿宋_GB2312"/>
          <w:w w:val="97"/>
          <w:sz w:val="32"/>
          <w:szCs w:val="32"/>
        </w:rPr>
      </w:pPr>
      <w:r>
        <w:rPr>
          <w:rFonts w:hint="eastAsia" w:ascii="仿宋_GB2312" w:hAnsi="仿宋_GB2312" w:eastAsia="仿宋_GB2312" w:cs="仿宋_GB2312"/>
          <w:sz w:val="32"/>
          <w:szCs w:val="32"/>
        </w:rPr>
        <w:t>5、助力村“两委”换届，促进农村基层治理。</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（四）从严从实抓班子带队伍</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1、全面深化纪律检查体制改革。</w:t>
      </w:r>
    </w:p>
    <w:p>
      <w:pPr>
        <w:spacing w:line="560" w:lineRule="exact"/>
        <w:ind w:firstLine="640" w:firstLineChars="200"/>
        <w:rPr>
          <w:rFonts w:ascii="黑体" w:hAnsi="黑体" w:eastAsia="黑体" w:cs="黑体"/>
          <w:b/>
          <w:sz w:val="32"/>
          <w:szCs w:val="32"/>
        </w:rPr>
      </w:pPr>
      <w:r>
        <w:rPr>
          <w:rFonts w:hint="eastAsia" w:ascii="仿宋_GB2312" w:hAnsi="仿宋_GB2312" w:eastAsia="仿宋_GB2312" w:cs="仿宋_GB2312"/>
          <w:sz w:val="32"/>
          <w:szCs w:val="32"/>
        </w:rPr>
        <w:t>2、打造蓝田纪检铁军队伍。</w:t>
      </w:r>
    </w:p>
    <w:p>
      <w:pPr>
        <w:spacing w:line="360" w:lineRule="auto"/>
        <w:ind w:firstLine="643" w:firstLineChars="200"/>
        <w:rPr>
          <w:rFonts w:ascii="宋体" w:hAnsi="宋体" w:eastAsia="宋体" w:cs="宋体"/>
          <w:b/>
          <w:sz w:val="32"/>
          <w:szCs w:val="32"/>
        </w:rPr>
      </w:pPr>
      <w:r>
        <w:rPr>
          <w:rFonts w:hint="eastAsia" w:ascii="宋体" w:hAnsi="宋体" w:eastAsia="宋体" w:cs="宋体"/>
          <w:b/>
          <w:sz w:val="32"/>
          <w:szCs w:val="32"/>
        </w:rPr>
        <w:t>五、2018年部门决算收支情况说明</w:t>
      </w:r>
    </w:p>
    <w:p>
      <w:pPr>
        <w:spacing w:line="620" w:lineRule="exact"/>
        <w:ind w:firstLine="640" w:firstLineChars="200"/>
        <w:rPr>
          <w:rFonts w:ascii="仿宋_GB2312" w:hAnsi="仿宋" w:eastAsia="仿宋_GB2312"/>
          <w:sz w:val="32"/>
          <w:szCs w:val="32"/>
        </w:rPr>
      </w:pPr>
      <w:r>
        <w:rPr>
          <w:rFonts w:hint="eastAsia" w:ascii="仿宋_GB2312" w:hAnsi="仿宋" w:eastAsia="仿宋_GB2312"/>
          <w:sz w:val="32"/>
          <w:szCs w:val="32"/>
        </w:rPr>
        <w:t>（一）2018年度收入支出总体情况</w:t>
      </w:r>
    </w:p>
    <w:p>
      <w:pPr>
        <w:spacing w:line="620" w:lineRule="exact"/>
        <w:ind w:firstLine="640" w:firstLineChars="200"/>
        <w:rPr>
          <w:rFonts w:ascii="仿宋_GB2312" w:hAnsi="仿宋" w:eastAsia="仿宋_GB2312"/>
          <w:sz w:val="32"/>
          <w:szCs w:val="32"/>
        </w:rPr>
      </w:pPr>
      <w:r>
        <w:rPr>
          <w:rFonts w:hint="eastAsia" w:ascii="仿宋_GB2312" w:hAnsi="仿宋" w:eastAsia="仿宋_GB2312"/>
          <w:sz w:val="32"/>
          <w:szCs w:val="32"/>
        </w:rPr>
        <w:t>1、本年度收入支出总体情况。2018年度收入为901.11万元，其中：财政拨款收入901.11万元，本年支出为901.11万元，年末结余和结转为0万元，较上年增加240.13万元，增加比率为36.33%，主要是人员工资增加和执纪审查办案费用增加。</w:t>
      </w:r>
    </w:p>
    <w:p>
      <w:pPr>
        <w:spacing w:line="620" w:lineRule="exact"/>
        <w:ind w:firstLine="640" w:firstLineChars="200"/>
        <w:rPr>
          <w:rFonts w:ascii="仿宋_GB2312" w:hAnsi="仿宋" w:eastAsia="仿宋_GB2312"/>
          <w:sz w:val="32"/>
          <w:szCs w:val="32"/>
        </w:rPr>
      </w:pPr>
      <w:r>
        <w:rPr>
          <w:rFonts w:hint="eastAsia" w:ascii="仿宋_GB2312" w:hAnsi="仿宋" w:eastAsia="仿宋_GB2312"/>
          <w:sz w:val="32"/>
          <w:szCs w:val="32"/>
        </w:rPr>
        <w:t>2、本年度收入构成情况</w:t>
      </w:r>
    </w:p>
    <w:p>
      <w:pPr>
        <w:spacing w:line="620" w:lineRule="exact"/>
        <w:ind w:firstLine="640" w:firstLineChars="200"/>
        <w:rPr>
          <w:rFonts w:ascii="仿宋_GB2312" w:hAnsi="仿宋" w:eastAsia="仿宋_GB2312"/>
          <w:sz w:val="32"/>
          <w:szCs w:val="32"/>
        </w:rPr>
      </w:pPr>
      <w:r>
        <w:rPr>
          <w:rFonts w:hint="eastAsia" w:ascii="仿宋_GB2312" w:hAnsi="仿宋" w:eastAsia="仿宋_GB2312"/>
          <w:sz w:val="32"/>
          <w:szCs w:val="32"/>
        </w:rPr>
        <w:t>2018年度收入为901.11万元，其中：财政拨款收入901.11万元。</w:t>
      </w:r>
    </w:p>
    <w:p>
      <w:pPr>
        <w:pStyle w:val="5"/>
        <w:widowControl/>
        <w:shd w:val="clear" w:color="auto" w:fill="FFFFFF"/>
        <w:spacing w:before="0" w:beforeAutospacing="0" w:after="0" w:afterAutospacing="0"/>
        <w:ind w:firstLine="420"/>
        <w:jc w:val="center"/>
        <w:rPr>
          <w:rFonts w:ascii="仿宋_GB2312" w:hAnsi="仿宋" w:eastAsia="仿宋_GB2312"/>
          <w:kern w:val="2"/>
          <w:sz w:val="32"/>
          <w:szCs w:val="32"/>
        </w:rPr>
      </w:pPr>
      <w:r>
        <w:drawing>
          <wp:inline distT="0" distB="0" distL="114300" distR="114300">
            <wp:extent cx="3924300" cy="2362200"/>
            <wp:effectExtent l="4445" t="4445" r="14605" b="14605"/>
            <wp:docPr id="2" name="图片 2"/>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inline>
        </w:drawing>
      </w:r>
    </w:p>
    <w:p>
      <w:pPr>
        <w:spacing w:line="620" w:lineRule="exact"/>
        <w:ind w:firstLine="640" w:firstLineChars="200"/>
        <w:rPr>
          <w:rFonts w:ascii="仿宋_GB2312" w:hAnsi="仿宋" w:eastAsia="仿宋_GB2312"/>
          <w:sz w:val="32"/>
          <w:szCs w:val="32"/>
        </w:rPr>
      </w:pPr>
      <w:r>
        <w:rPr>
          <w:rFonts w:hint="eastAsia" w:ascii="仿宋_GB2312" w:hAnsi="仿宋" w:eastAsia="仿宋_GB2312"/>
          <w:sz w:val="32"/>
          <w:szCs w:val="32"/>
        </w:rPr>
        <w:t>3、本年度支出构成情况</w:t>
      </w:r>
    </w:p>
    <w:p>
      <w:pPr>
        <w:spacing w:line="620" w:lineRule="exact"/>
        <w:ind w:firstLine="640" w:firstLineChars="200"/>
        <w:rPr>
          <w:rFonts w:ascii="仿宋_GB2312" w:hAnsi="仿宋" w:eastAsia="仿宋_GB2312"/>
          <w:sz w:val="32"/>
          <w:szCs w:val="32"/>
        </w:rPr>
      </w:pPr>
      <w:r>
        <w:rPr>
          <w:rFonts w:hint="eastAsia" w:ascii="仿宋_GB2312" w:hAnsi="仿宋" w:eastAsia="仿宋_GB2312"/>
          <w:sz w:val="32"/>
          <w:szCs w:val="32"/>
        </w:rPr>
        <w:t>本年支出为901.11万元，其中：基本支出650.38万元，项目支出250.73万元。</w:t>
      </w:r>
    </w:p>
    <w:p>
      <w:pPr>
        <w:pStyle w:val="5"/>
        <w:widowControl/>
        <w:shd w:val="clear" w:color="auto" w:fill="FFFFFF"/>
        <w:spacing w:before="0" w:beforeAutospacing="0" w:after="0" w:afterAutospacing="0"/>
        <w:ind w:firstLine="420"/>
        <w:jc w:val="center"/>
        <w:rPr>
          <w:rFonts w:ascii="仿宋_GB2312" w:hAnsi="仿宋" w:eastAsia="仿宋_GB2312"/>
          <w:kern w:val="2"/>
          <w:sz w:val="32"/>
          <w:szCs w:val="32"/>
        </w:rPr>
      </w:pPr>
      <w:r>
        <w:drawing>
          <wp:inline distT="0" distB="0" distL="114300" distR="114300">
            <wp:extent cx="4572000" cy="2743200"/>
            <wp:effectExtent l="4445" t="4445" r="14605" b="14605"/>
            <wp:docPr id="4"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pPr>
        <w:spacing w:line="620" w:lineRule="exact"/>
        <w:ind w:firstLine="640" w:firstLineChars="200"/>
        <w:rPr>
          <w:rFonts w:ascii="仿宋_GB2312" w:hAnsi="仿宋" w:eastAsia="仿宋_GB2312"/>
          <w:sz w:val="32"/>
          <w:szCs w:val="32"/>
        </w:rPr>
      </w:pPr>
      <w:r>
        <w:rPr>
          <w:rFonts w:hint="eastAsia" w:ascii="仿宋_GB2312" w:hAnsi="仿宋" w:eastAsia="仿宋_GB2312"/>
          <w:sz w:val="32"/>
          <w:szCs w:val="32"/>
        </w:rPr>
        <w:t>（二）2018年度财政拨款收入支出总体情况说明</w:t>
      </w:r>
    </w:p>
    <w:p>
      <w:pPr>
        <w:spacing w:line="620" w:lineRule="exact"/>
        <w:ind w:firstLine="640" w:firstLineChars="200"/>
        <w:rPr>
          <w:rFonts w:ascii="仿宋_GB2312" w:hAnsi="仿宋" w:eastAsia="仿宋_GB2312"/>
          <w:sz w:val="32"/>
          <w:szCs w:val="32"/>
        </w:rPr>
      </w:pPr>
      <w:r>
        <w:rPr>
          <w:rFonts w:hint="eastAsia" w:ascii="仿宋_GB2312" w:hAnsi="仿宋" w:eastAsia="仿宋_GB2312"/>
          <w:sz w:val="32"/>
          <w:szCs w:val="32"/>
        </w:rPr>
        <w:t>1、财政拨款收入支出总体情况</w:t>
      </w:r>
    </w:p>
    <w:p>
      <w:pPr>
        <w:spacing w:line="620" w:lineRule="exact"/>
        <w:ind w:firstLine="640" w:firstLineChars="200"/>
        <w:rPr>
          <w:rFonts w:ascii="仿宋_GB2312" w:hAnsi="仿宋" w:eastAsia="仿宋_GB2312"/>
          <w:sz w:val="32"/>
          <w:szCs w:val="32"/>
        </w:rPr>
      </w:pPr>
      <w:r>
        <w:rPr>
          <w:rFonts w:hint="eastAsia" w:ascii="仿宋_GB2312" w:hAnsi="仿宋" w:eastAsia="仿宋_GB2312"/>
          <w:sz w:val="32"/>
          <w:szCs w:val="32"/>
        </w:rPr>
        <w:t>2018年财政拨款收入901.11万元，财政拨款支出901.11万元，比上年增加240.13万元，增加比率为36.33%，主要是人员工资增加和执纪审查办案费用增加。</w:t>
      </w:r>
    </w:p>
    <w:p>
      <w:pPr>
        <w:spacing w:line="620" w:lineRule="exact"/>
        <w:ind w:firstLine="640" w:firstLineChars="200"/>
        <w:rPr>
          <w:rFonts w:ascii="仿宋_GB2312" w:hAnsi="仿宋" w:eastAsia="仿宋_GB2312"/>
          <w:sz w:val="32"/>
          <w:szCs w:val="32"/>
        </w:rPr>
      </w:pPr>
      <w:r>
        <w:rPr>
          <w:rFonts w:hint="eastAsia" w:ascii="仿宋_GB2312" w:hAnsi="仿宋" w:eastAsia="仿宋_GB2312"/>
          <w:sz w:val="32"/>
          <w:szCs w:val="32"/>
        </w:rPr>
        <w:t>2、一般公共预算财政拨款支出情况</w:t>
      </w:r>
    </w:p>
    <w:p>
      <w:pPr>
        <w:spacing w:line="620" w:lineRule="exact"/>
        <w:ind w:firstLine="640" w:firstLineChars="200"/>
        <w:rPr>
          <w:rFonts w:ascii="仿宋_GB2312" w:hAnsi="仿宋" w:eastAsia="仿宋_GB2312"/>
          <w:sz w:val="32"/>
          <w:szCs w:val="32"/>
        </w:rPr>
      </w:pPr>
      <w:r>
        <w:rPr>
          <w:rFonts w:hint="eastAsia" w:ascii="仿宋_GB2312" w:hAnsi="仿宋" w:eastAsia="仿宋_GB2312"/>
          <w:sz w:val="32"/>
          <w:szCs w:val="32"/>
        </w:rPr>
        <w:t>2018年一般公共预算财政拨款支出901.11万元，其中：一般公共服务支出901.11万元。</w:t>
      </w:r>
    </w:p>
    <w:p>
      <w:pPr>
        <w:spacing w:line="620" w:lineRule="exact"/>
        <w:ind w:firstLine="640" w:firstLineChars="200"/>
        <w:rPr>
          <w:rFonts w:ascii="仿宋_GB2312" w:hAnsi="仿宋" w:eastAsia="仿宋_GB2312"/>
          <w:sz w:val="32"/>
          <w:szCs w:val="32"/>
        </w:rPr>
      </w:pPr>
      <w:r>
        <w:rPr>
          <w:rFonts w:hint="eastAsia" w:ascii="仿宋_GB2312" w:hAnsi="仿宋" w:eastAsia="仿宋_GB2312"/>
          <w:sz w:val="32"/>
          <w:szCs w:val="32"/>
        </w:rPr>
        <w:t>3、一般公共预算财政拨款基本支出决算情况</w:t>
      </w:r>
    </w:p>
    <w:p>
      <w:pPr>
        <w:spacing w:line="620" w:lineRule="exact"/>
        <w:ind w:firstLine="640" w:firstLineChars="200"/>
        <w:rPr>
          <w:rFonts w:ascii="仿宋_GB2312" w:hAnsi="仿宋" w:eastAsia="仿宋_GB2312"/>
          <w:sz w:val="32"/>
          <w:szCs w:val="32"/>
        </w:rPr>
      </w:pPr>
      <w:r>
        <w:rPr>
          <w:rFonts w:hint="eastAsia" w:ascii="仿宋_GB2312" w:hAnsi="仿宋" w:eastAsia="仿宋_GB2312"/>
          <w:sz w:val="32"/>
          <w:szCs w:val="32"/>
        </w:rPr>
        <w:t>2018年一般公共预算财政拨款基本支出650.38万元，其中：人员经费540.94万元，公用经费109.44万元。.</w:t>
      </w:r>
    </w:p>
    <w:p>
      <w:pPr>
        <w:spacing w:line="620" w:lineRule="exact"/>
        <w:ind w:firstLine="640" w:firstLineChars="200"/>
        <w:rPr>
          <w:rFonts w:ascii="仿宋_GB2312" w:hAnsi="仿宋" w:eastAsia="仿宋_GB2312"/>
          <w:sz w:val="32"/>
          <w:szCs w:val="32"/>
        </w:rPr>
      </w:pPr>
      <w:r>
        <w:rPr>
          <w:rFonts w:hint="eastAsia" w:ascii="仿宋_GB2312" w:hAnsi="仿宋" w:eastAsia="仿宋_GB2312"/>
          <w:sz w:val="32"/>
          <w:szCs w:val="32"/>
        </w:rPr>
        <w:t>4、政府性基金财政拨款收支情况</w:t>
      </w:r>
    </w:p>
    <w:p>
      <w:pPr>
        <w:spacing w:line="620" w:lineRule="exact"/>
        <w:ind w:firstLine="640" w:firstLineChars="200"/>
        <w:rPr>
          <w:rFonts w:ascii="仿宋_GB2312" w:hAnsi="仿宋" w:eastAsia="仿宋_GB2312"/>
          <w:sz w:val="32"/>
          <w:szCs w:val="32"/>
        </w:rPr>
      </w:pPr>
      <w:r>
        <w:rPr>
          <w:rFonts w:hint="eastAsia" w:ascii="仿宋_GB2312" w:hAnsi="仿宋" w:eastAsia="仿宋_GB2312"/>
          <w:sz w:val="32"/>
          <w:szCs w:val="32"/>
        </w:rPr>
        <w:t>2018年本部门无政府性基金决算收支，并已公开空表。</w:t>
      </w:r>
    </w:p>
    <w:p>
      <w:pPr>
        <w:spacing w:line="620" w:lineRule="exact"/>
        <w:ind w:firstLine="640" w:firstLineChars="200"/>
        <w:rPr>
          <w:rFonts w:ascii="仿宋_GB2312" w:hAnsi="仿宋" w:eastAsia="仿宋_GB2312"/>
          <w:sz w:val="32"/>
          <w:szCs w:val="32"/>
        </w:rPr>
      </w:pPr>
      <w:r>
        <w:rPr>
          <w:rFonts w:hint="eastAsia" w:ascii="仿宋_GB2312" w:hAnsi="仿宋" w:eastAsia="仿宋_GB2312"/>
          <w:sz w:val="32"/>
          <w:szCs w:val="32"/>
        </w:rPr>
        <w:t>5、国有资本经营财政拨款收支情况</w:t>
      </w:r>
    </w:p>
    <w:p>
      <w:pPr>
        <w:spacing w:line="620" w:lineRule="exact"/>
        <w:ind w:firstLine="640" w:firstLineChars="200"/>
        <w:rPr>
          <w:rFonts w:ascii="仿宋_GB2312" w:hAnsi="仿宋" w:eastAsia="仿宋_GB2312"/>
          <w:sz w:val="32"/>
          <w:szCs w:val="32"/>
        </w:rPr>
      </w:pPr>
      <w:r>
        <w:rPr>
          <w:rFonts w:hint="eastAsia" w:ascii="仿宋_GB2312" w:hAnsi="仿宋" w:eastAsia="仿宋_GB2312"/>
          <w:sz w:val="32"/>
          <w:szCs w:val="32"/>
        </w:rPr>
        <w:t>2018年本部门无国有资本经营决算拨款收支。</w:t>
      </w:r>
    </w:p>
    <w:p>
      <w:pPr>
        <w:spacing w:line="620" w:lineRule="exact"/>
        <w:ind w:firstLine="640" w:firstLineChars="200"/>
        <w:rPr>
          <w:rFonts w:ascii="仿宋_GB2312" w:hAnsi="仿宋" w:eastAsia="仿宋_GB2312"/>
          <w:sz w:val="32"/>
          <w:szCs w:val="32"/>
        </w:rPr>
      </w:pPr>
      <w:r>
        <w:rPr>
          <w:rFonts w:hint="eastAsia" w:ascii="仿宋_GB2312" w:hAnsi="仿宋" w:eastAsia="仿宋_GB2312"/>
          <w:sz w:val="32"/>
          <w:szCs w:val="32"/>
        </w:rPr>
        <w:t>6、政府采购支出情况</w:t>
      </w:r>
    </w:p>
    <w:p>
      <w:pPr>
        <w:spacing w:line="620" w:lineRule="exact"/>
        <w:ind w:firstLine="640" w:firstLineChars="200"/>
        <w:rPr>
          <w:rFonts w:hint="default" w:ascii="仿宋_GB2312" w:hAnsi="仿宋" w:eastAsia="仿宋_GB2312"/>
          <w:sz w:val="32"/>
          <w:szCs w:val="32"/>
          <w:highlight w:val="none"/>
          <w:lang w:val="en-US" w:eastAsia="zh-CN"/>
        </w:rPr>
      </w:pPr>
      <w:r>
        <w:rPr>
          <w:rFonts w:hint="eastAsia" w:ascii="仿宋_GB2312" w:hAnsi="仿宋" w:eastAsia="仿宋_GB2312"/>
          <w:sz w:val="32"/>
          <w:szCs w:val="32"/>
          <w:highlight w:val="none"/>
        </w:rPr>
        <w:t>2018年本部门政府采购支出总额共40.40万元，其中政府采购货物类支出40.40万元。</w:t>
      </w:r>
      <w:r>
        <w:rPr>
          <w:rFonts w:hint="eastAsia" w:ascii="仿宋_GB2312" w:hAnsi="仿宋" w:eastAsia="仿宋_GB2312"/>
          <w:sz w:val="32"/>
          <w:szCs w:val="32"/>
          <w:highlight w:val="none"/>
          <w:lang w:eastAsia="zh-CN"/>
        </w:rPr>
        <w:t>其中：</w:t>
      </w:r>
      <w:r>
        <w:rPr>
          <w:rFonts w:hint="eastAsia" w:ascii="仿宋_GB2312" w:hAnsi="仿宋" w:eastAsia="仿宋_GB2312"/>
          <w:sz w:val="32"/>
          <w:szCs w:val="32"/>
          <w:highlight w:val="none"/>
        </w:rPr>
        <w:t>授予中小企业的合同金额40.40万元</w:t>
      </w:r>
      <w:r>
        <w:rPr>
          <w:rFonts w:hint="eastAsia" w:ascii="仿宋_GB2312" w:hAnsi="仿宋" w:eastAsia="仿宋_GB2312"/>
          <w:sz w:val="32"/>
          <w:szCs w:val="32"/>
          <w:highlight w:val="none"/>
          <w:lang w:eastAsia="zh-CN"/>
        </w:rPr>
        <w:t>，</w:t>
      </w:r>
      <w:r>
        <w:rPr>
          <w:rFonts w:hint="eastAsia" w:ascii="仿宋_GB2312" w:hAnsi="仿宋" w:eastAsia="仿宋_GB2312"/>
          <w:sz w:val="32"/>
          <w:szCs w:val="32"/>
          <w:highlight w:val="none"/>
        </w:rPr>
        <w:t>占政府采购支出金额的</w:t>
      </w:r>
      <w:r>
        <w:rPr>
          <w:rFonts w:hint="eastAsia" w:ascii="仿宋_GB2312" w:hAnsi="仿宋" w:eastAsia="仿宋_GB2312"/>
          <w:sz w:val="32"/>
          <w:szCs w:val="32"/>
          <w:highlight w:val="none"/>
          <w:lang w:val="en-US" w:eastAsia="zh-CN"/>
        </w:rPr>
        <w:t>100%。</w:t>
      </w:r>
    </w:p>
    <w:p>
      <w:pPr>
        <w:ind w:firstLine="640" w:firstLineChars="200"/>
        <w:rPr>
          <w:rFonts w:ascii="仿宋_GB2312" w:hAnsi="仿宋" w:eastAsia="仿宋_GB2312"/>
          <w:sz w:val="32"/>
          <w:szCs w:val="32"/>
          <w:highlight w:val="none"/>
        </w:rPr>
      </w:pPr>
      <w:r>
        <w:rPr>
          <w:rFonts w:hint="eastAsia" w:ascii="仿宋_GB2312" w:hAnsi="仿宋" w:eastAsia="仿宋_GB2312"/>
          <w:sz w:val="32"/>
          <w:szCs w:val="32"/>
          <w:highlight w:val="none"/>
        </w:rPr>
        <w:t>（三）2018年度“三公”经费支出情况说明</w:t>
      </w:r>
    </w:p>
    <w:p>
      <w:pPr>
        <w:ind w:firstLine="640" w:firstLineChars="200"/>
        <w:rPr>
          <w:rFonts w:ascii="仿宋_GB2312" w:hAnsi="仿宋" w:eastAsia="仿宋_GB2312"/>
          <w:sz w:val="32"/>
          <w:szCs w:val="32"/>
        </w:rPr>
      </w:pPr>
      <w:r>
        <w:rPr>
          <w:rFonts w:hint="eastAsia" w:ascii="仿宋_GB2312" w:hAnsi="仿宋" w:eastAsia="仿宋_GB2312"/>
          <w:sz w:val="32"/>
          <w:szCs w:val="32"/>
        </w:rPr>
        <w:t>2018年一般公共预算财政拨款安排的“三公经费”支出</w:t>
      </w:r>
      <w:r>
        <w:rPr>
          <w:rFonts w:hint="eastAsia" w:ascii="仿宋_GB2312" w:hAnsi="仿宋" w:eastAsia="仿宋_GB2312"/>
          <w:sz w:val="32"/>
          <w:szCs w:val="32"/>
          <w:lang w:val="en-US" w:eastAsia="zh-CN"/>
        </w:rPr>
        <w:t>37.7万元，比上年决算增加14.89万元，比当年预算增加23.7万元，其中：</w:t>
      </w:r>
      <w:r>
        <w:rPr>
          <w:rFonts w:hint="eastAsia" w:ascii="仿宋_GB2312" w:hAnsi="仿宋" w:eastAsia="仿宋_GB2312"/>
          <w:sz w:val="32"/>
          <w:szCs w:val="32"/>
        </w:rPr>
        <w:t>公务接待费支出1.63万元，占三公经费”支出的4.32%；公务用车购置及运行维护费支出36.07万元,占三公经费”支出的95.68%。具体情况如下：</w:t>
      </w:r>
    </w:p>
    <w:p>
      <w:pPr>
        <w:ind w:firstLine="640" w:firstLineChars="200"/>
        <w:rPr>
          <w:rFonts w:ascii="仿宋_GB2312" w:hAnsi="仿宋" w:eastAsia="仿宋_GB2312"/>
          <w:sz w:val="32"/>
          <w:szCs w:val="32"/>
        </w:rPr>
      </w:pPr>
      <w:r>
        <w:rPr>
          <w:rFonts w:hint="eastAsia" w:ascii="仿宋_GB2312" w:hAnsi="仿宋" w:eastAsia="仿宋_GB2312"/>
          <w:sz w:val="32"/>
          <w:szCs w:val="32"/>
        </w:rPr>
        <w:t>1、因公出国（境）费支出情况</w:t>
      </w:r>
    </w:p>
    <w:p>
      <w:pPr>
        <w:ind w:firstLine="640" w:firstLineChars="200"/>
        <w:rPr>
          <w:rFonts w:ascii="仿宋_GB2312" w:hAnsi="仿宋" w:eastAsia="仿宋_GB2312"/>
          <w:sz w:val="32"/>
          <w:szCs w:val="32"/>
        </w:rPr>
      </w:pPr>
      <w:r>
        <w:rPr>
          <w:rFonts w:hint="eastAsia" w:ascii="仿宋_GB2312" w:hAnsi="仿宋" w:eastAsia="仿宋_GB2312"/>
          <w:sz w:val="32"/>
          <w:szCs w:val="32"/>
        </w:rPr>
        <w:t>因公出国（境）费支出0元，2018年本部门无因公出国（境）团组情况，与上年情况相同，当年预算0元。</w:t>
      </w:r>
    </w:p>
    <w:p>
      <w:pPr>
        <w:numPr>
          <w:ilvl w:val="0"/>
          <w:numId w:val="1"/>
        </w:numPr>
        <w:ind w:firstLine="640" w:firstLineChars="200"/>
        <w:rPr>
          <w:rFonts w:ascii="仿宋_GB2312" w:hAnsi="仿宋" w:eastAsia="仿宋_GB2312"/>
          <w:sz w:val="32"/>
          <w:szCs w:val="32"/>
        </w:rPr>
      </w:pPr>
      <w:r>
        <w:rPr>
          <w:rFonts w:hint="eastAsia" w:ascii="仿宋_GB2312" w:hAnsi="仿宋" w:eastAsia="仿宋_GB2312"/>
          <w:sz w:val="32"/>
          <w:szCs w:val="32"/>
        </w:rPr>
        <w:t>公务接待费支出情况</w:t>
      </w:r>
    </w:p>
    <w:p>
      <w:pPr>
        <w:ind w:firstLine="640" w:firstLineChars="200"/>
        <w:rPr>
          <w:rFonts w:ascii="仿宋_GB2312" w:hAnsi="仿宋" w:eastAsia="仿宋_GB2312"/>
          <w:sz w:val="32"/>
          <w:szCs w:val="32"/>
        </w:rPr>
      </w:pPr>
      <w:r>
        <w:rPr>
          <w:rFonts w:hint="eastAsia" w:ascii="仿宋_GB2312" w:hAnsi="仿宋" w:eastAsia="仿宋_GB2312"/>
          <w:sz w:val="32"/>
          <w:szCs w:val="32"/>
        </w:rPr>
        <w:t>公务接待费支出1.63万元，主要为上级部门来人接待费用，比上年决算减少0.43万元，比当年预算减少0.37万元，主要原因是根据中央八项规定要求，严格控制公务接待费支出。全年使用一般公共预算财政拨款安排的公务接待33批次，接待人数335人次。</w:t>
      </w:r>
    </w:p>
    <w:p>
      <w:pPr>
        <w:numPr>
          <w:ilvl w:val="0"/>
          <w:numId w:val="1"/>
        </w:numPr>
        <w:ind w:firstLine="640" w:firstLineChars="200"/>
        <w:rPr>
          <w:rFonts w:ascii="仿宋_GB2312" w:hAnsi="仿宋" w:eastAsia="仿宋_GB2312"/>
          <w:sz w:val="32"/>
          <w:szCs w:val="32"/>
        </w:rPr>
      </w:pPr>
      <w:r>
        <w:rPr>
          <w:rFonts w:hint="eastAsia" w:ascii="仿宋_GB2312" w:hAnsi="仿宋" w:eastAsia="仿宋_GB2312"/>
          <w:sz w:val="32"/>
          <w:szCs w:val="32"/>
        </w:rPr>
        <w:t>公务用车购置及运行维护费情况</w:t>
      </w:r>
    </w:p>
    <w:p>
      <w:pPr>
        <w:ind w:firstLine="640" w:firstLineChars="200"/>
        <w:rPr>
          <w:rFonts w:ascii="仿宋_GB2312" w:hAnsi="仿宋" w:eastAsia="仿宋_GB2312"/>
          <w:sz w:val="32"/>
          <w:szCs w:val="32"/>
        </w:rPr>
      </w:pPr>
      <w:r>
        <w:rPr>
          <w:rFonts w:hint="eastAsia" w:ascii="仿宋_GB2312" w:hAnsi="仿宋" w:eastAsia="仿宋_GB2312"/>
          <w:sz w:val="32"/>
          <w:szCs w:val="32"/>
        </w:rPr>
        <w:t>公务用车购置及运行维护费支出36.07万元,其中：公务用车购置费15.58万元，使用一般公共预算财政拨款购置公务用车1辆，比上年决算增加15.58万元，比当年预算增加15.58万元，主要原因是因执纪审查工作需要，增加执法执勤车辆1辆，增加15.58万元</w:t>
      </w:r>
      <w:r>
        <w:rPr>
          <w:rFonts w:hint="eastAsia" w:ascii="仿宋_GB2312" w:hAnsi="仿宋" w:eastAsia="仿宋_GB2312"/>
          <w:sz w:val="32"/>
          <w:szCs w:val="32"/>
          <w:lang w:eastAsia="zh-CN"/>
        </w:rPr>
        <w:t>；</w:t>
      </w:r>
      <w:r>
        <w:rPr>
          <w:rFonts w:hint="eastAsia" w:ascii="仿宋_GB2312" w:hAnsi="仿宋" w:eastAsia="仿宋_GB2312"/>
          <w:sz w:val="32"/>
          <w:szCs w:val="32"/>
        </w:rPr>
        <w:t>公务用车运行维护费支出20.49万元，比上年决算减少0.26万元，主要原因为按照有关规定，严格控制公务用车运行费支出。比当年预算增加8.49万元，主要原因执纪审查工作任务加大，导致公务用车运行维护费增加。2018年使用一般公共预算财政拨款开支维护费的公务用车保有量8辆。</w:t>
      </w:r>
    </w:p>
    <w:p>
      <w:pPr>
        <w:numPr>
          <w:ilvl w:val="0"/>
          <w:numId w:val="1"/>
        </w:numPr>
        <w:ind w:firstLine="640" w:firstLineChars="200"/>
        <w:rPr>
          <w:rFonts w:ascii="仿宋_GB2312" w:hAnsi="仿宋" w:eastAsia="仿宋_GB2312"/>
          <w:sz w:val="32"/>
          <w:szCs w:val="32"/>
        </w:rPr>
      </w:pPr>
      <w:r>
        <w:rPr>
          <w:rFonts w:hint="eastAsia" w:ascii="仿宋_GB2312" w:hAnsi="仿宋" w:eastAsia="仿宋_GB2312"/>
          <w:sz w:val="32"/>
          <w:szCs w:val="32"/>
        </w:rPr>
        <w:t>培训费支出情况</w:t>
      </w:r>
    </w:p>
    <w:p>
      <w:pPr>
        <w:spacing w:line="620" w:lineRule="exact"/>
        <w:ind w:firstLine="640" w:firstLineChars="200"/>
        <w:rPr>
          <w:rFonts w:ascii="仿宋_GB2312" w:hAnsi="仿宋" w:eastAsia="仿宋_GB2312"/>
          <w:sz w:val="32"/>
          <w:szCs w:val="32"/>
        </w:rPr>
      </w:pPr>
      <w:r>
        <w:rPr>
          <w:rFonts w:hint="eastAsia" w:ascii="仿宋_GB2312" w:hAnsi="仿宋" w:eastAsia="仿宋_GB2312"/>
          <w:sz w:val="32"/>
          <w:szCs w:val="32"/>
        </w:rPr>
        <w:t>2018年一般公共预算财政拨款培训费支出8.63万元，较上年决算减少4.9万元，比当年预算减少1.37万元。主要原因为按照有关规定，严格控制培训费支出。</w:t>
      </w:r>
    </w:p>
    <w:p>
      <w:pPr>
        <w:spacing w:line="620" w:lineRule="exact"/>
        <w:ind w:firstLine="640" w:firstLineChars="200"/>
        <w:rPr>
          <w:rFonts w:ascii="仿宋_GB2312" w:hAnsi="仿宋" w:eastAsia="仿宋_GB2312"/>
          <w:sz w:val="32"/>
          <w:szCs w:val="32"/>
        </w:rPr>
      </w:pPr>
      <w:r>
        <w:rPr>
          <w:rFonts w:hint="eastAsia" w:ascii="仿宋_GB2312" w:hAnsi="仿宋" w:eastAsia="仿宋_GB2312"/>
          <w:sz w:val="32"/>
          <w:szCs w:val="32"/>
        </w:rPr>
        <w:t>5、会议费支出情况</w:t>
      </w:r>
    </w:p>
    <w:p>
      <w:pPr>
        <w:spacing w:line="620" w:lineRule="exact"/>
        <w:ind w:firstLine="640" w:firstLineChars="200"/>
        <w:rPr>
          <w:rFonts w:ascii="仿宋_GB2312" w:hAnsi="仿宋" w:eastAsia="仿宋_GB2312"/>
          <w:sz w:val="32"/>
          <w:szCs w:val="32"/>
        </w:rPr>
      </w:pPr>
      <w:r>
        <w:rPr>
          <w:rFonts w:hint="eastAsia" w:ascii="仿宋_GB2312" w:hAnsi="仿宋" w:eastAsia="仿宋_GB2312"/>
          <w:sz w:val="32"/>
          <w:szCs w:val="32"/>
        </w:rPr>
        <w:t>2018年一般公共预算财政拨款会议费支出2.97万元，比上年增加0.76万元，比当年预算减少</w:t>
      </w:r>
      <w:r>
        <w:rPr>
          <w:rFonts w:hint="eastAsia" w:ascii="仿宋_GB2312" w:hAnsi="仿宋" w:eastAsia="仿宋_GB2312"/>
          <w:sz w:val="32"/>
          <w:szCs w:val="32"/>
          <w:lang w:val="en-US" w:eastAsia="zh-CN"/>
        </w:rPr>
        <w:t>0.03</w:t>
      </w:r>
      <w:r>
        <w:rPr>
          <w:rFonts w:hint="eastAsia" w:ascii="仿宋_GB2312" w:hAnsi="仿宋" w:eastAsia="仿宋_GB2312"/>
          <w:sz w:val="32"/>
          <w:szCs w:val="32"/>
        </w:rPr>
        <w:t>万元</w:t>
      </w:r>
      <w:r>
        <w:rPr>
          <w:rFonts w:hint="eastAsia" w:ascii="仿宋_GB2312" w:hAnsi="仿宋" w:eastAsia="仿宋_GB2312"/>
          <w:sz w:val="32"/>
          <w:szCs w:val="32"/>
          <w:lang w:eastAsia="zh-CN"/>
        </w:rPr>
        <w:t>，</w:t>
      </w:r>
      <w:r>
        <w:rPr>
          <w:rFonts w:hint="eastAsia" w:ascii="仿宋_GB2312" w:hAnsi="仿宋" w:eastAsia="仿宋_GB2312"/>
          <w:sz w:val="32"/>
          <w:szCs w:val="32"/>
        </w:rPr>
        <w:t>主要原因为执纪审查工作任务加大，导致会议费增加。</w:t>
      </w:r>
    </w:p>
    <w:p>
      <w:pPr>
        <w:spacing w:line="360" w:lineRule="auto"/>
        <w:ind w:firstLine="643" w:firstLineChars="200"/>
        <w:rPr>
          <w:rFonts w:ascii="仿宋_GB2312" w:eastAsia="仿宋_GB2312"/>
          <w:b/>
          <w:sz w:val="32"/>
          <w:szCs w:val="32"/>
        </w:rPr>
      </w:pPr>
      <w:r>
        <w:rPr>
          <w:rFonts w:hint="eastAsia" w:ascii="仿宋_GB2312" w:eastAsia="仿宋_GB2312"/>
          <w:b/>
          <w:sz w:val="32"/>
          <w:szCs w:val="32"/>
        </w:rPr>
        <w:t>六、2018年度部门绩效管理情况说明</w:t>
      </w:r>
    </w:p>
    <w:p>
      <w:pPr>
        <w:ind w:firstLine="640" w:firstLineChars="200"/>
        <w:rPr>
          <w:rFonts w:hint="eastAsia" w:ascii="仿宋_GB2312" w:hAnsi="仿宋" w:eastAsia="仿宋_GB2312"/>
          <w:sz w:val="32"/>
          <w:szCs w:val="32"/>
        </w:rPr>
      </w:pPr>
      <w:r>
        <w:rPr>
          <w:rFonts w:hint="eastAsia" w:ascii="仿宋_GB2312" w:hAnsi="仿宋" w:eastAsia="仿宋_GB2312"/>
          <w:sz w:val="32"/>
          <w:szCs w:val="32"/>
        </w:rPr>
        <w:t>根据预算绩效管理要求，本部门组织对2018年度一般公共预算整体支出全面开展绩效自评，</w:t>
      </w:r>
      <w:r>
        <w:rPr>
          <w:rFonts w:hint="eastAsia" w:ascii="仿宋_GB2312" w:hAnsi="仿宋" w:eastAsia="仿宋_GB2312"/>
          <w:sz w:val="32"/>
          <w:szCs w:val="32"/>
          <w:lang w:eastAsia="zh-CN"/>
        </w:rPr>
        <w:t>评价结果为优。</w:t>
      </w:r>
      <w:r>
        <w:rPr>
          <w:rFonts w:hint="eastAsia" w:ascii="仿宋_GB2312" w:hAnsi="仿宋" w:eastAsia="仿宋_GB2312"/>
          <w:sz w:val="32"/>
          <w:szCs w:val="32"/>
        </w:rPr>
        <w:t>其中，一级项目1个，二级项目</w:t>
      </w:r>
      <w:r>
        <w:rPr>
          <w:rFonts w:hint="eastAsia" w:ascii="仿宋_GB2312" w:hAnsi="仿宋" w:eastAsia="仿宋_GB2312"/>
          <w:sz w:val="32"/>
          <w:szCs w:val="32"/>
          <w:lang w:val="en-US" w:eastAsia="zh-CN"/>
        </w:rPr>
        <w:t>0</w:t>
      </w:r>
      <w:r>
        <w:rPr>
          <w:rFonts w:hint="eastAsia" w:ascii="仿宋_GB2312" w:hAnsi="仿宋" w:eastAsia="仿宋_GB2312"/>
          <w:sz w:val="32"/>
          <w:szCs w:val="32"/>
        </w:rPr>
        <w:t>个，共涉及资金901.11万元，占一般公共预算项目支出总额的100%。</w:t>
      </w:r>
    </w:p>
    <w:tbl>
      <w:tblPr>
        <w:tblStyle w:val="6"/>
        <w:tblW w:w="9000" w:type="dxa"/>
        <w:tblInd w:w="0" w:type="dxa"/>
        <w:shd w:val="clear" w:color="auto" w:fill="auto"/>
        <w:tblLayout w:type="autofit"/>
        <w:tblCellMar>
          <w:top w:w="0" w:type="dxa"/>
          <w:left w:w="0" w:type="dxa"/>
          <w:bottom w:w="0" w:type="dxa"/>
          <w:right w:w="0" w:type="dxa"/>
        </w:tblCellMar>
      </w:tblPr>
      <w:tblGrid>
        <w:gridCol w:w="840"/>
        <w:gridCol w:w="1035"/>
        <w:gridCol w:w="450"/>
        <w:gridCol w:w="1185"/>
        <w:gridCol w:w="2145"/>
        <w:gridCol w:w="1320"/>
        <w:gridCol w:w="1065"/>
        <w:gridCol w:w="960"/>
      </w:tblGrid>
      <w:tr>
        <w:tblPrEx>
          <w:tblCellMar>
            <w:top w:w="0" w:type="dxa"/>
            <w:left w:w="0" w:type="dxa"/>
            <w:bottom w:w="0" w:type="dxa"/>
            <w:right w:w="0" w:type="dxa"/>
          </w:tblCellMar>
        </w:tblPrEx>
        <w:trPr>
          <w:trHeight w:val="330" w:hRule="atLeast"/>
        </w:trPr>
        <w:tc>
          <w:tcPr>
            <w:tcW w:w="9000" w:type="dxa"/>
            <w:gridSpan w:val="8"/>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32"/>
                <w:szCs w:val="32"/>
                <w:u w:val="none"/>
              </w:rPr>
            </w:pPr>
            <w:r>
              <w:rPr>
                <w:rFonts w:hint="eastAsia" w:ascii="宋体" w:hAnsi="宋体" w:eastAsia="宋体" w:cs="宋体"/>
                <w:b/>
                <w:i w:val="0"/>
                <w:color w:val="000000"/>
                <w:kern w:val="0"/>
                <w:sz w:val="32"/>
                <w:szCs w:val="32"/>
                <w:u w:val="none"/>
                <w:lang w:val="en-US" w:eastAsia="zh-CN" w:bidi="ar"/>
              </w:rPr>
              <w:t>2018年部门整体支出绩效目标自评表</w:t>
            </w:r>
          </w:p>
        </w:tc>
      </w:tr>
      <w:tr>
        <w:tblPrEx>
          <w:shd w:val="clear" w:color="auto" w:fill="auto"/>
          <w:tblCellMar>
            <w:top w:w="0" w:type="dxa"/>
            <w:left w:w="0" w:type="dxa"/>
            <w:bottom w:w="0" w:type="dxa"/>
            <w:right w:w="0" w:type="dxa"/>
          </w:tblCellMar>
        </w:tblPrEx>
        <w:trPr>
          <w:trHeight w:val="345" w:hRule="atLeast"/>
        </w:trPr>
        <w:tc>
          <w:tcPr>
            <w:tcW w:w="2325"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部门（单位）名称</w:t>
            </w:r>
          </w:p>
        </w:tc>
        <w:tc>
          <w:tcPr>
            <w:tcW w:w="6675"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中共蓝田县纪律检查委员会</w:t>
            </w:r>
          </w:p>
        </w:tc>
      </w:tr>
      <w:tr>
        <w:tblPrEx>
          <w:tblCellMar>
            <w:top w:w="0" w:type="dxa"/>
            <w:left w:w="0" w:type="dxa"/>
            <w:bottom w:w="0" w:type="dxa"/>
            <w:right w:w="0" w:type="dxa"/>
          </w:tblCellMar>
        </w:tblPrEx>
        <w:trPr>
          <w:trHeight w:val="345" w:hRule="atLeast"/>
        </w:trPr>
        <w:tc>
          <w:tcPr>
            <w:tcW w:w="84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年度主要任务</w:t>
            </w:r>
          </w:p>
        </w:tc>
        <w:tc>
          <w:tcPr>
            <w:tcW w:w="148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任务名称</w:t>
            </w:r>
          </w:p>
        </w:tc>
        <w:tc>
          <w:tcPr>
            <w:tcW w:w="333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主要内容</w:t>
            </w:r>
          </w:p>
        </w:tc>
        <w:tc>
          <w:tcPr>
            <w:tcW w:w="3345"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预算金额（万元）</w:t>
            </w:r>
          </w:p>
        </w:tc>
      </w:tr>
      <w:tr>
        <w:tblPrEx>
          <w:shd w:val="clear" w:color="auto" w:fill="auto"/>
          <w:tblCellMar>
            <w:top w:w="0" w:type="dxa"/>
            <w:left w:w="0" w:type="dxa"/>
            <w:bottom w:w="0" w:type="dxa"/>
            <w:right w:w="0" w:type="dxa"/>
          </w:tblCellMar>
        </w:tblPrEx>
        <w:trPr>
          <w:trHeight w:val="345" w:hRule="atLeast"/>
        </w:trPr>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48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333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总额</w:t>
            </w:r>
          </w:p>
        </w:tc>
        <w:tc>
          <w:tcPr>
            <w:tcW w:w="10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财政拨款</w:t>
            </w: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其他资金</w:t>
            </w:r>
          </w:p>
        </w:tc>
      </w:tr>
      <w:tr>
        <w:tblPrEx>
          <w:shd w:val="clear" w:color="auto" w:fill="auto"/>
          <w:tblCellMar>
            <w:top w:w="0" w:type="dxa"/>
            <w:left w:w="0" w:type="dxa"/>
            <w:bottom w:w="0" w:type="dxa"/>
            <w:right w:w="0" w:type="dxa"/>
          </w:tblCellMar>
        </w:tblPrEx>
        <w:trPr>
          <w:trHeight w:val="580" w:hRule="atLeast"/>
        </w:trPr>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48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任务1</w:t>
            </w:r>
          </w:p>
        </w:tc>
        <w:tc>
          <w:tcPr>
            <w:tcW w:w="333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聚焦主责主业，加强党风廉政建设14项指标考核。</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53.7</w:t>
            </w:r>
          </w:p>
        </w:tc>
        <w:tc>
          <w:tcPr>
            <w:tcW w:w="10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53.7</w:t>
            </w: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r>
      <w:tr>
        <w:tblPrEx>
          <w:tblCellMar>
            <w:top w:w="0" w:type="dxa"/>
            <w:left w:w="0" w:type="dxa"/>
            <w:bottom w:w="0" w:type="dxa"/>
            <w:right w:w="0" w:type="dxa"/>
          </w:tblCellMar>
        </w:tblPrEx>
        <w:trPr>
          <w:trHeight w:val="1020" w:hRule="atLeast"/>
        </w:trPr>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48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任务2</w:t>
            </w:r>
          </w:p>
        </w:tc>
        <w:tc>
          <w:tcPr>
            <w:tcW w:w="333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突出工作重点，严查违反中央八项规定精神、扶贫领域、生态环保领域、扫黑除恶、优化营商环境等违法违纪问题。</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807.18</w:t>
            </w:r>
          </w:p>
        </w:tc>
        <w:tc>
          <w:tcPr>
            <w:tcW w:w="10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807.18</w:t>
            </w: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r>
      <w:tr>
        <w:tblPrEx>
          <w:tblCellMar>
            <w:top w:w="0" w:type="dxa"/>
            <w:left w:w="0" w:type="dxa"/>
            <w:bottom w:w="0" w:type="dxa"/>
            <w:right w:w="0" w:type="dxa"/>
          </w:tblCellMar>
        </w:tblPrEx>
        <w:trPr>
          <w:trHeight w:val="680" w:hRule="atLeast"/>
        </w:trPr>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48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任务3</w:t>
            </w:r>
          </w:p>
        </w:tc>
        <w:tc>
          <w:tcPr>
            <w:tcW w:w="333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强化警示教育，开展作风纪律教育培训。</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40.23</w:t>
            </w:r>
          </w:p>
        </w:tc>
        <w:tc>
          <w:tcPr>
            <w:tcW w:w="10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40.23</w:t>
            </w: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r>
      <w:tr>
        <w:tblPrEx>
          <w:tblCellMar>
            <w:top w:w="0" w:type="dxa"/>
            <w:left w:w="0" w:type="dxa"/>
            <w:bottom w:w="0" w:type="dxa"/>
            <w:right w:w="0" w:type="dxa"/>
          </w:tblCellMar>
        </w:tblPrEx>
        <w:trPr>
          <w:trHeight w:val="345" w:hRule="atLeast"/>
        </w:trPr>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4815"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合计</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901.11</w:t>
            </w:r>
          </w:p>
        </w:tc>
        <w:tc>
          <w:tcPr>
            <w:tcW w:w="10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901.11</w:t>
            </w: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r>
      <w:tr>
        <w:tblPrEx>
          <w:shd w:val="clear" w:color="auto" w:fill="auto"/>
          <w:tblCellMar>
            <w:top w:w="0" w:type="dxa"/>
            <w:left w:w="0" w:type="dxa"/>
            <w:bottom w:w="0" w:type="dxa"/>
            <w:right w:w="0" w:type="dxa"/>
          </w:tblCellMar>
        </w:tblPrEx>
        <w:trPr>
          <w:trHeight w:val="345" w:hRule="atLeast"/>
        </w:trPr>
        <w:tc>
          <w:tcPr>
            <w:tcW w:w="84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年度总体目标</w:t>
            </w:r>
          </w:p>
        </w:tc>
        <w:tc>
          <w:tcPr>
            <w:tcW w:w="8160" w:type="dxa"/>
            <w:gridSpan w:val="7"/>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目标1：用好监督执纪“四种形态”和调查处置12项措施，推动全面从严治党向纵深发展。</w:t>
            </w:r>
          </w:p>
        </w:tc>
      </w:tr>
      <w:tr>
        <w:tblPrEx>
          <w:shd w:val="clear" w:color="auto" w:fill="auto"/>
          <w:tblCellMar>
            <w:top w:w="0" w:type="dxa"/>
            <w:left w:w="0" w:type="dxa"/>
            <w:bottom w:w="0" w:type="dxa"/>
            <w:right w:w="0" w:type="dxa"/>
          </w:tblCellMar>
        </w:tblPrEx>
        <w:trPr>
          <w:trHeight w:val="345" w:hRule="atLeast"/>
        </w:trPr>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8160" w:type="dxa"/>
            <w:gridSpan w:val="7"/>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目标2：严查重点领域违法违纪问题，服务保障追赶超越工作大局。</w:t>
            </w:r>
          </w:p>
        </w:tc>
      </w:tr>
      <w:tr>
        <w:tblPrEx>
          <w:tblCellMar>
            <w:top w:w="0" w:type="dxa"/>
            <w:left w:w="0" w:type="dxa"/>
            <w:bottom w:w="0" w:type="dxa"/>
            <w:right w:w="0" w:type="dxa"/>
          </w:tblCellMar>
        </w:tblPrEx>
        <w:trPr>
          <w:trHeight w:val="345" w:hRule="atLeast"/>
        </w:trPr>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8160" w:type="dxa"/>
            <w:gridSpan w:val="7"/>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目标3：加大各类典型案例通报曝光力度，增强全县干部廉洁从政意识。</w:t>
            </w:r>
          </w:p>
        </w:tc>
      </w:tr>
      <w:tr>
        <w:tblPrEx>
          <w:tblCellMar>
            <w:top w:w="0" w:type="dxa"/>
            <w:left w:w="0" w:type="dxa"/>
            <w:bottom w:w="0" w:type="dxa"/>
            <w:right w:w="0" w:type="dxa"/>
          </w:tblCellMar>
        </w:tblPrEx>
        <w:trPr>
          <w:trHeight w:val="345" w:hRule="atLeast"/>
        </w:trPr>
        <w:tc>
          <w:tcPr>
            <w:tcW w:w="84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bookmarkStart w:id="0" w:name="_GoBack"/>
            <w:r>
              <w:rPr>
                <w:rFonts w:hint="eastAsia" w:ascii="宋体" w:hAnsi="宋体" w:eastAsia="宋体" w:cs="宋体"/>
                <w:i w:val="0"/>
                <w:color w:val="000000"/>
                <w:kern w:val="0"/>
                <w:sz w:val="18"/>
                <w:szCs w:val="18"/>
                <w:u w:val="none"/>
                <w:lang w:val="en-US" w:eastAsia="zh-CN" w:bidi="ar"/>
              </w:rPr>
              <w:t>年度绩效</w:t>
            </w:r>
            <w:bookmarkEnd w:id="0"/>
            <w:r>
              <w:rPr>
                <w:rFonts w:hint="eastAsia" w:ascii="宋体" w:hAnsi="宋体" w:eastAsia="宋体" w:cs="宋体"/>
                <w:i w:val="0"/>
                <w:color w:val="000000"/>
                <w:kern w:val="0"/>
                <w:sz w:val="18"/>
                <w:szCs w:val="18"/>
                <w:u w:val="none"/>
                <w:lang w:val="en-US" w:eastAsia="zh-CN" w:bidi="ar"/>
              </w:rPr>
              <w:t>指标</w:t>
            </w:r>
          </w:p>
        </w:tc>
        <w:tc>
          <w:tcPr>
            <w:tcW w:w="10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一级指标</w:t>
            </w:r>
          </w:p>
        </w:tc>
        <w:tc>
          <w:tcPr>
            <w:tcW w:w="163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二级指标</w:t>
            </w:r>
          </w:p>
        </w:tc>
        <w:tc>
          <w:tcPr>
            <w:tcW w:w="346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指标内容</w:t>
            </w:r>
          </w:p>
        </w:tc>
        <w:tc>
          <w:tcPr>
            <w:tcW w:w="202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指标值</w:t>
            </w:r>
          </w:p>
        </w:tc>
      </w:tr>
      <w:tr>
        <w:tblPrEx>
          <w:tblCellMar>
            <w:top w:w="0" w:type="dxa"/>
            <w:left w:w="0" w:type="dxa"/>
            <w:bottom w:w="0" w:type="dxa"/>
            <w:right w:w="0" w:type="dxa"/>
          </w:tblCellMar>
        </w:tblPrEx>
        <w:trPr>
          <w:trHeight w:val="345" w:hRule="atLeast"/>
        </w:trPr>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03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产出指标</w:t>
            </w:r>
          </w:p>
        </w:tc>
        <w:tc>
          <w:tcPr>
            <w:tcW w:w="163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数量指标</w:t>
            </w:r>
          </w:p>
        </w:tc>
        <w:tc>
          <w:tcPr>
            <w:tcW w:w="346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党风政风监督</w:t>
            </w:r>
          </w:p>
        </w:tc>
        <w:tc>
          <w:tcPr>
            <w:tcW w:w="202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5人</w:t>
            </w:r>
          </w:p>
        </w:tc>
      </w:tr>
      <w:tr>
        <w:tblPrEx>
          <w:shd w:val="clear" w:color="auto" w:fill="auto"/>
          <w:tblCellMar>
            <w:top w:w="0" w:type="dxa"/>
            <w:left w:w="0" w:type="dxa"/>
            <w:bottom w:w="0" w:type="dxa"/>
            <w:right w:w="0" w:type="dxa"/>
          </w:tblCellMar>
        </w:tblPrEx>
        <w:trPr>
          <w:trHeight w:val="345" w:hRule="atLeast"/>
        </w:trPr>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03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6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346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纪检监察</w:t>
            </w:r>
          </w:p>
        </w:tc>
        <w:tc>
          <w:tcPr>
            <w:tcW w:w="202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55人</w:t>
            </w:r>
          </w:p>
        </w:tc>
      </w:tr>
      <w:tr>
        <w:tblPrEx>
          <w:tblCellMar>
            <w:top w:w="0" w:type="dxa"/>
            <w:left w:w="0" w:type="dxa"/>
            <w:bottom w:w="0" w:type="dxa"/>
            <w:right w:w="0" w:type="dxa"/>
          </w:tblCellMar>
        </w:tblPrEx>
        <w:trPr>
          <w:trHeight w:val="345" w:hRule="atLeast"/>
        </w:trPr>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03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6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346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组织宣传教育</w:t>
            </w:r>
          </w:p>
        </w:tc>
        <w:tc>
          <w:tcPr>
            <w:tcW w:w="202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4人</w:t>
            </w:r>
          </w:p>
        </w:tc>
      </w:tr>
      <w:tr>
        <w:tblPrEx>
          <w:shd w:val="clear" w:color="auto" w:fill="auto"/>
          <w:tblCellMar>
            <w:top w:w="0" w:type="dxa"/>
            <w:left w:w="0" w:type="dxa"/>
            <w:bottom w:w="0" w:type="dxa"/>
            <w:right w:w="0" w:type="dxa"/>
          </w:tblCellMar>
        </w:tblPrEx>
        <w:trPr>
          <w:trHeight w:val="540" w:hRule="atLeast"/>
        </w:trPr>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03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63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质量指标</w:t>
            </w:r>
          </w:p>
        </w:tc>
        <w:tc>
          <w:tcPr>
            <w:tcW w:w="346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用好监督执纪“四种形态”和调查处置12项措施，落实党风廉政建设考核。</w:t>
            </w:r>
          </w:p>
        </w:tc>
        <w:tc>
          <w:tcPr>
            <w:tcW w:w="202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100%</w:t>
            </w:r>
          </w:p>
        </w:tc>
      </w:tr>
      <w:tr>
        <w:tblPrEx>
          <w:shd w:val="clear" w:color="auto" w:fill="auto"/>
          <w:tblCellMar>
            <w:top w:w="0" w:type="dxa"/>
            <w:left w:w="0" w:type="dxa"/>
            <w:bottom w:w="0" w:type="dxa"/>
            <w:right w:w="0" w:type="dxa"/>
          </w:tblCellMar>
        </w:tblPrEx>
        <w:trPr>
          <w:trHeight w:val="740" w:hRule="atLeast"/>
        </w:trPr>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03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6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346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围绕违反中央八项规定、扶贫领域、生态环保领域、扫黑除恶、优化营商环境等重点领域，全面完成违法违纪问题查处。</w:t>
            </w:r>
          </w:p>
        </w:tc>
        <w:tc>
          <w:tcPr>
            <w:tcW w:w="202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100%</w:t>
            </w:r>
          </w:p>
        </w:tc>
      </w:tr>
      <w:tr>
        <w:tblPrEx>
          <w:tblCellMar>
            <w:top w:w="0" w:type="dxa"/>
            <w:left w:w="0" w:type="dxa"/>
            <w:bottom w:w="0" w:type="dxa"/>
            <w:right w:w="0" w:type="dxa"/>
          </w:tblCellMar>
        </w:tblPrEx>
        <w:trPr>
          <w:trHeight w:val="560" w:hRule="atLeast"/>
        </w:trPr>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03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6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346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开展作风纪律教育培训，增强全县副科级以上领导和纪检监察干部廉洁从政意识。</w:t>
            </w:r>
          </w:p>
        </w:tc>
        <w:tc>
          <w:tcPr>
            <w:tcW w:w="202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100%</w:t>
            </w:r>
          </w:p>
        </w:tc>
      </w:tr>
      <w:tr>
        <w:tblPrEx>
          <w:shd w:val="clear" w:color="auto" w:fill="auto"/>
          <w:tblCellMar>
            <w:top w:w="0" w:type="dxa"/>
            <w:left w:w="0" w:type="dxa"/>
            <w:bottom w:w="0" w:type="dxa"/>
            <w:right w:w="0" w:type="dxa"/>
          </w:tblCellMar>
        </w:tblPrEx>
        <w:trPr>
          <w:trHeight w:val="345" w:hRule="atLeast"/>
        </w:trPr>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03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63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时效指标</w:t>
            </w:r>
          </w:p>
        </w:tc>
        <w:tc>
          <w:tcPr>
            <w:tcW w:w="346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党风廉政建设考核时效</w:t>
            </w:r>
          </w:p>
        </w:tc>
        <w:tc>
          <w:tcPr>
            <w:tcW w:w="202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1-12月</w:t>
            </w:r>
          </w:p>
        </w:tc>
      </w:tr>
      <w:tr>
        <w:tblPrEx>
          <w:tblCellMar>
            <w:top w:w="0" w:type="dxa"/>
            <w:left w:w="0" w:type="dxa"/>
            <w:bottom w:w="0" w:type="dxa"/>
            <w:right w:w="0" w:type="dxa"/>
          </w:tblCellMar>
        </w:tblPrEx>
        <w:trPr>
          <w:trHeight w:val="345" w:hRule="atLeast"/>
        </w:trPr>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03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6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346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违法违纪案件查处时效</w:t>
            </w:r>
          </w:p>
        </w:tc>
        <w:tc>
          <w:tcPr>
            <w:tcW w:w="202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中长期</w:t>
            </w:r>
          </w:p>
        </w:tc>
      </w:tr>
      <w:tr>
        <w:tblPrEx>
          <w:tblCellMar>
            <w:top w:w="0" w:type="dxa"/>
            <w:left w:w="0" w:type="dxa"/>
            <w:bottom w:w="0" w:type="dxa"/>
            <w:right w:w="0" w:type="dxa"/>
          </w:tblCellMar>
        </w:tblPrEx>
        <w:trPr>
          <w:trHeight w:val="345" w:hRule="atLeast"/>
        </w:trPr>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03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6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346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工作作风教育培训时效</w:t>
            </w:r>
          </w:p>
        </w:tc>
        <w:tc>
          <w:tcPr>
            <w:tcW w:w="202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中长期</w:t>
            </w:r>
          </w:p>
        </w:tc>
      </w:tr>
      <w:tr>
        <w:tblPrEx>
          <w:shd w:val="clear" w:color="auto" w:fill="auto"/>
          <w:tblCellMar>
            <w:top w:w="0" w:type="dxa"/>
            <w:left w:w="0" w:type="dxa"/>
            <w:bottom w:w="0" w:type="dxa"/>
            <w:right w:w="0" w:type="dxa"/>
          </w:tblCellMar>
        </w:tblPrEx>
        <w:trPr>
          <w:trHeight w:val="345" w:hRule="atLeast"/>
        </w:trPr>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03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63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成本指标</w:t>
            </w:r>
          </w:p>
        </w:tc>
        <w:tc>
          <w:tcPr>
            <w:tcW w:w="346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党风廉政建设</w:t>
            </w:r>
          </w:p>
        </w:tc>
        <w:tc>
          <w:tcPr>
            <w:tcW w:w="202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53.70万元</w:t>
            </w:r>
          </w:p>
        </w:tc>
      </w:tr>
      <w:tr>
        <w:tblPrEx>
          <w:tblCellMar>
            <w:top w:w="0" w:type="dxa"/>
            <w:left w:w="0" w:type="dxa"/>
            <w:bottom w:w="0" w:type="dxa"/>
            <w:right w:w="0" w:type="dxa"/>
          </w:tblCellMar>
        </w:tblPrEx>
        <w:trPr>
          <w:trHeight w:val="345" w:hRule="atLeast"/>
        </w:trPr>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03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6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346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违法违纪案件查处</w:t>
            </w:r>
          </w:p>
        </w:tc>
        <w:tc>
          <w:tcPr>
            <w:tcW w:w="202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807.18万元</w:t>
            </w:r>
          </w:p>
        </w:tc>
      </w:tr>
      <w:tr>
        <w:tblPrEx>
          <w:shd w:val="clear" w:color="auto" w:fill="auto"/>
          <w:tblCellMar>
            <w:top w:w="0" w:type="dxa"/>
            <w:left w:w="0" w:type="dxa"/>
            <w:bottom w:w="0" w:type="dxa"/>
            <w:right w:w="0" w:type="dxa"/>
          </w:tblCellMar>
        </w:tblPrEx>
        <w:trPr>
          <w:trHeight w:val="345" w:hRule="atLeast"/>
        </w:trPr>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03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6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346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工作作风教育培训</w:t>
            </w:r>
          </w:p>
        </w:tc>
        <w:tc>
          <w:tcPr>
            <w:tcW w:w="202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40.23万元</w:t>
            </w:r>
          </w:p>
        </w:tc>
      </w:tr>
      <w:tr>
        <w:tblPrEx>
          <w:tblCellMar>
            <w:top w:w="0" w:type="dxa"/>
            <w:left w:w="0" w:type="dxa"/>
            <w:bottom w:w="0" w:type="dxa"/>
            <w:right w:w="0" w:type="dxa"/>
          </w:tblCellMar>
        </w:tblPrEx>
        <w:trPr>
          <w:trHeight w:val="440" w:hRule="atLeast"/>
        </w:trPr>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03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635" w:type="dxa"/>
            <w:gridSpan w:val="2"/>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社会效益指标</w:t>
            </w:r>
          </w:p>
        </w:tc>
        <w:tc>
          <w:tcPr>
            <w:tcW w:w="346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派驻机构廉政建设水平</w:t>
            </w:r>
          </w:p>
        </w:tc>
        <w:tc>
          <w:tcPr>
            <w:tcW w:w="202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长期</w:t>
            </w:r>
          </w:p>
        </w:tc>
      </w:tr>
      <w:tr>
        <w:tblPrEx>
          <w:shd w:val="clear" w:color="auto" w:fill="auto"/>
          <w:tblCellMar>
            <w:top w:w="0" w:type="dxa"/>
            <w:left w:w="0" w:type="dxa"/>
            <w:bottom w:w="0" w:type="dxa"/>
            <w:right w:w="0" w:type="dxa"/>
          </w:tblCellMar>
        </w:tblPrEx>
        <w:trPr>
          <w:trHeight w:val="960" w:hRule="atLeast"/>
        </w:trPr>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03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635" w:type="dxa"/>
            <w:gridSpan w:val="2"/>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可持续影响指标</w:t>
            </w:r>
          </w:p>
        </w:tc>
        <w:tc>
          <w:tcPr>
            <w:tcW w:w="346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加大案件查处力度，开展反面警示教育和宣传引导，增强“四个意识”，践行“两个维护”，推进全面从严治党，为营造风清气正环境提供坚强纪律保障。</w:t>
            </w:r>
          </w:p>
        </w:tc>
        <w:tc>
          <w:tcPr>
            <w:tcW w:w="202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长期</w:t>
            </w:r>
          </w:p>
        </w:tc>
      </w:tr>
      <w:tr>
        <w:tblPrEx>
          <w:tblCellMar>
            <w:top w:w="0" w:type="dxa"/>
            <w:left w:w="0" w:type="dxa"/>
            <w:bottom w:w="0" w:type="dxa"/>
            <w:right w:w="0" w:type="dxa"/>
          </w:tblCellMar>
        </w:tblPrEx>
        <w:trPr>
          <w:trHeight w:val="920" w:hRule="atLeast"/>
        </w:trPr>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满意度指标</w:t>
            </w:r>
          </w:p>
        </w:tc>
        <w:tc>
          <w:tcPr>
            <w:tcW w:w="163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服务对象满意度指标</w:t>
            </w:r>
          </w:p>
        </w:tc>
        <w:tc>
          <w:tcPr>
            <w:tcW w:w="346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有针对性地抓好集中整改和通报曝光工作，放大政治效应和社会效应，使人民群众切身感受到正风肃纪反腐就在身边，增强群众获得感。</w:t>
            </w:r>
          </w:p>
        </w:tc>
        <w:tc>
          <w:tcPr>
            <w:tcW w:w="202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长期</w:t>
            </w:r>
          </w:p>
        </w:tc>
      </w:tr>
    </w:tbl>
    <w:p>
      <w:pPr>
        <w:ind w:firstLine="640" w:firstLineChars="200"/>
        <w:rPr>
          <w:rFonts w:hint="eastAsia" w:ascii="仿宋_GB2312" w:hAnsi="仿宋" w:eastAsia="仿宋_GB2312"/>
          <w:sz w:val="32"/>
          <w:szCs w:val="32"/>
        </w:rPr>
      </w:pPr>
    </w:p>
    <w:p>
      <w:pPr>
        <w:spacing w:line="360" w:lineRule="auto"/>
        <w:ind w:firstLine="643" w:firstLineChars="200"/>
        <w:rPr>
          <w:rFonts w:ascii="仿宋_GB2312" w:eastAsia="仿宋_GB2312"/>
          <w:b/>
          <w:sz w:val="32"/>
          <w:szCs w:val="32"/>
        </w:rPr>
      </w:pPr>
      <w:r>
        <w:rPr>
          <w:rFonts w:hint="eastAsia" w:ascii="仿宋_GB2312" w:eastAsia="仿宋_GB2312"/>
          <w:b/>
          <w:sz w:val="32"/>
          <w:szCs w:val="32"/>
        </w:rPr>
        <w:t>七、其他重要事项的情况说明</w:t>
      </w:r>
    </w:p>
    <w:p>
      <w:pPr>
        <w:spacing w:line="620" w:lineRule="exact"/>
        <w:ind w:firstLine="640" w:firstLineChars="200"/>
        <w:rPr>
          <w:rFonts w:ascii="仿宋_GB2312" w:hAnsi="仿宋" w:eastAsia="仿宋_GB2312"/>
          <w:sz w:val="32"/>
          <w:szCs w:val="32"/>
        </w:rPr>
      </w:pPr>
      <w:r>
        <w:rPr>
          <w:rFonts w:hint="eastAsia" w:ascii="仿宋_GB2312" w:hAnsi="仿宋" w:eastAsia="仿宋_GB2312"/>
          <w:sz w:val="32"/>
          <w:szCs w:val="32"/>
        </w:rPr>
        <w:t>（一）机关运行经费支出情况</w:t>
      </w:r>
    </w:p>
    <w:p>
      <w:pPr>
        <w:spacing w:line="620" w:lineRule="exact"/>
        <w:ind w:firstLine="640" w:firstLineChars="200"/>
        <w:rPr>
          <w:rFonts w:hint="eastAsia" w:ascii="仿宋_GB2312" w:hAnsi="仿宋" w:eastAsia="仿宋_GB2312"/>
          <w:sz w:val="32"/>
          <w:szCs w:val="32"/>
          <w:lang w:eastAsia="zh-CN"/>
        </w:rPr>
      </w:pPr>
      <w:r>
        <w:rPr>
          <w:rFonts w:hint="eastAsia" w:ascii="仿宋_GB2312" w:hAnsi="仿宋" w:eastAsia="仿宋_GB2312"/>
          <w:sz w:val="32"/>
          <w:szCs w:val="32"/>
        </w:rPr>
        <w:t>2018年</w:t>
      </w:r>
      <w:r>
        <w:rPr>
          <w:rFonts w:hint="eastAsia" w:ascii="仿宋_GB2312" w:hAnsi="仿宋" w:eastAsia="仿宋_GB2312"/>
          <w:sz w:val="32"/>
          <w:szCs w:val="32"/>
          <w:lang w:eastAsia="zh-CN"/>
        </w:rPr>
        <w:t>公用经费支出</w:t>
      </w:r>
      <w:r>
        <w:rPr>
          <w:rFonts w:hint="eastAsia" w:ascii="仿宋_GB2312" w:hAnsi="仿宋" w:eastAsia="仿宋_GB2312"/>
          <w:sz w:val="32"/>
          <w:szCs w:val="32"/>
        </w:rPr>
        <w:t>106.75万元，</w:t>
      </w:r>
      <w:r>
        <w:rPr>
          <w:rFonts w:hint="eastAsia" w:ascii="仿宋_GB2312" w:hAnsi="仿宋" w:eastAsia="仿宋_GB2312"/>
          <w:sz w:val="32"/>
          <w:szCs w:val="32"/>
          <w:lang w:eastAsia="zh-CN"/>
        </w:rPr>
        <w:t>其中行政运行</w:t>
      </w:r>
      <w:r>
        <w:rPr>
          <w:rFonts w:hint="eastAsia" w:ascii="仿宋_GB2312" w:hAnsi="仿宋" w:eastAsia="仿宋_GB2312"/>
          <w:sz w:val="32"/>
          <w:szCs w:val="32"/>
        </w:rPr>
        <w:t>106.75万元，比上年增加</w:t>
      </w:r>
      <w:r>
        <w:rPr>
          <w:rFonts w:hint="eastAsia" w:ascii="仿宋_GB2312" w:hAnsi="仿宋" w:eastAsia="仿宋_GB2312"/>
          <w:sz w:val="32"/>
          <w:szCs w:val="32"/>
          <w:lang w:val="en-US" w:eastAsia="zh-CN"/>
        </w:rPr>
        <w:t>3.18</w:t>
      </w:r>
      <w:r>
        <w:rPr>
          <w:rFonts w:hint="eastAsia" w:ascii="仿宋_GB2312" w:hAnsi="仿宋" w:eastAsia="仿宋_GB2312"/>
          <w:sz w:val="32"/>
          <w:szCs w:val="32"/>
        </w:rPr>
        <w:t>万元，主要原因为执纪审查任务加大，导致机关运行费用增加。</w:t>
      </w:r>
      <w:r>
        <w:rPr>
          <w:rFonts w:hint="eastAsia" w:ascii="仿宋_GB2312" w:hAnsi="仿宋" w:eastAsia="仿宋_GB2312"/>
          <w:sz w:val="32"/>
          <w:szCs w:val="32"/>
          <w:lang w:eastAsia="zh-CN"/>
        </w:rPr>
        <w:t>其中：</w:t>
      </w:r>
    </w:p>
    <w:p>
      <w:pPr>
        <w:spacing w:line="620" w:lineRule="exact"/>
        <w:ind w:firstLine="640" w:firstLineChars="200"/>
        <w:rPr>
          <w:rFonts w:hint="eastAsia" w:ascii="仿宋_GB2312" w:hAnsi="仿宋" w:eastAsia="仿宋_GB2312"/>
          <w:sz w:val="32"/>
          <w:szCs w:val="32"/>
          <w:lang w:val="en-US" w:eastAsia="zh-CN"/>
        </w:rPr>
      </w:pPr>
      <w:r>
        <w:rPr>
          <w:rFonts w:hint="eastAsia" w:ascii="仿宋_GB2312" w:hAnsi="仿宋" w:eastAsia="仿宋_GB2312"/>
          <w:sz w:val="32"/>
          <w:szCs w:val="32"/>
          <w:lang w:val="en-US" w:eastAsia="zh-CN"/>
        </w:rPr>
        <w:t>1、办公经费支出91.45万元，</w:t>
      </w:r>
      <w:r>
        <w:rPr>
          <w:rFonts w:hint="eastAsia" w:ascii="仿宋_GB2312" w:hAnsi="仿宋" w:eastAsia="仿宋_GB2312"/>
          <w:sz w:val="32"/>
          <w:szCs w:val="32"/>
        </w:rPr>
        <w:t>比上年增加</w:t>
      </w:r>
      <w:r>
        <w:rPr>
          <w:rFonts w:hint="eastAsia" w:ascii="仿宋_GB2312" w:hAnsi="仿宋" w:eastAsia="仿宋_GB2312"/>
          <w:sz w:val="32"/>
          <w:szCs w:val="32"/>
          <w:lang w:val="en-US" w:eastAsia="zh-CN"/>
        </w:rPr>
        <w:t>1.42</w:t>
      </w:r>
      <w:r>
        <w:rPr>
          <w:rFonts w:hint="eastAsia" w:ascii="仿宋_GB2312" w:hAnsi="仿宋" w:eastAsia="仿宋_GB2312"/>
          <w:sz w:val="32"/>
          <w:szCs w:val="32"/>
        </w:rPr>
        <w:t>万元，主要原因为执纪审查工作任务加大</w:t>
      </w:r>
      <w:r>
        <w:rPr>
          <w:rFonts w:hint="eastAsia" w:ascii="仿宋_GB2312" w:hAnsi="仿宋" w:eastAsia="仿宋_GB2312"/>
          <w:sz w:val="32"/>
          <w:szCs w:val="32"/>
          <w:lang w:eastAsia="zh-CN"/>
        </w:rPr>
        <w:t>，导致</w:t>
      </w:r>
      <w:r>
        <w:rPr>
          <w:rFonts w:hint="eastAsia" w:ascii="仿宋_GB2312" w:hAnsi="仿宋" w:eastAsia="仿宋_GB2312"/>
          <w:sz w:val="32"/>
          <w:szCs w:val="32"/>
          <w:lang w:val="en-US" w:eastAsia="zh-CN"/>
        </w:rPr>
        <w:t>日常办公费用增加。</w:t>
      </w:r>
    </w:p>
    <w:p>
      <w:pPr>
        <w:spacing w:line="620" w:lineRule="exact"/>
        <w:ind w:firstLine="640" w:firstLineChars="200"/>
        <w:rPr>
          <w:rFonts w:hint="eastAsia" w:ascii="仿宋_GB2312" w:hAnsi="仿宋" w:eastAsia="仿宋_GB2312"/>
          <w:sz w:val="32"/>
          <w:szCs w:val="32"/>
          <w:lang w:eastAsia="zh-CN"/>
        </w:rPr>
      </w:pPr>
      <w:r>
        <w:rPr>
          <w:rFonts w:hint="eastAsia" w:ascii="仿宋_GB2312" w:hAnsi="仿宋" w:eastAsia="仿宋_GB2312"/>
          <w:sz w:val="32"/>
          <w:szCs w:val="32"/>
          <w:lang w:val="en-US" w:eastAsia="zh-CN"/>
        </w:rPr>
        <w:t>2、维修（护）费支出1.83万元，</w:t>
      </w:r>
      <w:r>
        <w:rPr>
          <w:rFonts w:hint="eastAsia" w:ascii="仿宋_GB2312" w:hAnsi="仿宋" w:eastAsia="仿宋_GB2312"/>
          <w:sz w:val="32"/>
          <w:szCs w:val="32"/>
        </w:rPr>
        <w:t>比上年</w:t>
      </w:r>
      <w:r>
        <w:rPr>
          <w:rFonts w:hint="eastAsia" w:ascii="仿宋_GB2312" w:hAnsi="仿宋" w:eastAsia="仿宋_GB2312"/>
          <w:sz w:val="32"/>
          <w:szCs w:val="32"/>
          <w:lang w:eastAsia="zh-CN"/>
        </w:rPr>
        <w:t>减少</w:t>
      </w:r>
      <w:r>
        <w:rPr>
          <w:rFonts w:hint="eastAsia" w:ascii="仿宋_GB2312" w:hAnsi="仿宋" w:eastAsia="仿宋_GB2312"/>
          <w:sz w:val="32"/>
          <w:szCs w:val="32"/>
          <w:lang w:val="en-US" w:eastAsia="zh-CN"/>
        </w:rPr>
        <w:t>0.02</w:t>
      </w:r>
      <w:r>
        <w:rPr>
          <w:rFonts w:hint="eastAsia" w:ascii="仿宋_GB2312" w:hAnsi="仿宋" w:eastAsia="仿宋_GB2312"/>
          <w:sz w:val="32"/>
          <w:szCs w:val="32"/>
        </w:rPr>
        <w:t>万元，主要原因为</w:t>
      </w:r>
      <w:r>
        <w:rPr>
          <w:rFonts w:hint="eastAsia" w:ascii="仿宋_GB2312" w:hAnsi="仿宋" w:eastAsia="仿宋_GB2312"/>
          <w:sz w:val="32"/>
          <w:szCs w:val="32"/>
          <w:lang w:eastAsia="zh-CN"/>
        </w:rPr>
        <w:t>加强日常资产管理，尽量减少大修支出。</w:t>
      </w:r>
    </w:p>
    <w:p>
      <w:pPr>
        <w:spacing w:line="620" w:lineRule="exact"/>
        <w:ind w:firstLine="640" w:firstLineChars="200"/>
        <w:rPr>
          <w:rFonts w:hint="eastAsia" w:ascii="仿宋_GB2312" w:hAnsi="仿宋" w:eastAsia="仿宋_GB2312"/>
          <w:sz w:val="32"/>
          <w:szCs w:val="32"/>
          <w:lang w:val="en-US" w:eastAsia="zh-CN"/>
        </w:rPr>
      </w:pPr>
      <w:r>
        <w:rPr>
          <w:rFonts w:hint="eastAsia" w:ascii="仿宋_GB2312" w:hAnsi="仿宋" w:eastAsia="仿宋_GB2312"/>
          <w:sz w:val="32"/>
          <w:szCs w:val="32"/>
          <w:lang w:val="en-US" w:eastAsia="zh-CN"/>
        </w:rPr>
        <w:t>3、会议费</w:t>
      </w:r>
      <w:r>
        <w:rPr>
          <w:rFonts w:hint="eastAsia" w:ascii="仿宋_GB2312" w:hAnsi="仿宋" w:eastAsia="仿宋_GB2312"/>
          <w:sz w:val="32"/>
          <w:szCs w:val="32"/>
        </w:rPr>
        <w:t>支出</w:t>
      </w:r>
      <w:r>
        <w:rPr>
          <w:rFonts w:hint="eastAsia" w:ascii="仿宋_GB2312" w:hAnsi="仿宋" w:eastAsia="仿宋_GB2312"/>
          <w:sz w:val="32"/>
          <w:szCs w:val="32"/>
          <w:lang w:val="en-US" w:eastAsia="zh-CN"/>
        </w:rPr>
        <w:t>2.97</w:t>
      </w:r>
      <w:r>
        <w:rPr>
          <w:rFonts w:hint="eastAsia" w:ascii="仿宋_GB2312" w:hAnsi="仿宋" w:eastAsia="仿宋_GB2312"/>
          <w:sz w:val="32"/>
          <w:szCs w:val="32"/>
        </w:rPr>
        <w:t>万元，较上年决算增加</w:t>
      </w:r>
      <w:r>
        <w:rPr>
          <w:rFonts w:hint="eastAsia" w:ascii="仿宋_GB2312" w:hAnsi="仿宋" w:eastAsia="仿宋_GB2312"/>
          <w:sz w:val="32"/>
          <w:szCs w:val="32"/>
          <w:lang w:val="en-US" w:eastAsia="zh-CN"/>
        </w:rPr>
        <w:t>1.36</w:t>
      </w:r>
      <w:r>
        <w:rPr>
          <w:rFonts w:hint="eastAsia" w:ascii="仿宋_GB2312" w:hAnsi="仿宋" w:eastAsia="仿宋_GB2312"/>
          <w:sz w:val="32"/>
          <w:szCs w:val="32"/>
        </w:rPr>
        <w:t>万元，主要原因为</w:t>
      </w:r>
      <w:r>
        <w:rPr>
          <w:rFonts w:hint="eastAsia" w:ascii="仿宋_GB2312" w:hAnsi="仿宋" w:eastAsia="仿宋_GB2312"/>
          <w:sz w:val="32"/>
          <w:szCs w:val="32"/>
          <w:lang w:val="en-US" w:eastAsia="zh-CN"/>
        </w:rPr>
        <w:t>因监察体制改革和办案任务加大导致会议费增加</w:t>
      </w:r>
      <w:r>
        <w:rPr>
          <w:rFonts w:hint="eastAsia" w:ascii="仿宋_GB2312" w:hAnsi="仿宋" w:eastAsia="仿宋_GB2312"/>
          <w:sz w:val="32"/>
          <w:szCs w:val="32"/>
        </w:rPr>
        <w:t>。</w:t>
      </w:r>
    </w:p>
    <w:p>
      <w:pPr>
        <w:spacing w:line="620" w:lineRule="exact"/>
        <w:ind w:firstLine="640" w:firstLineChars="200"/>
        <w:rPr>
          <w:rFonts w:hint="eastAsia" w:ascii="仿宋_GB2312" w:hAnsi="仿宋" w:eastAsia="仿宋_GB2312"/>
          <w:sz w:val="32"/>
          <w:szCs w:val="32"/>
          <w:lang w:val="en-US" w:eastAsia="zh-CN"/>
        </w:rPr>
      </w:pPr>
      <w:r>
        <w:rPr>
          <w:rFonts w:hint="eastAsia" w:ascii="仿宋_GB2312" w:hAnsi="仿宋" w:eastAsia="仿宋_GB2312"/>
          <w:sz w:val="32"/>
          <w:szCs w:val="32"/>
          <w:lang w:val="en-US" w:eastAsia="zh-CN"/>
        </w:rPr>
        <w:t>4、培训费</w:t>
      </w:r>
      <w:r>
        <w:rPr>
          <w:rFonts w:hint="eastAsia" w:ascii="仿宋_GB2312" w:hAnsi="仿宋" w:eastAsia="仿宋_GB2312"/>
          <w:sz w:val="32"/>
          <w:szCs w:val="32"/>
        </w:rPr>
        <w:t>支出</w:t>
      </w:r>
      <w:r>
        <w:rPr>
          <w:rFonts w:hint="eastAsia" w:ascii="仿宋_GB2312" w:hAnsi="仿宋" w:eastAsia="仿宋_GB2312"/>
          <w:sz w:val="32"/>
          <w:szCs w:val="32"/>
          <w:lang w:val="en-US" w:eastAsia="zh-CN"/>
        </w:rPr>
        <w:t>8.61</w:t>
      </w:r>
      <w:r>
        <w:rPr>
          <w:rFonts w:hint="eastAsia" w:ascii="仿宋_GB2312" w:hAnsi="仿宋" w:eastAsia="仿宋_GB2312"/>
          <w:sz w:val="32"/>
          <w:szCs w:val="32"/>
        </w:rPr>
        <w:t>万元，比上年增加</w:t>
      </w:r>
      <w:r>
        <w:rPr>
          <w:rFonts w:hint="eastAsia" w:ascii="仿宋_GB2312" w:hAnsi="仿宋" w:eastAsia="仿宋_GB2312"/>
          <w:sz w:val="32"/>
          <w:szCs w:val="32"/>
          <w:lang w:val="en-US" w:eastAsia="zh-CN"/>
        </w:rPr>
        <w:t>2.4</w:t>
      </w:r>
      <w:r>
        <w:rPr>
          <w:rFonts w:hint="eastAsia" w:ascii="仿宋_GB2312" w:hAnsi="仿宋" w:eastAsia="仿宋_GB2312"/>
          <w:sz w:val="32"/>
          <w:szCs w:val="32"/>
        </w:rPr>
        <w:t>万元，主要原因为</w:t>
      </w:r>
      <w:r>
        <w:rPr>
          <w:rFonts w:hint="eastAsia" w:ascii="仿宋_GB2312" w:hAnsi="仿宋" w:eastAsia="仿宋_GB2312"/>
          <w:sz w:val="32"/>
          <w:szCs w:val="32"/>
          <w:lang w:eastAsia="zh-CN"/>
        </w:rPr>
        <w:t>按照上级部门要求开展全县领导干部和纪检监察干部培训</w:t>
      </w:r>
      <w:r>
        <w:rPr>
          <w:rFonts w:hint="eastAsia" w:ascii="仿宋_GB2312" w:hAnsi="仿宋" w:eastAsia="仿宋_GB2312"/>
          <w:sz w:val="32"/>
          <w:szCs w:val="32"/>
        </w:rPr>
        <w:t>，导致</w:t>
      </w:r>
      <w:r>
        <w:rPr>
          <w:rFonts w:hint="eastAsia" w:ascii="仿宋_GB2312" w:hAnsi="仿宋" w:eastAsia="仿宋_GB2312"/>
          <w:sz w:val="32"/>
          <w:szCs w:val="32"/>
          <w:lang w:eastAsia="zh-CN"/>
        </w:rPr>
        <w:t>培训费</w:t>
      </w:r>
      <w:r>
        <w:rPr>
          <w:rFonts w:hint="eastAsia" w:ascii="仿宋_GB2312" w:hAnsi="仿宋" w:eastAsia="仿宋_GB2312"/>
          <w:sz w:val="32"/>
          <w:szCs w:val="32"/>
        </w:rPr>
        <w:t>费增加。</w:t>
      </w:r>
    </w:p>
    <w:p>
      <w:pPr>
        <w:spacing w:line="620" w:lineRule="exact"/>
        <w:ind w:firstLine="640" w:firstLineChars="200"/>
        <w:rPr>
          <w:rFonts w:hint="eastAsia" w:ascii="仿宋_GB2312" w:hAnsi="仿宋" w:eastAsia="仿宋_GB2312"/>
          <w:sz w:val="32"/>
          <w:szCs w:val="32"/>
          <w:lang w:val="en-US" w:eastAsia="zh-CN"/>
        </w:rPr>
      </w:pPr>
      <w:r>
        <w:rPr>
          <w:rFonts w:hint="eastAsia" w:ascii="仿宋_GB2312" w:hAnsi="仿宋" w:eastAsia="仿宋_GB2312"/>
          <w:sz w:val="32"/>
          <w:szCs w:val="32"/>
          <w:lang w:val="en-US" w:eastAsia="zh-CN"/>
        </w:rPr>
        <w:t>5、劳务费</w:t>
      </w:r>
      <w:r>
        <w:rPr>
          <w:rFonts w:hint="eastAsia" w:ascii="仿宋_GB2312" w:hAnsi="仿宋" w:eastAsia="仿宋_GB2312"/>
          <w:sz w:val="32"/>
          <w:szCs w:val="32"/>
        </w:rPr>
        <w:t>支出</w:t>
      </w:r>
      <w:r>
        <w:rPr>
          <w:rFonts w:hint="eastAsia" w:ascii="仿宋_GB2312" w:hAnsi="仿宋" w:eastAsia="仿宋_GB2312"/>
          <w:sz w:val="32"/>
          <w:szCs w:val="32"/>
          <w:lang w:val="en-US" w:eastAsia="zh-CN"/>
        </w:rPr>
        <w:t>1.88</w:t>
      </w:r>
      <w:r>
        <w:rPr>
          <w:rFonts w:hint="eastAsia" w:ascii="仿宋_GB2312" w:hAnsi="仿宋" w:eastAsia="仿宋_GB2312"/>
          <w:sz w:val="32"/>
          <w:szCs w:val="32"/>
        </w:rPr>
        <w:t>万元，比上年</w:t>
      </w:r>
      <w:r>
        <w:rPr>
          <w:rFonts w:hint="eastAsia" w:ascii="仿宋_GB2312" w:hAnsi="仿宋" w:eastAsia="仿宋_GB2312"/>
          <w:sz w:val="32"/>
          <w:szCs w:val="32"/>
          <w:lang w:eastAsia="zh-CN"/>
        </w:rPr>
        <w:t>减少</w:t>
      </w:r>
      <w:r>
        <w:rPr>
          <w:rFonts w:hint="eastAsia" w:ascii="仿宋_GB2312" w:hAnsi="仿宋" w:eastAsia="仿宋_GB2312"/>
          <w:sz w:val="32"/>
          <w:szCs w:val="32"/>
          <w:lang w:val="en-US" w:eastAsia="zh-CN"/>
        </w:rPr>
        <w:t>1.99</w:t>
      </w:r>
      <w:r>
        <w:rPr>
          <w:rFonts w:hint="eastAsia" w:ascii="仿宋_GB2312" w:hAnsi="仿宋" w:eastAsia="仿宋_GB2312"/>
          <w:sz w:val="32"/>
          <w:szCs w:val="32"/>
        </w:rPr>
        <w:t>万元，主要原因为</w:t>
      </w:r>
      <w:r>
        <w:rPr>
          <w:rFonts w:hint="eastAsia" w:ascii="仿宋_GB2312" w:hAnsi="仿宋" w:eastAsia="仿宋_GB2312"/>
          <w:sz w:val="32"/>
          <w:szCs w:val="32"/>
          <w:lang w:eastAsia="zh-CN"/>
        </w:rPr>
        <w:t>临时用工劳务减少。</w:t>
      </w:r>
    </w:p>
    <w:p>
      <w:pPr>
        <w:spacing w:line="620" w:lineRule="exact"/>
        <w:ind w:firstLine="640" w:firstLineChars="200"/>
        <w:rPr>
          <w:rFonts w:ascii="仿宋_GB2312" w:hAnsi="仿宋" w:eastAsia="仿宋_GB2312"/>
          <w:sz w:val="32"/>
          <w:szCs w:val="32"/>
        </w:rPr>
      </w:pPr>
      <w:r>
        <w:rPr>
          <w:rFonts w:hint="eastAsia" w:ascii="仿宋_GB2312" w:hAnsi="仿宋" w:eastAsia="仿宋_GB2312"/>
          <w:sz w:val="32"/>
          <w:szCs w:val="32"/>
        </w:rPr>
        <w:t>（二）国有资产占用及购置情况</w:t>
      </w:r>
    </w:p>
    <w:p>
      <w:pPr>
        <w:spacing w:line="620" w:lineRule="exact"/>
        <w:ind w:firstLine="640" w:firstLineChars="200"/>
        <w:rPr>
          <w:rFonts w:ascii="仿宋_GB2312" w:hAnsi="仿宋" w:eastAsia="仿宋_GB2312"/>
          <w:sz w:val="32"/>
          <w:szCs w:val="32"/>
        </w:rPr>
      </w:pPr>
      <w:r>
        <w:rPr>
          <w:rFonts w:hint="eastAsia" w:ascii="仿宋_GB2312" w:hAnsi="仿宋" w:eastAsia="仿宋_GB2312"/>
          <w:sz w:val="32"/>
          <w:szCs w:val="32"/>
        </w:rPr>
        <w:t>截至2018年末，本部门所属单位共有车辆8辆；单价50万元以上的通用设备0台（套）；单价100万元以上的通用设备0台（套）。2018年当年购置车辆1辆；购置单价50万元以上的设备0台（套）；购置单价100万元以上的通用设备0台（套）。</w:t>
      </w:r>
    </w:p>
    <w:p>
      <w:pPr>
        <w:spacing w:line="620" w:lineRule="exact"/>
        <w:ind w:firstLine="640" w:firstLineChars="200"/>
        <w:rPr>
          <w:rFonts w:ascii="仿宋_GB2312" w:hAnsi="仿宋" w:eastAsia="仿宋_GB2312"/>
          <w:sz w:val="32"/>
          <w:szCs w:val="32"/>
        </w:rPr>
      </w:pPr>
      <w:r>
        <w:rPr>
          <w:rFonts w:hint="eastAsia" w:ascii="仿宋_GB2312" w:hAnsi="仿宋" w:eastAsia="仿宋_GB2312"/>
          <w:sz w:val="32"/>
          <w:szCs w:val="32"/>
        </w:rPr>
        <w:t>八、专业名词解释</w:t>
      </w:r>
    </w:p>
    <w:p>
      <w:pPr>
        <w:spacing w:line="620" w:lineRule="exact"/>
        <w:ind w:firstLine="640" w:firstLineChars="200"/>
        <w:rPr>
          <w:rFonts w:ascii="仿宋_GB2312" w:hAnsi="仿宋" w:eastAsia="仿宋_GB2312"/>
          <w:sz w:val="32"/>
          <w:szCs w:val="32"/>
        </w:rPr>
      </w:pPr>
      <w:r>
        <w:rPr>
          <w:rFonts w:hint="eastAsia" w:ascii="仿宋_GB2312" w:hAnsi="仿宋" w:eastAsia="仿宋_GB2312"/>
          <w:sz w:val="32"/>
          <w:szCs w:val="32"/>
        </w:rPr>
        <w:t>1、基本支出：指为保障机构正常运转、完成日常工作任务而发生的各项支出。</w:t>
      </w:r>
    </w:p>
    <w:p>
      <w:pPr>
        <w:spacing w:line="620" w:lineRule="exact"/>
        <w:ind w:firstLine="640" w:firstLineChars="200"/>
        <w:rPr>
          <w:rFonts w:ascii="仿宋_GB2312" w:hAnsi="仿宋" w:eastAsia="仿宋_GB2312"/>
          <w:sz w:val="32"/>
          <w:szCs w:val="32"/>
        </w:rPr>
      </w:pPr>
      <w:r>
        <w:rPr>
          <w:rFonts w:hint="eastAsia" w:ascii="仿宋_GB2312" w:hAnsi="仿宋" w:eastAsia="仿宋_GB2312"/>
          <w:sz w:val="32"/>
          <w:szCs w:val="32"/>
        </w:rPr>
        <w:t>2、项目支出：指单位为完成特定的行政工作任务或事业发展目标所发生的各项支出。</w:t>
      </w:r>
    </w:p>
    <w:p>
      <w:pPr>
        <w:spacing w:line="620" w:lineRule="exact"/>
        <w:ind w:firstLine="640" w:firstLineChars="200"/>
        <w:rPr>
          <w:rFonts w:ascii="仿宋_GB2312" w:hAnsi="仿宋" w:eastAsia="仿宋_GB2312"/>
          <w:sz w:val="32"/>
          <w:szCs w:val="32"/>
        </w:rPr>
      </w:pPr>
      <w:r>
        <w:rPr>
          <w:rFonts w:hint="eastAsia" w:ascii="仿宋_GB2312" w:hAnsi="仿宋" w:eastAsia="仿宋_GB2312"/>
          <w:sz w:val="32"/>
          <w:szCs w:val="32"/>
        </w:rPr>
        <w:t>3、“三公”经费：指部门使用一般公共预算财政拨款安排的因公出国（境）费、公务用车购置及运行费和公务接待费支出。</w:t>
      </w:r>
    </w:p>
    <w:p>
      <w:pPr>
        <w:spacing w:line="620" w:lineRule="exact"/>
        <w:ind w:firstLine="640" w:firstLineChars="200"/>
        <w:rPr>
          <w:rFonts w:ascii="仿宋_GB2312" w:hAnsi="仿宋" w:eastAsia="仿宋_GB2312"/>
          <w:sz w:val="32"/>
          <w:szCs w:val="32"/>
        </w:rPr>
      </w:pPr>
      <w:r>
        <w:rPr>
          <w:rFonts w:hint="eastAsia" w:ascii="仿宋_GB2312" w:hAnsi="仿宋" w:eastAsia="仿宋_GB2312"/>
          <w:sz w:val="32"/>
          <w:szCs w:val="32"/>
        </w:rPr>
        <w:t>4、机关运行经费：指行政单位和参照公务员法管理的事业单位使用一般公共预算财政拨款安排的日常公用经费支出。</w:t>
      </w:r>
    </w:p>
    <w:p>
      <w:pPr>
        <w:spacing w:line="360" w:lineRule="auto"/>
        <w:ind w:firstLine="643" w:firstLineChars="200"/>
        <w:rPr>
          <w:rFonts w:ascii="仿宋_GB2312" w:hAnsi="黑体" w:eastAsia="仿宋_GB2312"/>
          <w:b/>
          <w:sz w:val="32"/>
          <w:szCs w:val="32"/>
        </w:rPr>
      </w:pPr>
      <w:r>
        <w:rPr>
          <w:rFonts w:hint="eastAsia" w:ascii="仿宋_GB2312" w:hAnsi="黑体" w:eastAsia="仿宋_GB2312"/>
          <w:b/>
          <w:sz w:val="32"/>
          <w:szCs w:val="32"/>
        </w:rPr>
        <w:t>九、部门决算表</w:t>
      </w:r>
    </w:p>
    <w:p>
      <w:pPr>
        <w:spacing w:line="360" w:lineRule="auto"/>
        <w:ind w:firstLine="640" w:firstLineChars="200"/>
        <w:rPr>
          <w:rFonts w:ascii="仿宋_GB2312" w:hAnsi="黑体" w:eastAsia="仿宋_GB2312"/>
          <w:sz w:val="32"/>
          <w:szCs w:val="32"/>
        </w:rPr>
      </w:pPr>
      <w:r>
        <w:rPr>
          <w:rFonts w:hint="eastAsia" w:ascii="仿宋_GB2312" w:hAnsi="黑体" w:eastAsia="仿宋_GB2312"/>
          <w:sz w:val="32"/>
          <w:szCs w:val="32"/>
        </w:rPr>
        <w:t>封面、目录</w:t>
      </w:r>
    </w:p>
    <w:p>
      <w:pPr>
        <w:spacing w:line="360" w:lineRule="auto"/>
        <w:ind w:firstLine="640" w:firstLineChars="200"/>
        <w:rPr>
          <w:rFonts w:ascii="仿宋_GB2312" w:eastAsia="仿宋_GB2312"/>
          <w:sz w:val="32"/>
          <w:szCs w:val="32"/>
        </w:rPr>
      </w:pPr>
      <w:r>
        <w:rPr>
          <w:rFonts w:hint="eastAsia" w:ascii="仿宋_GB2312" w:eastAsia="仿宋_GB2312"/>
          <w:sz w:val="32"/>
          <w:szCs w:val="32"/>
        </w:rPr>
        <w:t>（一）部门收支总体情况决算表(公开01表)</w:t>
      </w:r>
    </w:p>
    <w:p>
      <w:pPr>
        <w:spacing w:line="360" w:lineRule="auto"/>
        <w:ind w:firstLine="640" w:firstLineChars="200"/>
        <w:rPr>
          <w:rFonts w:ascii="仿宋_GB2312" w:eastAsia="仿宋_GB2312"/>
          <w:sz w:val="32"/>
          <w:szCs w:val="32"/>
        </w:rPr>
      </w:pPr>
      <w:r>
        <w:rPr>
          <w:rFonts w:hint="eastAsia" w:ascii="仿宋_GB2312" w:eastAsia="仿宋_GB2312"/>
          <w:sz w:val="32"/>
          <w:szCs w:val="32"/>
        </w:rPr>
        <w:t>（二）部门收入总体情况决算表(公开02表)</w:t>
      </w:r>
    </w:p>
    <w:p>
      <w:pPr>
        <w:spacing w:line="360" w:lineRule="auto"/>
        <w:ind w:firstLine="640" w:firstLineChars="200"/>
        <w:rPr>
          <w:rFonts w:ascii="仿宋_GB2312" w:eastAsia="仿宋_GB2312"/>
          <w:sz w:val="32"/>
          <w:szCs w:val="32"/>
        </w:rPr>
      </w:pPr>
      <w:r>
        <w:rPr>
          <w:rFonts w:hint="eastAsia" w:ascii="仿宋_GB2312" w:eastAsia="仿宋_GB2312"/>
          <w:sz w:val="32"/>
          <w:szCs w:val="32"/>
        </w:rPr>
        <w:t>（三）部门支出总体情况决算表(公开03表)</w:t>
      </w:r>
    </w:p>
    <w:p>
      <w:pPr>
        <w:spacing w:line="360" w:lineRule="auto"/>
        <w:ind w:firstLine="640" w:firstLineChars="200"/>
        <w:rPr>
          <w:rFonts w:ascii="仿宋_GB2312" w:eastAsia="仿宋_GB2312"/>
          <w:sz w:val="32"/>
          <w:szCs w:val="32"/>
        </w:rPr>
      </w:pPr>
      <w:r>
        <w:rPr>
          <w:rFonts w:hint="eastAsia" w:ascii="仿宋_GB2312" w:eastAsia="仿宋_GB2312"/>
          <w:sz w:val="32"/>
          <w:szCs w:val="32"/>
        </w:rPr>
        <w:t>（四）财政拨款收支总体情况决算表(公开04表)</w:t>
      </w:r>
    </w:p>
    <w:p>
      <w:pPr>
        <w:spacing w:line="360" w:lineRule="auto"/>
        <w:ind w:firstLine="640" w:firstLineChars="200"/>
        <w:rPr>
          <w:rFonts w:ascii="仿宋_GB2312" w:eastAsia="仿宋_GB2312"/>
          <w:sz w:val="32"/>
          <w:szCs w:val="32"/>
        </w:rPr>
      </w:pPr>
      <w:r>
        <w:rPr>
          <w:rFonts w:hint="eastAsia" w:ascii="仿宋_GB2312" w:eastAsia="仿宋_GB2312"/>
          <w:sz w:val="32"/>
          <w:szCs w:val="32"/>
        </w:rPr>
        <w:t>（五）</w:t>
      </w:r>
      <w:r>
        <w:rPr>
          <w:rFonts w:hint="eastAsia" w:ascii="仿宋_GB2312" w:hAnsi="宋体" w:eastAsia="仿宋_GB2312" w:cs="宋体"/>
          <w:color w:val="000000"/>
          <w:kern w:val="0"/>
          <w:sz w:val="32"/>
          <w:szCs w:val="32"/>
        </w:rPr>
        <w:t>一般公共预算财政拨款支出情况决算表（按功能分类科目）</w:t>
      </w:r>
      <w:r>
        <w:rPr>
          <w:rFonts w:hint="eastAsia" w:ascii="仿宋_GB2312" w:eastAsia="仿宋_GB2312"/>
          <w:sz w:val="32"/>
          <w:szCs w:val="32"/>
        </w:rPr>
        <w:t>(公开05表)</w:t>
      </w:r>
    </w:p>
    <w:p>
      <w:pPr>
        <w:spacing w:line="360" w:lineRule="auto"/>
        <w:ind w:firstLine="640" w:firstLineChars="200"/>
        <w:rPr>
          <w:rFonts w:ascii="仿宋_GB2312" w:eastAsia="仿宋_GB2312"/>
          <w:sz w:val="32"/>
          <w:szCs w:val="32"/>
        </w:rPr>
      </w:pPr>
      <w:r>
        <w:rPr>
          <w:rFonts w:hint="eastAsia" w:ascii="仿宋_GB2312" w:eastAsia="仿宋_GB2312"/>
          <w:sz w:val="32"/>
          <w:szCs w:val="32"/>
        </w:rPr>
        <w:t>（六）</w:t>
      </w:r>
      <w:r>
        <w:rPr>
          <w:rFonts w:hint="eastAsia" w:ascii="仿宋_GB2312" w:hAnsi="宋体" w:eastAsia="仿宋_GB2312" w:cs="宋体"/>
          <w:color w:val="000000"/>
          <w:kern w:val="0"/>
          <w:sz w:val="32"/>
          <w:szCs w:val="32"/>
        </w:rPr>
        <w:t>一般公共预算财政拨款基本支出情况决算表（按经济分类科目）</w:t>
      </w:r>
      <w:r>
        <w:rPr>
          <w:rFonts w:hint="eastAsia" w:ascii="仿宋_GB2312" w:eastAsia="仿宋_GB2312"/>
          <w:sz w:val="32"/>
          <w:szCs w:val="32"/>
        </w:rPr>
        <w:t>（公开06表)</w:t>
      </w:r>
    </w:p>
    <w:p>
      <w:pPr>
        <w:spacing w:line="360" w:lineRule="auto"/>
        <w:ind w:firstLine="640" w:firstLineChars="200"/>
        <w:rPr>
          <w:rFonts w:ascii="仿宋_GB2312" w:eastAsia="仿宋_GB2312"/>
          <w:sz w:val="32"/>
          <w:szCs w:val="32"/>
        </w:rPr>
      </w:pPr>
      <w:r>
        <w:rPr>
          <w:rFonts w:hint="eastAsia" w:ascii="仿宋_GB2312" w:eastAsia="仿宋_GB2312"/>
          <w:sz w:val="32"/>
          <w:szCs w:val="32"/>
        </w:rPr>
        <w:t>（七）一般公共预算财政拨款“三公”经费及会议费、培训费支出情况决算表(公开07表)</w:t>
      </w:r>
    </w:p>
    <w:p>
      <w:pPr>
        <w:spacing w:line="360" w:lineRule="auto"/>
        <w:ind w:firstLine="640" w:firstLineChars="200"/>
        <w:rPr>
          <w:rFonts w:ascii="仿宋_GB2312" w:eastAsia="仿宋_GB2312"/>
          <w:sz w:val="32"/>
          <w:szCs w:val="32"/>
        </w:rPr>
      </w:pPr>
      <w:r>
        <w:rPr>
          <w:rFonts w:hint="eastAsia" w:ascii="仿宋_GB2312" w:hAnsi="黑体" w:eastAsia="仿宋_GB2312"/>
          <w:sz w:val="32"/>
          <w:szCs w:val="32"/>
        </w:rPr>
        <w:t>（八）</w:t>
      </w:r>
      <w:r>
        <w:rPr>
          <w:rFonts w:hint="eastAsia" w:ascii="仿宋_GB2312" w:hAnsi="宋体" w:eastAsia="仿宋_GB2312" w:cs="宋体"/>
          <w:color w:val="000000"/>
          <w:kern w:val="0"/>
          <w:sz w:val="32"/>
          <w:szCs w:val="32"/>
        </w:rPr>
        <w:t>政府性基金预算收支情况表</w:t>
      </w:r>
      <w:r>
        <w:rPr>
          <w:rFonts w:hint="eastAsia" w:ascii="仿宋_GB2312" w:eastAsia="仿宋_GB2312"/>
          <w:sz w:val="32"/>
          <w:szCs w:val="32"/>
        </w:rPr>
        <w:t>(公开08表)</w:t>
      </w:r>
    </w:p>
    <w:p>
      <w:pPr>
        <w:spacing w:line="360" w:lineRule="auto"/>
        <w:ind w:firstLine="640" w:firstLineChars="200"/>
        <w:rPr>
          <w:rFonts w:ascii="仿宋_GB2312" w:eastAsia="仿宋_GB2312"/>
          <w:sz w:val="32"/>
          <w:szCs w:val="32"/>
        </w:rPr>
      </w:pPr>
      <w:r>
        <w:rPr>
          <w:rFonts w:hint="eastAsia" w:ascii="仿宋_GB2312" w:eastAsia="仿宋_GB2312"/>
          <w:sz w:val="32"/>
          <w:szCs w:val="32"/>
        </w:rPr>
        <w:t>（九）政府采购情况表（公开09表）</w:t>
      </w:r>
    </w:p>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D8C1CFD"/>
    <w:multiLevelType w:val="singleLevel"/>
    <w:tmpl w:val="5D8C1CFD"/>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VhYjFmODgzYzM0NjExZTlhNzM0OTM0ZWZkMGMwZWYifQ=="/>
  </w:docVars>
  <w:rsids>
    <w:rsidRoot w:val="0078080F"/>
    <w:rsid w:val="000D4580"/>
    <w:rsid w:val="002E6A8D"/>
    <w:rsid w:val="003358AE"/>
    <w:rsid w:val="005A6629"/>
    <w:rsid w:val="0078080F"/>
    <w:rsid w:val="007C0F9F"/>
    <w:rsid w:val="00A31346"/>
    <w:rsid w:val="00B566B6"/>
    <w:rsid w:val="00CF13EA"/>
    <w:rsid w:val="00E53E58"/>
    <w:rsid w:val="01267172"/>
    <w:rsid w:val="02466201"/>
    <w:rsid w:val="027669B9"/>
    <w:rsid w:val="02C00AE4"/>
    <w:rsid w:val="06DB3C27"/>
    <w:rsid w:val="0AA07B99"/>
    <w:rsid w:val="0AD93ABD"/>
    <w:rsid w:val="0C202AA5"/>
    <w:rsid w:val="0DE3682D"/>
    <w:rsid w:val="0F951045"/>
    <w:rsid w:val="0FC51969"/>
    <w:rsid w:val="10770D7D"/>
    <w:rsid w:val="116E3256"/>
    <w:rsid w:val="11867B2B"/>
    <w:rsid w:val="11C92D52"/>
    <w:rsid w:val="11F9413D"/>
    <w:rsid w:val="12443F73"/>
    <w:rsid w:val="132536E8"/>
    <w:rsid w:val="13273095"/>
    <w:rsid w:val="147617CA"/>
    <w:rsid w:val="14942891"/>
    <w:rsid w:val="15672450"/>
    <w:rsid w:val="16476DF4"/>
    <w:rsid w:val="16EF5D79"/>
    <w:rsid w:val="17DA7968"/>
    <w:rsid w:val="18585BF1"/>
    <w:rsid w:val="18B87ED3"/>
    <w:rsid w:val="18FC77C6"/>
    <w:rsid w:val="1A3F4E97"/>
    <w:rsid w:val="1C287571"/>
    <w:rsid w:val="1D4820D3"/>
    <w:rsid w:val="1D533EB1"/>
    <w:rsid w:val="1E567303"/>
    <w:rsid w:val="20B12127"/>
    <w:rsid w:val="216B4EF8"/>
    <w:rsid w:val="21EA2D01"/>
    <w:rsid w:val="23402E3C"/>
    <w:rsid w:val="23727414"/>
    <w:rsid w:val="251759FC"/>
    <w:rsid w:val="2613562C"/>
    <w:rsid w:val="2A6176D6"/>
    <w:rsid w:val="2A747C2D"/>
    <w:rsid w:val="2A965EEC"/>
    <w:rsid w:val="2D3A2D8A"/>
    <w:rsid w:val="2D5F1AD3"/>
    <w:rsid w:val="2D8A6BA9"/>
    <w:rsid w:val="2DF81824"/>
    <w:rsid w:val="2E7A7772"/>
    <w:rsid w:val="2F3E326A"/>
    <w:rsid w:val="30722241"/>
    <w:rsid w:val="32AE64D8"/>
    <w:rsid w:val="35433CD9"/>
    <w:rsid w:val="361F7DAA"/>
    <w:rsid w:val="3689325E"/>
    <w:rsid w:val="36E02EF7"/>
    <w:rsid w:val="37A34884"/>
    <w:rsid w:val="38110220"/>
    <w:rsid w:val="383851D9"/>
    <w:rsid w:val="389A1142"/>
    <w:rsid w:val="3940311F"/>
    <w:rsid w:val="39B225B5"/>
    <w:rsid w:val="3B231A4F"/>
    <w:rsid w:val="3BC53E18"/>
    <w:rsid w:val="3BE10DE7"/>
    <w:rsid w:val="3BF208FD"/>
    <w:rsid w:val="3BFF5128"/>
    <w:rsid w:val="3C1732DC"/>
    <w:rsid w:val="3CF85F46"/>
    <w:rsid w:val="3D1D0053"/>
    <w:rsid w:val="3DFC1AE7"/>
    <w:rsid w:val="3E2C799C"/>
    <w:rsid w:val="3F177273"/>
    <w:rsid w:val="3F6B74D5"/>
    <w:rsid w:val="40673D95"/>
    <w:rsid w:val="40C71851"/>
    <w:rsid w:val="413C0878"/>
    <w:rsid w:val="482501C1"/>
    <w:rsid w:val="49461316"/>
    <w:rsid w:val="4A450736"/>
    <w:rsid w:val="4B60055B"/>
    <w:rsid w:val="4CF35F33"/>
    <w:rsid w:val="4D663A7C"/>
    <w:rsid w:val="4F0F7146"/>
    <w:rsid w:val="4F19793E"/>
    <w:rsid w:val="4F476274"/>
    <w:rsid w:val="52872594"/>
    <w:rsid w:val="53704860"/>
    <w:rsid w:val="55735E30"/>
    <w:rsid w:val="56DA04EC"/>
    <w:rsid w:val="572703F9"/>
    <w:rsid w:val="5B394AA8"/>
    <w:rsid w:val="5B5B22B4"/>
    <w:rsid w:val="5C69727B"/>
    <w:rsid w:val="5D5D7502"/>
    <w:rsid w:val="5E93680B"/>
    <w:rsid w:val="615A4FF9"/>
    <w:rsid w:val="61E652AE"/>
    <w:rsid w:val="624A2483"/>
    <w:rsid w:val="63145B19"/>
    <w:rsid w:val="63D45602"/>
    <w:rsid w:val="640360C1"/>
    <w:rsid w:val="656A7E4E"/>
    <w:rsid w:val="656F04C5"/>
    <w:rsid w:val="6582490D"/>
    <w:rsid w:val="66C42E0C"/>
    <w:rsid w:val="68412B00"/>
    <w:rsid w:val="69751AD9"/>
    <w:rsid w:val="6B262553"/>
    <w:rsid w:val="6C0C27A3"/>
    <w:rsid w:val="6F471799"/>
    <w:rsid w:val="6F6E232A"/>
    <w:rsid w:val="720774DE"/>
    <w:rsid w:val="72CE6168"/>
    <w:rsid w:val="74D75CC0"/>
    <w:rsid w:val="75CB0A74"/>
    <w:rsid w:val="761F4015"/>
    <w:rsid w:val="774D7CD7"/>
    <w:rsid w:val="784F41EA"/>
    <w:rsid w:val="7A690CC8"/>
    <w:rsid w:val="7AD60D91"/>
    <w:rsid w:val="7B5C6055"/>
    <w:rsid w:val="7BE2008B"/>
    <w:rsid w:val="7C6C7D26"/>
    <w:rsid w:val="7C7879D1"/>
    <w:rsid w:val="7CE865A7"/>
    <w:rsid w:val="7E401C3F"/>
    <w:rsid w:val="7F7735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alloon Text"/>
    <w:basedOn w:val="1"/>
    <w:link w:val="11"/>
    <w:qFormat/>
    <w:uiPriority w:val="0"/>
    <w:rPr>
      <w:sz w:val="18"/>
      <w:szCs w:val="18"/>
    </w:rPr>
  </w:style>
  <w:style w:type="paragraph" w:styleId="3">
    <w:name w:val="footer"/>
    <w:basedOn w:val="1"/>
    <w:autoRedefine/>
    <w:qFormat/>
    <w:uiPriority w:val="0"/>
    <w:pPr>
      <w:tabs>
        <w:tab w:val="center" w:pos="4153"/>
        <w:tab w:val="right" w:pos="8306"/>
      </w:tabs>
      <w:snapToGrid w:val="0"/>
      <w:jc w:val="left"/>
    </w:pPr>
    <w:rPr>
      <w:sz w:val="18"/>
      <w:szCs w:val="18"/>
    </w:rPr>
  </w:style>
  <w:style w:type="paragraph" w:styleId="4">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autoRedefine/>
    <w:qFormat/>
    <w:uiPriority w:val="0"/>
    <w:pPr>
      <w:spacing w:before="100" w:beforeAutospacing="1" w:after="100" w:afterAutospacing="1"/>
      <w:jc w:val="left"/>
    </w:pPr>
    <w:rPr>
      <w:rFonts w:cs="Times New Roman"/>
      <w:kern w:val="0"/>
      <w:sz w:val="24"/>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page number"/>
    <w:basedOn w:val="8"/>
    <w:qFormat/>
    <w:uiPriority w:val="0"/>
  </w:style>
  <w:style w:type="character" w:customStyle="1" w:styleId="10">
    <w:name w:val="页眉 Char"/>
    <w:basedOn w:val="8"/>
    <w:link w:val="4"/>
    <w:qFormat/>
    <w:uiPriority w:val="0"/>
    <w:rPr>
      <w:kern w:val="2"/>
      <w:sz w:val="18"/>
      <w:szCs w:val="18"/>
    </w:rPr>
  </w:style>
  <w:style w:type="character" w:customStyle="1" w:styleId="11">
    <w:name w:val="批注框文本 Char"/>
    <w:basedOn w:val="8"/>
    <w:link w:val="2"/>
    <w:autoRedefine/>
    <w:qFormat/>
    <w:uiPriority w:val="0"/>
    <w:rPr>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hart" Target="charts/chart3.xml"/><Relationship Id="rId5" Type="http://schemas.openxmlformats.org/officeDocument/2006/relationships/chart" Target="charts/chart2.xml"/><Relationship Id="rId4" Type="http://schemas.openxmlformats.org/officeDocument/2006/relationships/chart" Target="charts/chart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oleObject" Target="file:///C:\Documents%20and%20Settings\founder\&#26700;&#38754;\2018&#24180;&#25209;&#22797;&#21442;&#25968;&#21450;&#25209;&#22797;\&#20154;&#21592;&#26609;&#29366;&#22270;.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24037;&#20316;&#31807;1"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Documents%20and%20Settings\founder\&#26700;&#38754;\2018&#24180;&#25209;&#22797;&#21442;&#25968;&#21450;&#25209;&#22797;&#26679;&#34920;\&#20154;&#21592;&#26609;&#29366;&#22270;.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lang="zh-CN" altLang="en-US"/>
              <a:t>人员情况柱状图</a:t>
            </a:r>
            <a:endParaRPr lang="zh-CN" altLang="en-US"/>
          </a:p>
        </c:rich>
      </c:tx>
      <c:layout/>
      <c:overlay val="0"/>
      <c:spPr>
        <a:noFill/>
        <a:ln>
          <a:noFill/>
        </a:ln>
        <a:effectLst/>
      </c:spPr>
    </c:title>
    <c:autoTitleDeleted val="0"/>
    <c:plotArea>
      <c:layout/>
      <c:barChart>
        <c:barDir val="col"/>
        <c:grouping val="clustered"/>
        <c:varyColors val="0"/>
        <c:ser>
          <c:idx val="0"/>
          <c:order val="0"/>
          <c:tx>
            <c:strRef>
              <c:f>[人员柱状图.xlsx]Sheet1!$A$32</c:f>
              <c:strCache>
                <c:ptCount val="1"/>
                <c:pt idx="0">
                  <c:v>编制人数</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[人员柱状图.xlsx]Sheet1!$B$31:$C$31</c:f>
              <c:strCache>
                <c:ptCount val="2"/>
                <c:pt idx="0">
                  <c:v>行政人员</c:v>
                </c:pt>
                <c:pt idx="1">
                  <c:v>事业人员</c:v>
                </c:pt>
              </c:strCache>
            </c:strRef>
          </c:cat>
          <c:val>
            <c:numRef>
              <c:f>[人员柱状图.xlsx]Sheet1!$B$32:$C$32</c:f>
              <c:numCache>
                <c:formatCode>General</c:formatCode>
                <c:ptCount val="2"/>
                <c:pt idx="0">
                  <c:v>61</c:v>
                </c:pt>
                <c:pt idx="1">
                  <c:v>6</c:v>
                </c:pt>
              </c:numCache>
            </c:numRef>
          </c:val>
        </c:ser>
        <c:ser>
          <c:idx val="1"/>
          <c:order val="1"/>
          <c:tx>
            <c:strRef>
              <c:f>[人员柱状图.xlsx]Sheet1!$A$33</c:f>
              <c:strCache>
                <c:ptCount val="1"/>
                <c:pt idx="0">
                  <c:v>实有人数</c:v>
                </c:pt>
              </c:strCache>
            </c:strRef>
          </c:tx>
          <c:spPr>
            <a:solidFill>
              <a:schemeClr val="accent2"/>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[人员柱状图.xlsx]Sheet1!$B$31:$C$31</c:f>
              <c:strCache>
                <c:ptCount val="2"/>
                <c:pt idx="0">
                  <c:v>行政人员</c:v>
                </c:pt>
                <c:pt idx="1">
                  <c:v>事业人员</c:v>
                </c:pt>
              </c:strCache>
            </c:strRef>
          </c:cat>
          <c:val>
            <c:numRef>
              <c:f>[人员柱状图.xlsx]Sheet1!$B$33:$C$33</c:f>
              <c:numCache>
                <c:formatCode>General</c:formatCode>
                <c:ptCount val="2"/>
                <c:pt idx="0">
                  <c:v>53</c:v>
                </c:pt>
                <c:pt idx="1">
                  <c:v>11</c:v>
                </c:pt>
              </c:numCache>
            </c:numRef>
          </c:val>
        </c:ser>
        <c:dLbls>
          <c:showLegendKey val="0"/>
          <c:showVal val="1"/>
          <c:showCatName val="0"/>
          <c:showSerName val="0"/>
          <c:showPercent val="0"/>
          <c:showBubbleSize val="0"/>
        </c:dLbls>
        <c:gapWidth val="219"/>
        <c:overlap val="-27"/>
        <c:axId val="593141248"/>
        <c:axId val="174193408"/>
      </c:barChart>
      <c:catAx>
        <c:axId val="593141248"/>
        <c:scaling>
          <c:orientation val="minMax"/>
        </c:scaling>
        <c:delete val="0"/>
        <c:axPos val="b"/>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4193408"/>
        <c:crosses val="autoZero"/>
        <c:auto val="1"/>
        <c:lblAlgn val="ctr"/>
        <c:lblOffset val="100"/>
        <c:noMultiLvlLbl val="0"/>
      </c:catAx>
      <c:valAx>
        <c:axId val="174193408"/>
        <c:scaling>
          <c:orientation val="minMax"/>
        </c:scaling>
        <c:delete val="0"/>
        <c:axPos val="l"/>
        <c:majorGridlines>
          <c:spPr>
            <a:ln w="9525" cap="flat" cmpd="sng" algn="ctr">
              <a:solidFill>
                <a:schemeClr val="tx1">
                  <a:lumMod val="15000"/>
                  <a:lumOff val="85000"/>
                </a:schemeClr>
              </a:solidFill>
              <a:prstDash val="solid"/>
              <a:round/>
            </a:ln>
            <a:effectLst/>
          </c:spPr>
        </c:majorGridlines>
        <c:numFmt formatCode="General" sourceLinked="1"/>
        <c:majorTickMark val="none"/>
        <c:minorTickMark val="none"/>
        <c:tickLblPos val="nextTo"/>
        <c:spPr>
          <a:noFill/>
          <a:ln w="6350" cap="flat" cmpd="sng" algn="ctr">
            <a:no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593141248"/>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lang="zh-CN" altLang="en-US"/>
              <a:t>年度收入构成情况</a:t>
            </a:r>
            <a:endParaRPr lang="zh-CN" altLang="en-US"/>
          </a:p>
        </c:rich>
      </c:tx>
      <c:layout/>
      <c:overlay val="0"/>
      <c:spPr>
        <a:noFill/>
        <a:ln>
          <a:noFill/>
        </a:ln>
        <a:effectLst/>
      </c:spPr>
    </c:title>
    <c:autoTitleDeleted val="0"/>
    <c:plotArea>
      <c:layout/>
      <c:pieChart>
        <c:varyColors val="1"/>
        <c:ser>
          <c:idx val="0"/>
          <c:order val="0"/>
          <c:tx>
            <c:strRef>
              <c:f>[工作簿1]Sheet1!$A$35</c:f>
              <c:strCache>
                <c:ptCount val="1"/>
                <c:pt idx="0">
                  <c:v>财政拨款收入</c:v>
                </c:pt>
              </c:strCache>
            </c:strRef>
          </c:tx>
          <c:explosion val="0"/>
          <c:dPt>
            <c:idx val="0"/>
            <c:bubble3D val="0"/>
            <c:spPr>
              <a:solidFill>
                <a:srgbClr val="4F81BD"/>
              </a:solidFill>
              <a:ln w="19050">
                <a:solidFill>
                  <a:schemeClr val="lt1"/>
                </a:solidFill>
              </a:ln>
              <a:effectLst/>
            </c:spPr>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ctr"/>
            <c:showLegendKey val="0"/>
            <c:showVal val="0"/>
            <c:showCatName val="0"/>
            <c:showSerName val="1"/>
            <c:showPercent val="1"/>
            <c:showBubbleSize val="0"/>
            <c:separator> </c:separator>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{"财政拨款收入"}</c:f>
              <c:strCache>
                <c:ptCount val="1"/>
                <c:pt idx="0">
                  <c:v>财政拨款收入</c:v>
                </c:pt>
              </c:strCache>
            </c:strRef>
          </c:cat>
          <c:val>
            <c:numRef>
              <c:f>[工作簿1]Sheet1!$B$35</c:f>
              <c:numCache>
                <c:formatCode>General</c:formatCode>
                <c:ptCount val="1"/>
                <c:pt idx="0">
                  <c:v>200</c:v>
                </c:pt>
              </c:numCache>
            </c:numRef>
          </c:val>
        </c:ser>
        <c:dLbls>
          <c:showLegendKey val="0"/>
          <c:showVal val="0"/>
          <c:showCatName val="0"/>
          <c:showSerName val="1"/>
          <c:showPercent val="1"/>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lang="zh-CN" altLang="en-US"/>
              <a:t>年度支出构成情况</a:t>
            </a:r>
            <a:endParaRPr lang="zh-CN" altLang="en-US"/>
          </a:p>
        </c:rich>
      </c:tx>
      <c:layout/>
      <c:overlay val="0"/>
      <c:spPr>
        <a:noFill/>
        <a:ln>
          <a:noFill/>
        </a:ln>
        <a:effectLst/>
      </c:spPr>
    </c:title>
    <c:autoTitleDeleted val="0"/>
    <c:plotArea>
      <c:layout/>
      <c:pieChart>
        <c:varyColors val="1"/>
        <c:ser>
          <c:idx val="0"/>
          <c:order val="0"/>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Lbls>
            <c:numFmt formatCode="0.00%" sourceLinked="0"/>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0"/>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[人员柱状图.xlsx]Sheet1!$A$52:$A$53</c:f>
              <c:strCache>
                <c:ptCount val="2"/>
                <c:pt idx="0">
                  <c:v>基本支出</c:v>
                </c:pt>
                <c:pt idx="1">
                  <c:v>项目支出</c:v>
                </c:pt>
              </c:strCache>
            </c:strRef>
          </c:cat>
          <c:val>
            <c:numRef>
              <c:f>[人员柱状图.xlsx]Sheet1!$B$52:$B$53</c:f>
              <c:numCache>
                <c:formatCode>General</c:formatCode>
                <c:ptCount val="2"/>
                <c:pt idx="0">
                  <c:v>650.38</c:v>
                </c:pt>
                <c:pt idx="1">
                  <c:v>250.73</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a:pPr>
    </a:p>
  </c:txPr>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10</Pages>
  <Words>587</Words>
  <Characters>3346</Characters>
  <Lines>27</Lines>
  <Paragraphs>7</Paragraphs>
  <TotalTime>3</TotalTime>
  <ScaleCrop>false</ScaleCrop>
  <LinksUpToDate>false</LinksUpToDate>
  <CharactersWithSpaces>3926</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founder</dc:creator>
  <cp:lastModifiedBy>byx</cp:lastModifiedBy>
  <cp:lastPrinted>2019-09-26T07:01:00Z</cp:lastPrinted>
  <dcterms:modified xsi:type="dcterms:W3CDTF">2024-01-15T03:04:23Z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1A89AB1277854815A20ECC7836007889_12</vt:lpwstr>
  </property>
</Properties>
</file>