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rPr>
          <w:rFonts w:ascii="黑体" w:hAnsi="黑体" w:eastAsia="黑体" w:cs="黑体"/>
          <w:bCs/>
          <w:sz w:val="32"/>
          <w:szCs w:val="32"/>
        </w:rPr>
      </w:pPr>
      <w:r>
        <w:rPr>
          <w:rFonts w:hint="eastAsia" w:ascii="黑体" w:hAnsi="黑体" w:eastAsia="黑体" w:cs="黑体"/>
          <w:bCs/>
          <w:sz w:val="32"/>
          <w:szCs w:val="32"/>
        </w:rPr>
        <w:t>附件</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蓝田县创建陕西省社区教育实验区任务分解表</w:t>
      </w:r>
    </w:p>
    <w:tbl>
      <w:tblPr>
        <w:tblStyle w:val="5"/>
        <w:tblW w:w="14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125"/>
        <w:gridCol w:w="3345"/>
        <w:gridCol w:w="630"/>
        <w:gridCol w:w="2850"/>
        <w:gridCol w:w="2445"/>
        <w:gridCol w:w="1290"/>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blHeader/>
          <w:jc w:val="center"/>
        </w:trPr>
        <w:tc>
          <w:tcPr>
            <w:tcW w:w="1087" w:type="dxa"/>
            <w:vAlign w:val="center"/>
          </w:tcPr>
          <w:p>
            <w:pPr>
              <w:spacing w:line="440" w:lineRule="exact"/>
              <w:rPr>
                <w:rFonts w:cs="黑体"/>
                <w:b/>
                <w:bCs/>
                <w:kern w:val="0"/>
                <w:szCs w:val="21"/>
              </w:rPr>
            </w:pPr>
            <w:r>
              <w:rPr>
                <w:rFonts w:hint="eastAsia" w:cs="黑体"/>
                <w:b/>
                <w:bCs/>
                <w:kern w:val="0"/>
                <w:szCs w:val="21"/>
              </w:rPr>
              <w:t>一级指标</w:t>
            </w:r>
          </w:p>
        </w:tc>
        <w:tc>
          <w:tcPr>
            <w:tcW w:w="1125" w:type="dxa"/>
            <w:vAlign w:val="center"/>
          </w:tcPr>
          <w:p>
            <w:pPr>
              <w:spacing w:line="440" w:lineRule="exact"/>
              <w:rPr>
                <w:rFonts w:cs="黑体"/>
                <w:b/>
                <w:bCs/>
                <w:kern w:val="0"/>
                <w:szCs w:val="21"/>
              </w:rPr>
            </w:pPr>
            <w:r>
              <w:rPr>
                <w:rFonts w:hint="eastAsia" w:cs="黑体"/>
                <w:b/>
                <w:bCs/>
                <w:kern w:val="0"/>
                <w:szCs w:val="21"/>
              </w:rPr>
              <w:t>二级指标</w:t>
            </w:r>
          </w:p>
        </w:tc>
        <w:tc>
          <w:tcPr>
            <w:tcW w:w="3345" w:type="dxa"/>
            <w:vAlign w:val="center"/>
          </w:tcPr>
          <w:p>
            <w:pPr>
              <w:spacing w:line="440" w:lineRule="exact"/>
              <w:rPr>
                <w:b/>
                <w:szCs w:val="21"/>
              </w:rPr>
            </w:pPr>
            <w:r>
              <w:rPr>
                <w:rFonts w:hint="eastAsia" w:cs="黑体"/>
                <w:b/>
                <w:kern w:val="0"/>
                <w:szCs w:val="21"/>
              </w:rPr>
              <w:t>三</w:t>
            </w:r>
            <w:r>
              <w:rPr>
                <w:rFonts w:cs="黑体"/>
                <w:b/>
                <w:kern w:val="0"/>
                <w:szCs w:val="21"/>
              </w:rPr>
              <w:t xml:space="preserve">  </w:t>
            </w:r>
            <w:r>
              <w:rPr>
                <w:rFonts w:hint="eastAsia" w:cs="黑体"/>
                <w:b/>
                <w:kern w:val="0"/>
                <w:szCs w:val="21"/>
              </w:rPr>
              <w:t>级</w:t>
            </w:r>
            <w:r>
              <w:rPr>
                <w:rFonts w:cs="黑体"/>
                <w:b/>
                <w:kern w:val="0"/>
                <w:szCs w:val="21"/>
              </w:rPr>
              <w:t xml:space="preserve">  </w:t>
            </w:r>
            <w:r>
              <w:rPr>
                <w:rFonts w:hint="eastAsia" w:cs="黑体"/>
                <w:b/>
                <w:kern w:val="0"/>
                <w:szCs w:val="21"/>
              </w:rPr>
              <w:t>指</w:t>
            </w:r>
            <w:r>
              <w:rPr>
                <w:rFonts w:cs="黑体"/>
                <w:b/>
                <w:kern w:val="0"/>
                <w:szCs w:val="21"/>
              </w:rPr>
              <w:t xml:space="preserve">  </w:t>
            </w:r>
            <w:r>
              <w:rPr>
                <w:rFonts w:hint="eastAsia" w:cs="黑体"/>
                <w:b/>
                <w:kern w:val="0"/>
                <w:szCs w:val="21"/>
              </w:rPr>
              <w:t>标</w:t>
            </w:r>
          </w:p>
        </w:tc>
        <w:tc>
          <w:tcPr>
            <w:tcW w:w="630" w:type="dxa"/>
            <w:vAlign w:val="center"/>
          </w:tcPr>
          <w:p>
            <w:pPr>
              <w:spacing w:line="440" w:lineRule="exact"/>
              <w:rPr>
                <w:b/>
                <w:szCs w:val="21"/>
              </w:rPr>
            </w:pPr>
            <w:r>
              <w:rPr>
                <w:rFonts w:hint="eastAsia" w:cs="黑体"/>
                <w:b/>
                <w:szCs w:val="21"/>
              </w:rPr>
              <w:t>分值</w:t>
            </w:r>
          </w:p>
        </w:tc>
        <w:tc>
          <w:tcPr>
            <w:tcW w:w="2850" w:type="dxa"/>
            <w:vAlign w:val="center"/>
          </w:tcPr>
          <w:p>
            <w:pPr>
              <w:spacing w:line="440" w:lineRule="exact"/>
              <w:rPr>
                <w:b/>
                <w:szCs w:val="21"/>
              </w:rPr>
            </w:pPr>
            <w:r>
              <w:rPr>
                <w:rFonts w:hint="eastAsia"/>
                <w:b/>
                <w:szCs w:val="21"/>
              </w:rPr>
              <w:t>提供资料</w:t>
            </w:r>
          </w:p>
        </w:tc>
        <w:tc>
          <w:tcPr>
            <w:tcW w:w="2445" w:type="dxa"/>
            <w:vAlign w:val="center"/>
          </w:tcPr>
          <w:p>
            <w:pPr>
              <w:spacing w:line="440" w:lineRule="exact"/>
              <w:rPr>
                <w:b/>
                <w:szCs w:val="21"/>
              </w:rPr>
            </w:pPr>
            <w:r>
              <w:rPr>
                <w:rFonts w:hint="eastAsia"/>
                <w:b/>
                <w:szCs w:val="21"/>
              </w:rPr>
              <w:t>责任单位</w:t>
            </w:r>
          </w:p>
        </w:tc>
        <w:tc>
          <w:tcPr>
            <w:tcW w:w="1290" w:type="dxa"/>
            <w:vAlign w:val="center"/>
          </w:tcPr>
          <w:p>
            <w:pPr>
              <w:spacing w:line="440" w:lineRule="exact"/>
              <w:rPr>
                <w:b/>
                <w:szCs w:val="21"/>
              </w:rPr>
            </w:pPr>
            <w:r>
              <w:rPr>
                <w:rFonts w:hint="eastAsia"/>
                <w:b/>
                <w:szCs w:val="21"/>
              </w:rPr>
              <w:t>完成情况</w:t>
            </w:r>
          </w:p>
        </w:tc>
        <w:tc>
          <w:tcPr>
            <w:tcW w:w="1296" w:type="dxa"/>
            <w:vAlign w:val="center"/>
          </w:tcPr>
          <w:p>
            <w:pPr>
              <w:spacing w:line="440" w:lineRule="exact"/>
              <w:rPr>
                <w:b/>
                <w:szCs w:val="21"/>
              </w:rPr>
            </w:pPr>
            <w:r>
              <w:rPr>
                <w:rFonts w:hint="eastAsia"/>
                <w:b/>
                <w:szCs w:val="21"/>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1087" w:type="dxa"/>
            <w:vMerge w:val="restart"/>
            <w:vAlign w:val="center"/>
          </w:tcPr>
          <w:p>
            <w:pPr>
              <w:spacing w:line="440" w:lineRule="exact"/>
              <w:rPr>
                <w:rFonts w:cs="黑体"/>
                <w:bCs/>
                <w:kern w:val="0"/>
                <w:szCs w:val="21"/>
              </w:rPr>
            </w:pPr>
            <w:r>
              <w:rPr>
                <w:rFonts w:hint="eastAsia" w:cs="黑体"/>
                <w:bCs/>
                <w:kern w:val="0"/>
                <w:szCs w:val="21"/>
              </w:rPr>
              <w:t>领导与</w:t>
            </w:r>
          </w:p>
          <w:p>
            <w:pPr>
              <w:spacing w:line="440" w:lineRule="exact"/>
              <w:rPr>
                <w:rFonts w:cs="黑体"/>
                <w:bCs/>
                <w:kern w:val="0"/>
                <w:szCs w:val="21"/>
              </w:rPr>
            </w:pPr>
            <w:r>
              <w:rPr>
                <w:rFonts w:hint="eastAsia" w:cs="黑体"/>
                <w:bCs/>
                <w:kern w:val="0"/>
                <w:szCs w:val="21"/>
              </w:rPr>
              <w:t>管理</w:t>
            </w:r>
          </w:p>
          <w:p>
            <w:pPr>
              <w:spacing w:line="440" w:lineRule="exact"/>
              <w:rPr>
                <w:rFonts w:cs="黑体"/>
                <w:bCs/>
                <w:kern w:val="0"/>
                <w:szCs w:val="21"/>
              </w:rPr>
            </w:pPr>
            <w:r>
              <w:rPr>
                <w:rFonts w:hint="eastAsia" w:cs="黑体"/>
                <w:bCs/>
                <w:kern w:val="0"/>
                <w:szCs w:val="21"/>
              </w:rPr>
              <w:t>（</w:t>
            </w:r>
            <w:r>
              <w:rPr>
                <w:rFonts w:cs="黑体"/>
                <w:bCs/>
                <w:kern w:val="0"/>
                <w:szCs w:val="21"/>
              </w:rPr>
              <w:t>15</w:t>
            </w:r>
            <w:r>
              <w:rPr>
                <w:rFonts w:hint="eastAsia" w:cs="黑体"/>
                <w:bCs/>
                <w:kern w:val="0"/>
                <w:szCs w:val="21"/>
              </w:rPr>
              <w:t>分）</w:t>
            </w:r>
          </w:p>
        </w:tc>
        <w:tc>
          <w:tcPr>
            <w:tcW w:w="1125" w:type="dxa"/>
            <w:vMerge w:val="restart"/>
            <w:vAlign w:val="center"/>
          </w:tcPr>
          <w:p>
            <w:pPr>
              <w:spacing w:line="440" w:lineRule="exact"/>
              <w:rPr>
                <w:rFonts w:cs="黑体"/>
                <w:bCs/>
                <w:kern w:val="0"/>
                <w:szCs w:val="21"/>
              </w:rPr>
            </w:pPr>
            <w:r>
              <w:rPr>
                <w:rFonts w:hint="eastAsia" w:cs="黑体"/>
                <w:bCs/>
                <w:kern w:val="0"/>
                <w:szCs w:val="21"/>
              </w:rPr>
              <w:t>组织领导</w:t>
            </w:r>
          </w:p>
          <w:p>
            <w:pPr>
              <w:spacing w:line="440" w:lineRule="exact"/>
              <w:rPr>
                <w:rFonts w:cs="黑体"/>
                <w:bCs/>
                <w:kern w:val="0"/>
                <w:szCs w:val="21"/>
              </w:rPr>
            </w:pPr>
            <w:r>
              <w:rPr>
                <w:rFonts w:hint="eastAsia" w:cs="黑体"/>
                <w:bCs/>
                <w:kern w:val="0"/>
                <w:szCs w:val="21"/>
              </w:rPr>
              <w:t>8</w:t>
            </w:r>
          </w:p>
        </w:tc>
        <w:tc>
          <w:tcPr>
            <w:tcW w:w="3345" w:type="dxa"/>
            <w:vAlign w:val="center"/>
          </w:tcPr>
          <w:p>
            <w:pPr>
              <w:spacing w:line="440" w:lineRule="exact"/>
              <w:rPr>
                <w:bCs/>
                <w:szCs w:val="21"/>
              </w:rPr>
            </w:pPr>
            <w:r>
              <w:rPr>
                <w:rFonts w:cs="黑体"/>
                <w:bCs/>
                <w:szCs w:val="21"/>
              </w:rPr>
              <w:t>1.</w:t>
            </w:r>
            <w:r>
              <w:rPr>
                <w:rFonts w:hint="eastAsia" w:cs="黑体"/>
                <w:bCs/>
                <w:szCs w:val="21"/>
              </w:rPr>
              <w:t>县、镇街领导对社区教育内涵，及其开展的指导思想、宗旨、原则有清晰的认识。</w:t>
            </w:r>
          </w:p>
        </w:tc>
        <w:tc>
          <w:tcPr>
            <w:tcW w:w="630" w:type="dxa"/>
            <w:vAlign w:val="center"/>
          </w:tcPr>
          <w:p>
            <w:pPr>
              <w:spacing w:line="440" w:lineRule="exact"/>
              <w:rPr>
                <w:bCs/>
                <w:szCs w:val="21"/>
              </w:rPr>
            </w:pPr>
            <w:r>
              <w:rPr>
                <w:rFonts w:cs="黑体"/>
                <w:bCs/>
                <w:szCs w:val="21"/>
              </w:rPr>
              <w:t>2</w:t>
            </w:r>
          </w:p>
        </w:tc>
        <w:tc>
          <w:tcPr>
            <w:tcW w:w="2850" w:type="dxa"/>
            <w:vAlign w:val="center"/>
          </w:tcPr>
          <w:p>
            <w:pPr>
              <w:pStyle w:val="2"/>
              <w:rPr>
                <w:szCs w:val="21"/>
              </w:rPr>
            </w:pPr>
            <w:r>
              <w:rPr>
                <w:rFonts w:hint="eastAsia"/>
              </w:rPr>
              <w:t>提供县、镇街领导学习、研究、部署、强调、督导、检查社区教育方面的图文资料。</w:t>
            </w:r>
          </w:p>
        </w:tc>
        <w:tc>
          <w:tcPr>
            <w:tcW w:w="2445" w:type="dxa"/>
            <w:vAlign w:val="center"/>
          </w:tcPr>
          <w:p>
            <w:pPr>
              <w:spacing w:line="440" w:lineRule="exact"/>
            </w:pPr>
            <w:r>
              <w:rPr>
                <w:rFonts w:hint="eastAsia"/>
              </w:rPr>
              <w:t>县政府办、</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2.</w:t>
            </w:r>
            <w:r>
              <w:rPr>
                <w:rFonts w:hint="eastAsia" w:cs="黑体"/>
                <w:bCs/>
                <w:szCs w:val="21"/>
              </w:rPr>
              <w:t>县、镇街均制定社区教育发展规划和实施计划，并列入本地经济和社会发展规划、社区建设规划和教育事业规划之中，并加以认真落实。</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提供辖区经济与社会发展规划、教育发展规划和社区教育计划，有关会议纪要、实施方案等文件。</w:t>
            </w:r>
          </w:p>
        </w:tc>
        <w:tc>
          <w:tcPr>
            <w:tcW w:w="2445" w:type="dxa"/>
            <w:vAlign w:val="center"/>
          </w:tcPr>
          <w:p>
            <w:pPr>
              <w:spacing w:line="440" w:lineRule="exact"/>
            </w:pPr>
            <w:r>
              <w:rPr>
                <w:rFonts w:hint="eastAsia"/>
              </w:rPr>
              <w:t>县政府办、</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hint="eastAsia" w:cs="黑体"/>
                <w:bCs/>
                <w:szCs w:val="21"/>
              </w:rPr>
              <w:t>★</w:t>
            </w:r>
            <w:r>
              <w:rPr>
                <w:rFonts w:cs="黑体"/>
                <w:bCs/>
                <w:szCs w:val="21"/>
              </w:rPr>
              <w:t>3.</w:t>
            </w:r>
            <w:r>
              <w:rPr>
                <w:rFonts w:hint="eastAsia" w:cs="黑体"/>
                <w:bCs/>
                <w:szCs w:val="21"/>
              </w:rPr>
              <w:t>县、镇街建立由党政领导牵头的社区教育工作领导小组，其办公室设在教育部门，并有专人负责。</w:t>
            </w:r>
          </w:p>
        </w:tc>
        <w:tc>
          <w:tcPr>
            <w:tcW w:w="630" w:type="dxa"/>
            <w:vAlign w:val="center"/>
          </w:tcPr>
          <w:p>
            <w:pPr>
              <w:spacing w:line="440" w:lineRule="exact"/>
              <w:rPr>
                <w:bCs/>
                <w:szCs w:val="21"/>
              </w:rPr>
            </w:pPr>
            <w:r>
              <w:rPr>
                <w:rFonts w:cs="黑体"/>
                <w:bCs/>
                <w:szCs w:val="21"/>
              </w:rPr>
              <w:t>4</w:t>
            </w:r>
          </w:p>
        </w:tc>
        <w:tc>
          <w:tcPr>
            <w:tcW w:w="2850" w:type="dxa"/>
            <w:vAlign w:val="center"/>
          </w:tcPr>
          <w:p>
            <w:pPr>
              <w:pStyle w:val="2"/>
              <w:rPr>
                <w:szCs w:val="21"/>
              </w:rPr>
            </w:pPr>
            <w:r>
              <w:rPr>
                <w:rFonts w:hint="eastAsia"/>
              </w:rPr>
              <w:t>提供社区教育方面组织机构、职责分工、工作要求和典型活动资料等。</w:t>
            </w:r>
          </w:p>
        </w:tc>
        <w:tc>
          <w:tcPr>
            <w:tcW w:w="2445" w:type="dxa"/>
            <w:vAlign w:val="center"/>
          </w:tcPr>
          <w:p>
            <w:pPr>
              <w:spacing w:line="440" w:lineRule="exact"/>
            </w:pPr>
            <w:r>
              <w:rPr>
                <w:rFonts w:hint="eastAsia"/>
              </w:rPr>
              <w:t>县政府办、</w:t>
            </w:r>
          </w:p>
          <w:p>
            <w:pPr>
              <w:spacing w:line="440" w:lineRule="exact"/>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管理与</w:t>
            </w:r>
          </w:p>
          <w:p>
            <w:pPr>
              <w:spacing w:line="440" w:lineRule="exact"/>
              <w:rPr>
                <w:rFonts w:cs="黑体"/>
                <w:bCs/>
                <w:kern w:val="0"/>
                <w:szCs w:val="21"/>
              </w:rPr>
            </w:pPr>
            <w:r>
              <w:rPr>
                <w:rFonts w:hint="eastAsia" w:cs="黑体"/>
                <w:bCs/>
                <w:kern w:val="0"/>
                <w:szCs w:val="21"/>
              </w:rPr>
              <w:t>运行</w:t>
            </w:r>
          </w:p>
          <w:p>
            <w:pPr>
              <w:spacing w:line="440" w:lineRule="exact"/>
              <w:rPr>
                <w:rFonts w:cs="黑体"/>
                <w:bCs/>
                <w:kern w:val="0"/>
                <w:szCs w:val="21"/>
              </w:rPr>
            </w:pPr>
            <w:r>
              <w:rPr>
                <w:rFonts w:hint="eastAsia" w:cs="黑体"/>
                <w:bCs/>
                <w:kern w:val="0"/>
                <w:szCs w:val="21"/>
              </w:rPr>
              <w:t>7</w:t>
            </w:r>
          </w:p>
        </w:tc>
        <w:tc>
          <w:tcPr>
            <w:tcW w:w="3345" w:type="dxa"/>
            <w:vAlign w:val="center"/>
          </w:tcPr>
          <w:p>
            <w:pPr>
              <w:spacing w:line="440" w:lineRule="exact"/>
              <w:rPr>
                <w:szCs w:val="21"/>
              </w:rPr>
            </w:pPr>
            <w:r>
              <w:rPr>
                <w:rFonts w:cs="黑体"/>
                <w:bCs/>
                <w:szCs w:val="21"/>
              </w:rPr>
              <w:t>4.</w:t>
            </w:r>
            <w:r>
              <w:rPr>
                <w:rFonts w:hint="eastAsia" w:cs="黑体"/>
                <w:bCs/>
                <w:szCs w:val="21"/>
              </w:rPr>
              <w:t>初步建立了</w:t>
            </w:r>
            <w:r>
              <w:rPr>
                <w:rFonts w:hint="eastAsia" w:cs="黑体"/>
                <w:bCs/>
                <w:kern w:val="0"/>
                <w:szCs w:val="21"/>
              </w:rPr>
              <w:t>“党委领导、政府统筹、教育部门主管、有关部门配合、社会积极支持、社区自主活动、市场有效介入、群众广泛参与”的社区教育工作管理体制。</w:t>
            </w:r>
          </w:p>
        </w:tc>
        <w:tc>
          <w:tcPr>
            <w:tcW w:w="630" w:type="dxa"/>
            <w:vAlign w:val="center"/>
          </w:tcPr>
          <w:p>
            <w:pPr>
              <w:spacing w:line="440" w:lineRule="exact"/>
              <w:rPr>
                <w:bCs/>
                <w:szCs w:val="21"/>
              </w:rPr>
            </w:pPr>
            <w:r>
              <w:rPr>
                <w:rFonts w:cs="黑体"/>
                <w:bCs/>
                <w:szCs w:val="21"/>
              </w:rPr>
              <w:t>2</w:t>
            </w:r>
          </w:p>
        </w:tc>
        <w:tc>
          <w:tcPr>
            <w:tcW w:w="2850" w:type="dxa"/>
            <w:vAlign w:val="center"/>
          </w:tcPr>
          <w:p>
            <w:pPr>
              <w:pStyle w:val="2"/>
              <w:rPr>
                <w:szCs w:val="21"/>
              </w:rPr>
            </w:pPr>
            <w:r>
              <w:rPr>
                <w:rFonts w:hint="eastAsia"/>
              </w:rPr>
              <w:t>提供社区教育方面组织机构、职责分工、工作要求和典型活动资料等。</w:t>
            </w:r>
          </w:p>
        </w:tc>
        <w:tc>
          <w:tcPr>
            <w:tcW w:w="2445" w:type="dxa"/>
            <w:vAlign w:val="center"/>
          </w:tcPr>
          <w:p>
            <w:pPr>
              <w:spacing w:line="440" w:lineRule="exact"/>
            </w:pPr>
            <w:r>
              <w:rPr>
                <w:rFonts w:hint="eastAsia"/>
              </w:rPr>
              <w:t>县政府办、</w:t>
            </w:r>
          </w:p>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rPr>
                <w:highlight w:val="yellow"/>
              </w:rPr>
            </w:pPr>
          </w:p>
        </w:tc>
        <w:tc>
          <w:tcPr>
            <w:tcW w:w="1296" w:type="dxa"/>
          </w:tcPr>
          <w:p>
            <w:pPr>
              <w:spacing w:line="440" w:lineRule="exact"/>
              <w:rPr>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kern w:val="0"/>
                <w:szCs w:val="21"/>
              </w:rPr>
            </w:pPr>
            <w:r>
              <w:rPr>
                <w:rFonts w:hint="eastAsia" w:cs="黑体"/>
                <w:bCs/>
                <w:kern w:val="0"/>
                <w:szCs w:val="21"/>
              </w:rPr>
              <w:t>★</w:t>
            </w:r>
            <w:r>
              <w:rPr>
                <w:rFonts w:cs="黑体"/>
                <w:bCs/>
                <w:kern w:val="0"/>
                <w:szCs w:val="21"/>
              </w:rPr>
              <w:t>5.</w:t>
            </w:r>
            <w:r>
              <w:rPr>
                <w:rFonts w:hint="eastAsia" w:cs="黑体"/>
                <w:bCs/>
                <w:kern w:val="0"/>
                <w:szCs w:val="21"/>
              </w:rPr>
              <w:t>县委、县政府和相关部门出台相关政策措施和指导意见，并且每年不少于两次研究部署本区域内社区教育工作。</w:t>
            </w:r>
          </w:p>
        </w:tc>
        <w:tc>
          <w:tcPr>
            <w:tcW w:w="630" w:type="dxa"/>
            <w:vAlign w:val="center"/>
          </w:tcPr>
          <w:p>
            <w:pPr>
              <w:spacing w:line="440" w:lineRule="exact"/>
              <w:rPr>
                <w:bCs/>
                <w:szCs w:val="21"/>
              </w:rPr>
            </w:pPr>
            <w:r>
              <w:rPr>
                <w:rFonts w:cs="黑体"/>
                <w:bCs/>
                <w:szCs w:val="21"/>
              </w:rPr>
              <w:t>3</w:t>
            </w:r>
          </w:p>
        </w:tc>
        <w:tc>
          <w:tcPr>
            <w:tcW w:w="2850" w:type="dxa"/>
            <w:vAlign w:val="center"/>
          </w:tcPr>
          <w:p>
            <w:pPr>
              <w:pStyle w:val="2"/>
              <w:rPr>
                <w:szCs w:val="21"/>
              </w:rPr>
            </w:pPr>
            <w:r>
              <w:rPr>
                <w:rFonts w:hint="eastAsia"/>
              </w:rPr>
              <w:t>提供社区教育有政策措施、指导意见、会议记录等资料。</w:t>
            </w:r>
          </w:p>
        </w:tc>
        <w:tc>
          <w:tcPr>
            <w:tcW w:w="2445" w:type="dxa"/>
            <w:vAlign w:val="center"/>
          </w:tcPr>
          <w:p>
            <w:pPr>
              <w:spacing w:line="440" w:lineRule="exact"/>
            </w:pPr>
            <w:r>
              <w:rPr>
                <w:rFonts w:hint="eastAsia"/>
              </w:rPr>
              <w:t>县政府办、</w:t>
            </w:r>
          </w:p>
          <w:p>
            <w:pPr>
              <w:spacing w:line="440" w:lineRule="exact"/>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kern w:val="0"/>
                <w:szCs w:val="21"/>
              </w:rPr>
            </w:pPr>
            <w:r>
              <w:rPr>
                <w:rFonts w:cs="黑体"/>
                <w:bCs/>
                <w:kern w:val="0"/>
                <w:szCs w:val="21"/>
              </w:rPr>
              <w:t>6.</w:t>
            </w:r>
            <w:r>
              <w:rPr>
                <w:rFonts w:hint="eastAsia" w:cs="黑体"/>
                <w:bCs/>
                <w:kern w:val="0"/>
                <w:szCs w:val="21"/>
              </w:rPr>
              <w:t>通过多渠道，采取多形式向社区成员宣传社区教育和终身教育思想。</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提供社区教育宣传工作资料（美篇、新闻报道、彩页等）。</w:t>
            </w:r>
          </w:p>
        </w:tc>
        <w:tc>
          <w:tcPr>
            <w:tcW w:w="2445" w:type="dxa"/>
            <w:vAlign w:val="center"/>
          </w:tcPr>
          <w:p>
            <w:pPr>
              <w:spacing w:line="440" w:lineRule="exact"/>
            </w:pPr>
            <w:r>
              <w:rPr>
                <w:rFonts w:hint="eastAsia"/>
              </w:rPr>
              <w:t>县委宣传部、</w:t>
            </w:r>
          </w:p>
          <w:p>
            <w:pPr>
              <w:spacing w:line="440" w:lineRule="exact"/>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1087" w:type="dxa"/>
            <w:vMerge w:val="restart"/>
            <w:vAlign w:val="center"/>
          </w:tcPr>
          <w:p>
            <w:pPr>
              <w:spacing w:line="440" w:lineRule="exact"/>
              <w:rPr>
                <w:rFonts w:cs="黑体"/>
                <w:bCs/>
                <w:kern w:val="0"/>
                <w:szCs w:val="21"/>
              </w:rPr>
            </w:pPr>
            <w:r>
              <w:rPr>
                <w:rFonts w:hint="eastAsia" w:cs="黑体"/>
                <w:bCs/>
                <w:kern w:val="0"/>
                <w:szCs w:val="21"/>
              </w:rPr>
              <w:t>条件与</w:t>
            </w:r>
          </w:p>
          <w:p>
            <w:pPr>
              <w:spacing w:line="440" w:lineRule="exact"/>
              <w:rPr>
                <w:rFonts w:cs="黑体"/>
                <w:bCs/>
                <w:kern w:val="0"/>
                <w:szCs w:val="21"/>
              </w:rPr>
            </w:pPr>
            <w:r>
              <w:rPr>
                <w:rFonts w:hint="eastAsia" w:cs="黑体"/>
                <w:bCs/>
                <w:kern w:val="0"/>
                <w:szCs w:val="21"/>
              </w:rPr>
              <w:t>保障</w:t>
            </w:r>
          </w:p>
          <w:p>
            <w:pPr>
              <w:spacing w:line="440" w:lineRule="exact"/>
              <w:rPr>
                <w:rFonts w:cs="黑体"/>
                <w:bCs/>
                <w:kern w:val="0"/>
                <w:szCs w:val="21"/>
              </w:rPr>
            </w:pPr>
            <w:r>
              <w:rPr>
                <w:rFonts w:hint="eastAsia" w:cs="黑体"/>
                <w:bCs/>
                <w:kern w:val="0"/>
                <w:szCs w:val="21"/>
              </w:rPr>
              <w:t>（</w:t>
            </w:r>
            <w:r>
              <w:rPr>
                <w:rFonts w:cs="黑体"/>
                <w:bCs/>
                <w:kern w:val="0"/>
                <w:szCs w:val="21"/>
              </w:rPr>
              <w:t>25</w:t>
            </w:r>
            <w:r>
              <w:rPr>
                <w:rFonts w:hint="eastAsia" w:cs="黑体"/>
                <w:bCs/>
                <w:kern w:val="0"/>
                <w:szCs w:val="21"/>
              </w:rPr>
              <w:t>分）</w:t>
            </w:r>
          </w:p>
        </w:tc>
        <w:tc>
          <w:tcPr>
            <w:tcW w:w="1125" w:type="dxa"/>
            <w:vMerge w:val="restart"/>
            <w:vAlign w:val="center"/>
          </w:tcPr>
          <w:p>
            <w:pPr>
              <w:spacing w:line="440" w:lineRule="exact"/>
              <w:rPr>
                <w:rFonts w:cs="黑体"/>
                <w:bCs/>
                <w:kern w:val="0"/>
                <w:szCs w:val="21"/>
              </w:rPr>
            </w:pPr>
            <w:r>
              <w:rPr>
                <w:rFonts w:hint="eastAsia" w:cs="黑体"/>
                <w:bCs/>
                <w:kern w:val="0"/>
                <w:szCs w:val="21"/>
              </w:rPr>
              <w:t>基地建设</w:t>
            </w:r>
          </w:p>
          <w:p>
            <w:pPr>
              <w:spacing w:line="440" w:lineRule="exact"/>
              <w:rPr>
                <w:rFonts w:cs="黑体"/>
                <w:bCs/>
                <w:kern w:val="0"/>
                <w:szCs w:val="21"/>
              </w:rPr>
            </w:pPr>
            <w:r>
              <w:rPr>
                <w:rFonts w:cs="黑体"/>
                <w:bCs/>
                <w:kern w:val="0"/>
                <w:szCs w:val="21"/>
              </w:rPr>
              <w:t>4</w:t>
            </w:r>
          </w:p>
        </w:tc>
        <w:tc>
          <w:tcPr>
            <w:tcW w:w="3345" w:type="dxa"/>
            <w:vAlign w:val="center"/>
          </w:tcPr>
          <w:p>
            <w:pPr>
              <w:spacing w:line="440" w:lineRule="exact"/>
              <w:rPr>
                <w:rFonts w:cs="黑体"/>
                <w:bCs/>
                <w:kern w:val="0"/>
                <w:szCs w:val="21"/>
              </w:rPr>
            </w:pPr>
            <w:r>
              <w:rPr>
                <w:rFonts w:hint="eastAsia" w:cs="黑体"/>
                <w:bCs/>
                <w:kern w:val="0"/>
                <w:szCs w:val="21"/>
              </w:rPr>
              <w:t>★7.基本建立县（市、区）、街（镇）、居（村）三级社区教育系统，县（市、区）建立社区学院，大部分街（镇）建立社区学校、市民学校，居（村）建立社区教育学习点。</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提供各级各类社区教育机构系统建设、实施、活动方案的有关文件和资料（设立文件、图片、机构简介、三级框架图）。</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kern w:val="0"/>
                <w:szCs w:val="21"/>
              </w:rPr>
            </w:pPr>
            <w:r>
              <w:rPr>
                <w:rFonts w:cs="黑体"/>
                <w:bCs/>
                <w:kern w:val="0"/>
                <w:szCs w:val="21"/>
              </w:rPr>
              <w:t>8.</w:t>
            </w:r>
            <w:r>
              <w:rPr>
                <w:rFonts w:hint="eastAsia" w:cs="黑体"/>
                <w:bCs/>
                <w:kern w:val="0"/>
                <w:szCs w:val="21"/>
              </w:rPr>
              <w:t>县社区学院场地使用面积不低于</w:t>
            </w:r>
            <w:r>
              <w:rPr>
                <w:rFonts w:cs="黑体"/>
                <w:bCs/>
                <w:kern w:val="0"/>
                <w:szCs w:val="21"/>
              </w:rPr>
              <w:t>2000</w:t>
            </w:r>
            <w:r>
              <w:rPr>
                <w:rFonts w:hint="eastAsia" w:cs="黑体"/>
                <w:bCs/>
                <w:kern w:val="0"/>
                <w:szCs w:val="21"/>
              </w:rPr>
              <w:t>平米，街</w:t>
            </w:r>
            <w:r>
              <w:rPr>
                <w:rFonts w:cs="黑体"/>
                <w:bCs/>
                <w:kern w:val="0"/>
                <w:szCs w:val="21"/>
              </w:rPr>
              <w:t>(</w:t>
            </w:r>
            <w:r>
              <w:rPr>
                <w:rFonts w:hint="eastAsia" w:cs="黑体"/>
                <w:bCs/>
                <w:kern w:val="0"/>
                <w:szCs w:val="21"/>
              </w:rPr>
              <w:t>镇</w:t>
            </w:r>
            <w:r>
              <w:rPr>
                <w:rFonts w:cs="黑体"/>
                <w:bCs/>
                <w:kern w:val="0"/>
                <w:szCs w:val="21"/>
              </w:rPr>
              <w:t>)</w:t>
            </w:r>
            <w:r>
              <w:rPr>
                <w:rFonts w:hint="eastAsia" w:cs="黑体"/>
                <w:bCs/>
                <w:kern w:val="0"/>
                <w:szCs w:val="21"/>
              </w:rPr>
              <w:t>社区学校不低于</w:t>
            </w:r>
            <w:r>
              <w:rPr>
                <w:rFonts w:cs="黑体"/>
                <w:bCs/>
                <w:kern w:val="0"/>
                <w:szCs w:val="21"/>
              </w:rPr>
              <w:t>300</w:t>
            </w:r>
            <w:r>
              <w:rPr>
                <w:rFonts w:hint="eastAsia" w:cs="黑体"/>
                <w:bCs/>
                <w:kern w:val="0"/>
                <w:szCs w:val="21"/>
              </w:rPr>
              <w:t>平米，居（村）学习点不低于</w:t>
            </w:r>
            <w:r>
              <w:rPr>
                <w:rFonts w:cs="黑体"/>
                <w:bCs/>
                <w:kern w:val="0"/>
                <w:szCs w:val="21"/>
              </w:rPr>
              <w:t>80</w:t>
            </w:r>
            <w:r>
              <w:rPr>
                <w:rFonts w:hint="eastAsia" w:cs="黑体"/>
                <w:bCs/>
                <w:kern w:val="0"/>
                <w:szCs w:val="21"/>
              </w:rPr>
              <w:t>平米。</w:t>
            </w:r>
          </w:p>
        </w:tc>
        <w:tc>
          <w:tcPr>
            <w:tcW w:w="630" w:type="dxa"/>
            <w:vAlign w:val="center"/>
          </w:tcPr>
          <w:p>
            <w:pPr>
              <w:spacing w:line="440" w:lineRule="exact"/>
              <w:rPr>
                <w:rFonts w:cs="黑体"/>
                <w:bCs/>
                <w:szCs w:val="21"/>
              </w:rPr>
            </w:pPr>
            <w:r>
              <w:rPr>
                <w:rFonts w:cs="黑体"/>
                <w:bCs/>
                <w:szCs w:val="21"/>
              </w:rPr>
              <w:t>1</w:t>
            </w:r>
          </w:p>
        </w:tc>
        <w:tc>
          <w:tcPr>
            <w:tcW w:w="2850" w:type="dxa"/>
            <w:vAlign w:val="center"/>
          </w:tcPr>
          <w:p>
            <w:pPr>
              <w:spacing w:line="440" w:lineRule="exact"/>
              <w:jc w:val="left"/>
              <w:rPr>
                <w:szCs w:val="21"/>
              </w:rPr>
            </w:pPr>
            <w:r>
              <w:rPr>
                <w:rFonts w:hint="eastAsia" w:cs="黑体"/>
                <w:bCs/>
                <w:kern w:val="0"/>
                <w:szCs w:val="21"/>
              </w:rPr>
              <w:t>提供社区学院、社区学校、社区教学点基本信息一览表。</w:t>
            </w:r>
          </w:p>
        </w:tc>
        <w:tc>
          <w:tcPr>
            <w:tcW w:w="2445" w:type="dxa"/>
            <w:vAlign w:val="center"/>
          </w:tcPr>
          <w:p>
            <w:pPr>
              <w:spacing w:line="440" w:lineRule="exact"/>
              <w:rPr>
                <w:szCs w:val="21"/>
              </w:rPr>
            </w:pPr>
            <w:r>
              <w:rPr>
                <w:rFonts w:hint="eastAsia"/>
                <w:szCs w:val="21"/>
              </w:rPr>
              <w:t>县教科局、各镇街</w:t>
            </w: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087" w:type="dxa"/>
            <w:vMerge w:val="continue"/>
            <w:vAlign w:val="center"/>
          </w:tcPr>
          <w:p>
            <w:pPr>
              <w:spacing w:line="440" w:lineRule="exact"/>
              <w:rPr>
                <w:rFonts w:cs="黑体"/>
                <w:bCs/>
                <w:kern w:val="0"/>
                <w:szCs w:val="21"/>
              </w:rPr>
            </w:pPr>
          </w:p>
        </w:tc>
        <w:tc>
          <w:tcPr>
            <w:tcW w:w="1125" w:type="dxa"/>
            <w:vAlign w:val="center"/>
          </w:tcPr>
          <w:p>
            <w:pPr>
              <w:spacing w:line="440" w:lineRule="exact"/>
              <w:rPr>
                <w:rFonts w:cs="黑体"/>
                <w:bCs/>
                <w:kern w:val="0"/>
                <w:szCs w:val="21"/>
              </w:rPr>
            </w:pPr>
            <w:r>
              <w:rPr>
                <w:rFonts w:hint="eastAsia" w:cs="黑体"/>
                <w:bCs/>
                <w:kern w:val="0"/>
                <w:szCs w:val="21"/>
              </w:rPr>
              <w:t>网络建设</w:t>
            </w:r>
          </w:p>
          <w:p>
            <w:pPr>
              <w:spacing w:line="440" w:lineRule="exact"/>
              <w:rPr>
                <w:rFonts w:cs="黑体"/>
                <w:bCs/>
                <w:kern w:val="0"/>
                <w:szCs w:val="21"/>
              </w:rPr>
            </w:pPr>
            <w:r>
              <w:rPr>
                <w:rFonts w:cs="黑体"/>
                <w:bCs/>
                <w:kern w:val="0"/>
                <w:szCs w:val="21"/>
              </w:rPr>
              <w:t>2</w:t>
            </w:r>
          </w:p>
        </w:tc>
        <w:tc>
          <w:tcPr>
            <w:tcW w:w="3345" w:type="dxa"/>
            <w:vAlign w:val="center"/>
          </w:tcPr>
          <w:p>
            <w:pPr>
              <w:spacing w:line="440" w:lineRule="exact"/>
              <w:rPr>
                <w:bCs/>
                <w:szCs w:val="21"/>
                <w:highlight w:val="yellow"/>
              </w:rPr>
            </w:pPr>
            <w:r>
              <w:rPr>
                <w:rFonts w:cs="黑体"/>
                <w:bCs/>
                <w:szCs w:val="21"/>
              </w:rPr>
              <w:t>9.</w:t>
            </w:r>
            <w:r>
              <w:rPr>
                <w:rFonts w:hint="eastAsia" w:cs="黑体"/>
                <w:bCs/>
                <w:szCs w:val="21"/>
              </w:rPr>
              <w:t>依托教育或其他网站等建设社区教育网站，初步搭建起社区教育网络平台。</w:t>
            </w:r>
          </w:p>
        </w:tc>
        <w:tc>
          <w:tcPr>
            <w:tcW w:w="630" w:type="dxa"/>
            <w:vAlign w:val="center"/>
          </w:tcPr>
          <w:p>
            <w:pPr>
              <w:spacing w:line="440" w:lineRule="exact"/>
              <w:rPr>
                <w:rFonts w:cs="黑体"/>
                <w:bCs/>
                <w:szCs w:val="21"/>
              </w:rPr>
            </w:pPr>
            <w:r>
              <w:rPr>
                <w:rFonts w:cs="黑体"/>
                <w:bCs/>
                <w:szCs w:val="21"/>
              </w:rPr>
              <w:t>2</w:t>
            </w:r>
          </w:p>
        </w:tc>
        <w:tc>
          <w:tcPr>
            <w:tcW w:w="2850" w:type="dxa"/>
            <w:vAlign w:val="center"/>
          </w:tcPr>
          <w:p>
            <w:pPr>
              <w:spacing w:line="440" w:lineRule="exact"/>
              <w:rPr>
                <w:szCs w:val="21"/>
              </w:rPr>
            </w:pPr>
            <w:r>
              <w:rPr>
                <w:rFonts w:hint="eastAsia"/>
              </w:rPr>
              <w:t>提供支持社区教育网络系统建设、实施及使用情况的有关文件和数据资料（平台信息截图）。</w:t>
            </w:r>
          </w:p>
        </w:tc>
        <w:tc>
          <w:tcPr>
            <w:tcW w:w="2445" w:type="dxa"/>
            <w:vAlign w:val="center"/>
          </w:tcPr>
          <w:p>
            <w:pPr>
              <w:spacing w:line="440" w:lineRule="exact"/>
              <w:rPr>
                <w:szCs w:val="21"/>
              </w:rPr>
            </w:pPr>
            <w:r>
              <w:rPr>
                <w:rFonts w:hint="eastAsia"/>
                <w:szCs w:val="21"/>
              </w:rPr>
              <w:t>县教科局、各镇街</w:t>
            </w: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资源开发和服务</w:t>
            </w:r>
          </w:p>
          <w:p>
            <w:pPr>
              <w:spacing w:line="440" w:lineRule="exact"/>
              <w:rPr>
                <w:rFonts w:cs="黑体"/>
                <w:bCs/>
                <w:kern w:val="0"/>
                <w:szCs w:val="21"/>
              </w:rPr>
            </w:pPr>
            <w:r>
              <w:rPr>
                <w:rFonts w:cs="黑体"/>
                <w:bCs/>
                <w:kern w:val="0"/>
                <w:szCs w:val="21"/>
              </w:rPr>
              <w:t>5</w:t>
            </w:r>
          </w:p>
        </w:tc>
        <w:tc>
          <w:tcPr>
            <w:tcW w:w="3345" w:type="dxa"/>
            <w:vAlign w:val="center"/>
          </w:tcPr>
          <w:p>
            <w:pPr>
              <w:spacing w:line="440" w:lineRule="exact"/>
              <w:rPr>
                <w:bCs/>
                <w:szCs w:val="21"/>
              </w:rPr>
            </w:pPr>
            <w:r>
              <w:rPr>
                <w:rFonts w:cs="黑体"/>
                <w:bCs/>
                <w:szCs w:val="21"/>
              </w:rPr>
              <w:t>10.</w:t>
            </w:r>
            <w:r>
              <w:rPr>
                <w:rFonts w:hint="eastAsia" w:cs="黑体"/>
                <w:bCs/>
                <w:szCs w:val="21"/>
              </w:rPr>
              <w:t>社区内普通中小学、幼儿园、中等职业学校、成人教育培训机构等有序向社区开放，为社区教育服务。</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提供社区内各级各类教育机构情况、参与社区教育服务情况的有关文件和数据资料（文件、案例）。</w:t>
            </w:r>
          </w:p>
        </w:tc>
        <w:tc>
          <w:tcPr>
            <w:tcW w:w="2445" w:type="dxa"/>
            <w:vAlign w:val="center"/>
          </w:tcPr>
          <w:p>
            <w:pPr>
              <w:spacing w:line="440" w:lineRule="exact"/>
              <w:rPr>
                <w:szCs w:val="21"/>
              </w:rPr>
            </w:pPr>
            <w:r>
              <w:rPr>
                <w:rFonts w:hint="eastAsia"/>
                <w:szCs w:val="21"/>
              </w:rPr>
              <w:t>县教科局、各镇街</w:t>
            </w: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11.</w:t>
            </w:r>
            <w:r>
              <w:rPr>
                <w:rFonts w:hint="eastAsia" w:cs="黑体"/>
                <w:bCs/>
                <w:szCs w:val="21"/>
              </w:rPr>
              <w:t>社区非教育机构教育资源得到较好地开发，为社区教育服务。</w:t>
            </w:r>
          </w:p>
        </w:tc>
        <w:tc>
          <w:tcPr>
            <w:tcW w:w="630" w:type="dxa"/>
            <w:vAlign w:val="center"/>
          </w:tcPr>
          <w:p>
            <w:pPr>
              <w:spacing w:line="440" w:lineRule="exact"/>
              <w:rPr>
                <w:bCs/>
                <w:szCs w:val="21"/>
              </w:rPr>
            </w:pPr>
            <w:r>
              <w:rPr>
                <w:rFonts w:cs="黑体"/>
                <w:bCs/>
                <w:szCs w:val="21"/>
              </w:rPr>
              <w:t>1</w:t>
            </w:r>
          </w:p>
        </w:tc>
        <w:tc>
          <w:tcPr>
            <w:tcW w:w="2850" w:type="dxa"/>
            <w:vAlign w:val="center"/>
          </w:tcPr>
          <w:p>
            <w:pPr>
              <w:spacing w:line="440" w:lineRule="exact"/>
              <w:rPr>
                <w:szCs w:val="21"/>
              </w:rPr>
            </w:pPr>
            <w:r>
              <w:rPr>
                <w:rFonts w:hint="eastAsia"/>
              </w:rPr>
              <w:t>提供社区非教育机构的资源情况，社区非教育机构参与社区教育服务情况的有关文件和数据资料。</w:t>
            </w:r>
          </w:p>
        </w:tc>
        <w:tc>
          <w:tcPr>
            <w:tcW w:w="2445" w:type="dxa"/>
            <w:vAlign w:val="center"/>
          </w:tcPr>
          <w:p>
            <w:pPr>
              <w:spacing w:line="440" w:lineRule="exact"/>
              <w:rPr>
                <w:szCs w:val="21"/>
              </w:rPr>
            </w:pPr>
            <w:r>
              <w:rPr>
                <w:rFonts w:hint="eastAsia"/>
              </w:rPr>
              <w:t>县民政局、县教科局、县司法局、县财政局、县人社局、县公安局、县文旅体育局、县卫健局、县老干部工作局、县残联、县工会、团县委、县妇联</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12.</w:t>
            </w:r>
            <w:r>
              <w:rPr>
                <w:rFonts w:hint="eastAsia" w:cs="黑体"/>
                <w:bCs/>
                <w:szCs w:val="21"/>
              </w:rPr>
              <w:t>社区重视无形教育资源的总结，提炼，作为社区教育宝贵资源。</w:t>
            </w:r>
          </w:p>
        </w:tc>
        <w:tc>
          <w:tcPr>
            <w:tcW w:w="630" w:type="dxa"/>
            <w:vAlign w:val="center"/>
          </w:tcPr>
          <w:p>
            <w:pPr>
              <w:spacing w:line="440" w:lineRule="exact"/>
              <w:rPr>
                <w:rFonts w:cs="黑体"/>
                <w:bCs/>
                <w:szCs w:val="21"/>
              </w:rPr>
            </w:pPr>
            <w:r>
              <w:rPr>
                <w:rFonts w:cs="黑体"/>
                <w:bCs/>
                <w:szCs w:val="21"/>
              </w:rPr>
              <w:t>1</w:t>
            </w:r>
          </w:p>
        </w:tc>
        <w:tc>
          <w:tcPr>
            <w:tcW w:w="2850" w:type="dxa"/>
            <w:vAlign w:val="center"/>
          </w:tcPr>
          <w:p>
            <w:pPr>
              <w:spacing w:line="440" w:lineRule="exact"/>
              <w:rPr>
                <w:szCs w:val="21"/>
              </w:rPr>
            </w:pPr>
            <w:r>
              <w:rPr>
                <w:rFonts w:hint="eastAsia"/>
              </w:rPr>
              <w:t>提供社区无形教育资源（</w:t>
            </w:r>
            <w:r>
              <w:t>社区意识、社区归属感、良好的社区氛围、社区互助等</w:t>
            </w:r>
            <w:r>
              <w:rPr>
                <w:rFonts w:hint="eastAsia"/>
              </w:rPr>
              <w:t>）情况，社区无形教育资运用于社区教育服务的有关文件、报道和数据资料（活动清单、总结）。</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szCs w:val="21"/>
              </w:rPr>
            </w:pPr>
            <w:r>
              <w:rPr>
                <w:rFonts w:cs="黑体"/>
                <w:bCs/>
                <w:szCs w:val="21"/>
              </w:rPr>
              <w:t>13.</w:t>
            </w:r>
            <w:r>
              <w:rPr>
                <w:rFonts w:hint="eastAsia" w:cs="黑体"/>
                <w:bCs/>
                <w:szCs w:val="21"/>
              </w:rPr>
              <w:t>社区积极创造条件，建设学习资源服务圈。</w:t>
            </w:r>
          </w:p>
        </w:tc>
        <w:tc>
          <w:tcPr>
            <w:tcW w:w="630" w:type="dxa"/>
            <w:vAlign w:val="center"/>
          </w:tcPr>
          <w:p>
            <w:pPr>
              <w:spacing w:line="440" w:lineRule="exact"/>
              <w:rPr>
                <w:rFonts w:cs="黑体"/>
                <w:bCs/>
                <w:szCs w:val="21"/>
              </w:rPr>
            </w:pPr>
            <w:r>
              <w:rPr>
                <w:rFonts w:cs="黑体"/>
                <w:bCs/>
                <w:szCs w:val="21"/>
              </w:rPr>
              <w:t>1</w:t>
            </w:r>
          </w:p>
        </w:tc>
        <w:tc>
          <w:tcPr>
            <w:tcW w:w="2850" w:type="dxa"/>
            <w:vAlign w:val="center"/>
          </w:tcPr>
          <w:p>
            <w:pPr>
              <w:spacing w:line="440" w:lineRule="exact"/>
              <w:rPr>
                <w:szCs w:val="21"/>
              </w:rPr>
            </w:pPr>
            <w:r>
              <w:rPr>
                <w:rFonts w:hint="eastAsia"/>
              </w:rPr>
              <w:t>提供社区整合学习资源情况、社区教育活动的有关文件、报道和数据资料（制表并汇总成册）。</w:t>
            </w:r>
          </w:p>
        </w:tc>
        <w:tc>
          <w:tcPr>
            <w:tcW w:w="2445" w:type="dxa"/>
            <w:vAlign w:val="center"/>
          </w:tcPr>
          <w:p>
            <w:pPr>
              <w:spacing w:line="440" w:lineRule="exact"/>
            </w:pPr>
            <w:r>
              <w:rPr>
                <w:rFonts w:hint="eastAsia"/>
                <w:szCs w:val="21"/>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087" w:type="dxa"/>
            <w:vMerge w:val="restart"/>
            <w:vAlign w:val="center"/>
          </w:tcPr>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p>
          <w:p>
            <w:pPr>
              <w:spacing w:line="440" w:lineRule="exact"/>
              <w:rPr>
                <w:rFonts w:cs="黑体"/>
                <w:bCs/>
                <w:kern w:val="0"/>
                <w:szCs w:val="21"/>
              </w:rPr>
            </w:pPr>
            <w:r>
              <w:rPr>
                <w:rFonts w:hint="eastAsia" w:cs="黑体"/>
                <w:bCs/>
                <w:kern w:val="0"/>
                <w:szCs w:val="21"/>
              </w:rPr>
              <w:t>条件与</w:t>
            </w:r>
          </w:p>
          <w:p>
            <w:pPr>
              <w:spacing w:line="440" w:lineRule="exact"/>
              <w:rPr>
                <w:rFonts w:cs="黑体"/>
                <w:bCs/>
                <w:kern w:val="0"/>
                <w:szCs w:val="21"/>
              </w:rPr>
            </w:pPr>
            <w:r>
              <w:rPr>
                <w:rFonts w:hint="eastAsia" w:cs="黑体"/>
                <w:bCs/>
                <w:kern w:val="0"/>
                <w:szCs w:val="21"/>
              </w:rPr>
              <w:t>保障</w:t>
            </w:r>
          </w:p>
          <w:p>
            <w:pPr>
              <w:spacing w:line="440" w:lineRule="exact"/>
              <w:rPr>
                <w:rFonts w:cs="黑体"/>
                <w:bCs/>
                <w:kern w:val="0"/>
                <w:szCs w:val="21"/>
              </w:rPr>
            </w:pPr>
            <w:r>
              <w:rPr>
                <w:rFonts w:hint="eastAsia" w:cs="黑体"/>
                <w:bCs/>
                <w:kern w:val="0"/>
                <w:szCs w:val="21"/>
              </w:rPr>
              <w:t>（</w:t>
            </w:r>
            <w:r>
              <w:rPr>
                <w:rFonts w:cs="黑体"/>
                <w:bCs/>
                <w:kern w:val="0"/>
                <w:szCs w:val="21"/>
              </w:rPr>
              <w:t>25</w:t>
            </w:r>
            <w:r>
              <w:rPr>
                <w:rFonts w:hint="eastAsia" w:cs="黑体"/>
                <w:bCs/>
                <w:kern w:val="0"/>
                <w:szCs w:val="21"/>
              </w:rPr>
              <w:t>分）</w:t>
            </w:r>
          </w:p>
        </w:tc>
        <w:tc>
          <w:tcPr>
            <w:tcW w:w="1125" w:type="dxa"/>
            <w:vMerge w:val="restart"/>
            <w:vAlign w:val="center"/>
          </w:tcPr>
          <w:p>
            <w:pPr>
              <w:spacing w:line="440" w:lineRule="exact"/>
              <w:rPr>
                <w:rFonts w:cs="黑体"/>
                <w:bCs/>
                <w:kern w:val="0"/>
                <w:szCs w:val="21"/>
              </w:rPr>
            </w:pPr>
            <w:r>
              <w:rPr>
                <w:rFonts w:hint="eastAsia" w:cs="黑体"/>
                <w:bCs/>
                <w:kern w:val="0"/>
                <w:szCs w:val="21"/>
              </w:rPr>
              <w:t>经费保障</w:t>
            </w:r>
          </w:p>
          <w:p>
            <w:pPr>
              <w:spacing w:line="440" w:lineRule="exact"/>
              <w:rPr>
                <w:rFonts w:cs="黑体"/>
                <w:bCs/>
                <w:kern w:val="0"/>
                <w:szCs w:val="21"/>
              </w:rPr>
            </w:pPr>
            <w:r>
              <w:rPr>
                <w:rFonts w:cs="黑体"/>
                <w:bCs/>
                <w:kern w:val="0"/>
                <w:szCs w:val="21"/>
              </w:rPr>
              <w:t>5</w:t>
            </w:r>
          </w:p>
        </w:tc>
        <w:tc>
          <w:tcPr>
            <w:tcW w:w="3345" w:type="dxa"/>
            <w:vAlign w:val="center"/>
          </w:tcPr>
          <w:p>
            <w:pPr>
              <w:spacing w:line="440" w:lineRule="exact"/>
              <w:rPr>
                <w:szCs w:val="21"/>
              </w:rPr>
            </w:pPr>
            <w:r>
              <w:rPr>
                <w:rFonts w:hint="eastAsia" w:cs="黑体"/>
                <w:bCs/>
                <w:szCs w:val="21"/>
              </w:rPr>
              <w:t>★</w:t>
            </w:r>
            <w:r>
              <w:rPr>
                <w:rFonts w:cs="黑体"/>
                <w:bCs/>
                <w:szCs w:val="21"/>
              </w:rPr>
              <w:t>14.</w:t>
            </w:r>
            <w:r>
              <w:rPr>
                <w:rFonts w:hint="eastAsia" w:cs="黑体"/>
                <w:bCs/>
                <w:szCs w:val="21"/>
              </w:rPr>
              <w:t>县财政一般按常住人口每年人均不低于</w:t>
            </w:r>
            <w:r>
              <w:rPr>
                <w:rFonts w:cs="黑体"/>
                <w:bCs/>
                <w:szCs w:val="21"/>
              </w:rPr>
              <w:t>1</w:t>
            </w:r>
            <w:r>
              <w:rPr>
                <w:rFonts w:hint="eastAsia" w:cs="黑体"/>
                <w:bCs/>
                <w:szCs w:val="21"/>
              </w:rPr>
              <w:t>元的标准设立社区教育专项培训经费，并逐年有所提高。</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提供社区教育方面经费投入、和使用情况的有关文件、账册和资料。</w:t>
            </w:r>
          </w:p>
        </w:tc>
        <w:tc>
          <w:tcPr>
            <w:tcW w:w="2445" w:type="dxa"/>
            <w:vAlign w:val="center"/>
          </w:tcPr>
          <w:p>
            <w:pPr>
              <w:spacing w:line="440" w:lineRule="exact"/>
              <w:rPr>
                <w:szCs w:val="21"/>
              </w:rPr>
            </w:pPr>
            <w:r>
              <w:rPr>
                <w:rFonts w:hint="eastAsia"/>
              </w:rPr>
              <w:t>县财政局、县教科局</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15.</w:t>
            </w:r>
            <w:r>
              <w:rPr>
                <w:rFonts w:hint="eastAsia" w:cs="黑体"/>
                <w:bCs/>
                <w:szCs w:val="21"/>
              </w:rPr>
              <w:t>建立多渠道筹措社区教育经费的保障机制。</w:t>
            </w:r>
          </w:p>
        </w:tc>
        <w:tc>
          <w:tcPr>
            <w:tcW w:w="630" w:type="dxa"/>
            <w:vAlign w:val="center"/>
          </w:tcPr>
          <w:p>
            <w:pPr>
              <w:spacing w:line="440" w:lineRule="exact"/>
              <w:rPr>
                <w:rFonts w:cs="黑体"/>
                <w:bCs/>
                <w:szCs w:val="21"/>
              </w:rPr>
            </w:pPr>
            <w:r>
              <w:rPr>
                <w:rFonts w:cs="黑体"/>
                <w:bCs/>
                <w:szCs w:val="21"/>
              </w:rPr>
              <w:t>2</w:t>
            </w:r>
          </w:p>
        </w:tc>
        <w:tc>
          <w:tcPr>
            <w:tcW w:w="2850" w:type="dxa"/>
            <w:vAlign w:val="center"/>
          </w:tcPr>
          <w:p>
            <w:pPr>
              <w:spacing w:line="440" w:lineRule="exact"/>
              <w:rPr>
                <w:szCs w:val="21"/>
              </w:rPr>
            </w:pPr>
            <w:r>
              <w:rPr>
                <w:rFonts w:hint="eastAsia"/>
              </w:rPr>
              <w:t>提供社区教育经费投入、筹措途径和运转情况的有关文件、账册和资料。</w:t>
            </w:r>
          </w:p>
        </w:tc>
        <w:tc>
          <w:tcPr>
            <w:tcW w:w="2445" w:type="dxa"/>
            <w:vAlign w:val="center"/>
          </w:tcPr>
          <w:p>
            <w:pPr>
              <w:widowControl/>
              <w:spacing w:line="440" w:lineRule="exact"/>
            </w:pPr>
            <w:r>
              <w:rPr>
                <w:rFonts w:hint="eastAsia"/>
              </w:rPr>
              <w:t>县财政局、县民政局、</w:t>
            </w:r>
          </w:p>
          <w:p>
            <w:pPr>
              <w:widowControl/>
              <w:spacing w:line="440" w:lineRule="exact"/>
              <w:rPr>
                <w:szCs w:val="21"/>
              </w:rPr>
            </w:pPr>
            <w:r>
              <w:rPr>
                <w:rFonts w:hint="eastAsia"/>
              </w:rPr>
              <w:t>县教科局、各镇街</w:t>
            </w:r>
          </w:p>
        </w:tc>
        <w:tc>
          <w:tcPr>
            <w:tcW w:w="1290" w:type="dxa"/>
          </w:tcPr>
          <w:p>
            <w:pPr>
              <w:widowControl/>
              <w:spacing w:line="440" w:lineRule="exact"/>
            </w:pPr>
          </w:p>
        </w:tc>
        <w:tc>
          <w:tcPr>
            <w:tcW w:w="1296" w:type="dxa"/>
          </w:tcPr>
          <w:p>
            <w:pPr>
              <w:widowControl/>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队伍建设</w:t>
            </w:r>
          </w:p>
          <w:p>
            <w:pPr>
              <w:spacing w:line="440" w:lineRule="exact"/>
              <w:rPr>
                <w:rFonts w:cs="黑体"/>
                <w:bCs/>
                <w:kern w:val="0"/>
                <w:szCs w:val="21"/>
              </w:rPr>
            </w:pPr>
            <w:r>
              <w:rPr>
                <w:rFonts w:cs="黑体"/>
                <w:bCs/>
                <w:kern w:val="0"/>
                <w:szCs w:val="21"/>
              </w:rPr>
              <w:t>6</w:t>
            </w:r>
          </w:p>
        </w:tc>
        <w:tc>
          <w:tcPr>
            <w:tcW w:w="3345" w:type="dxa"/>
            <w:vAlign w:val="center"/>
          </w:tcPr>
          <w:p>
            <w:pPr>
              <w:spacing w:line="440" w:lineRule="exact"/>
              <w:rPr>
                <w:szCs w:val="21"/>
              </w:rPr>
            </w:pPr>
            <w:r>
              <w:rPr>
                <w:rFonts w:cs="黑体"/>
                <w:bCs/>
                <w:szCs w:val="21"/>
              </w:rPr>
              <w:t>16</w:t>
            </w:r>
            <w:r>
              <w:rPr>
                <w:rFonts w:hint="eastAsia" w:cs="黑体"/>
                <w:bCs/>
                <w:szCs w:val="21"/>
              </w:rPr>
              <w:t>．基本形成一支素质较高、熟悉社区教育、专兼职结合的社区教育管理队伍，街至少配备</w:t>
            </w:r>
            <w:r>
              <w:rPr>
                <w:rFonts w:cs="黑体"/>
                <w:szCs w:val="21"/>
              </w:rPr>
              <w:t>1</w:t>
            </w:r>
            <w:r>
              <w:rPr>
                <w:rFonts w:hint="eastAsia" w:cs="黑体"/>
                <w:bCs/>
                <w:szCs w:val="21"/>
              </w:rPr>
              <w:t>名专职管理人员。</w:t>
            </w:r>
          </w:p>
        </w:tc>
        <w:tc>
          <w:tcPr>
            <w:tcW w:w="630" w:type="dxa"/>
            <w:vAlign w:val="center"/>
          </w:tcPr>
          <w:p>
            <w:pPr>
              <w:spacing w:line="440" w:lineRule="exact"/>
              <w:rPr>
                <w:rFonts w:cs="黑体"/>
                <w:bCs/>
                <w:szCs w:val="21"/>
              </w:rPr>
            </w:pPr>
            <w:r>
              <w:rPr>
                <w:rFonts w:cs="黑体"/>
                <w:bCs/>
                <w:szCs w:val="21"/>
              </w:rPr>
              <w:t>2</w:t>
            </w:r>
          </w:p>
        </w:tc>
        <w:tc>
          <w:tcPr>
            <w:tcW w:w="2850" w:type="dxa"/>
            <w:vAlign w:val="center"/>
          </w:tcPr>
          <w:p>
            <w:pPr>
              <w:spacing w:line="440" w:lineRule="exact"/>
              <w:rPr>
                <w:szCs w:val="21"/>
              </w:rPr>
            </w:pPr>
            <w:r>
              <w:rPr>
                <w:rFonts w:hint="eastAsia"/>
              </w:rPr>
              <w:t>提供社区教育管理机构编制有关文件、聘请</w:t>
            </w:r>
            <w:r>
              <w:rPr>
                <w:rFonts w:hint="eastAsia" w:ascii="宋体" w:hAnsi="宋体"/>
                <w:szCs w:val="21"/>
              </w:rPr>
              <w:t>兼职管理者</w:t>
            </w:r>
            <w:r>
              <w:rPr>
                <w:rFonts w:hint="eastAsia"/>
              </w:rPr>
              <w:t>的数据资料（文件、一览表）。</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00" w:lineRule="exact"/>
              <w:rPr>
                <w:szCs w:val="21"/>
              </w:rPr>
            </w:pPr>
            <w:r>
              <w:rPr>
                <w:rFonts w:hint="eastAsia" w:cs="黑体"/>
                <w:bCs/>
                <w:szCs w:val="21"/>
              </w:rPr>
              <w:t>★</w:t>
            </w:r>
            <w:r>
              <w:rPr>
                <w:rFonts w:cs="黑体"/>
                <w:bCs/>
                <w:szCs w:val="21"/>
              </w:rPr>
              <w:t>17</w:t>
            </w:r>
            <w:r>
              <w:rPr>
                <w:rFonts w:hint="eastAsia" w:cs="黑体"/>
                <w:bCs/>
                <w:szCs w:val="21"/>
              </w:rPr>
              <w:t>．有一支相对稳定，适应社区教育需要的，专职、兼职和志愿者相结合的社区教育师资队伍，专职教师按常住人口的万分之一比例配备，志愿者人数占辖区常住人口百分之五以上。</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提供社区教育师资队伍编制有关文件、聘请</w:t>
            </w:r>
            <w:r>
              <w:rPr>
                <w:rFonts w:hint="eastAsia" w:ascii="宋体" w:hAnsi="宋体"/>
                <w:szCs w:val="21"/>
              </w:rPr>
              <w:t>兼职教师和组织志愿队伍</w:t>
            </w:r>
            <w:r>
              <w:rPr>
                <w:rFonts w:hint="eastAsia"/>
              </w:rPr>
              <w:t>的数据资料（文件、一览表）。</w:t>
            </w:r>
          </w:p>
        </w:tc>
        <w:tc>
          <w:tcPr>
            <w:tcW w:w="2445" w:type="dxa"/>
            <w:vAlign w:val="center"/>
          </w:tcPr>
          <w:p>
            <w:pPr>
              <w:spacing w:line="440" w:lineRule="exact"/>
            </w:pPr>
            <w:r>
              <w:rPr>
                <w:rFonts w:hint="eastAsia"/>
              </w:rPr>
              <w:t>县教科局、县民政局、</w:t>
            </w:r>
          </w:p>
          <w:p>
            <w:pPr>
              <w:spacing w:line="440" w:lineRule="exact"/>
            </w:pPr>
            <w:r>
              <w:rPr>
                <w:rFonts w:hint="eastAsia"/>
              </w:rPr>
              <w:t>县人社局、团县委、</w:t>
            </w:r>
          </w:p>
          <w:p>
            <w:pPr>
              <w:spacing w:line="440" w:lineRule="exact"/>
              <w:rPr>
                <w:szCs w:val="21"/>
              </w:rPr>
            </w:pPr>
            <w:r>
              <w:rPr>
                <w:rFonts w:hint="eastAsia"/>
              </w:rPr>
              <w:t>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18</w:t>
            </w:r>
            <w:r>
              <w:rPr>
                <w:rFonts w:hint="eastAsia" w:cs="黑体"/>
                <w:bCs/>
                <w:szCs w:val="21"/>
              </w:rPr>
              <w:t>．制定社区教育工作者队伍建设规划，定期开展社区教育专职人员岗前培训和在岗提高性培训，年培训率达</w:t>
            </w:r>
            <w:r>
              <w:rPr>
                <w:rFonts w:cs="黑体"/>
                <w:bCs/>
                <w:szCs w:val="21"/>
              </w:rPr>
              <w:t>50%</w:t>
            </w:r>
            <w:r>
              <w:rPr>
                <w:rFonts w:hint="eastAsia" w:cs="黑体"/>
                <w:bCs/>
                <w:szCs w:val="21"/>
              </w:rPr>
              <w:t>以上。</w:t>
            </w:r>
          </w:p>
        </w:tc>
        <w:tc>
          <w:tcPr>
            <w:tcW w:w="630" w:type="dxa"/>
            <w:vAlign w:val="center"/>
          </w:tcPr>
          <w:p>
            <w:pPr>
              <w:spacing w:line="440" w:lineRule="exact"/>
              <w:rPr>
                <w:bCs/>
                <w:szCs w:val="21"/>
              </w:rPr>
            </w:pPr>
            <w:r>
              <w:rPr>
                <w:rFonts w:cs="黑体"/>
                <w:bCs/>
                <w:szCs w:val="21"/>
              </w:rPr>
              <w:t>1</w:t>
            </w:r>
          </w:p>
        </w:tc>
        <w:tc>
          <w:tcPr>
            <w:tcW w:w="2850" w:type="dxa"/>
            <w:vAlign w:val="center"/>
          </w:tcPr>
          <w:p>
            <w:pPr>
              <w:spacing w:line="440" w:lineRule="exact"/>
            </w:pPr>
          </w:p>
          <w:p>
            <w:pPr>
              <w:spacing w:line="440" w:lineRule="exact"/>
            </w:pPr>
            <w:r>
              <w:rPr>
                <w:rFonts w:hint="eastAsia"/>
              </w:rPr>
              <w:t>提供规划文件、培训计划、培训</w:t>
            </w:r>
            <w:r>
              <w:rPr>
                <w:rFonts w:hint="eastAsia" w:ascii="宋体" w:hAnsi="宋体"/>
                <w:szCs w:val="21"/>
              </w:rPr>
              <w:t>人数、参与</w:t>
            </w:r>
            <w:r>
              <w:rPr>
                <w:rFonts w:hint="eastAsia"/>
              </w:rPr>
              <w:t>率资料（统计表）。</w:t>
            </w:r>
          </w:p>
          <w:p>
            <w:pPr>
              <w:spacing w:line="440" w:lineRule="exact"/>
              <w:rPr>
                <w:color w:val="FF0000"/>
                <w:szCs w:val="21"/>
              </w:rPr>
            </w:pP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制度保障</w:t>
            </w:r>
          </w:p>
          <w:p>
            <w:pPr>
              <w:spacing w:line="440" w:lineRule="exact"/>
              <w:rPr>
                <w:rFonts w:cs="黑体"/>
                <w:bCs/>
                <w:kern w:val="0"/>
                <w:szCs w:val="21"/>
              </w:rPr>
            </w:pPr>
            <w:r>
              <w:rPr>
                <w:rFonts w:cs="黑体"/>
                <w:bCs/>
                <w:kern w:val="0"/>
                <w:szCs w:val="21"/>
              </w:rPr>
              <w:t>3</w:t>
            </w:r>
          </w:p>
        </w:tc>
        <w:tc>
          <w:tcPr>
            <w:tcW w:w="3345" w:type="dxa"/>
            <w:vAlign w:val="center"/>
          </w:tcPr>
          <w:p>
            <w:pPr>
              <w:spacing w:line="440" w:lineRule="exact"/>
              <w:rPr>
                <w:bCs/>
                <w:szCs w:val="21"/>
              </w:rPr>
            </w:pPr>
            <w:r>
              <w:rPr>
                <w:rFonts w:cs="黑体"/>
                <w:bCs/>
                <w:szCs w:val="21"/>
              </w:rPr>
              <w:t>19.</w:t>
            </w:r>
            <w:r>
              <w:rPr>
                <w:rFonts w:hint="eastAsia" w:cs="黑体"/>
                <w:bCs/>
                <w:szCs w:val="21"/>
              </w:rPr>
              <w:t>社区教育各项规章制度基本健全，包括联席会议制度、目标责任制度、管理制度、居民终身学习制度、评估检查和专项督导制度、奖励保障制度等。并纳入政府教育督导评估范围。</w:t>
            </w:r>
          </w:p>
        </w:tc>
        <w:tc>
          <w:tcPr>
            <w:tcW w:w="630" w:type="dxa"/>
            <w:vAlign w:val="center"/>
          </w:tcPr>
          <w:p>
            <w:pPr>
              <w:spacing w:line="440" w:lineRule="exact"/>
              <w:rPr>
                <w:rFonts w:cs="黑体"/>
                <w:bCs/>
                <w:szCs w:val="21"/>
              </w:rPr>
            </w:pPr>
            <w:r>
              <w:rPr>
                <w:rFonts w:cs="黑体"/>
                <w:bCs/>
                <w:szCs w:val="21"/>
              </w:rPr>
              <w:t>2</w:t>
            </w:r>
          </w:p>
        </w:tc>
        <w:tc>
          <w:tcPr>
            <w:tcW w:w="2850" w:type="dxa"/>
            <w:vAlign w:val="center"/>
          </w:tcPr>
          <w:p>
            <w:pPr>
              <w:spacing w:line="440" w:lineRule="exact"/>
              <w:rPr>
                <w:szCs w:val="21"/>
              </w:rPr>
            </w:pPr>
            <w:r>
              <w:rPr>
                <w:rFonts w:hint="eastAsia"/>
              </w:rPr>
              <w:t>提供社区教育各项管理制度、实施方案、评估方案等有关文件和资料（制度汇编、督导评估、检查表）。</w:t>
            </w:r>
          </w:p>
        </w:tc>
        <w:tc>
          <w:tcPr>
            <w:tcW w:w="2445" w:type="dxa"/>
            <w:vAlign w:val="center"/>
          </w:tcPr>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20.</w:t>
            </w:r>
            <w:r>
              <w:rPr>
                <w:rFonts w:hint="eastAsia" w:cs="黑体"/>
                <w:bCs/>
                <w:szCs w:val="21"/>
              </w:rPr>
              <w:t>注重档案建设，档案资料基本规范齐全。</w:t>
            </w:r>
          </w:p>
        </w:tc>
        <w:tc>
          <w:tcPr>
            <w:tcW w:w="630" w:type="dxa"/>
            <w:vAlign w:val="center"/>
          </w:tcPr>
          <w:p>
            <w:pPr>
              <w:spacing w:line="440" w:lineRule="exact"/>
              <w:rPr>
                <w:bCs/>
                <w:szCs w:val="21"/>
              </w:rPr>
            </w:pPr>
            <w:r>
              <w:rPr>
                <w:rFonts w:cs="黑体"/>
                <w:bCs/>
                <w:szCs w:val="21"/>
              </w:rPr>
              <w:t>1</w:t>
            </w:r>
          </w:p>
        </w:tc>
        <w:tc>
          <w:tcPr>
            <w:tcW w:w="2850" w:type="dxa"/>
            <w:vAlign w:val="center"/>
          </w:tcPr>
          <w:p>
            <w:pPr>
              <w:spacing w:line="440" w:lineRule="exact"/>
              <w:rPr>
                <w:szCs w:val="21"/>
              </w:rPr>
            </w:pPr>
            <w:r>
              <w:rPr>
                <w:rFonts w:hint="eastAsia"/>
              </w:rPr>
              <w:t>提供目录</w:t>
            </w:r>
          </w:p>
        </w:tc>
        <w:tc>
          <w:tcPr>
            <w:tcW w:w="2445" w:type="dxa"/>
            <w:vAlign w:val="center"/>
          </w:tcPr>
          <w:p>
            <w:pPr>
              <w:spacing w:line="440" w:lineRule="exact"/>
              <w:rPr>
                <w:szCs w:val="21"/>
              </w:rPr>
            </w:pPr>
            <w:r>
              <w:rPr>
                <w:rFonts w:hint="eastAsia"/>
              </w:rPr>
              <w:t>县民政局、县教科局、县司法局、县财政局、县人社局、县公安局、县文旅体育局、县卫健局、县老干部工作局、县残联、县工会、团县委、县妇联、各镇街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1087" w:type="dxa"/>
            <w:vMerge w:val="restart"/>
            <w:vAlign w:val="center"/>
          </w:tcPr>
          <w:p>
            <w:pPr>
              <w:spacing w:line="440" w:lineRule="exact"/>
              <w:rPr>
                <w:rFonts w:cs="黑体"/>
                <w:bCs/>
                <w:kern w:val="0"/>
                <w:szCs w:val="21"/>
              </w:rPr>
            </w:pPr>
            <w:r>
              <w:rPr>
                <w:rFonts w:hint="eastAsia" w:cs="黑体"/>
                <w:bCs/>
                <w:kern w:val="0"/>
                <w:szCs w:val="21"/>
              </w:rPr>
              <w:t>教育培训与学习活</w:t>
            </w:r>
          </w:p>
          <w:p>
            <w:pPr>
              <w:spacing w:line="440" w:lineRule="exact"/>
              <w:rPr>
                <w:rFonts w:cs="黑体"/>
                <w:bCs/>
                <w:kern w:val="0"/>
                <w:szCs w:val="21"/>
              </w:rPr>
            </w:pPr>
            <w:r>
              <w:rPr>
                <w:rFonts w:hint="eastAsia" w:cs="黑体"/>
                <w:bCs/>
                <w:kern w:val="0"/>
                <w:szCs w:val="21"/>
              </w:rPr>
              <w:t>动（</w:t>
            </w:r>
            <w:r>
              <w:rPr>
                <w:rFonts w:cs="黑体"/>
                <w:bCs/>
                <w:kern w:val="0"/>
                <w:szCs w:val="21"/>
              </w:rPr>
              <w:t>25</w:t>
            </w:r>
            <w:r>
              <w:rPr>
                <w:rFonts w:hint="eastAsia" w:cs="黑体"/>
                <w:bCs/>
                <w:kern w:val="0"/>
                <w:szCs w:val="21"/>
              </w:rPr>
              <w:t>分）</w:t>
            </w:r>
          </w:p>
        </w:tc>
        <w:tc>
          <w:tcPr>
            <w:tcW w:w="1125" w:type="dxa"/>
            <w:vMerge w:val="restart"/>
            <w:vAlign w:val="center"/>
          </w:tcPr>
          <w:p>
            <w:pPr>
              <w:spacing w:line="440" w:lineRule="exact"/>
              <w:rPr>
                <w:rFonts w:cs="黑体"/>
                <w:bCs/>
                <w:kern w:val="0"/>
                <w:szCs w:val="21"/>
              </w:rPr>
            </w:pPr>
            <w:r>
              <w:rPr>
                <w:rFonts w:hint="eastAsia" w:cs="黑体"/>
                <w:bCs/>
                <w:kern w:val="0"/>
                <w:szCs w:val="21"/>
              </w:rPr>
              <w:t>教育培训</w:t>
            </w:r>
          </w:p>
          <w:p>
            <w:pPr>
              <w:spacing w:line="440" w:lineRule="exact"/>
              <w:rPr>
                <w:rFonts w:cs="黑体"/>
                <w:bCs/>
                <w:kern w:val="0"/>
                <w:szCs w:val="21"/>
              </w:rPr>
            </w:pPr>
            <w:r>
              <w:rPr>
                <w:rFonts w:hint="eastAsia" w:cs="黑体"/>
                <w:bCs/>
                <w:kern w:val="0"/>
                <w:szCs w:val="21"/>
              </w:rPr>
              <w:t>活动</w:t>
            </w:r>
          </w:p>
          <w:p>
            <w:pPr>
              <w:spacing w:line="440" w:lineRule="exact"/>
              <w:rPr>
                <w:rFonts w:cs="黑体"/>
                <w:bCs/>
                <w:kern w:val="0"/>
                <w:szCs w:val="21"/>
              </w:rPr>
            </w:pPr>
            <w:r>
              <w:rPr>
                <w:rFonts w:cs="黑体"/>
                <w:bCs/>
                <w:kern w:val="0"/>
                <w:szCs w:val="21"/>
              </w:rPr>
              <w:t>18</w:t>
            </w:r>
          </w:p>
        </w:tc>
        <w:tc>
          <w:tcPr>
            <w:tcW w:w="3345" w:type="dxa"/>
            <w:vAlign w:val="center"/>
          </w:tcPr>
          <w:p>
            <w:pPr>
              <w:spacing w:line="440" w:lineRule="exact"/>
              <w:rPr>
                <w:szCs w:val="21"/>
              </w:rPr>
            </w:pPr>
            <w:r>
              <w:rPr>
                <w:rFonts w:hint="eastAsia" w:cs="黑体"/>
                <w:bCs/>
                <w:szCs w:val="21"/>
              </w:rPr>
              <w:t>★</w:t>
            </w:r>
            <w:r>
              <w:rPr>
                <w:rFonts w:cs="黑体"/>
                <w:bCs/>
                <w:szCs w:val="21"/>
              </w:rPr>
              <w:t>21.</w:t>
            </w:r>
            <w:r>
              <w:rPr>
                <w:rFonts w:hint="eastAsia" w:cs="黑体"/>
                <w:bCs/>
                <w:szCs w:val="21"/>
              </w:rPr>
              <w:t>全年接受社区教育服务的社区居民占全体成员的比例达</w:t>
            </w:r>
            <w:r>
              <w:rPr>
                <w:rFonts w:cs="黑体"/>
                <w:bCs/>
                <w:szCs w:val="21"/>
              </w:rPr>
              <w:t>20%</w:t>
            </w:r>
            <w:r>
              <w:rPr>
                <w:rFonts w:hint="eastAsia" w:cs="黑体"/>
                <w:bCs/>
                <w:szCs w:val="21"/>
              </w:rPr>
              <w:t>以上。</w:t>
            </w:r>
          </w:p>
        </w:tc>
        <w:tc>
          <w:tcPr>
            <w:tcW w:w="630" w:type="dxa"/>
            <w:vAlign w:val="center"/>
          </w:tcPr>
          <w:p>
            <w:pPr>
              <w:spacing w:line="440" w:lineRule="exact"/>
              <w:rPr>
                <w:bCs/>
                <w:szCs w:val="21"/>
              </w:rPr>
            </w:pPr>
            <w:r>
              <w:rPr>
                <w:rFonts w:cs="黑体"/>
                <w:bCs/>
                <w:szCs w:val="21"/>
              </w:rPr>
              <w:t>4</w:t>
            </w:r>
          </w:p>
        </w:tc>
        <w:tc>
          <w:tcPr>
            <w:tcW w:w="2850" w:type="dxa"/>
            <w:vAlign w:val="center"/>
          </w:tcPr>
          <w:p>
            <w:pPr>
              <w:spacing w:line="400" w:lineRule="exact"/>
              <w:rPr>
                <w:szCs w:val="21"/>
              </w:rPr>
            </w:pPr>
            <w:r>
              <w:rPr>
                <w:rFonts w:hint="eastAsia"/>
              </w:rPr>
              <w:t>提供上年度举办社区教育活动统计表、登记表和培训量一览表。</w:t>
            </w:r>
          </w:p>
        </w:tc>
        <w:tc>
          <w:tcPr>
            <w:tcW w:w="2445" w:type="dxa"/>
            <w:vAlign w:val="center"/>
          </w:tcPr>
          <w:p>
            <w:pPr>
              <w:spacing w:line="440" w:lineRule="exact"/>
            </w:pPr>
            <w:r>
              <w:rPr>
                <w:rFonts w:hint="eastAsia"/>
              </w:rPr>
              <w:t>县教科局、县民政局、</w:t>
            </w:r>
          </w:p>
          <w:p>
            <w:pPr>
              <w:spacing w:line="440" w:lineRule="exact"/>
              <w:rPr>
                <w:szCs w:val="21"/>
              </w:rPr>
            </w:pPr>
            <w:r>
              <w:rPr>
                <w:rFonts w:hint="eastAsia"/>
              </w:rPr>
              <w:t>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22.</w:t>
            </w:r>
            <w:r>
              <w:rPr>
                <w:rFonts w:hint="eastAsia" w:cs="黑体"/>
                <w:bCs/>
                <w:szCs w:val="21"/>
              </w:rPr>
              <w:t>城市社区，登记在册的下岗待业人员和外来务工人员的培训率分别达到</w:t>
            </w:r>
            <w:r>
              <w:rPr>
                <w:rFonts w:cs="黑体"/>
                <w:bCs/>
                <w:szCs w:val="21"/>
              </w:rPr>
              <w:t>50%</w:t>
            </w:r>
            <w:r>
              <w:rPr>
                <w:rFonts w:hint="eastAsia" w:cs="黑体"/>
                <w:bCs/>
                <w:szCs w:val="21"/>
              </w:rPr>
              <w:t>和</w:t>
            </w:r>
            <w:r>
              <w:rPr>
                <w:rFonts w:cs="黑体"/>
                <w:bCs/>
                <w:szCs w:val="21"/>
              </w:rPr>
              <w:t>40%</w:t>
            </w:r>
            <w:r>
              <w:rPr>
                <w:rFonts w:hint="eastAsia" w:cs="黑体"/>
                <w:bCs/>
                <w:szCs w:val="21"/>
              </w:rPr>
              <w:t>以上。农村社区，农民实用技术培训率达</w:t>
            </w:r>
            <w:r>
              <w:rPr>
                <w:rFonts w:cs="黑体"/>
                <w:bCs/>
                <w:szCs w:val="21"/>
              </w:rPr>
              <w:t>25%</w:t>
            </w:r>
            <w:r>
              <w:rPr>
                <w:rFonts w:hint="eastAsia" w:cs="黑体"/>
                <w:bCs/>
                <w:szCs w:val="21"/>
              </w:rPr>
              <w:t>以上，农村劳动力转移培训率达到</w:t>
            </w:r>
            <w:r>
              <w:rPr>
                <w:rFonts w:cs="黑体"/>
                <w:bCs/>
                <w:szCs w:val="21"/>
              </w:rPr>
              <w:t>40%</w:t>
            </w:r>
            <w:r>
              <w:rPr>
                <w:rFonts w:hint="eastAsia" w:cs="黑体"/>
                <w:bCs/>
                <w:szCs w:val="21"/>
              </w:rPr>
              <w:t>以上。</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color w:val="000000"/>
                <w:szCs w:val="21"/>
              </w:rPr>
            </w:pPr>
            <w:r>
              <w:rPr>
                <w:rFonts w:hint="eastAsia"/>
              </w:rPr>
              <w:t>提供社区教育技能培训一览表。</w:t>
            </w:r>
          </w:p>
        </w:tc>
        <w:tc>
          <w:tcPr>
            <w:tcW w:w="2445" w:type="dxa"/>
            <w:vAlign w:val="center"/>
          </w:tcPr>
          <w:p>
            <w:pPr>
              <w:spacing w:line="440" w:lineRule="exact"/>
            </w:pPr>
            <w:r>
              <w:rPr>
                <w:rFonts w:hint="eastAsia"/>
              </w:rPr>
              <w:t>县人社局、县民政局、</w:t>
            </w:r>
          </w:p>
          <w:p>
            <w:pPr>
              <w:spacing w:line="440" w:lineRule="exact"/>
              <w:rPr>
                <w:color w:val="000000"/>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2"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23.</w:t>
            </w:r>
            <w:r>
              <w:rPr>
                <w:rFonts w:hint="eastAsia" w:cs="黑体"/>
                <w:bCs/>
                <w:spacing w:val="-4"/>
                <w:szCs w:val="21"/>
              </w:rPr>
              <w:t>注重向社区家长进行科学育儿和家庭教育的培训辅导。</w:t>
            </w:r>
            <w:r>
              <w:rPr>
                <w:rFonts w:hint="eastAsia" w:cs="黑体"/>
                <w:bCs/>
                <w:szCs w:val="21"/>
              </w:rPr>
              <w:t>注重未成年人的主题教育活动，未成年人参与社区教育活动的比例不低于</w:t>
            </w:r>
            <w:r>
              <w:rPr>
                <w:rFonts w:cs="黑体"/>
                <w:bCs/>
                <w:szCs w:val="21"/>
              </w:rPr>
              <w:t>40%</w:t>
            </w:r>
            <w:r>
              <w:rPr>
                <w:rFonts w:hint="eastAsia" w:cs="黑体"/>
                <w:bCs/>
                <w:szCs w:val="21"/>
              </w:rPr>
              <w:t>。</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提供各种学习资源（场地、公共设施等）使用情况，社区教育活动的有关文件、宣传报道和数据资料（制表并汇总成册），以及上年度至今举办社区教育项目统计表，各级各类办学、办班登记表和培训量一览表。</w:t>
            </w:r>
          </w:p>
        </w:tc>
        <w:tc>
          <w:tcPr>
            <w:tcW w:w="2445" w:type="dxa"/>
            <w:vAlign w:val="center"/>
          </w:tcPr>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szCs w:val="21"/>
              </w:rPr>
            </w:pPr>
            <w:r>
              <w:rPr>
                <w:rFonts w:cs="黑体"/>
                <w:bCs/>
                <w:szCs w:val="21"/>
              </w:rPr>
              <w:t>24.</w:t>
            </w:r>
            <w:r>
              <w:rPr>
                <w:rFonts w:hint="eastAsia" w:cs="黑体"/>
                <w:bCs/>
                <w:szCs w:val="21"/>
              </w:rPr>
              <w:t>老年人参与社区教育学习活动的比例达</w:t>
            </w:r>
            <w:r>
              <w:rPr>
                <w:rFonts w:cs="黑体"/>
                <w:bCs/>
                <w:szCs w:val="21"/>
              </w:rPr>
              <w:t>20%</w:t>
            </w:r>
            <w:r>
              <w:rPr>
                <w:rFonts w:hint="eastAsia" w:cs="黑体"/>
                <w:bCs/>
                <w:szCs w:val="21"/>
              </w:rPr>
              <w:t>以上。</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提供社区教育技能培训一览表</w:t>
            </w:r>
            <w:r>
              <w:rPr>
                <w:rFonts w:hint="eastAsia"/>
                <w:szCs w:val="21"/>
              </w:rPr>
              <w:t>、典型活动资料。</w:t>
            </w:r>
          </w:p>
        </w:tc>
        <w:tc>
          <w:tcPr>
            <w:tcW w:w="2445" w:type="dxa"/>
            <w:vAlign w:val="center"/>
          </w:tcPr>
          <w:p>
            <w:pPr>
              <w:spacing w:line="440" w:lineRule="exact"/>
            </w:pPr>
            <w:r>
              <w:rPr>
                <w:rFonts w:hint="eastAsia"/>
              </w:rPr>
              <w:t>县老干</w:t>
            </w:r>
            <w:r>
              <w:rPr>
                <w:rFonts w:hint="eastAsia"/>
                <w:lang w:val="en-US" w:eastAsia="zh-CN"/>
              </w:rPr>
              <w:t>部工作</w:t>
            </w:r>
            <w:r>
              <w:rPr>
                <w:rFonts w:hint="eastAsia"/>
              </w:rPr>
              <w:t>局、县民政局、县教科局、县卫健局、</w:t>
            </w:r>
          </w:p>
          <w:p>
            <w:pPr>
              <w:spacing w:line="440" w:lineRule="exact"/>
              <w:rPr>
                <w:szCs w:val="21"/>
              </w:rPr>
            </w:pPr>
            <w:r>
              <w:rPr>
                <w:rFonts w:hint="eastAsia"/>
              </w:rPr>
              <w:t>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rFonts w:cs="黑体"/>
                <w:bCs/>
                <w:szCs w:val="21"/>
              </w:rPr>
            </w:pPr>
            <w:r>
              <w:rPr>
                <w:rFonts w:cs="黑体"/>
                <w:bCs/>
                <w:szCs w:val="21"/>
              </w:rPr>
              <w:t>25.</w:t>
            </w:r>
            <w:r>
              <w:rPr>
                <w:rFonts w:hint="eastAsia" w:cs="黑体"/>
                <w:bCs/>
                <w:szCs w:val="21"/>
              </w:rPr>
              <w:t>定期开展全民终身学习活动周，全民读书月等群众性宣传教育活动，有教育主题，有活动方案，有实际成效。</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szCs w:val="21"/>
              </w:rPr>
              <w:t>提供活动开展过程性资料</w:t>
            </w:r>
          </w:p>
        </w:tc>
        <w:tc>
          <w:tcPr>
            <w:tcW w:w="2445" w:type="dxa"/>
            <w:vAlign w:val="center"/>
          </w:tcPr>
          <w:p>
            <w:pPr>
              <w:spacing w:line="440" w:lineRule="exact"/>
              <w:rPr>
                <w:szCs w:val="21"/>
              </w:rPr>
            </w:pPr>
            <w:r>
              <w:rPr>
                <w:rFonts w:hint="eastAsia"/>
                <w:szCs w:val="21"/>
              </w:rPr>
              <w:t>县教科局、县民政局</w:t>
            </w:r>
          </w:p>
        </w:tc>
        <w:tc>
          <w:tcPr>
            <w:tcW w:w="1290" w:type="dxa"/>
          </w:tcPr>
          <w:p>
            <w:pPr>
              <w:spacing w:line="440" w:lineRule="exact"/>
              <w:jc w:val="left"/>
              <w:rPr>
                <w:szCs w:val="21"/>
              </w:rPr>
            </w:pPr>
          </w:p>
        </w:tc>
        <w:tc>
          <w:tcPr>
            <w:tcW w:w="1296" w:type="dxa"/>
          </w:tcPr>
          <w:p>
            <w:pPr>
              <w:spacing w:line="44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textAlignment w:val="baseline"/>
              <w:rPr>
                <w:bCs/>
                <w:spacing w:val="-4"/>
                <w:szCs w:val="21"/>
              </w:rPr>
            </w:pPr>
            <w:r>
              <w:rPr>
                <w:rFonts w:cs="黑体"/>
                <w:bCs/>
                <w:spacing w:val="-4"/>
                <w:szCs w:val="21"/>
              </w:rPr>
              <w:t>26.</w:t>
            </w:r>
            <w:r>
              <w:rPr>
                <w:rFonts w:hint="eastAsia" w:cs="黑体"/>
                <w:bCs/>
                <w:spacing w:val="-4"/>
                <w:szCs w:val="21"/>
              </w:rPr>
              <w:t>注重对社区各类人员心理疏导和调适的教育培训。</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w:t>
            </w:r>
            <w:r>
              <w:rPr>
                <w:rFonts w:hint="eastAsia" w:ascii="宋体" w:hAnsi="宋体"/>
                <w:szCs w:val="21"/>
              </w:rPr>
              <w:t>参与辅导和</w:t>
            </w:r>
            <w:r>
              <w:rPr>
                <w:rFonts w:hint="eastAsia"/>
              </w:rPr>
              <w:t>培训</w:t>
            </w:r>
            <w:r>
              <w:rPr>
                <w:rFonts w:hint="eastAsia" w:ascii="宋体" w:hAnsi="宋体"/>
                <w:szCs w:val="21"/>
              </w:rPr>
              <w:t>人数</w:t>
            </w:r>
            <w:r>
              <w:rPr>
                <w:rFonts w:hint="eastAsia"/>
              </w:rPr>
              <w:t>及资料。</w:t>
            </w:r>
          </w:p>
        </w:tc>
        <w:tc>
          <w:tcPr>
            <w:tcW w:w="2445" w:type="dxa"/>
            <w:vAlign w:val="center"/>
          </w:tcPr>
          <w:p>
            <w:pPr>
              <w:spacing w:line="440" w:lineRule="exact"/>
            </w:pPr>
            <w:r>
              <w:rPr>
                <w:rFonts w:hint="eastAsia"/>
              </w:rPr>
              <w:t>县教科局、县人社局、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学习型组织创建</w:t>
            </w:r>
          </w:p>
          <w:p>
            <w:pPr>
              <w:spacing w:line="440" w:lineRule="exact"/>
              <w:rPr>
                <w:rFonts w:cs="黑体"/>
                <w:bCs/>
                <w:kern w:val="0"/>
                <w:szCs w:val="21"/>
              </w:rPr>
            </w:pPr>
            <w:r>
              <w:rPr>
                <w:rFonts w:cs="黑体"/>
                <w:bCs/>
                <w:kern w:val="0"/>
                <w:szCs w:val="21"/>
              </w:rPr>
              <w:t>7</w:t>
            </w:r>
          </w:p>
        </w:tc>
        <w:tc>
          <w:tcPr>
            <w:tcW w:w="3345" w:type="dxa"/>
            <w:vAlign w:val="center"/>
          </w:tcPr>
          <w:p>
            <w:pPr>
              <w:spacing w:line="440" w:lineRule="exact"/>
              <w:rPr>
                <w:szCs w:val="21"/>
              </w:rPr>
            </w:pPr>
            <w:r>
              <w:rPr>
                <w:rFonts w:cs="黑体"/>
                <w:bCs/>
                <w:szCs w:val="21"/>
              </w:rPr>
              <w:t>27.</w:t>
            </w:r>
            <w:r>
              <w:rPr>
                <w:rFonts w:hint="eastAsia" w:cs="黑体"/>
                <w:bCs/>
                <w:szCs w:val="21"/>
              </w:rPr>
              <w:t>县委、县政府重视学习型组织建设，有中长期创建规划和年度推进计划。各类学习型组织的创建力度大、进展快。</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提供各级各类组织统计表和活动计划一览表。</w:t>
            </w:r>
          </w:p>
        </w:tc>
        <w:tc>
          <w:tcPr>
            <w:tcW w:w="2445" w:type="dxa"/>
            <w:vAlign w:val="center"/>
          </w:tcPr>
          <w:p>
            <w:pPr>
              <w:spacing w:line="440" w:lineRule="exact"/>
            </w:pPr>
            <w:r>
              <w:rPr>
                <w:rFonts w:hint="eastAsia"/>
              </w:rPr>
              <w:t>县委组织部、</w:t>
            </w:r>
          </w:p>
          <w:p>
            <w:pPr>
              <w:spacing w:line="440" w:lineRule="exact"/>
              <w:rPr>
                <w:szCs w:val="21"/>
              </w:rPr>
            </w:pPr>
            <w:r>
              <w:rPr>
                <w:rFonts w:hint="eastAsia"/>
              </w:rPr>
              <w:t>县委宣传部、各镇街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cs="黑体"/>
                <w:bCs/>
                <w:szCs w:val="21"/>
              </w:rPr>
              <w:t>28.</w:t>
            </w:r>
            <w:r>
              <w:rPr>
                <w:rFonts w:hint="eastAsia" w:cs="黑体"/>
                <w:bCs/>
                <w:szCs w:val="21"/>
              </w:rPr>
              <w:t>学习型党政机关创建率达</w:t>
            </w:r>
            <w:r>
              <w:rPr>
                <w:rFonts w:cs="黑体"/>
                <w:bCs/>
                <w:szCs w:val="21"/>
              </w:rPr>
              <w:t>60%</w:t>
            </w:r>
            <w:r>
              <w:rPr>
                <w:rFonts w:hint="eastAsia" w:cs="黑体"/>
                <w:bCs/>
                <w:szCs w:val="21"/>
              </w:rPr>
              <w:t>左右。</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提供各级各类组织统计表和活动计划一览表。</w:t>
            </w:r>
          </w:p>
        </w:tc>
        <w:tc>
          <w:tcPr>
            <w:tcW w:w="2445" w:type="dxa"/>
            <w:vAlign w:val="center"/>
          </w:tcPr>
          <w:p>
            <w:pPr>
              <w:spacing w:line="440" w:lineRule="exact"/>
            </w:pPr>
            <w:r>
              <w:rPr>
                <w:rFonts w:hint="eastAsia"/>
              </w:rPr>
              <w:t>县委组织部、</w:t>
            </w:r>
          </w:p>
          <w:p>
            <w:pPr>
              <w:spacing w:line="440" w:lineRule="exact"/>
              <w:rPr>
                <w:szCs w:val="21"/>
              </w:rPr>
            </w:pPr>
            <w:r>
              <w:rPr>
                <w:rFonts w:hint="eastAsia"/>
              </w:rPr>
              <w:t>县委宣传部、各镇街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29.</w:t>
            </w:r>
            <w:r>
              <w:rPr>
                <w:rFonts w:hint="eastAsia" w:cs="黑体"/>
                <w:bCs/>
                <w:szCs w:val="21"/>
              </w:rPr>
              <w:t>学习型社区居（村）创建率达</w:t>
            </w:r>
            <w:r>
              <w:rPr>
                <w:rFonts w:cs="黑体"/>
                <w:bCs/>
                <w:szCs w:val="21"/>
              </w:rPr>
              <w:t>40%</w:t>
            </w:r>
            <w:r>
              <w:rPr>
                <w:rFonts w:hint="eastAsia" w:cs="黑体"/>
                <w:bCs/>
                <w:szCs w:val="21"/>
              </w:rPr>
              <w:t>以上。</w:t>
            </w:r>
          </w:p>
        </w:tc>
        <w:tc>
          <w:tcPr>
            <w:tcW w:w="630" w:type="dxa"/>
            <w:vAlign w:val="center"/>
          </w:tcPr>
          <w:p>
            <w:pPr>
              <w:spacing w:line="440" w:lineRule="exact"/>
              <w:rPr>
                <w:bCs/>
                <w:szCs w:val="21"/>
              </w:rPr>
            </w:pPr>
            <w:r>
              <w:rPr>
                <w:rFonts w:cs="黑体"/>
                <w:bCs/>
                <w:szCs w:val="21"/>
              </w:rPr>
              <w:t>3</w:t>
            </w:r>
          </w:p>
        </w:tc>
        <w:tc>
          <w:tcPr>
            <w:tcW w:w="2850" w:type="dxa"/>
            <w:vAlign w:val="center"/>
          </w:tcPr>
          <w:p>
            <w:pPr>
              <w:spacing w:line="440" w:lineRule="exact"/>
              <w:rPr>
                <w:szCs w:val="21"/>
              </w:rPr>
            </w:pPr>
            <w:r>
              <w:rPr>
                <w:rFonts w:hint="eastAsia"/>
              </w:rPr>
              <w:t>提供各级各类组织统计表和活动计划一览表。</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1087" w:type="dxa"/>
            <w:vMerge w:val="restart"/>
            <w:vAlign w:val="center"/>
          </w:tcPr>
          <w:p>
            <w:pPr>
              <w:spacing w:line="440" w:lineRule="exact"/>
              <w:rPr>
                <w:rFonts w:cs="黑体"/>
                <w:bCs/>
                <w:kern w:val="0"/>
                <w:szCs w:val="21"/>
              </w:rPr>
            </w:pPr>
            <w:r>
              <w:rPr>
                <w:rFonts w:hint="eastAsia" w:cs="黑体"/>
                <w:bCs/>
                <w:kern w:val="0"/>
                <w:szCs w:val="21"/>
              </w:rPr>
              <w:t>社区教育成效</w:t>
            </w:r>
          </w:p>
          <w:p>
            <w:pPr>
              <w:spacing w:line="440" w:lineRule="exact"/>
              <w:rPr>
                <w:rFonts w:cs="黑体"/>
                <w:bCs/>
                <w:kern w:val="0"/>
                <w:szCs w:val="21"/>
              </w:rPr>
            </w:pPr>
            <w:r>
              <w:rPr>
                <w:rFonts w:hint="eastAsia" w:cs="黑体"/>
                <w:bCs/>
                <w:kern w:val="0"/>
                <w:szCs w:val="21"/>
              </w:rPr>
              <w:t>（</w:t>
            </w:r>
            <w:r>
              <w:rPr>
                <w:rFonts w:cs="黑体"/>
                <w:bCs/>
                <w:kern w:val="0"/>
                <w:szCs w:val="21"/>
              </w:rPr>
              <w:t>25</w:t>
            </w:r>
            <w:r>
              <w:rPr>
                <w:rFonts w:hint="eastAsia" w:cs="黑体"/>
                <w:bCs/>
                <w:kern w:val="0"/>
                <w:szCs w:val="21"/>
              </w:rPr>
              <w:t>分）</w:t>
            </w:r>
          </w:p>
        </w:tc>
        <w:tc>
          <w:tcPr>
            <w:tcW w:w="1125" w:type="dxa"/>
            <w:vMerge w:val="restart"/>
            <w:vAlign w:val="center"/>
          </w:tcPr>
          <w:p>
            <w:pPr>
              <w:spacing w:line="440" w:lineRule="exact"/>
              <w:rPr>
                <w:rFonts w:cs="黑体"/>
                <w:bCs/>
                <w:spacing w:val="-6"/>
                <w:kern w:val="0"/>
                <w:szCs w:val="21"/>
              </w:rPr>
            </w:pPr>
            <w:r>
              <w:rPr>
                <w:rFonts w:hint="eastAsia" w:cs="黑体"/>
                <w:bCs/>
                <w:spacing w:val="-6"/>
                <w:kern w:val="0"/>
                <w:szCs w:val="21"/>
              </w:rPr>
              <w:t>社区成员的认知和评价</w:t>
            </w:r>
          </w:p>
          <w:p>
            <w:pPr>
              <w:spacing w:line="440" w:lineRule="exact"/>
              <w:rPr>
                <w:rFonts w:cs="黑体"/>
                <w:bCs/>
                <w:kern w:val="0"/>
                <w:szCs w:val="21"/>
              </w:rPr>
            </w:pPr>
            <w:r>
              <w:rPr>
                <w:rFonts w:cs="黑体"/>
                <w:bCs/>
                <w:kern w:val="0"/>
                <w:szCs w:val="21"/>
              </w:rPr>
              <w:t>8</w:t>
            </w:r>
          </w:p>
        </w:tc>
        <w:tc>
          <w:tcPr>
            <w:tcW w:w="3345" w:type="dxa"/>
            <w:vAlign w:val="center"/>
          </w:tcPr>
          <w:p>
            <w:pPr>
              <w:spacing w:line="440" w:lineRule="exact"/>
              <w:rPr>
                <w:bCs/>
                <w:szCs w:val="21"/>
              </w:rPr>
            </w:pPr>
            <w:r>
              <w:rPr>
                <w:rFonts w:hint="eastAsia" w:cs="黑体"/>
                <w:bCs/>
                <w:szCs w:val="21"/>
              </w:rPr>
              <w:t>★</w:t>
            </w:r>
            <w:r>
              <w:rPr>
                <w:rFonts w:cs="黑体"/>
                <w:bCs/>
                <w:szCs w:val="21"/>
              </w:rPr>
              <w:t>30.</w:t>
            </w:r>
            <w:r>
              <w:rPr>
                <w:rFonts w:hint="eastAsia" w:cs="黑体"/>
                <w:bCs/>
                <w:szCs w:val="21"/>
              </w:rPr>
              <w:t>社区成员对社区教育的知晓率、认同率达</w:t>
            </w:r>
            <w:r>
              <w:rPr>
                <w:rFonts w:cs="黑体"/>
                <w:bCs/>
                <w:szCs w:val="21"/>
              </w:rPr>
              <w:t>60%</w:t>
            </w:r>
            <w:r>
              <w:rPr>
                <w:rFonts w:hint="eastAsia" w:cs="黑体"/>
                <w:bCs/>
                <w:szCs w:val="21"/>
              </w:rPr>
              <w:t>以上。</w:t>
            </w:r>
          </w:p>
        </w:tc>
        <w:tc>
          <w:tcPr>
            <w:tcW w:w="630" w:type="dxa"/>
            <w:vAlign w:val="center"/>
          </w:tcPr>
          <w:p>
            <w:pPr>
              <w:spacing w:line="440" w:lineRule="exact"/>
              <w:rPr>
                <w:bCs/>
                <w:szCs w:val="21"/>
              </w:rPr>
            </w:pPr>
            <w:r>
              <w:rPr>
                <w:rFonts w:cs="黑体"/>
                <w:bCs/>
                <w:szCs w:val="21"/>
              </w:rPr>
              <w:t>4</w:t>
            </w:r>
          </w:p>
        </w:tc>
        <w:tc>
          <w:tcPr>
            <w:tcW w:w="2850" w:type="dxa"/>
            <w:vAlign w:val="center"/>
          </w:tcPr>
          <w:p>
            <w:pPr>
              <w:spacing w:line="440" w:lineRule="exact"/>
              <w:rPr>
                <w:szCs w:val="21"/>
              </w:rPr>
            </w:pPr>
            <w:r>
              <w:rPr>
                <w:rFonts w:hint="eastAsia"/>
              </w:rPr>
              <w:t>提供有关调查报告、问卷表、统计表、宣传报道等资料。</w:t>
            </w: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hint="eastAsia" w:cs="黑体"/>
                <w:bCs/>
                <w:szCs w:val="21"/>
              </w:rPr>
              <w:t>★</w:t>
            </w:r>
            <w:r>
              <w:rPr>
                <w:rFonts w:cs="黑体"/>
                <w:bCs/>
                <w:szCs w:val="21"/>
              </w:rPr>
              <w:t>31.</w:t>
            </w:r>
            <w:r>
              <w:rPr>
                <w:rFonts w:hint="eastAsia" w:cs="黑体"/>
                <w:bCs/>
                <w:szCs w:val="21"/>
              </w:rPr>
              <w:t>社区成员对接受社区教育服务的满意率达</w:t>
            </w:r>
            <w:r>
              <w:rPr>
                <w:rFonts w:cs="黑体"/>
                <w:bCs/>
                <w:szCs w:val="21"/>
              </w:rPr>
              <w:t>60%</w:t>
            </w:r>
            <w:r>
              <w:rPr>
                <w:rFonts w:hint="eastAsia" w:cs="黑体"/>
                <w:bCs/>
                <w:szCs w:val="21"/>
              </w:rPr>
              <w:t>以上。</w:t>
            </w:r>
          </w:p>
        </w:tc>
        <w:tc>
          <w:tcPr>
            <w:tcW w:w="630" w:type="dxa"/>
            <w:vAlign w:val="center"/>
          </w:tcPr>
          <w:p>
            <w:pPr>
              <w:spacing w:line="440" w:lineRule="exact"/>
              <w:rPr>
                <w:bCs/>
                <w:szCs w:val="21"/>
              </w:rPr>
            </w:pPr>
            <w:r>
              <w:rPr>
                <w:rFonts w:cs="黑体"/>
                <w:bCs/>
                <w:szCs w:val="21"/>
              </w:rPr>
              <w:t>4</w:t>
            </w:r>
          </w:p>
        </w:tc>
        <w:tc>
          <w:tcPr>
            <w:tcW w:w="2850" w:type="dxa"/>
            <w:vAlign w:val="center"/>
          </w:tcPr>
          <w:p>
            <w:pPr>
              <w:spacing w:line="440" w:lineRule="exact"/>
              <w:rPr>
                <w:szCs w:val="21"/>
              </w:rPr>
            </w:pPr>
            <w:r>
              <w:rPr>
                <w:rFonts w:hint="eastAsia"/>
              </w:rPr>
              <w:t>提供有关调查报告、统计表和有关宣传报道。</w:t>
            </w: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社区成员综合素质的提高</w:t>
            </w:r>
            <w:r>
              <w:rPr>
                <w:rFonts w:cs="黑体"/>
                <w:bCs/>
                <w:kern w:val="0"/>
                <w:szCs w:val="21"/>
              </w:rPr>
              <w:t xml:space="preserve">  6</w:t>
            </w:r>
          </w:p>
        </w:tc>
        <w:tc>
          <w:tcPr>
            <w:tcW w:w="3345" w:type="dxa"/>
            <w:vAlign w:val="center"/>
          </w:tcPr>
          <w:p>
            <w:pPr>
              <w:spacing w:line="440" w:lineRule="exact"/>
              <w:rPr>
                <w:bCs/>
                <w:szCs w:val="21"/>
              </w:rPr>
            </w:pPr>
            <w:r>
              <w:rPr>
                <w:rFonts w:cs="黑体"/>
                <w:bCs/>
                <w:szCs w:val="21"/>
              </w:rPr>
              <w:t>32.</w:t>
            </w:r>
            <w:r>
              <w:rPr>
                <w:rFonts w:hint="eastAsia" w:cs="黑体"/>
                <w:bCs/>
                <w:szCs w:val="21"/>
              </w:rPr>
              <w:t>社区成员的社区归属感、遵守社会公德自觉性、扶贫帮困、参加公益活动等公民素质有较大的提高。</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提供有关调查报告、案例和宣传报道。</w:t>
            </w: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33.</w:t>
            </w:r>
            <w:r>
              <w:rPr>
                <w:rFonts w:hint="eastAsia" w:cs="黑体"/>
                <w:bCs/>
                <w:szCs w:val="21"/>
              </w:rPr>
              <w:t>社区成员参与终身学习的积极性明显提高，精神生活质量有较大改善。</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提供有关调查报告、有关案例和宣传报道。</w:t>
            </w: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34.</w:t>
            </w:r>
            <w:r>
              <w:rPr>
                <w:rFonts w:hint="eastAsia" w:cs="黑体"/>
                <w:bCs/>
                <w:szCs w:val="21"/>
              </w:rPr>
              <w:t>社区成员终身学习观念有明显增强，求知欲有明显提升，知识和技能含量明显提高。</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提供有关调查报告、有关案例和宣传报道。</w:t>
            </w:r>
          </w:p>
        </w:tc>
        <w:tc>
          <w:tcPr>
            <w:tcW w:w="2445" w:type="dxa"/>
            <w:vAlign w:val="center"/>
          </w:tcPr>
          <w:p>
            <w:pPr>
              <w:spacing w:line="440" w:lineRule="exact"/>
            </w:pPr>
            <w:r>
              <w:rPr>
                <w:rFonts w:hint="eastAsia"/>
              </w:rPr>
              <w:t>县教科局、</w:t>
            </w:r>
          </w:p>
          <w:p>
            <w:pPr>
              <w:spacing w:line="440" w:lineRule="exact"/>
              <w:rPr>
                <w:szCs w:val="21"/>
              </w:rPr>
            </w:pPr>
            <w:r>
              <w:rPr>
                <w:rFonts w:hint="eastAsia"/>
              </w:rPr>
              <w:t>县民政局、各镇街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社区发展和成员生活质量的提升</w:t>
            </w:r>
          </w:p>
          <w:p>
            <w:pPr>
              <w:spacing w:line="440" w:lineRule="exact"/>
              <w:rPr>
                <w:rFonts w:cs="黑体"/>
                <w:bCs/>
                <w:kern w:val="0"/>
                <w:szCs w:val="21"/>
              </w:rPr>
            </w:pPr>
            <w:r>
              <w:rPr>
                <w:rFonts w:cs="黑体"/>
                <w:bCs/>
                <w:kern w:val="0"/>
                <w:szCs w:val="21"/>
              </w:rPr>
              <w:t>6</w:t>
            </w:r>
          </w:p>
        </w:tc>
        <w:tc>
          <w:tcPr>
            <w:tcW w:w="3345" w:type="dxa"/>
            <w:vAlign w:val="center"/>
          </w:tcPr>
          <w:p>
            <w:pPr>
              <w:spacing w:line="440" w:lineRule="exact"/>
              <w:rPr>
                <w:bCs/>
                <w:szCs w:val="21"/>
              </w:rPr>
            </w:pPr>
            <w:r>
              <w:rPr>
                <w:rFonts w:cs="黑体"/>
                <w:bCs/>
                <w:szCs w:val="21"/>
              </w:rPr>
              <w:t>35.</w:t>
            </w:r>
            <w:r>
              <w:rPr>
                <w:rFonts w:hint="eastAsia" w:cs="黑体"/>
                <w:bCs/>
                <w:szCs w:val="21"/>
              </w:rPr>
              <w:t>推进了“文明社区”、“安全社区”、“和谐社区”、“数字社区”、“健康社区”等各类创建工作，成效显著。</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cs="黑体"/>
                <w:bCs/>
                <w:szCs w:val="21"/>
              </w:rPr>
              <w:t>提供创建工作会议资料、宣传报道、各单位和团体获得荣誉等资料。</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36.</w:t>
            </w:r>
            <w:r>
              <w:rPr>
                <w:rFonts w:hint="eastAsia" w:cs="黑体"/>
                <w:bCs/>
                <w:szCs w:val="21"/>
              </w:rPr>
              <w:t>社区和谐稳定，各类案件发生率下降。</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cs="黑体"/>
                <w:bCs/>
                <w:szCs w:val="21"/>
              </w:rPr>
              <w:t>有关调研报告、统计表和问卷等。</w:t>
            </w:r>
          </w:p>
        </w:tc>
        <w:tc>
          <w:tcPr>
            <w:tcW w:w="2445" w:type="dxa"/>
            <w:vAlign w:val="center"/>
          </w:tcPr>
          <w:p>
            <w:pPr>
              <w:spacing w:line="440" w:lineRule="exact"/>
              <w:rPr>
                <w:szCs w:val="21"/>
              </w:rPr>
            </w:pPr>
            <w:r>
              <w:rPr>
                <w:rFonts w:hint="eastAsia"/>
              </w:rPr>
              <w:t>县民政局、县公安局</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37.</w:t>
            </w:r>
            <w:r>
              <w:rPr>
                <w:rFonts w:hint="eastAsia" w:cs="黑体"/>
                <w:bCs/>
                <w:szCs w:val="21"/>
              </w:rPr>
              <w:t>社区成员的精神生活质量和环境生活质量有了改善。</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szCs w:val="21"/>
              </w:rPr>
            </w:pPr>
            <w:r>
              <w:rPr>
                <w:rFonts w:hint="eastAsia"/>
              </w:rPr>
              <w:t>提供有关调查报告、统计表和宣传报道。</w:t>
            </w:r>
          </w:p>
        </w:tc>
        <w:tc>
          <w:tcPr>
            <w:tcW w:w="2445" w:type="dxa"/>
            <w:vAlign w:val="center"/>
          </w:tcPr>
          <w:p>
            <w:pPr>
              <w:spacing w:line="440" w:lineRule="exact"/>
            </w:pPr>
            <w:r>
              <w:rPr>
                <w:rFonts w:hint="eastAsia"/>
              </w:rPr>
              <w:t>县民政局、</w:t>
            </w:r>
          </w:p>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7"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kern w:val="0"/>
                <w:szCs w:val="21"/>
              </w:rPr>
            </w:pPr>
            <w:r>
              <w:rPr>
                <w:rFonts w:hint="eastAsia" w:cs="黑体"/>
                <w:bCs/>
                <w:kern w:val="0"/>
                <w:szCs w:val="21"/>
              </w:rPr>
              <w:t>内涵建设的加强</w:t>
            </w:r>
          </w:p>
          <w:p>
            <w:pPr>
              <w:spacing w:line="440" w:lineRule="exact"/>
              <w:rPr>
                <w:rFonts w:cs="黑体"/>
                <w:bCs/>
                <w:kern w:val="0"/>
                <w:szCs w:val="21"/>
              </w:rPr>
            </w:pPr>
            <w:r>
              <w:rPr>
                <w:rFonts w:cs="黑体"/>
                <w:bCs/>
                <w:kern w:val="0"/>
                <w:szCs w:val="21"/>
              </w:rPr>
              <w:t>5</w:t>
            </w:r>
          </w:p>
        </w:tc>
        <w:tc>
          <w:tcPr>
            <w:tcW w:w="3345" w:type="dxa"/>
            <w:vAlign w:val="center"/>
          </w:tcPr>
          <w:p>
            <w:pPr>
              <w:spacing w:line="440" w:lineRule="exact"/>
              <w:rPr>
                <w:bCs/>
                <w:szCs w:val="21"/>
              </w:rPr>
            </w:pPr>
            <w:r>
              <w:rPr>
                <w:rFonts w:cs="黑体"/>
                <w:bCs/>
                <w:szCs w:val="21"/>
              </w:rPr>
              <w:t>38.</w:t>
            </w:r>
            <w:r>
              <w:rPr>
                <w:rFonts w:hint="eastAsia" w:cs="黑体"/>
                <w:bCs/>
                <w:szCs w:val="21"/>
              </w:rPr>
              <w:t>重视社区教育课程和教材建设，已形成具有教材性质的读本。</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bCs/>
                <w:szCs w:val="21"/>
              </w:rPr>
            </w:pPr>
            <w:r>
              <w:rPr>
                <w:rFonts w:hint="eastAsia"/>
              </w:rPr>
              <w:t>提供各级各类组织课程开发活动计划和特色课程一览表及相关佐证资料。</w:t>
            </w:r>
          </w:p>
        </w:tc>
        <w:tc>
          <w:tcPr>
            <w:tcW w:w="2445" w:type="dxa"/>
            <w:vAlign w:val="center"/>
          </w:tcPr>
          <w:p>
            <w:pPr>
              <w:spacing w:line="440" w:lineRule="exact"/>
            </w:pPr>
            <w:r>
              <w:rPr>
                <w:rFonts w:hint="eastAsia"/>
              </w:rPr>
              <w:t>县教科局、县民政局、</w:t>
            </w:r>
          </w:p>
          <w:p>
            <w:pPr>
              <w:spacing w:line="440" w:lineRule="exact"/>
            </w:pPr>
            <w:r>
              <w:rPr>
                <w:rFonts w:hint="eastAsia"/>
              </w:rPr>
              <w:t>县司法局、县财政局、</w:t>
            </w:r>
          </w:p>
          <w:p>
            <w:pPr>
              <w:spacing w:line="440" w:lineRule="exact"/>
            </w:pPr>
            <w:r>
              <w:rPr>
                <w:rFonts w:hint="eastAsia"/>
              </w:rPr>
              <w:t>县人社局、县公安局、</w:t>
            </w:r>
          </w:p>
          <w:p>
            <w:pPr>
              <w:spacing w:line="440" w:lineRule="exact"/>
            </w:pPr>
            <w:r>
              <w:rPr>
                <w:rFonts w:hint="eastAsia"/>
              </w:rPr>
              <w:t>县文旅体育局、县卫健局、县</w:t>
            </w:r>
            <w:bookmarkStart w:id="0" w:name="_GoBack"/>
            <w:bookmarkEnd w:id="0"/>
            <w:r>
              <w:rPr>
                <w:rFonts w:hint="eastAsia"/>
              </w:rPr>
              <w:t>老干部工作局、县残联、县工会、团县委、县妇联</w:t>
            </w:r>
          </w:p>
          <w:p>
            <w:pPr>
              <w:spacing w:line="440" w:lineRule="exact"/>
              <w:rPr>
                <w:bCs/>
                <w:szCs w:val="21"/>
              </w:rPr>
            </w:pPr>
            <w:r>
              <w:rPr>
                <w:rFonts w:hint="eastAsia"/>
              </w:rPr>
              <w:t>（各单位提供课程资源，县教科局统一汇总印制）。</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39.</w:t>
            </w:r>
            <w:r>
              <w:rPr>
                <w:rFonts w:hint="eastAsia" w:cs="黑体"/>
                <w:bCs/>
                <w:szCs w:val="21"/>
              </w:rPr>
              <w:t>开展社区教育实验项目工作取得一定成效。</w:t>
            </w:r>
          </w:p>
        </w:tc>
        <w:tc>
          <w:tcPr>
            <w:tcW w:w="630" w:type="dxa"/>
            <w:vAlign w:val="center"/>
          </w:tcPr>
          <w:p>
            <w:pPr>
              <w:spacing w:line="440" w:lineRule="exact"/>
              <w:rPr>
                <w:bCs/>
                <w:szCs w:val="21"/>
              </w:rPr>
            </w:pPr>
            <w:r>
              <w:rPr>
                <w:rFonts w:cs="黑体"/>
                <w:bCs/>
                <w:szCs w:val="21"/>
              </w:rPr>
              <w:t>2</w:t>
            </w:r>
          </w:p>
        </w:tc>
        <w:tc>
          <w:tcPr>
            <w:tcW w:w="2850" w:type="dxa"/>
            <w:vAlign w:val="center"/>
          </w:tcPr>
          <w:p>
            <w:pPr>
              <w:spacing w:line="440" w:lineRule="exact"/>
              <w:rPr>
                <w:bCs/>
                <w:szCs w:val="21"/>
              </w:rPr>
            </w:pPr>
            <w:r>
              <w:rPr>
                <w:rFonts w:hint="eastAsia"/>
                <w:bCs/>
                <w:szCs w:val="21"/>
              </w:rPr>
              <w:t>提供社区教育实验项目资料。</w:t>
            </w:r>
          </w:p>
        </w:tc>
        <w:tc>
          <w:tcPr>
            <w:tcW w:w="2445" w:type="dxa"/>
            <w:vAlign w:val="center"/>
          </w:tcPr>
          <w:p>
            <w:pPr>
              <w:spacing w:line="440" w:lineRule="exact"/>
              <w:rPr>
                <w:bCs/>
                <w:szCs w:val="21"/>
              </w:rPr>
            </w:pPr>
            <w:r>
              <w:rPr>
                <w:rFonts w:hint="eastAsia"/>
                <w:bCs/>
                <w:szCs w:val="21"/>
              </w:rPr>
              <w:t>县教科局、县民政局、</w:t>
            </w:r>
          </w:p>
          <w:p>
            <w:pPr>
              <w:spacing w:line="440" w:lineRule="exact"/>
              <w:rPr>
                <w:bCs/>
                <w:szCs w:val="21"/>
              </w:rPr>
            </w:pPr>
            <w:r>
              <w:rPr>
                <w:rFonts w:hint="eastAsia"/>
                <w:bCs/>
                <w:szCs w:val="21"/>
              </w:rPr>
              <w:t>各镇街</w:t>
            </w:r>
          </w:p>
        </w:tc>
        <w:tc>
          <w:tcPr>
            <w:tcW w:w="1290" w:type="dxa"/>
          </w:tcPr>
          <w:p>
            <w:pPr>
              <w:spacing w:line="440" w:lineRule="exact"/>
              <w:rPr>
                <w:bCs/>
                <w:szCs w:val="21"/>
              </w:rPr>
            </w:pPr>
          </w:p>
        </w:tc>
        <w:tc>
          <w:tcPr>
            <w:tcW w:w="1296" w:type="dxa"/>
          </w:tcPr>
          <w:p>
            <w:pPr>
              <w:spacing w:line="440" w:lineRule="exac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bCs/>
                <w:szCs w:val="21"/>
              </w:rPr>
            </w:pPr>
            <w:r>
              <w:rPr>
                <w:rFonts w:cs="黑体"/>
                <w:bCs/>
                <w:szCs w:val="21"/>
              </w:rPr>
              <w:t>40</w:t>
            </w:r>
            <w:r>
              <w:rPr>
                <w:rFonts w:hint="eastAsia" w:cs="黑体"/>
                <w:bCs/>
                <w:szCs w:val="21"/>
              </w:rPr>
              <w:t>注重社区教育课题研究，并取得初步成效。</w:t>
            </w:r>
          </w:p>
        </w:tc>
        <w:tc>
          <w:tcPr>
            <w:tcW w:w="630" w:type="dxa"/>
            <w:vAlign w:val="center"/>
          </w:tcPr>
          <w:p>
            <w:pPr>
              <w:spacing w:line="440" w:lineRule="exact"/>
              <w:rPr>
                <w:bCs/>
                <w:szCs w:val="21"/>
              </w:rPr>
            </w:pPr>
            <w:r>
              <w:rPr>
                <w:rFonts w:cs="黑体"/>
                <w:bCs/>
                <w:szCs w:val="21"/>
              </w:rPr>
              <w:t>1</w:t>
            </w:r>
          </w:p>
        </w:tc>
        <w:tc>
          <w:tcPr>
            <w:tcW w:w="2850" w:type="dxa"/>
            <w:vAlign w:val="center"/>
          </w:tcPr>
          <w:p>
            <w:pPr>
              <w:spacing w:line="440" w:lineRule="exact"/>
              <w:rPr>
                <w:bCs/>
                <w:szCs w:val="21"/>
              </w:rPr>
            </w:pPr>
            <w:r>
              <w:rPr>
                <w:rFonts w:hint="eastAsia"/>
                <w:bCs/>
                <w:szCs w:val="21"/>
              </w:rPr>
              <w:t>提供社区教育课题研究资料。</w:t>
            </w:r>
          </w:p>
        </w:tc>
        <w:tc>
          <w:tcPr>
            <w:tcW w:w="2445" w:type="dxa"/>
            <w:vAlign w:val="center"/>
          </w:tcPr>
          <w:p>
            <w:pPr>
              <w:spacing w:line="440" w:lineRule="exact"/>
              <w:rPr>
                <w:bCs/>
                <w:szCs w:val="21"/>
              </w:rPr>
            </w:pPr>
            <w:r>
              <w:rPr>
                <w:rFonts w:hint="eastAsia"/>
                <w:bCs/>
                <w:szCs w:val="21"/>
              </w:rPr>
              <w:t>县教科局、县民政局、</w:t>
            </w:r>
          </w:p>
          <w:p>
            <w:pPr>
              <w:spacing w:line="440" w:lineRule="exact"/>
              <w:rPr>
                <w:bCs/>
                <w:szCs w:val="21"/>
              </w:rPr>
            </w:pPr>
            <w:r>
              <w:rPr>
                <w:rFonts w:hint="eastAsia"/>
                <w:bCs/>
                <w:szCs w:val="21"/>
              </w:rPr>
              <w:t>各镇街</w:t>
            </w:r>
          </w:p>
        </w:tc>
        <w:tc>
          <w:tcPr>
            <w:tcW w:w="1290" w:type="dxa"/>
          </w:tcPr>
          <w:p>
            <w:pPr>
              <w:spacing w:line="440" w:lineRule="exact"/>
              <w:rPr>
                <w:bCs/>
                <w:szCs w:val="21"/>
              </w:rPr>
            </w:pPr>
          </w:p>
        </w:tc>
        <w:tc>
          <w:tcPr>
            <w:tcW w:w="1296" w:type="dxa"/>
          </w:tcPr>
          <w:p>
            <w:pPr>
              <w:spacing w:line="440" w:lineRule="exac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1087" w:type="dxa"/>
            <w:vMerge w:val="restart"/>
            <w:vAlign w:val="center"/>
          </w:tcPr>
          <w:p>
            <w:pPr>
              <w:spacing w:line="440" w:lineRule="exact"/>
              <w:rPr>
                <w:rFonts w:cs="黑体"/>
                <w:bCs/>
                <w:kern w:val="0"/>
                <w:szCs w:val="21"/>
              </w:rPr>
            </w:pPr>
            <w:r>
              <w:rPr>
                <w:rFonts w:hint="eastAsia" w:cs="黑体"/>
                <w:bCs/>
                <w:kern w:val="0"/>
                <w:szCs w:val="21"/>
              </w:rPr>
              <w:t>特色与</w:t>
            </w:r>
          </w:p>
          <w:p>
            <w:pPr>
              <w:spacing w:line="440" w:lineRule="exact"/>
              <w:rPr>
                <w:rFonts w:cs="黑体"/>
                <w:bCs/>
                <w:kern w:val="0"/>
                <w:szCs w:val="21"/>
              </w:rPr>
            </w:pPr>
            <w:r>
              <w:rPr>
                <w:rFonts w:hint="eastAsia" w:cs="黑体"/>
                <w:bCs/>
                <w:kern w:val="0"/>
                <w:szCs w:val="21"/>
              </w:rPr>
              <w:t>创新</w:t>
            </w:r>
          </w:p>
          <w:p>
            <w:pPr>
              <w:spacing w:line="440" w:lineRule="exact"/>
              <w:rPr>
                <w:rFonts w:cs="黑体"/>
                <w:bCs/>
                <w:kern w:val="0"/>
                <w:szCs w:val="21"/>
              </w:rPr>
            </w:pPr>
            <w:r>
              <w:rPr>
                <w:rFonts w:hint="eastAsia" w:cs="黑体"/>
                <w:bCs/>
                <w:kern w:val="0"/>
                <w:szCs w:val="21"/>
              </w:rPr>
              <w:t>（</w:t>
            </w:r>
            <w:r>
              <w:rPr>
                <w:rFonts w:cs="黑体"/>
                <w:bCs/>
                <w:kern w:val="0"/>
                <w:szCs w:val="21"/>
              </w:rPr>
              <w:t>10</w:t>
            </w:r>
            <w:r>
              <w:rPr>
                <w:rFonts w:hint="eastAsia" w:cs="黑体"/>
                <w:bCs/>
                <w:kern w:val="0"/>
                <w:szCs w:val="21"/>
              </w:rPr>
              <w:t>分）</w:t>
            </w:r>
          </w:p>
        </w:tc>
        <w:tc>
          <w:tcPr>
            <w:tcW w:w="1125" w:type="dxa"/>
            <w:vMerge w:val="restart"/>
            <w:vAlign w:val="center"/>
          </w:tcPr>
          <w:p>
            <w:pPr>
              <w:spacing w:line="440" w:lineRule="exact"/>
              <w:rPr>
                <w:rFonts w:cs="黑体"/>
                <w:bCs/>
                <w:spacing w:val="-6"/>
                <w:kern w:val="0"/>
                <w:szCs w:val="21"/>
              </w:rPr>
            </w:pPr>
            <w:r>
              <w:rPr>
                <w:rFonts w:hint="eastAsia" w:cs="黑体"/>
                <w:bCs/>
                <w:spacing w:val="-6"/>
                <w:kern w:val="0"/>
                <w:szCs w:val="21"/>
              </w:rPr>
              <w:t>特色（做到其中一项可获满分）</w:t>
            </w:r>
          </w:p>
          <w:p>
            <w:pPr>
              <w:spacing w:line="440" w:lineRule="exact"/>
              <w:rPr>
                <w:rFonts w:cs="黑体"/>
                <w:bCs/>
                <w:spacing w:val="-6"/>
                <w:kern w:val="0"/>
                <w:szCs w:val="21"/>
              </w:rPr>
            </w:pPr>
            <w:r>
              <w:rPr>
                <w:rFonts w:cs="黑体"/>
                <w:bCs/>
                <w:spacing w:val="-6"/>
                <w:kern w:val="0"/>
                <w:szCs w:val="21"/>
              </w:rPr>
              <w:t>5</w:t>
            </w:r>
          </w:p>
        </w:tc>
        <w:tc>
          <w:tcPr>
            <w:tcW w:w="3345" w:type="dxa"/>
            <w:vAlign w:val="center"/>
          </w:tcPr>
          <w:p>
            <w:pPr>
              <w:spacing w:line="440" w:lineRule="exact"/>
              <w:rPr>
                <w:bCs/>
                <w:szCs w:val="21"/>
              </w:rPr>
            </w:pPr>
            <w:r>
              <w:rPr>
                <w:rFonts w:hint="eastAsia" w:cs="黑体"/>
                <w:bCs/>
                <w:szCs w:val="21"/>
              </w:rPr>
              <w:t>★</w:t>
            </w:r>
            <w:r>
              <w:rPr>
                <w:rFonts w:cs="黑体"/>
                <w:bCs/>
                <w:kern w:val="0"/>
                <w:szCs w:val="21"/>
              </w:rPr>
              <w:t>41.</w:t>
            </w:r>
            <w:r>
              <w:rPr>
                <w:rFonts w:hint="eastAsia" w:cs="黑体"/>
                <w:bCs/>
                <w:kern w:val="0"/>
                <w:szCs w:val="21"/>
              </w:rPr>
              <w:t>注重社区教育课程和活动的研发，已形成具有社区特色的课程及活动资源。</w:t>
            </w:r>
          </w:p>
        </w:tc>
        <w:tc>
          <w:tcPr>
            <w:tcW w:w="630" w:type="dxa"/>
            <w:vMerge w:val="restart"/>
            <w:vAlign w:val="center"/>
          </w:tcPr>
          <w:p>
            <w:pPr>
              <w:spacing w:line="440" w:lineRule="exact"/>
              <w:rPr>
                <w:rFonts w:cs="黑体"/>
                <w:bCs/>
                <w:szCs w:val="21"/>
              </w:rPr>
            </w:pPr>
            <w:r>
              <w:rPr>
                <w:rFonts w:cs="黑体"/>
                <w:bCs/>
                <w:szCs w:val="21"/>
              </w:rPr>
              <w:t>5</w:t>
            </w:r>
          </w:p>
        </w:tc>
        <w:tc>
          <w:tcPr>
            <w:tcW w:w="2850" w:type="dxa"/>
            <w:vMerge w:val="restart"/>
            <w:vAlign w:val="center"/>
          </w:tcPr>
          <w:p>
            <w:pPr>
              <w:spacing w:line="440" w:lineRule="exact"/>
              <w:jc w:val="left"/>
              <w:rPr>
                <w:szCs w:val="21"/>
              </w:rPr>
            </w:pPr>
            <w:r>
              <w:rPr>
                <w:rFonts w:hint="eastAsia"/>
              </w:rPr>
              <w:t>提供各级各类组织课程开发活动计划和特色课程资料（书香学堂、XX大讲堂等）。</w:t>
            </w:r>
          </w:p>
        </w:tc>
        <w:tc>
          <w:tcPr>
            <w:tcW w:w="2445" w:type="dxa"/>
            <w:vMerge w:val="restart"/>
            <w:vAlign w:val="center"/>
          </w:tcPr>
          <w:p>
            <w:pPr>
              <w:spacing w:line="440" w:lineRule="exact"/>
              <w:rPr>
                <w:bCs/>
                <w:szCs w:val="21"/>
              </w:rPr>
            </w:pPr>
            <w:r>
              <w:rPr>
                <w:rFonts w:hint="eastAsia"/>
                <w:bCs/>
                <w:szCs w:val="21"/>
              </w:rPr>
              <w:t>县教科局、县民政局、</w:t>
            </w:r>
          </w:p>
          <w:p>
            <w:pPr>
              <w:spacing w:line="440" w:lineRule="exact"/>
              <w:rPr>
                <w:szCs w:val="21"/>
              </w:rPr>
            </w:pPr>
            <w:r>
              <w:rPr>
                <w:rFonts w:hint="eastAsia"/>
                <w:bCs/>
                <w:szCs w:val="21"/>
              </w:rPr>
              <w:t>各镇街</w:t>
            </w:r>
          </w:p>
        </w:tc>
        <w:tc>
          <w:tcPr>
            <w:tcW w:w="1290" w:type="dxa"/>
          </w:tcPr>
          <w:p>
            <w:pPr>
              <w:spacing w:line="440" w:lineRule="exact"/>
              <w:rPr>
                <w:bCs/>
                <w:szCs w:val="21"/>
              </w:rPr>
            </w:pPr>
          </w:p>
        </w:tc>
        <w:tc>
          <w:tcPr>
            <w:tcW w:w="1296" w:type="dxa"/>
          </w:tcPr>
          <w:p>
            <w:pPr>
              <w:spacing w:line="440" w:lineRule="exac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spacing w:val="-6"/>
                <w:kern w:val="0"/>
                <w:szCs w:val="21"/>
              </w:rPr>
            </w:pPr>
          </w:p>
        </w:tc>
        <w:tc>
          <w:tcPr>
            <w:tcW w:w="3345" w:type="dxa"/>
            <w:vAlign w:val="center"/>
          </w:tcPr>
          <w:p>
            <w:pPr>
              <w:spacing w:line="440" w:lineRule="exact"/>
              <w:rPr>
                <w:bCs/>
                <w:kern w:val="0"/>
                <w:szCs w:val="21"/>
              </w:rPr>
            </w:pPr>
            <w:r>
              <w:rPr>
                <w:rFonts w:cs="黑体"/>
                <w:bCs/>
                <w:kern w:val="0"/>
                <w:szCs w:val="21"/>
              </w:rPr>
              <w:t>42.</w:t>
            </w:r>
            <w:r>
              <w:rPr>
                <w:rFonts w:hint="eastAsia" w:cs="黑体"/>
                <w:bCs/>
                <w:kern w:val="0"/>
                <w:szCs w:val="21"/>
              </w:rPr>
              <w:t>注重社区教育特色建设，已打造出有关项目、载体、平台等方面特色品牌。</w:t>
            </w:r>
          </w:p>
        </w:tc>
        <w:tc>
          <w:tcPr>
            <w:tcW w:w="630" w:type="dxa"/>
            <w:vMerge w:val="continue"/>
            <w:vAlign w:val="center"/>
          </w:tcPr>
          <w:p>
            <w:pPr>
              <w:spacing w:line="440" w:lineRule="exact"/>
              <w:rPr>
                <w:bCs/>
                <w:szCs w:val="21"/>
              </w:rPr>
            </w:pPr>
          </w:p>
        </w:tc>
        <w:tc>
          <w:tcPr>
            <w:tcW w:w="2850" w:type="dxa"/>
            <w:vMerge w:val="continue"/>
            <w:vAlign w:val="center"/>
          </w:tcPr>
          <w:p>
            <w:pPr>
              <w:spacing w:line="440" w:lineRule="exact"/>
              <w:rPr>
                <w:szCs w:val="21"/>
              </w:rPr>
            </w:pPr>
          </w:p>
        </w:tc>
        <w:tc>
          <w:tcPr>
            <w:tcW w:w="2445" w:type="dxa"/>
            <w:vMerge w:val="continue"/>
            <w:vAlign w:val="center"/>
          </w:tcPr>
          <w:p>
            <w:pPr>
              <w:spacing w:line="440" w:lineRule="exact"/>
              <w:rPr>
                <w:szCs w:val="21"/>
              </w:rPr>
            </w:pP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1087" w:type="dxa"/>
            <w:vMerge w:val="continue"/>
            <w:vAlign w:val="center"/>
          </w:tcPr>
          <w:p>
            <w:pPr>
              <w:spacing w:line="440" w:lineRule="exact"/>
              <w:rPr>
                <w:rFonts w:cs="黑体"/>
                <w:bCs/>
                <w:kern w:val="0"/>
                <w:szCs w:val="21"/>
              </w:rPr>
            </w:pPr>
          </w:p>
        </w:tc>
        <w:tc>
          <w:tcPr>
            <w:tcW w:w="1125" w:type="dxa"/>
            <w:vMerge w:val="restart"/>
            <w:vAlign w:val="center"/>
          </w:tcPr>
          <w:p>
            <w:pPr>
              <w:spacing w:line="440" w:lineRule="exact"/>
              <w:rPr>
                <w:rFonts w:cs="黑体"/>
                <w:bCs/>
                <w:spacing w:val="-6"/>
                <w:kern w:val="0"/>
                <w:szCs w:val="21"/>
              </w:rPr>
            </w:pPr>
            <w:r>
              <w:rPr>
                <w:rFonts w:hint="eastAsia" w:cs="黑体"/>
                <w:bCs/>
                <w:spacing w:val="-6"/>
                <w:kern w:val="0"/>
                <w:szCs w:val="21"/>
              </w:rPr>
              <w:t>创新（做到其中一项可获满分）</w:t>
            </w:r>
          </w:p>
          <w:p>
            <w:pPr>
              <w:spacing w:line="440" w:lineRule="exact"/>
              <w:rPr>
                <w:rFonts w:cs="黑体"/>
                <w:bCs/>
                <w:spacing w:val="-6"/>
                <w:kern w:val="0"/>
                <w:szCs w:val="21"/>
              </w:rPr>
            </w:pPr>
            <w:r>
              <w:rPr>
                <w:rFonts w:cs="黑体"/>
                <w:bCs/>
                <w:spacing w:val="-6"/>
                <w:kern w:val="0"/>
                <w:szCs w:val="21"/>
              </w:rPr>
              <w:t>5</w:t>
            </w:r>
          </w:p>
        </w:tc>
        <w:tc>
          <w:tcPr>
            <w:tcW w:w="3345" w:type="dxa"/>
            <w:vAlign w:val="center"/>
          </w:tcPr>
          <w:p>
            <w:pPr>
              <w:spacing w:line="440" w:lineRule="exact"/>
              <w:rPr>
                <w:bCs/>
                <w:spacing w:val="-6"/>
                <w:kern w:val="0"/>
                <w:szCs w:val="21"/>
              </w:rPr>
            </w:pPr>
            <w:r>
              <w:rPr>
                <w:rFonts w:cs="黑体"/>
                <w:bCs/>
                <w:spacing w:val="-6"/>
                <w:kern w:val="0"/>
                <w:szCs w:val="21"/>
              </w:rPr>
              <w:t>43.</w:t>
            </w:r>
            <w:r>
              <w:rPr>
                <w:rFonts w:hint="eastAsia" w:cs="黑体"/>
                <w:bCs/>
                <w:spacing w:val="-6"/>
                <w:kern w:val="0"/>
                <w:szCs w:val="21"/>
              </w:rPr>
              <w:t>注重社区教育问题研究和实验探索，已取得具有创新价值的实验研究成果，指导社区教育新发展。</w:t>
            </w:r>
          </w:p>
        </w:tc>
        <w:tc>
          <w:tcPr>
            <w:tcW w:w="630" w:type="dxa"/>
            <w:vMerge w:val="restart"/>
            <w:vAlign w:val="center"/>
          </w:tcPr>
          <w:p>
            <w:pPr>
              <w:spacing w:line="440" w:lineRule="exact"/>
              <w:rPr>
                <w:rFonts w:cs="黑体"/>
                <w:bCs/>
                <w:szCs w:val="21"/>
              </w:rPr>
            </w:pPr>
            <w:r>
              <w:rPr>
                <w:rFonts w:cs="黑体"/>
                <w:bCs/>
                <w:szCs w:val="21"/>
              </w:rPr>
              <w:t>5</w:t>
            </w:r>
          </w:p>
        </w:tc>
        <w:tc>
          <w:tcPr>
            <w:tcW w:w="2850" w:type="dxa"/>
            <w:vMerge w:val="restart"/>
            <w:vAlign w:val="center"/>
          </w:tcPr>
          <w:p>
            <w:pPr>
              <w:spacing w:line="440" w:lineRule="exact"/>
              <w:jc w:val="left"/>
              <w:rPr>
                <w:szCs w:val="21"/>
              </w:rPr>
            </w:pPr>
            <w:r>
              <w:rPr>
                <w:rFonts w:hint="eastAsia"/>
              </w:rPr>
              <w:t>提供各类研究课题和项目的原始审批资料和成果鉴定证明。提供社区教育各方面改革和效果有关文件、分析报告、发表文献和获奖资料。</w:t>
            </w:r>
          </w:p>
        </w:tc>
        <w:tc>
          <w:tcPr>
            <w:tcW w:w="2445" w:type="dxa"/>
            <w:vMerge w:val="restart"/>
            <w:vAlign w:val="center"/>
          </w:tcPr>
          <w:p>
            <w:pPr>
              <w:spacing w:line="440" w:lineRule="exact"/>
              <w:rPr>
                <w:szCs w:val="21"/>
              </w:rPr>
            </w:pPr>
            <w:r>
              <w:rPr>
                <w:rFonts w:hint="eastAsia"/>
              </w:rPr>
              <w:t>县教科局、各镇街</w:t>
            </w:r>
          </w:p>
        </w:tc>
        <w:tc>
          <w:tcPr>
            <w:tcW w:w="1290" w:type="dxa"/>
          </w:tcPr>
          <w:p>
            <w:pPr>
              <w:spacing w:line="440" w:lineRule="exact"/>
            </w:pPr>
          </w:p>
        </w:tc>
        <w:tc>
          <w:tcPr>
            <w:tcW w:w="1296"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087" w:type="dxa"/>
            <w:vMerge w:val="continue"/>
            <w:vAlign w:val="center"/>
          </w:tcPr>
          <w:p>
            <w:pPr>
              <w:spacing w:line="440" w:lineRule="exact"/>
              <w:rPr>
                <w:rFonts w:cs="黑体"/>
                <w:bCs/>
                <w:kern w:val="0"/>
                <w:szCs w:val="21"/>
              </w:rPr>
            </w:pPr>
          </w:p>
        </w:tc>
        <w:tc>
          <w:tcPr>
            <w:tcW w:w="1125" w:type="dxa"/>
            <w:vMerge w:val="continue"/>
            <w:vAlign w:val="center"/>
          </w:tcPr>
          <w:p>
            <w:pPr>
              <w:spacing w:line="440" w:lineRule="exact"/>
              <w:rPr>
                <w:rFonts w:cs="黑体"/>
                <w:bCs/>
                <w:kern w:val="0"/>
                <w:szCs w:val="21"/>
              </w:rPr>
            </w:pPr>
          </w:p>
        </w:tc>
        <w:tc>
          <w:tcPr>
            <w:tcW w:w="3345" w:type="dxa"/>
            <w:vAlign w:val="center"/>
          </w:tcPr>
          <w:p>
            <w:pPr>
              <w:spacing w:line="440" w:lineRule="exact"/>
              <w:rPr>
                <w:szCs w:val="21"/>
              </w:rPr>
            </w:pPr>
            <w:r>
              <w:rPr>
                <w:rFonts w:hint="eastAsia" w:cs="黑体"/>
                <w:bCs/>
                <w:szCs w:val="21"/>
              </w:rPr>
              <w:t>★</w:t>
            </w:r>
            <w:r>
              <w:rPr>
                <w:rFonts w:cs="黑体"/>
                <w:bCs/>
                <w:kern w:val="0"/>
                <w:szCs w:val="21"/>
              </w:rPr>
              <w:t>44.</w:t>
            </w:r>
            <w:r>
              <w:rPr>
                <w:rFonts w:hint="eastAsia" w:cs="黑体"/>
                <w:bCs/>
                <w:kern w:val="0"/>
                <w:szCs w:val="21"/>
              </w:rPr>
              <w:t>注重社区教育的管理体制、运行机制、</w:t>
            </w:r>
            <w:r>
              <w:rPr>
                <w:rFonts w:hint="eastAsia" w:cs="黑体"/>
                <w:bCs/>
                <w:color w:val="000000"/>
                <w:kern w:val="0"/>
                <w:szCs w:val="21"/>
              </w:rPr>
              <w:t>体系构建、资源共享、投入机制、队伍建设、市民学分银行建设</w:t>
            </w:r>
            <w:r>
              <w:rPr>
                <w:rFonts w:hint="eastAsia" w:cs="黑体"/>
                <w:bCs/>
                <w:kern w:val="0"/>
                <w:szCs w:val="21"/>
              </w:rPr>
              <w:t>、督导评估等方面改革创新，成效较为显著。</w:t>
            </w:r>
          </w:p>
        </w:tc>
        <w:tc>
          <w:tcPr>
            <w:tcW w:w="630" w:type="dxa"/>
            <w:vMerge w:val="continue"/>
            <w:vAlign w:val="center"/>
          </w:tcPr>
          <w:p>
            <w:pPr>
              <w:spacing w:line="440" w:lineRule="exact"/>
              <w:rPr>
                <w:bCs/>
                <w:szCs w:val="21"/>
              </w:rPr>
            </w:pPr>
          </w:p>
        </w:tc>
        <w:tc>
          <w:tcPr>
            <w:tcW w:w="2850" w:type="dxa"/>
            <w:vMerge w:val="continue"/>
            <w:vAlign w:val="center"/>
          </w:tcPr>
          <w:p>
            <w:pPr>
              <w:spacing w:line="440" w:lineRule="exact"/>
              <w:rPr>
                <w:szCs w:val="21"/>
              </w:rPr>
            </w:pPr>
          </w:p>
        </w:tc>
        <w:tc>
          <w:tcPr>
            <w:tcW w:w="2445" w:type="dxa"/>
            <w:vMerge w:val="continue"/>
            <w:vAlign w:val="center"/>
          </w:tcPr>
          <w:p>
            <w:pPr>
              <w:spacing w:line="440" w:lineRule="exact"/>
              <w:rPr>
                <w:szCs w:val="21"/>
              </w:rPr>
            </w:pPr>
          </w:p>
        </w:tc>
        <w:tc>
          <w:tcPr>
            <w:tcW w:w="1290" w:type="dxa"/>
          </w:tcPr>
          <w:p>
            <w:pPr>
              <w:spacing w:line="440" w:lineRule="exact"/>
              <w:rPr>
                <w:szCs w:val="21"/>
              </w:rPr>
            </w:pPr>
          </w:p>
        </w:tc>
        <w:tc>
          <w:tcPr>
            <w:tcW w:w="1296" w:type="dxa"/>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5557" w:type="dxa"/>
            <w:gridSpan w:val="3"/>
            <w:vAlign w:val="center"/>
          </w:tcPr>
          <w:p>
            <w:pPr>
              <w:spacing w:line="440" w:lineRule="exact"/>
              <w:rPr>
                <w:rFonts w:cs="黑体"/>
                <w:bCs/>
                <w:kern w:val="0"/>
                <w:szCs w:val="21"/>
              </w:rPr>
            </w:pPr>
            <w:r>
              <w:rPr>
                <w:rFonts w:hint="eastAsia" w:cs="黑体"/>
                <w:bCs/>
                <w:kern w:val="0"/>
                <w:szCs w:val="21"/>
              </w:rPr>
              <w:t>总   分</w:t>
            </w:r>
          </w:p>
        </w:tc>
        <w:tc>
          <w:tcPr>
            <w:tcW w:w="630" w:type="dxa"/>
            <w:vAlign w:val="center"/>
          </w:tcPr>
          <w:p>
            <w:pPr>
              <w:spacing w:line="440" w:lineRule="exact"/>
              <w:rPr>
                <w:bCs/>
                <w:szCs w:val="21"/>
              </w:rPr>
            </w:pPr>
            <w:r>
              <w:rPr>
                <w:rFonts w:cs="黑体"/>
                <w:bCs/>
                <w:szCs w:val="21"/>
              </w:rPr>
              <w:t>100</w:t>
            </w:r>
          </w:p>
        </w:tc>
        <w:tc>
          <w:tcPr>
            <w:tcW w:w="2850" w:type="dxa"/>
            <w:vAlign w:val="center"/>
          </w:tcPr>
          <w:p>
            <w:pPr>
              <w:spacing w:line="440" w:lineRule="exact"/>
              <w:rPr>
                <w:szCs w:val="21"/>
              </w:rPr>
            </w:pPr>
          </w:p>
        </w:tc>
        <w:tc>
          <w:tcPr>
            <w:tcW w:w="2445" w:type="dxa"/>
            <w:vAlign w:val="center"/>
          </w:tcPr>
          <w:p>
            <w:pPr>
              <w:spacing w:line="440" w:lineRule="exact"/>
              <w:rPr>
                <w:szCs w:val="21"/>
              </w:rPr>
            </w:pPr>
          </w:p>
        </w:tc>
        <w:tc>
          <w:tcPr>
            <w:tcW w:w="1290" w:type="dxa"/>
          </w:tcPr>
          <w:p>
            <w:pPr>
              <w:spacing w:line="440" w:lineRule="exact"/>
              <w:rPr>
                <w:szCs w:val="21"/>
              </w:rPr>
            </w:pPr>
          </w:p>
        </w:tc>
        <w:tc>
          <w:tcPr>
            <w:tcW w:w="1296" w:type="dxa"/>
          </w:tcPr>
          <w:p>
            <w:pPr>
              <w:spacing w:line="440" w:lineRule="exact"/>
              <w:rPr>
                <w:szCs w:val="21"/>
              </w:rPr>
            </w:pPr>
          </w:p>
        </w:tc>
      </w:tr>
    </w:tbl>
    <w:p>
      <w:pPr>
        <w:spacing w:line="560" w:lineRule="exact"/>
        <w:rPr>
          <w:bCs/>
          <w:kern w:val="0"/>
          <w:szCs w:val="21"/>
        </w:rPr>
      </w:pPr>
      <w:r>
        <w:rPr>
          <w:rFonts w:hint="eastAsia" w:ascii="黑体" w:hAnsi="宋体" w:eastAsia="黑体" w:cs="黑体"/>
          <w:bCs/>
          <w:kern w:val="0"/>
          <w:szCs w:val="21"/>
        </w:rPr>
        <w:t>说明：</w:t>
      </w:r>
      <w:r>
        <w:rPr>
          <w:rFonts w:cs="黑体"/>
          <w:bCs/>
          <w:kern w:val="0"/>
          <w:szCs w:val="21"/>
        </w:rPr>
        <w:t>1.</w:t>
      </w:r>
      <w:r>
        <w:rPr>
          <w:rFonts w:hint="eastAsia" w:cs="黑体"/>
          <w:bCs/>
          <w:kern w:val="0"/>
          <w:szCs w:val="21"/>
        </w:rPr>
        <w:t>本指标体系由</w:t>
      </w:r>
      <w:r>
        <w:rPr>
          <w:rFonts w:cs="黑体"/>
          <w:bCs/>
          <w:kern w:val="0"/>
          <w:szCs w:val="21"/>
        </w:rPr>
        <w:t>5</w:t>
      </w:r>
      <w:r>
        <w:rPr>
          <w:rFonts w:hint="eastAsia" w:cs="黑体"/>
          <w:bCs/>
          <w:kern w:val="0"/>
          <w:szCs w:val="21"/>
        </w:rPr>
        <w:t>个一级指标、</w:t>
      </w:r>
      <w:r>
        <w:rPr>
          <w:rFonts w:cs="黑体"/>
          <w:bCs/>
          <w:kern w:val="0"/>
          <w:szCs w:val="21"/>
        </w:rPr>
        <w:t>16</w:t>
      </w:r>
      <w:r>
        <w:rPr>
          <w:rFonts w:hint="eastAsia" w:cs="黑体"/>
          <w:bCs/>
          <w:kern w:val="0"/>
          <w:szCs w:val="21"/>
        </w:rPr>
        <w:t>个二级指标、</w:t>
      </w:r>
      <w:r>
        <w:rPr>
          <w:rFonts w:cs="黑体"/>
          <w:bCs/>
          <w:kern w:val="0"/>
          <w:szCs w:val="21"/>
        </w:rPr>
        <w:t>44</w:t>
      </w:r>
      <w:r>
        <w:rPr>
          <w:rFonts w:hint="eastAsia" w:cs="黑体"/>
          <w:bCs/>
          <w:kern w:val="0"/>
          <w:szCs w:val="21"/>
        </w:rPr>
        <w:t>个三级指标组成，其中有★号的</w:t>
      </w:r>
      <w:r>
        <w:rPr>
          <w:rFonts w:cs="黑体"/>
          <w:bCs/>
          <w:kern w:val="0"/>
          <w:szCs w:val="21"/>
        </w:rPr>
        <w:t>10</w:t>
      </w:r>
      <w:r>
        <w:rPr>
          <w:rFonts w:hint="eastAsia" w:cs="黑体"/>
          <w:bCs/>
          <w:kern w:val="0"/>
          <w:szCs w:val="21"/>
        </w:rPr>
        <w:t>个三级指标为核心指标。</w:t>
      </w:r>
    </w:p>
    <w:p>
      <w:pPr>
        <w:spacing w:line="560" w:lineRule="exact"/>
        <w:rPr>
          <w:bCs/>
          <w:kern w:val="0"/>
          <w:szCs w:val="21"/>
        </w:rPr>
      </w:pPr>
      <w:r>
        <w:rPr>
          <w:rFonts w:hint="eastAsia" w:cs="黑体"/>
          <w:bCs/>
          <w:kern w:val="0"/>
          <w:szCs w:val="21"/>
        </w:rPr>
        <w:t xml:space="preserve">　　  </w:t>
      </w:r>
      <w:r>
        <w:rPr>
          <w:rFonts w:cs="黑体"/>
          <w:bCs/>
          <w:kern w:val="0"/>
          <w:szCs w:val="21"/>
        </w:rPr>
        <w:t>2</w:t>
      </w:r>
      <w:r>
        <w:rPr>
          <w:rFonts w:hint="eastAsia" w:cs="黑体"/>
          <w:bCs/>
          <w:kern w:val="0"/>
          <w:szCs w:val="21"/>
        </w:rPr>
        <w:t>.本指标体系总分为</w:t>
      </w:r>
      <w:r>
        <w:rPr>
          <w:rFonts w:cs="黑体"/>
          <w:bCs/>
          <w:kern w:val="0"/>
          <w:szCs w:val="21"/>
        </w:rPr>
        <w:t>100</w:t>
      </w:r>
      <w:r>
        <w:rPr>
          <w:rFonts w:hint="eastAsia" w:cs="黑体"/>
          <w:bCs/>
          <w:kern w:val="0"/>
          <w:szCs w:val="21"/>
        </w:rPr>
        <w:t>分。若评估分值满</w:t>
      </w:r>
      <w:r>
        <w:rPr>
          <w:rFonts w:cs="黑体"/>
          <w:bCs/>
          <w:kern w:val="0"/>
          <w:szCs w:val="21"/>
        </w:rPr>
        <w:t>80</w:t>
      </w:r>
      <w:r>
        <w:rPr>
          <w:rFonts w:hint="eastAsia" w:cs="黑体"/>
          <w:bCs/>
          <w:kern w:val="0"/>
          <w:szCs w:val="21"/>
        </w:rPr>
        <w:t>分，且核心指标有</w:t>
      </w:r>
      <w:r>
        <w:rPr>
          <w:rFonts w:cs="黑体"/>
          <w:bCs/>
          <w:kern w:val="0"/>
          <w:szCs w:val="21"/>
        </w:rPr>
        <w:t>6</w:t>
      </w:r>
      <w:r>
        <w:rPr>
          <w:rFonts w:hint="eastAsia" w:cs="黑体"/>
          <w:bCs/>
          <w:kern w:val="0"/>
          <w:szCs w:val="21"/>
        </w:rPr>
        <w:t>项通过，则获得省级实验区的备选资格。</w:t>
      </w:r>
    </w:p>
    <w:p>
      <w:pPr>
        <w:spacing w:line="560" w:lineRule="exact"/>
        <w:ind w:left="638" w:hanging="638" w:hangingChars="304"/>
        <w:rPr>
          <w:bCs/>
          <w:kern w:val="0"/>
          <w:szCs w:val="21"/>
        </w:rPr>
      </w:pPr>
      <w:r>
        <w:rPr>
          <w:rFonts w:hint="eastAsia" w:cs="黑体"/>
          <w:bCs/>
          <w:kern w:val="0"/>
          <w:szCs w:val="21"/>
        </w:rPr>
        <w:t xml:space="preserve">　　  </w:t>
      </w:r>
      <w:r>
        <w:rPr>
          <w:rFonts w:cs="黑体"/>
          <w:bCs/>
          <w:kern w:val="0"/>
          <w:szCs w:val="21"/>
        </w:rPr>
        <w:t>3.</w:t>
      </w:r>
      <w:r>
        <w:rPr>
          <w:rFonts w:hint="eastAsia" w:cs="黑体"/>
          <w:bCs/>
          <w:kern w:val="0"/>
          <w:szCs w:val="21"/>
        </w:rPr>
        <w:t>“全年接受服务的社区成员达全体成员的2</w:t>
      </w:r>
      <w:r>
        <w:rPr>
          <w:rFonts w:cs="黑体"/>
          <w:bCs/>
          <w:kern w:val="0"/>
          <w:szCs w:val="21"/>
        </w:rPr>
        <w:t>0%</w:t>
      </w:r>
      <w:r>
        <w:rPr>
          <w:rFonts w:hint="eastAsia" w:cs="黑体"/>
          <w:bCs/>
          <w:kern w:val="0"/>
          <w:szCs w:val="21"/>
        </w:rPr>
        <w:t>以上”是指本社区所提供的社区教育服务，不包括社区成员未利用社区上述服务，而进行的自我活动和自主学习。</w:t>
      </w:r>
      <w:r>
        <w:rPr>
          <w:rFonts w:cs="黑体"/>
          <w:bCs/>
          <w:kern w:val="0"/>
          <w:szCs w:val="21"/>
        </w:rPr>
        <w:t xml:space="preserve"> </w:t>
      </w:r>
    </w:p>
    <w:p>
      <w:pPr>
        <w:spacing w:line="560" w:lineRule="exact"/>
        <w:ind w:firstLine="630" w:firstLineChars="300"/>
      </w:pPr>
      <w:r>
        <w:rPr>
          <w:kern w:val="0"/>
        </w:rPr>
        <w:t>4.</w:t>
      </w:r>
      <w:r>
        <w:rPr>
          <w:rFonts w:hint="eastAsia"/>
          <w:kern w:val="0"/>
        </w:rPr>
        <w:t>“社区成员接受服务的满意率达到6</w:t>
      </w:r>
      <w:r>
        <w:rPr>
          <w:kern w:val="0"/>
        </w:rPr>
        <w:t>0%</w:t>
      </w:r>
      <w:r>
        <w:rPr>
          <w:rFonts w:hint="eastAsia"/>
          <w:kern w:val="0"/>
        </w:rPr>
        <w:t>以上”是指“接受服务”的社区成员的百分比</w:t>
      </w:r>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2049" o:spt="202" type="#_x0000_t202" style="position:absolute;left:0pt;margin-top:15.75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8</w:t>
                </w:r>
                <w:r>
                  <w:rPr>
                    <w:rFonts w:ascii="宋体" w:hAnsi="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w:pict>
        <v:shape id="文本框 5" o:spid="_x0000_s2050" o:spt="202" type="#_x0000_t202" style="position:absolute;left:0pt;margin-top:15.75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3"/>
                  <w:rPr>
                    <w:rStyle w:val="7"/>
                    <w:rFonts w:ascii="宋体" w:hAnsi="宋体"/>
                    <w:sz w:val="28"/>
                    <w:szCs w:val="28"/>
                  </w:rPr>
                </w:pPr>
                <w:r>
                  <w:rPr>
                    <w:rFonts w:hint="eastAsia" w:ascii="宋体" w:hAnsi="宋体" w:cs="宋体"/>
                    <w:sz w:val="28"/>
                    <w:szCs w:val="28"/>
                  </w:rPr>
                  <w:fldChar w:fldCharType="begin"/>
                </w:r>
                <w:r>
                  <w:rPr>
                    <w:rStyle w:val="7"/>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7"/>
                    <w:rFonts w:ascii="宋体" w:hAnsi="宋体" w:cs="宋体"/>
                    <w:sz w:val="28"/>
                    <w:szCs w:val="28"/>
                  </w:rPr>
                  <w:t>- 18 -</w:t>
                </w:r>
                <w:r>
                  <w:rPr>
                    <w:rFonts w:hint="eastAsia" w:ascii="宋体" w:hAnsi="宋体" w:cs="宋体"/>
                    <w:sz w:val="28"/>
                    <w:szCs w:val="2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VhYjFmODgzYzM0NjExZTlhNzM0OTM0ZWZkMGMwZWYifQ=="/>
  </w:docVars>
  <w:rsids>
    <w:rsidRoot w:val="00896ABB"/>
    <w:rsid w:val="00157A27"/>
    <w:rsid w:val="00255D05"/>
    <w:rsid w:val="00430905"/>
    <w:rsid w:val="005C7439"/>
    <w:rsid w:val="0065207E"/>
    <w:rsid w:val="00770291"/>
    <w:rsid w:val="00785F38"/>
    <w:rsid w:val="0080288F"/>
    <w:rsid w:val="00896ABB"/>
    <w:rsid w:val="008E75C4"/>
    <w:rsid w:val="00C53E48"/>
    <w:rsid w:val="00ED4882"/>
    <w:rsid w:val="00F36F30"/>
    <w:rsid w:val="00F9095E"/>
    <w:rsid w:val="69403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9"/>
    <w:qFormat/>
    <w:uiPriority w:val="0"/>
    <w:pPr>
      <w:jc w:val="left"/>
    </w:pPr>
  </w:style>
  <w:style w:type="paragraph" w:styleId="3">
    <w:name w:val="footer"/>
    <w:basedOn w:val="1"/>
    <w:link w:val="10"/>
    <w:autoRedefine/>
    <w:uiPriority w:val="99"/>
    <w:pPr>
      <w:tabs>
        <w:tab w:val="center" w:pos="4153"/>
        <w:tab w:val="right" w:pos="8306"/>
      </w:tabs>
      <w:snapToGrid w:val="0"/>
      <w:jc w:val="left"/>
    </w:pPr>
    <w:rPr>
      <w:kern w:val="0"/>
      <w:sz w:val="18"/>
      <w:szCs w:val="18"/>
    </w:rPr>
  </w:style>
  <w:style w:type="paragraph" w:styleId="4">
    <w:name w:val="header"/>
    <w:basedOn w:val="1"/>
    <w:link w:val="8"/>
    <w:qFormat/>
    <w:uiPriority w:val="0"/>
    <w:pPr>
      <w:tabs>
        <w:tab w:val="center" w:pos="4153"/>
        <w:tab w:val="right" w:pos="8306"/>
      </w:tabs>
      <w:snapToGrid w:val="0"/>
      <w:ind w:firstLine="200" w:firstLineChars="200"/>
      <w:jc w:val="center"/>
    </w:pPr>
    <w:rPr>
      <w:rFonts w:eastAsia="楷体" w:asciiTheme="minorHAnsi" w:hAnsiTheme="minorHAnsi" w:cstheme="minorBidi"/>
      <w:sz w:val="18"/>
      <w:szCs w:val="18"/>
    </w:rPr>
  </w:style>
  <w:style w:type="character" w:styleId="7">
    <w:name w:val="page number"/>
    <w:uiPriority w:val="0"/>
    <w:rPr>
      <w:rFonts w:cs="Times New Roman"/>
    </w:rPr>
  </w:style>
  <w:style w:type="character" w:customStyle="1" w:styleId="8">
    <w:name w:val="页眉 Char"/>
    <w:basedOn w:val="6"/>
    <w:link w:val="4"/>
    <w:autoRedefine/>
    <w:qFormat/>
    <w:uiPriority w:val="0"/>
    <w:rPr>
      <w:rFonts w:eastAsia="楷体"/>
      <w:kern w:val="2"/>
      <w:sz w:val="18"/>
      <w:szCs w:val="18"/>
    </w:rPr>
  </w:style>
  <w:style w:type="character" w:customStyle="1" w:styleId="9">
    <w:name w:val="批注文字 Char"/>
    <w:basedOn w:val="6"/>
    <w:link w:val="2"/>
    <w:autoRedefine/>
    <w:qFormat/>
    <w:uiPriority w:val="0"/>
    <w:rPr>
      <w:rFonts w:ascii="Calibri" w:hAnsi="Calibri" w:eastAsia="宋体" w:cs="Times New Roman"/>
      <w:szCs w:val="24"/>
    </w:rPr>
  </w:style>
  <w:style w:type="character" w:customStyle="1" w:styleId="10">
    <w:name w:val="页脚 Char"/>
    <w:basedOn w:val="6"/>
    <w:link w:val="3"/>
    <w:qFormat/>
    <w:uiPriority w:val="99"/>
    <w:rPr>
      <w:rFonts w:ascii="Calibri" w:hAnsi="Calibri" w:eastAsia="宋体"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12</Pages>
  <Words>735</Words>
  <Characters>4195</Characters>
  <Lines>34</Lines>
  <Paragraphs>9</Paragraphs>
  <TotalTime>8</TotalTime>
  <ScaleCrop>false</ScaleCrop>
  <LinksUpToDate>false</LinksUpToDate>
  <CharactersWithSpaces>4921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2022-03-14T01:04:00Z</dcterms:created>
  <dc:creator>Micorosoft</dc:creator>
  <cp:lastModifiedBy>byx</cp:lastModifiedBy>
  <dcterms:modified xsi:type="dcterms:W3CDTF">2024-01-15T07:15:33Z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F75EF7CB951942DBAB6C3529585F4017_12</vt:lpwstr>
  </property>
</Properties>
</file>