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rPr>
          <w:rFonts w:ascii="宋体" w:hAnsi="宋体" w:eastAsia="宋体"/>
          <w:szCs w:val="32"/>
        </w:rPr>
      </w:pPr>
    </w:p>
    <w:p>
      <w:pPr>
        <w:jc w:val="center"/>
        <w:rPr>
          <w:rFonts w:ascii="宋体" w:hAnsi="宋体" w:eastAsia="宋体" w:cs="宋体"/>
          <w:b/>
          <w:bCs/>
          <w:sz w:val="44"/>
          <w:szCs w:val="44"/>
        </w:rPr>
      </w:pPr>
    </w:p>
    <w:p>
      <w:pPr>
        <w:spacing w:line="540" w:lineRule="exact"/>
        <w:jc w:val="center"/>
        <w:rPr>
          <w:rFonts w:ascii="宋体" w:hAnsi="宋体" w:eastAsia="宋体" w:cs="宋体"/>
          <w:b/>
          <w:bCs/>
          <w:sz w:val="44"/>
          <w:szCs w:val="44"/>
        </w:rPr>
      </w:pPr>
    </w:p>
    <w:p>
      <w:pPr>
        <w:spacing w:line="540" w:lineRule="exact"/>
        <w:jc w:val="center"/>
        <w:rPr>
          <w:rFonts w:ascii="方正小标宋_GBK" w:hAnsi="方正小标宋_GBK" w:eastAsia="方正小标宋_GBK" w:cs="方正小标宋_GBK"/>
          <w:sz w:val="52"/>
          <w:szCs w:val="52"/>
        </w:rPr>
      </w:pPr>
    </w:p>
    <w:p>
      <w:pPr>
        <w:spacing w:line="700" w:lineRule="exact"/>
        <w:jc w:val="center"/>
        <w:rPr>
          <w:rFonts w:ascii="方正小标宋_GBK" w:hAnsi="方正小标宋_GBK" w:eastAsia="方正小标宋_GBK" w:cs="方正小标宋_GBK"/>
          <w:sz w:val="52"/>
          <w:szCs w:val="52"/>
        </w:rPr>
      </w:pPr>
      <w:r>
        <w:rPr>
          <w:rFonts w:hint="eastAsia" w:ascii="方正小标宋_GBK" w:hAnsi="方正小标宋_GBK" w:eastAsia="方正小标宋_GBK" w:cs="方正小标宋_GBK"/>
          <w:sz w:val="52"/>
          <w:szCs w:val="52"/>
        </w:rPr>
        <w:t>蓝田县发展和改革委员会</w:t>
      </w:r>
    </w:p>
    <w:p>
      <w:pPr>
        <w:spacing w:line="700" w:lineRule="exact"/>
        <w:jc w:val="center"/>
        <w:rPr>
          <w:rFonts w:ascii="方正小标宋_GBK" w:hAnsi="方正小标宋_GBK" w:eastAsia="方正小标宋_GBK" w:cs="方正小标宋_GBK"/>
          <w:sz w:val="52"/>
          <w:szCs w:val="52"/>
        </w:rPr>
      </w:pPr>
      <w:r>
        <w:rPr>
          <w:rFonts w:hint="eastAsia" w:ascii="方正小标宋_GBK" w:hAnsi="方正小标宋_GBK" w:eastAsia="方正小标宋_GBK" w:cs="方正小标宋_GBK"/>
          <w:sz w:val="52"/>
          <w:szCs w:val="52"/>
        </w:rPr>
        <w:t>2019年度部门决算说明</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1687" w:firstLineChars="800"/>
        <w:rPr>
          <w:rFonts w:asciiTheme="majorEastAsia" w:hAnsiTheme="majorEastAsia" w:eastAsiaTheme="majorEastAsia" w:cstheme="majorEastAsia"/>
          <w:b/>
          <w:bCs/>
          <w:szCs w:val="32"/>
        </w:rPr>
      </w:pPr>
    </w:p>
    <w:p>
      <w:pPr>
        <w:spacing w:line="400" w:lineRule="exact"/>
        <w:ind w:firstLine="1687" w:firstLineChars="800"/>
        <w:rPr>
          <w:rFonts w:asciiTheme="majorEastAsia" w:hAnsiTheme="majorEastAsia" w:eastAsiaTheme="majorEastAsia" w:cstheme="majorEastAsia"/>
          <w:b/>
          <w:bCs/>
          <w:szCs w:val="32"/>
        </w:rPr>
      </w:pPr>
    </w:p>
    <w:p>
      <w:pPr>
        <w:spacing w:line="400" w:lineRule="exact"/>
        <w:ind w:firstLine="2088" w:firstLineChars="650"/>
        <w:rPr>
          <w:rFonts w:ascii="宋体" w:hAnsi="宋体" w:eastAsia="宋体" w:cstheme="minorEastAsia"/>
          <w:b/>
          <w:bCs/>
          <w:sz w:val="32"/>
          <w:szCs w:val="32"/>
        </w:rPr>
      </w:pPr>
      <w:r>
        <w:rPr>
          <w:rFonts w:hint="eastAsia" w:ascii="宋体" w:hAnsi="宋体" w:eastAsia="宋体" w:cstheme="minorEastAsia"/>
          <w:b/>
          <w:bCs/>
          <w:sz w:val="32"/>
          <w:szCs w:val="32"/>
        </w:rPr>
        <w:t>保密审查情况：已审查</w:t>
      </w:r>
    </w:p>
    <w:p>
      <w:pPr>
        <w:spacing w:line="400" w:lineRule="exact"/>
        <w:jc w:val="center"/>
        <w:rPr>
          <w:rFonts w:ascii="宋体" w:hAnsi="宋体" w:eastAsia="宋体" w:cstheme="minorEastAsia"/>
          <w:b/>
          <w:bCs/>
          <w:sz w:val="32"/>
          <w:szCs w:val="32"/>
        </w:rPr>
      </w:pPr>
    </w:p>
    <w:p>
      <w:pPr>
        <w:spacing w:line="400" w:lineRule="exact"/>
        <w:ind w:firstLine="2088" w:firstLineChars="650"/>
        <w:rPr>
          <w:rFonts w:ascii="宋体" w:hAnsi="宋体" w:eastAsia="宋体" w:cs="宋体"/>
          <w:b/>
          <w:bCs/>
          <w:sz w:val="32"/>
          <w:szCs w:val="32"/>
        </w:rPr>
      </w:pPr>
      <w:r>
        <w:rPr>
          <w:rFonts w:hint="eastAsia" w:ascii="宋体" w:hAnsi="宋体" w:eastAsia="宋体" w:cstheme="minorEastAsia"/>
          <w:b/>
          <w:bCs/>
          <w:sz w:val="32"/>
          <w:szCs w:val="32"/>
        </w:rPr>
        <w:t>部门主要负责人审签情况：已审签</w:t>
      </w:r>
    </w:p>
    <w:p>
      <w:pPr>
        <w:spacing w:line="400" w:lineRule="exact"/>
        <w:rPr>
          <w:rFonts w:ascii="宋体" w:hAnsi="宋体" w:cs="宋体"/>
          <w:b/>
          <w:bCs/>
          <w:sz w:val="32"/>
          <w:szCs w:val="32"/>
        </w:rPr>
      </w:pPr>
    </w:p>
    <w:p>
      <w:pPr>
        <w:spacing w:line="400" w:lineRule="exact"/>
        <w:rPr>
          <w:rFonts w:ascii="宋体" w:hAnsi="宋体" w:cs="宋体"/>
          <w:b/>
          <w:bCs/>
          <w:szCs w:val="32"/>
        </w:rPr>
      </w:pPr>
    </w:p>
    <w:p>
      <w:pPr>
        <w:spacing w:line="400" w:lineRule="exact"/>
        <w:rPr>
          <w:rFonts w:ascii="宋体" w:hAnsi="宋体" w:cs="宋体"/>
          <w:b/>
          <w:bCs/>
          <w:szCs w:val="32"/>
        </w:rPr>
      </w:pPr>
    </w:p>
    <w:p>
      <w:pPr>
        <w:jc w:val="center"/>
        <w:rPr>
          <w:rFonts w:ascii="黑体" w:hAnsi="宋体" w:eastAsia="黑体"/>
          <w:bCs/>
          <w:color w:val="000000"/>
          <w:kern w:val="0"/>
          <w:sz w:val="36"/>
          <w:szCs w:val="36"/>
        </w:rPr>
        <w:sectPr>
          <w:pgSz w:w="11906" w:h="16838"/>
          <w:pgMar w:top="1440" w:right="1800" w:bottom="1440" w:left="1800" w:header="851" w:footer="992" w:gutter="0"/>
          <w:pgNumType w:fmt="numberInDash"/>
          <w:cols w:space="0" w:num="1"/>
          <w:docGrid w:type="lines" w:linePitch="312" w:charSpace="0"/>
        </w:sect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2"/>
          <w:szCs w:val="32"/>
        </w:rPr>
      </w:pPr>
    </w:p>
    <w:p>
      <w:pPr>
        <w:widowControl/>
        <w:jc w:val="center"/>
        <w:rPr>
          <w:rFonts w:hint="eastAsia"/>
          <w:sz w:val="32"/>
          <w:szCs w:val="32"/>
        </w:rPr>
      </w:pPr>
      <w:r>
        <w:rPr>
          <w:rFonts w:hint="eastAsia" w:ascii="黑体" w:hAnsi="宋体" w:eastAsia="黑体"/>
          <w:color w:val="000000"/>
          <w:kern w:val="0"/>
          <w:sz w:val="32"/>
          <w:szCs w:val="32"/>
        </w:rPr>
        <w:t>第一部分 部门概况</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一、部门主要职责及内设机构</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二、部门决算单位构成</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三、部门人员情况</w:t>
      </w:r>
    </w:p>
    <w:p>
      <w:pPr>
        <w:widowControl/>
        <w:jc w:val="center"/>
        <w:rPr>
          <w:rFonts w:hint="eastAsia"/>
          <w:sz w:val="32"/>
          <w:szCs w:val="32"/>
        </w:rPr>
      </w:pPr>
      <w:r>
        <w:rPr>
          <w:rFonts w:hint="eastAsia" w:ascii="黑体" w:hAnsi="宋体" w:eastAsia="黑体"/>
          <w:color w:val="000000"/>
          <w:kern w:val="0"/>
          <w:sz w:val="32"/>
          <w:szCs w:val="32"/>
        </w:rPr>
        <w:t>第二部分  2019年度部门决算表</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一、收入支出决算总表     </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二、收入决算总表     </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三、支出决算总表    </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四、财政拨款收入支出决算总表    </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五、一般公共预算财政拨款支出决算表  </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六、一般公共预算财政拨款基本支出决算表    </w:t>
      </w:r>
    </w:p>
    <w:p>
      <w:pPr>
        <w:widowControl/>
        <w:ind w:left="640" w:hanging="640" w:hangingChars="200"/>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七、一般公共预算财政拨款“三公”经费及会议费、培训费支出决算表    </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八、政府性基金预算财政拨款收入支出决算表</w:t>
      </w:r>
    </w:p>
    <w:p>
      <w:pPr>
        <w:widowControl/>
        <w:jc w:val="center"/>
        <w:rPr>
          <w:rFonts w:hint="eastAsia"/>
          <w:sz w:val="32"/>
          <w:szCs w:val="32"/>
        </w:rPr>
      </w:pPr>
      <w:r>
        <w:rPr>
          <w:rFonts w:hint="eastAsia" w:ascii="黑体" w:hAnsi="宋体" w:eastAsia="黑体"/>
          <w:color w:val="000000"/>
          <w:kern w:val="0"/>
          <w:sz w:val="32"/>
          <w:szCs w:val="32"/>
        </w:rPr>
        <w:t>第三部分 2019年度部门决算情况说明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一、收入支出决算总体情况说明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二、收入决算情况说明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三、支出决算情况说明</w:t>
      </w:r>
    </w:p>
    <w:p>
      <w:pPr>
        <w:widowControl/>
        <w:jc w:val="left"/>
        <w:rPr>
          <w:rFonts w:ascii="楷体" w:hAnsi="楷体" w:eastAsia="楷体" w:cs="楷体"/>
          <w:sz w:val="32"/>
          <w:szCs w:val="32"/>
        </w:rPr>
      </w:pPr>
      <w:r>
        <w:rPr>
          <w:rFonts w:hint="eastAsia" w:ascii="仿宋" w:hAnsi="仿宋" w:eastAsia="仿宋" w:cs="楷体"/>
          <w:color w:val="000000"/>
          <w:kern w:val="0"/>
          <w:sz w:val="32"/>
          <w:szCs w:val="32"/>
        </w:rPr>
        <w:t>四、财政拨款收入支出决算总体情况说明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五、一般公共预算财政拨款支出决算情况说明</w:t>
      </w:r>
    </w:p>
    <w:p>
      <w:pPr>
        <w:widowControl/>
        <w:jc w:val="left"/>
        <w:rPr>
          <w:rFonts w:ascii="仿宋" w:hAnsi="仿宋" w:eastAsia="仿宋" w:cs="楷体"/>
          <w:color w:val="000000"/>
          <w:kern w:val="0"/>
          <w:sz w:val="32"/>
          <w:szCs w:val="32"/>
        </w:rPr>
        <w:sectPr>
          <w:footerReference r:id="rId3" w:type="default"/>
          <w:footerReference r:id="rId4" w:type="even"/>
          <w:pgSz w:w="11906" w:h="16838"/>
          <w:pgMar w:top="1440" w:right="1800" w:bottom="1440" w:left="1800" w:header="851" w:footer="992" w:gutter="0"/>
          <w:pgNumType w:fmt="numberInDash" w:start="1"/>
          <w:cols w:space="0" w:num="1"/>
          <w:docGrid w:type="lines" w:linePitch="312" w:charSpace="0"/>
        </w:sectPr>
      </w:pP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（一）财政拨款支出决算总体情况说明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（二）财政拨款支出决算具体情况说明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六、一般公共预算财政拨款基本支出决算情况说明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七、一般公共预算财政拨款“三公”经费及会议费、培训费支出决算情况说明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（一）“三公”经费财政拨款支出决算总体情况说明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（二）“三公”经费财政拨款支出决算具体情况说明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（三）培训费支出情况说明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（四）会议费支出情况说明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八、政府性基金预算财政拨款收入支出情况说明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九、国有资本经营财政拨款收入支出情况说明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十、预算绩效情况说明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（一）预算绩效管理工作开展情况说明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（二）部门决算中项目绩效自评结果</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（三）部门决算中整体支出绩效自评结果</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 xml:space="preserve"> 十一、其他重要事项说明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（一）机关运行经费支出情况说明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（二）政府采购支出情况说明</w:t>
      </w:r>
    </w:p>
    <w:p>
      <w:pPr>
        <w:widowControl/>
        <w:jc w:val="left"/>
        <w:rPr>
          <w:rFonts w:ascii="仿宋" w:hAnsi="仿宋" w:eastAsia="仿宋" w:cs="楷体"/>
          <w:color w:val="000000"/>
          <w:kern w:val="0"/>
          <w:sz w:val="32"/>
          <w:szCs w:val="32"/>
        </w:rPr>
      </w:pPr>
      <w:r>
        <w:rPr>
          <w:rFonts w:hint="eastAsia" w:ascii="仿宋" w:hAnsi="仿宋" w:eastAsia="仿宋" w:cs="楷体"/>
          <w:color w:val="000000"/>
          <w:kern w:val="0"/>
          <w:sz w:val="32"/>
          <w:szCs w:val="32"/>
        </w:rPr>
        <w:t>（三）国有资产占用及购置情况说明</w:t>
      </w:r>
    </w:p>
    <w:p>
      <w:pPr>
        <w:jc w:val="center"/>
        <w:rPr>
          <w:rFonts w:ascii="黑体" w:hAnsi="宋体" w:eastAsia="黑体"/>
          <w:color w:val="000000"/>
          <w:kern w:val="0"/>
          <w:sz w:val="32"/>
          <w:szCs w:val="32"/>
        </w:rPr>
      </w:pPr>
      <w:r>
        <w:rPr>
          <w:rFonts w:hint="eastAsia" w:ascii="黑体" w:hAnsi="宋体" w:eastAsia="黑体"/>
          <w:color w:val="000000"/>
          <w:kern w:val="0"/>
          <w:sz w:val="32"/>
          <w:szCs w:val="32"/>
        </w:rPr>
        <w:t>第四部分 专业名词解释</w:t>
      </w:r>
    </w:p>
    <w:p>
      <w:pPr>
        <w:rPr>
          <w:rFonts w:ascii="黑体" w:hAnsi="宋体" w:eastAsia="黑体"/>
          <w:color w:val="000000"/>
          <w:kern w:val="0"/>
          <w:sz w:val="32"/>
          <w:szCs w:val="32"/>
        </w:rPr>
      </w:pPr>
    </w:p>
    <w:p>
      <w:pPr>
        <w:jc w:val="center"/>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sectPr>
          <w:footerReference r:id="rId5" w:type="default"/>
          <w:footerReference r:id="rId6" w:type="even"/>
          <w:pgSz w:w="11906" w:h="16838"/>
          <w:pgMar w:top="1440" w:right="1800" w:bottom="1440" w:left="1800" w:header="851" w:footer="992" w:gutter="0"/>
          <w:pgNumType w:fmt="numberInDash" w:start="1"/>
          <w:cols w:space="0" w:num="1"/>
          <w:docGrid w:type="lines" w:linePitch="312" w:charSpace="0"/>
        </w:sect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rPr>
          <w:rFonts w:ascii="黑体" w:hAnsi="宋体" w:eastAsia="黑体"/>
          <w:color w:val="000000"/>
          <w:kern w:val="0"/>
          <w:sz w:val="44"/>
          <w:szCs w:val="44"/>
        </w:rPr>
      </w:pPr>
    </w:p>
    <w:p>
      <w:pPr>
        <w:pStyle w:val="7"/>
        <w:spacing w:before="0" w:beforeAutospacing="0" w:after="0" w:afterAutospacing="0" w:line="560" w:lineRule="exact"/>
        <w:ind w:left="481" w:leftChars="229" w:firstLine="320" w:firstLineChars="100"/>
        <w:rPr>
          <w:rFonts w:ascii="黑体" w:hAnsi="黑体" w:eastAsia="黑体" w:cs="Times New Roman"/>
          <w:sz w:val="32"/>
          <w:szCs w:val="32"/>
        </w:rPr>
      </w:pPr>
      <w:r>
        <w:rPr>
          <w:rFonts w:ascii="黑体" w:hAnsi="黑体" w:eastAsia="黑体" w:cs="Times New Roman"/>
          <w:sz w:val="32"/>
          <w:szCs w:val="32"/>
        </w:rPr>
        <w:t>一</w:t>
      </w:r>
      <w:r>
        <w:rPr>
          <w:rFonts w:hint="eastAsia" w:ascii="黑体" w:hAnsi="黑体" w:eastAsia="黑体" w:cs="Times New Roman"/>
          <w:sz w:val="32"/>
          <w:szCs w:val="32"/>
        </w:rPr>
        <w:t>、</w:t>
      </w:r>
      <w:r>
        <w:rPr>
          <w:rFonts w:ascii="黑体" w:hAnsi="黑体" w:eastAsia="黑体" w:cs="Times New Roman"/>
          <w:sz w:val="32"/>
          <w:szCs w:val="32"/>
        </w:rPr>
        <w:t>部门主要职责及内设机构</w:t>
      </w:r>
    </w:p>
    <w:p>
      <w:pPr>
        <w:pStyle w:val="7"/>
        <w:spacing w:before="0" w:beforeAutospacing="0" w:after="0" w:afterAutospacing="0" w:line="560" w:lineRule="exact"/>
        <w:ind w:left="481" w:leftChars="229" w:firstLine="161" w:firstLineChars="50"/>
        <w:rPr>
          <w:rFonts w:ascii="仿宋" w:hAnsi="仿宋" w:eastAsia="仿宋" w:cs="Times New Roman"/>
          <w:b/>
          <w:sz w:val="32"/>
          <w:szCs w:val="32"/>
        </w:rPr>
      </w:pPr>
      <w:r>
        <w:rPr>
          <w:rFonts w:hint="eastAsia" w:ascii="仿宋" w:hAnsi="仿宋" w:eastAsia="仿宋" w:cs="Times New Roman"/>
          <w:b/>
          <w:sz w:val="32"/>
          <w:szCs w:val="32"/>
        </w:rPr>
        <w:t>（一）主要职责</w:t>
      </w:r>
    </w:p>
    <w:p>
      <w:pPr>
        <w:widowControl/>
        <w:shd w:val="clear" w:color="auto" w:fill="FFFFFF"/>
        <w:spacing w:line="560" w:lineRule="exact"/>
        <w:ind w:firstLine="800" w:firstLineChars="250"/>
        <w:jc w:val="left"/>
        <w:rPr>
          <w:rFonts w:ascii="仿宋" w:hAnsi="仿宋" w:eastAsia="仿宋" w:cs="Times New Roman"/>
          <w:bCs/>
          <w:sz w:val="32"/>
          <w:szCs w:val="32"/>
        </w:rPr>
      </w:pPr>
      <w:r>
        <w:rPr>
          <w:rFonts w:hint="eastAsia" w:ascii="仿宋" w:hAnsi="仿宋" w:eastAsia="仿宋" w:cs="Times New Roman"/>
          <w:bCs/>
          <w:sz w:val="32"/>
          <w:szCs w:val="32"/>
        </w:rPr>
        <w:t>1、拟订全县国民经济和社会发展战略、中长期规划和年度计划并组织实施；统筹协调经济社会发展，提出国民经济发展和优化重大经济结构的目标、政策，提出综合运用各种经济手段和政策建议；受县政府委托向县人大提交国民经济和社会发展计划的报告。</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2、贯彻落实中央、省、市关于西部大开发的战略、规划和政策，研究提出我县西部大开发战略纲要、发展规划，协调有关重大问题。</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3、贯彻落实中央、省、市关于“一带一路”经济带建设战略目标和部署，研究拟订我县“一带一路”经济带建设中长期发展规划和工作计划。</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4、负责监测全县宏观经济和社会发展态势，承担预测预警和信息引导的责任；研究宏观经济运行、总量平衡、经济安全和总体产业安全等重要问题并提出宏观调控政策建议；负责调节经济运行，协调解决经济运行中的重大问题；负责组织粮食和物资的调度。</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5、研究经济体制改革的重大问题；组织拟订综合性经济体制改革方案，会同有关部门做好重要专项经济体制改革之间的衔接，指导经济体制改革试点工作。</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6、承担规划全县重大建设项目和生产力布局的职责；拟订全县社会固定资产投资总规模和投资结构的调控目标、政策及措施；会同有关部门规划生产力和重大项目布局；衔接平衡需要安排政府投资和涉及重大建设项目的专项规划；按规定权限，负责重大建设项目、企业及外商投资项目的审批、核准、备案；提出深化投资体制改革和修订投资核准目录的建议；参与编制城市维护建设项目投资计划和有关行业发展规划；指导和监督固定资产投资贷款、外国政府贷款、国际金融组织贷款建设项目和资金的使用；组织开展重特大自然灾害恢复重建规划编制，协调有关重大问题；指导工程咨询业发展；指导和协调全县招投标工作。</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7、推进经济结构战略性调整；组织拟订综合性产业政策，协调一、二、三产业发展的重大问题并衔接平衡相关发展规划和重大政策，做好与国民经济和社会发展规划、计划的衔接平衡；</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8、负责现代物流业统筹发展，拟订物流业发展战略、规划和产业政策，协调物流业发展的重大问题；参与提出促进商贸领域发展的政策建议；编制粮食流通及仓储、加工设施的建设计划；执行国家战略物资储备规划，会同有关部门管理粮食、化肥和蔬菜等仓储设施建设，制定储备方案；提出直接融资的发展战略和政策建议；牵头推进全县产业投资基金和创业投资的发展及制度建设。</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9、负责社会发展与国民经济发展的政策衔接，组织拟订社会发展战略、总体规划和年度计划；研究拟订人口发展战略、规划及人口政策，负责城区人口迁入的协调监督工作；参与拟订科学技术、教育、文化、卫生、民政等发展政策，推进社会事业建设；统筹推进基本公共服务体系建设，研究提出促进就业、调整收入分配、完善社会保障与经济协调发展的政策建议，协调社会事业发展和改革中的重大问题及政策。</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10、负责全县能源行业管理工作；研究能源开发利用，提出能源发展战略和政策建议，拟定能源行业发展规划和计划；加强能源监督管理，监测和分析能源行业、能源安全的发展状况，规划重大项目布局；推进能源市场建设，维护能源市场秩序；承担电力行业管理和电力行政执法监察责任。</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11、推进经济建设与国防建设协调发展的战略和规划，组织编制国民经济动员规划、计划，协调相关重大问题；组织开展国民经济动员有关工作。</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12、承担本县行政区域石油天然气管道（城镇燃气管道除外）保护责任；协调处理石油天然气管道（城镇燃气管道除外）保护的重大问题，指导、监督有关单位履行石油天然气管道（城镇燃气管道除外）保护义务，依法查处危害石油天然气管道（城镇燃气管道除外）安全的违法行为。</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13、负责起草军民融合改革试验工作实施方案并组织实施；负责军民融合改革项目的组织开展、协调推进工作；组织开展军民融合政策研究及落实方工作；协调驻地军工部门和军工单位创新改革工作。</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14、贯彻执行粮食方面的法律法规和方针政策，起草有关规章草案；拟定全县粮食宏观调控、总量平衡以及粮食流通的中长期规划，粮食流通体制改革方案，并组织实施。</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15、承担粮食检测和应急责任，负责粮食市场检测工作，拟定全县粮食应急预案，并组织实施；依法实施粮食流通监督检查，维护粮食流通秩序；负责对粮食收购、储存环节的粮食质量安全和原粮卫生进行监督管理；指导全县粮食系统专项资金的管理工作。</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16、负责全县粮食流通的行业管理，贯彻执行粮食准入制度，及粮食收购资格的许可工作；指导粮食流通的科技进步、技术改造和新技术推广；执行国家粮食质量标准和粮食储存、运输的技术规范；负责全县粮食流通统计与供需平衡调查工作。</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17、负责市、县级储备粮的行政管理工作，按照市上分配的市级储备指标和县级储备规模，提出储备布局建议，拟定收购、保管、轮换计划，并督促实施；监督检查市、县级储备粮的库存数量、质量和储存安全。</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18、负责机关和所属事业单位安全生产管理工作。</w:t>
      </w:r>
    </w:p>
    <w:p>
      <w:pPr>
        <w:widowControl/>
        <w:shd w:val="clear" w:color="auto" w:fill="FFFFFF"/>
        <w:spacing w:line="560" w:lineRule="exact"/>
        <w:ind w:firstLine="640" w:firstLineChars="200"/>
        <w:jc w:val="left"/>
        <w:rPr>
          <w:rFonts w:ascii="仿宋" w:hAnsi="仿宋" w:eastAsia="仿宋" w:cs="Times New Roman"/>
          <w:bCs/>
          <w:sz w:val="32"/>
          <w:szCs w:val="32"/>
        </w:rPr>
      </w:pPr>
      <w:r>
        <w:rPr>
          <w:rFonts w:hint="eastAsia" w:ascii="仿宋" w:hAnsi="仿宋" w:eastAsia="仿宋" w:cs="Times New Roman"/>
          <w:bCs/>
          <w:sz w:val="32"/>
          <w:szCs w:val="32"/>
        </w:rPr>
        <w:t>19、完成县委、县政府交办的其他任务。</w:t>
      </w:r>
    </w:p>
    <w:p>
      <w:pPr>
        <w:pStyle w:val="7"/>
        <w:spacing w:before="0" w:beforeAutospacing="0" w:after="0" w:afterAutospacing="0" w:line="560" w:lineRule="exact"/>
        <w:ind w:firstLine="480"/>
        <w:rPr>
          <w:rFonts w:ascii="仿宋" w:hAnsi="仿宋" w:eastAsia="仿宋" w:cs="Times New Roman"/>
          <w:b/>
          <w:sz w:val="32"/>
          <w:szCs w:val="32"/>
        </w:rPr>
      </w:pPr>
      <w:r>
        <w:rPr>
          <w:rFonts w:hint="eastAsia" w:ascii="仿宋" w:hAnsi="仿宋" w:eastAsia="仿宋" w:cs="Times New Roman"/>
          <w:b/>
          <w:sz w:val="32"/>
          <w:szCs w:val="32"/>
        </w:rPr>
        <w:t>（二）内设机构</w:t>
      </w:r>
    </w:p>
    <w:p>
      <w:pPr>
        <w:pBdr>
          <w:bottom w:val="single" w:color="FFFFFF" w:sz="4" w:space="31"/>
        </w:pBdr>
        <w:tabs>
          <w:tab w:val="left" w:pos="7380"/>
        </w:tabs>
        <w:autoSpaceDE w:val="0"/>
        <w:autoSpaceDN w:val="0"/>
        <w:adjustRightInd w:val="0"/>
        <w:snapToGrid w:val="0"/>
        <w:spacing w:line="560" w:lineRule="exact"/>
        <w:ind w:firstLine="640" w:firstLineChars="200"/>
        <w:rPr>
          <w:rFonts w:ascii="仿宋" w:hAnsi="仿宋" w:eastAsia="仿宋" w:cs="Times New Roman"/>
          <w:bCs/>
          <w:sz w:val="32"/>
          <w:szCs w:val="32"/>
        </w:rPr>
      </w:pPr>
      <w:r>
        <w:rPr>
          <w:rFonts w:hint="eastAsia" w:ascii="仿宋" w:hAnsi="仿宋" w:eastAsia="仿宋" w:cs="Times New Roman"/>
          <w:sz w:val="32"/>
          <w:szCs w:val="32"/>
        </w:rPr>
        <w:t>根据上述职责，县发展和改革委员会设9个内设机构：1</w:t>
      </w:r>
      <w:r>
        <w:rPr>
          <w:rFonts w:hint="eastAsia" w:ascii="仿宋" w:hAnsi="仿宋" w:eastAsia="仿宋" w:cs="Times New Roman"/>
          <w:bCs/>
          <w:sz w:val="32"/>
          <w:szCs w:val="32"/>
        </w:rPr>
        <w:t>办公室、2综合计划科、3项目管理科、4产业规划科、5社会事务科、6经济体制改革科、7价格管理科、8价格监测科、9粮食和物资储备科。</w:t>
      </w:r>
    </w:p>
    <w:p>
      <w:pPr>
        <w:pBdr>
          <w:bottom w:val="single" w:color="FFFFFF" w:sz="4" w:space="31"/>
        </w:pBdr>
        <w:tabs>
          <w:tab w:val="left" w:pos="7380"/>
        </w:tabs>
        <w:autoSpaceDE w:val="0"/>
        <w:autoSpaceDN w:val="0"/>
        <w:adjustRightInd w:val="0"/>
        <w:snapToGrid w:val="0"/>
        <w:spacing w:line="560" w:lineRule="exact"/>
        <w:ind w:firstLine="640" w:firstLineChars="200"/>
        <w:rPr>
          <w:rFonts w:ascii="仿宋" w:hAnsi="仿宋" w:eastAsia="仿宋" w:cs="Times New Roman"/>
          <w:bCs/>
          <w:sz w:val="32"/>
          <w:szCs w:val="32"/>
        </w:rPr>
      </w:pPr>
      <w:r>
        <w:rPr>
          <w:rFonts w:hint="eastAsia" w:ascii="仿宋" w:hAnsi="仿宋" w:eastAsia="仿宋" w:cs="Times New Roman"/>
          <w:bCs/>
          <w:sz w:val="32"/>
          <w:szCs w:val="32"/>
        </w:rPr>
        <w:t>蓝田县节能监察监测中心和蓝田县价格认证中心为县发改委下属事业单位。</w:t>
      </w:r>
    </w:p>
    <w:p>
      <w:pPr>
        <w:pBdr>
          <w:bottom w:val="single" w:color="FFFFFF" w:sz="4" w:space="31"/>
        </w:pBdr>
        <w:tabs>
          <w:tab w:val="left" w:pos="7380"/>
        </w:tabs>
        <w:autoSpaceDE w:val="0"/>
        <w:autoSpaceDN w:val="0"/>
        <w:adjustRightInd w:val="0"/>
        <w:snapToGrid w:val="0"/>
        <w:spacing w:line="56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二、部门决算单位构成</w:t>
      </w:r>
    </w:p>
    <w:p>
      <w:pPr>
        <w:pBdr>
          <w:bottom w:val="single" w:color="FFFFFF" w:sz="4" w:space="31"/>
        </w:pBdr>
        <w:tabs>
          <w:tab w:val="left" w:pos="7380"/>
        </w:tabs>
        <w:autoSpaceDE w:val="0"/>
        <w:autoSpaceDN w:val="0"/>
        <w:adjustRightInd w:val="0"/>
        <w:snapToGrid w:val="0"/>
        <w:spacing w:line="560" w:lineRule="exact"/>
        <w:ind w:firstLine="640" w:firstLineChars="200"/>
        <w:rPr>
          <w:rFonts w:ascii="仿宋" w:hAnsi="仿宋" w:eastAsia="仿宋" w:cs="Times New Roman"/>
          <w:bCs/>
          <w:sz w:val="32"/>
          <w:szCs w:val="32"/>
        </w:rPr>
      </w:pPr>
      <w:r>
        <w:rPr>
          <w:rFonts w:hint="eastAsia" w:ascii="仿宋" w:hAnsi="仿宋" w:eastAsia="仿宋" w:cs="Times New Roman"/>
          <w:bCs/>
          <w:sz w:val="32"/>
          <w:szCs w:val="32"/>
        </w:rPr>
        <w:t>纳入2019年度本部门决算编制范围的单位共1个，只包括部门本级决算。下属事业单位蓝田县节能监察监测中心和蓝田县价格认证中心没有独立核算。</w:t>
      </w:r>
    </w:p>
    <w:p>
      <w:pPr>
        <w:pBdr>
          <w:bottom w:val="single" w:color="FFFFFF" w:sz="4" w:space="31"/>
        </w:pBdr>
        <w:tabs>
          <w:tab w:val="left" w:pos="7380"/>
        </w:tabs>
        <w:autoSpaceDE w:val="0"/>
        <w:autoSpaceDN w:val="0"/>
        <w:adjustRightInd w:val="0"/>
        <w:snapToGrid w:val="0"/>
        <w:spacing w:line="56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三</w:t>
      </w:r>
      <w:r>
        <w:rPr>
          <w:rFonts w:ascii="仿宋" w:hAnsi="仿宋" w:eastAsia="仿宋" w:cs="Times New Roman"/>
          <w:b/>
          <w:sz w:val="32"/>
          <w:szCs w:val="32"/>
        </w:rPr>
        <w:t>、部门人员情况</w:t>
      </w:r>
    </w:p>
    <w:p>
      <w:pPr>
        <w:pBdr>
          <w:bottom w:val="single" w:color="FFFFFF" w:sz="4" w:space="31"/>
        </w:pBdr>
        <w:tabs>
          <w:tab w:val="left" w:pos="7380"/>
        </w:tabs>
        <w:autoSpaceDE w:val="0"/>
        <w:autoSpaceDN w:val="0"/>
        <w:adjustRightInd w:val="0"/>
        <w:snapToGrid w:val="0"/>
        <w:spacing w:line="560" w:lineRule="exact"/>
        <w:ind w:firstLine="640" w:firstLineChars="200"/>
        <w:rPr>
          <w:rFonts w:ascii="仿宋" w:hAnsi="仿宋" w:eastAsia="仿宋" w:cs="Times New Roman"/>
          <w:bCs/>
          <w:sz w:val="32"/>
          <w:szCs w:val="32"/>
        </w:rPr>
      </w:pPr>
      <w:r>
        <w:rPr>
          <w:rFonts w:ascii="仿宋" w:hAnsi="仿宋" w:eastAsia="仿宋" w:cs="Times New Roman"/>
          <w:sz w:val="32"/>
          <w:szCs w:val="32"/>
        </w:rPr>
        <w:t>截止201</w:t>
      </w:r>
      <w:r>
        <w:rPr>
          <w:rFonts w:hint="eastAsia" w:ascii="仿宋" w:hAnsi="仿宋" w:eastAsia="仿宋" w:cs="Times New Roman"/>
          <w:sz w:val="32"/>
          <w:szCs w:val="32"/>
        </w:rPr>
        <w:t>9</w:t>
      </w:r>
      <w:r>
        <w:rPr>
          <w:rFonts w:ascii="仿宋" w:hAnsi="仿宋" w:eastAsia="仿宋" w:cs="Times New Roman"/>
          <w:sz w:val="32"/>
          <w:szCs w:val="32"/>
        </w:rPr>
        <w:t>年底，本单位人员编制</w:t>
      </w:r>
      <w:r>
        <w:rPr>
          <w:rFonts w:hint="eastAsia" w:ascii="仿宋" w:hAnsi="仿宋" w:eastAsia="仿宋" w:cs="Times New Roman"/>
          <w:sz w:val="32"/>
          <w:szCs w:val="32"/>
        </w:rPr>
        <w:t>27</w:t>
      </w:r>
      <w:r>
        <w:rPr>
          <w:rFonts w:ascii="仿宋" w:hAnsi="仿宋" w:eastAsia="仿宋" w:cs="Times New Roman"/>
          <w:sz w:val="32"/>
          <w:szCs w:val="32"/>
        </w:rPr>
        <w:t>人，其中行政编制1</w:t>
      </w:r>
      <w:r>
        <w:rPr>
          <w:rFonts w:hint="eastAsia" w:ascii="仿宋" w:hAnsi="仿宋" w:eastAsia="仿宋" w:cs="Times New Roman"/>
          <w:sz w:val="32"/>
          <w:szCs w:val="32"/>
        </w:rPr>
        <w:t>4</w:t>
      </w:r>
      <w:r>
        <w:rPr>
          <w:rFonts w:ascii="仿宋" w:hAnsi="仿宋" w:eastAsia="仿宋" w:cs="Times New Roman"/>
          <w:sz w:val="32"/>
          <w:szCs w:val="32"/>
        </w:rPr>
        <w:t>人、事业编制</w:t>
      </w:r>
      <w:r>
        <w:rPr>
          <w:rFonts w:hint="eastAsia" w:ascii="仿宋" w:hAnsi="仿宋" w:eastAsia="仿宋" w:cs="Times New Roman"/>
          <w:sz w:val="32"/>
          <w:szCs w:val="32"/>
        </w:rPr>
        <w:t>13</w:t>
      </w:r>
      <w:r>
        <w:rPr>
          <w:rFonts w:ascii="仿宋" w:hAnsi="仿宋" w:eastAsia="仿宋" w:cs="Times New Roman"/>
          <w:sz w:val="32"/>
          <w:szCs w:val="32"/>
        </w:rPr>
        <w:t>人；实有人员</w:t>
      </w:r>
      <w:r>
        <w:rPr>
          <w:rFonts w:hint="eastAsia" w:ascii="仿宋" w:hAnsi="仿宋" w:eastAsia="仿宋" w:cs="Times New Roman"/>
          <w:sz w:val="32"/>
          <w:szCs w:val="32"/>
        </w:rPr>
        <w:t>26</w:t>
      </w:r>
      <w:r>
        <w:rPr>
          <w:rFonts w:ascii="仿宋" w:hAnsi="仿宋" w:eastAsia="仿宋" w:cs="Times New Roman"/>
          <w:sz w:val="32"/>
          <w:szCs w:val="32"/>
        </w:rPr>
        <w:t>人，其中行政1</w:t>
      </w:r>
      <w:r>
        <w:rPr>
          <w:rFonts w:hint="eastAsia" w:ascii="仿宋" w:hAnsi="仿宋" w:eastAsia="仿宋" w:cs="Times New Roman"/>
          <w:sz w:val="32"/>
          <w:szCs w:val="32"/>
        </w:rPr>
        <w:t>7</w:t>
      </w:r>
      <w:r>
        <w:rPr>
          <w:rFonts w:ascii="仿宋" w:hAnsi="仿宋" w:eastAsia="仿宋" w:cs="Times New Roman"/>
          <w:sz w:val="32"/>
          <w:szCs w:val="32"/>
        </w:rPr>
        <w:t>人、事业</w:t>
      </w:r>
      <w:r>
        <w:rPr>
          <w:rFonts w:hint="eastAsia" w:ascii="仿宋" w:hAnsi="仿宋" w:eastAsia="仿宋" w:cs="Times New Roman"/>
          <w:sz w:val="32"/>
          <w:szCs w:val="32"/>
        </w:rPr>
        <w:t>9</w:t>
      </w:r>
      <w:r>
        <w:rPr>
          <w:rFonts w:ascii="仿宋" w:hAnsi="仿宋" w:eastAsia="仿宋" w:cs="Times New Roman"/>
          <w:sz w:val="32"/>
          <w:szCs w:val="32"/>
        </w:rPr>
        <w:t>人。单位管理的离退休人员</w:t>
      </w:r>
      <w:r>
        <w:rPr>
          <w:rFonts w:hint="eastAsia" w:ascii="仿宋" w:hAnsi="仿宋" w:eastAsia="仿宋" w:cs="Times New Roman"/>
          <w:sz w:val="32"/>
          <w:szCs w:val="32"/>
        </w:rPr>
        <w:t>22</w:t>
      </w:r>
      <w:r>
        <w:rPr>
          <w:rFonts w:ascii="仿宋" w:hAnsi="仿宋" w:eastAsia="仿宋" w:cs="Times New Roman"/>
          <w:sz w:val="32"/>
          <w:szCs w:val="32"/>
        </w:rPr>
        <w:t>人。</w:t>
      </w:r>
    </w:p>
    <w:p>
      <w:pPr>
        <w:widowControl/>
        <w:jc w:val="left"/>
        <w:rPr>
          <w:rFonts w:ascii="宋体" w:hAnsi="宋体" w:eastAsia="宋体" w:cs="宋体"/>
          <w:kern w:val="0"/>
          <w:sz w:val="24"/>
          <w:szCs w:val="24"/>
        </w:rPr>
      </w:pPr>
      <w:r>
        <w:rPr>
          <w:rFonts w:ascii="宋体" w:hAnsi="宋体" w:eastAsia="宋体" w:cs="宋体"/>
          <w:color w:val="FF0000"/>
          <w:kern w:val="0"/>
          <w:sz w:val="24"/>
          <w:szCs w:val="24"/>
        </w:rPr>
        <w:drawing>
          <wp:inline distT="0" distB="0" distL="0" distR="0">
            <wp:extent cx="4572000" cy="2743200"/>
            <wp:effectExtent l="19050" t="0" r="19050" b="0"/>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560" w:lineRule="exact"/>
        <w:rPr>
          <w:rFonts w:ascii="仿宋" w:hAnsi="仿宋" w:eastAsia="仿宋" w:cs="Times New Roman"/>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rFonts w:ascii="黑体" w:hAnsi="宋体" w:eastAsia="黑体"/>
          <w:color w:val="000000"/>
          <w:kern w:val="0"/>
          <w:sz w:val="44"/>
          <w:szCs w:val="44"/>
        </w:rPr>
      </w:pPr>
      <w:r>
        <w:rPr>
          <w:rFonts w:ascii="黑体" w:hAnsi="宋体" w:eastAsia="黑体"/>
          <w:color w:val="000000"/>
          <w:kern w:val="0"/>
          <w:sz w:val="44"/>
          <w:szCs w:val="44"/>
        </w:rPr>
        <w:t>第二部分 2019年度部门决算表</w:t>
      </w:r>
    </w:p>
    <w:p>
      <w:pPr>
        <w:spacing w:line="560" w:lineRule="exact"/>
        <w:rPr>
          <w:rFonts w:ascii="黑体" w:hAnsi="宋体" w:eastAsia="黑体"/>
          <w:color w:val="000000"/>
          <w:kern w:val="0"/>
          <w:sz w:val="44"/>
          <w:szCs w:val="44"/>
        </w:rPr>
      </w:pPr>
    </w:p>
    <w:tbl>
      <w:tblPr>
        <w:tblStyle w:val="9"/>
        <w:tblW w:w="8780" w:type="dxa"/>
        <w:jc w:val="center"/>
        <w:tblLayout w:type="autofit"/>
        <w:tblCellMar>
          <w:top w:w="0" w:type="dxa"/>
          <w:left w:w="0" w:type="dxa"/>
          <w:bottom w:w="0" w:type="dxa"/>
          <w:right w:w="0" w:type="dxa"/>
        </w:tblCellMar>
      </w:tblPr>
      <w:tblGrid>
        <w:gridCol w:w="604"/>
        <w:gridCol w:w="7137"/>
        <w:gridCol w:w="478"/>
        <w:gridCol w:w="561"/>
      </w:tblGrid>
      <w:tr>
        <w:tblPrEx>
          <w:tblCellMar>
            <w:top w:w="0" w:type="dxa"/>
            <w:left w:w="0" w:type="dxa"/>
            <w:bottom w:w="0" w:type="dxa"/>
            <w:right w:w="0" w:type="dxa"/>
          </w:tblCellMar>
        </w:tblPrEx>
        <w:trPr>
          <w:trHeight w:val="1468" w:hRule="atLeast"/>
          <w:jc w:val="center"/>
        </w:trPr>
        <w:tc>
          <w:tcPr>
            <w:tcW w:w="8780" w:type="dxa"/>
            <w:gridSpan w:val="4"/>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kern w:val="0"/>
                <w:sz w:val="44"/>
                <w:szCs w:val="44"/>
              </w:rPr>
              <w:t>目</w:t>
            </w:r>
            <w:r>
              <w:rPr>
                <w:rStyle w:val="19"/>
                <w:rFonts w:hint="default"/>
              </w:rPr>
              <w:t>录</w:t>
            </w:r>
          </w:p>
        </w:tc>
      </w:tr>
      <w:tr>
        <w:tblPrEx>
          <w:tblCellMar>
            <w:top w:w="0" w:type="dxa"/>
            <w:left w:w="0" w:type="dxa"/>
            <w:bottom w:w="0" w:type="dxa"/>
            <w:right w:w="0" w:type="dxa"/>
          </w:tblCellMar>
        </w:tblPrEx>
        <w:trPr>
          <w:trHeight w:val="505" w:hRule="atLeast"/>
          <w:jc w:val="center"/>
        </w:trPr>
        <w:tc>
          <w:tcPr>
            <w:tcW w:w="0" w:type="auto"/>
            <w:gridSpan w:val="4"/>
            <w:tcBorders>
              <w:top w:val="nil"/>
              <w:left w:val="nil"/>
              <w:bottom w:val="nil"/>
              <w:right w:val="nil"/>
            </w:tcBorders>
            <w:shd w:val="clear" w:color="auto" w:fill="auto"/>
            <w:noWrap/>
            <w:tcMar>
              <w:top w:w="15" w:type="dxa"/>
              <w:left w:w="15" w:type="dxa"/>
              <w:right w:w="15" w:type="dxa"/>
            </w:tcMar>
            <w:vAlign w:val="center"/>
          </w:tcPr>
          <w:p>
            <w:pPr>
              <w:jc w:val="left"/>
              <w:rPr>
                <w:rFonts w:ascii="宋体" w:hAnsi="宋体" w:eastAsia="宋体" w:cs="宋体"/>
                <w:color w:val="000000"/>
                <w:sz w:val="20"/>
                <w:szCs w:val="20"/>
              </w:rPr>
            </w:pPr>
          </w:p>
        </w:tc>
      </w:tr>
      <w:tr>
        <w:tblPrEx>
          <w:tblCellMar>
            <w:top w:w="0" w:type="dxa"/>
            <w:left w:w="0" w:type="dxa"/>
            <w:bottom w:w="0" w:type="dxa"/>
            <w:right w:w="0" w:type="dxa"/>
          </w:tblCellMar>
        </w:tblPrEx>
        <w:trPr>
          <w:trHeight w:val="1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内容</w:t>
            </w:r>
          </w:p>
        </w:tc>
        <w:tc>
          <w:tcPr>
            <w:tcW w:w="5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是否空表</w:t>
            </w:r>
          </w:p>
        </w:tc>
        <w:tc>
          <w:tcPr>
            <w:tcW w:w="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公开空表理由</w:t>
            </w:r>
          </w:p>
        </w:tc>
      </w:tr>
      <w:tr>
        <w:tblPrEx>
          <w:tblCellMar>
            <w:top w:w="0" w:type="dxa"/>
            <w:left w:w="0" w:type="dxa"/>
            <w:bottom w:w="0" w:type="dxa"/>
            <w:right w:w="0" w:type="dxa"/>
          </w:tblCellMar>
        </w:tblPrEx>
        <w:trPr>
          <w:trHeight w:val="718"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表1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部门收支总体情况表</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4"/>
                <w:szCs w:val="24"/>
              </w:rPr>
            </w:pPr>
            <w:r>
              <w:rPr>
                <w:rFonts w:hint="eastAsia" w:ascii="宋体" w:hAnsi="宋体" w:eastAsia="宋体" w:cs="宋体"/>
                <w:color w:val="000000"/>
                <w:kern w:val="0"/>
                <w:sz w:val="24"/>
                <w:szCs w:val="24"/>
              </w:rPr>
              <w:t>否</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Arial" w:hAnsi="Arial" w:cs="Arial"/>
                <w:color w:val="000000"/>
                <w:sz w:val="24"/>
                <w:szCs w:val="24"/>
              </w:rPr>
            </w:pPr>
          </w:p>
        </w:tc>
      </w:tr>
      <w:tr>
        <w:tblPrEx>
          <w:tblCellMar>
            <w:top w:w="0" w:type="dxa"/>
            <w:left w:w="0" w:type="dxa"/>
            <w:bottom w:w="0" w:type="dxa"/>
            <w:right w:w="0" w:type="dxa"/>
          </w:tblCellMar>
        </w:tblPrEx>
        <w:trPr>
          <w:trHeight w:val="718"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表2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部门收入总体情况表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4"/>
                <w:szCs w:val="24"/>
              </w:rPr>
            </w:pPr>
            <w:r>
              <w:rPr>
                <w:rFonts w:hint="eastAsia" w:ascii="宋体" w:hAnsi="宋体" w:eastAsia="宋体" w:cs="宋体"/>
                <w:color w:val="000000"/>
                <w:kern w:val="0"/>
                <w:sz w:val="24"/>
                <w:szCs w:val="24"/>
              </w:rPr>
              <w:t>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Arial" w:hAnsi="Arial" w:cs="Arial"/>
                <w:color w:val="000000"/>
                <w:sz w:val="24"/>
                <w:szCs w:val="24"/>
              </w:rPr>
            </w:pPr>
          </w:p>
        </w:tc>
      </w:tr>
      <w:tr>
        <w:tblPrEx>
          <w:tblCellMar>
            <w:top w:w="0" w:type="dxa"/>
            <w:left w:w="0" w:type="dxa"/>
            <w:bottom w:w="0" w:type="dxa"/>
            <w:right w:w="0" w:type="dxa"/>
          </w:tblCellMar>
        </w:tblPrEx>
        <w:trPr>
          <w:trHeight w:val="718"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表3</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部门支出总体情况表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4"/>
                <w:szCs w:val="24"/>
              </w:rPr>
            </w:pPr>
            <w:r>
              <w:rPr>
                <w:rFonts w:hint="eastAsia" w:ascii="宋体" w:hAnsi="宋体" w:eastAsia="宋体" w:cs="宋体"/>
                <w:color w:val="000000"/>
                <w:kern w:val="0"/>
                <w:sz w:val="24"/>
                <w:szCs w:val="24"/>
              </w:rPr>
              <w:t>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Arial" w:hAnsi="Arial" w:cs="Arial"/>
                <w:color w:val="000000"/>
                <w:sz w:val="24"/>
                <w:szCs w:val="24"/>
              </w:rPr>
            </w:pPr>
          </w:p>
        </w:tc>
      </w:tr>
      <w:tr>
        <w:tblPrEx>
          <w:tblCellMar>
            <w:top w:w="0" w:type="dxa"/>
            <w:left w:w="0" w:type="dxa"/>
            <w:bottom w:w="0" w:type="dxa"/>
            <w:right w:w="0" w:type="dxa"/>
          </w:tblCellMar>
        </w:tblPrEx>
        <w:trPr>
          <w:trHeight w:val="718"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表4</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财政拨款收支总体情况表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4"/>
                <w:szCs w:val="24"/>
              </w:rPr>
            </w:pPr>
            <w:r>
              <w:rPr>
                <w:rFonts w:hint="eastAsia" w:ascii="宋体" w:hAnsi="宋体" w:eastAsia="宋体" w:cs="宋体"/>
                <w:color w:val="000000"/>
                <w:kern w:val="0"/>
                <w:sz w:val="24"/>
                <w:szCs w:val="24"/>
              </w:rPr>
              <w:t>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Arial" w:hAnsi="Arial" w:cs="Arial"/>
                <w:color w:val="000000"/>
                <w:sz w:val="24"/>
                <w:szCs w:val="24"/>
              </w:rPr>
            </w:pPr>
          </w:p>
        </w:tc>
      </w:tr>
      <w:tr>
        <w:tblPrEx>
          <w:tblCellMar>
            <w:top w:w="0" w:type="dxa"/>
            <w:left w:w="0" w:type="dxa"/>
            <w:bottom w:w="0" w:type="dxa"/>
            <w:right w:w="0" w:type="dxa"/>
          </w:tblCellMar>
        </w:tblPrEx>
        <w:trPr>
          <w:trHeight w:val="718"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表5</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一般公共预算支出情况表（按功能分类科目）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4"/>
                <w:szCs w:val="24"/>
              </w:rPr>
            </w:pPr>
            <w:r>
              <w:rPr>
                <w:rFonts w:hint="eastAsia" w:ascii="宋体" w:hAnsi="宋体" w:eastAsia="宋体" w:cs="宋体"/>
                <w:color w:val="000000"/>
                <w:kern w:val="0"/>
                <w:sz w:val="24"/>
                <w:szCs w:val="24"/>
              </w:rPr>
              <w:t>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Arial" w:hAnsi="Arial" w:cs="Arial"/>
                <w:color w:val="000000"/>
                <w:sz w:val="24"/>
                <w:szCs w:val="24"/>
              </w:rPr>
            </w:pPr>
          </w:p>
        </w:tc>
      </w:tr>
      <w:tr>
        <w:tblPrEx>
          <w:tblCellMar>
            <w:top w:w="0" w:type="dxa"/>
            <w:left w:w="0" w:type="dxa"/>
            <w:bottom w:w="0" w:type="dxa"/>
            <w:right w:w="0" w:type="dxa"/>
          </w:tblCellMar>
        </w:tblPrEx>
        <w:trPr>
          <w:trHeight w:val="718"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表6</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一般公共预算基本支出情况表（按经济分类科目）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4"/>
                <w:szCs w:val="24"/>
              </w:rPr>
            </w:pPr>
            <w:r>
              <w:rPr>
                <w:rFonts w:hint="eastAsia" w:ascii="宋体" w:hAnsi="宋体" w:eastAsia="宋体" w:cs="宋体"/>
                <w:color w:val="000000"/>
                <w:kern w:val="0"/>
                <w:sz w:val="24"/>
                <w:szCs w:val="24"/>
              </w:rPr>
              <w:t>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Arial" w:hAnsi="Arial" w:cs="Arial"/>
                <w:color w:val="000000"/>
                <w:sz w:val="24"/>
                <w:szCs w:val="24"/>
              </w:rPr>
            </w:pPr>
          </w:p>
        </w:tc>
      </w:tr>
      <w:tr>
        <w:tblPrEx>
          <w:tblCellMar>
            <w:top w:w="0" w:type="dxa"/>
            <w:left w:w="0" w:type="dxa"/>
            <w:bottom w:w="0" w:type="dxa"/>
            <w:right w:w="0" w:type="dxa"/>
          </w:tblCellMar>
        </w:tblPrEx>
        <w:trPr>
          <w:trHeight w:val="718"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表7</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一般公共预算“三公”经费及会议费、培训费支出情况表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4"/>
                <w:szCs w:val="24"/>
              </w:rPr>
            </w:pPr>
            <w:r>
              <w:rPr>
                <w:rFonts w:hint="eastAsia" w:ascii="宋体" w:hAnsi="宋体" w:eastAsia="宋体" w:cs="宋体"/>
                <w:color w:val="000000"/>
                <w:kern w:val="0"/>
                <w:sz w:val="24"/>
                <w:szCs w:val="24"/>
              </w:rPr>
              <w:t>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Arial" w:hAnsi="Arial" w:cs="Arial"/>
                <w:color w:val="000000"/>
                <w:sz w:val="24"/>
                <w:szCs w:val="24"/>
              </w:rPr>
            </w:pPr>
          </w:p>
        </w:tc>
      </w:tr>
      <w:tr>
        <w:tblPrEx>
          <w:tblCellMar>
            <w:top w:w="0" w:type="dxa"/>
            <w:left w:w="0" w:type="dxa"/>
            <w:bottom w:w="0" w:type="dxa"/>
            <w:right w:w="0" w:type="dxa"/>
          </w:tblCellMar>
        </w:tblPrEx>
        <w:trPr>
          <w:trHeight w:val="733"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表8</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政府性基金预算收支情况表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宋体" w:hAnsi="宋体" w:eastAsia="宋体" w:cs="宋体"/>
                <w:color w:val="000000"/>
                <w:sz w:val="24"/>
                <w:szCs w:val="24"/>
              </w:rPr>
            </w:pPr>
            <w:r>
              <w:rPr>
                <w:rFonts w:hint="eastAsia" w:ascii="宋体" w:hAnsi="宋体" w:eastAsia="宋体" w:cs="宋体"/>
                <w:color w:val="000000"/>
                <w:kern w:val="0"/>
                <w:sz w:val="24"/>
                <w:szCs w:val="24"/>
              </w:rPr>
              <w:t>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ascii="宋体" w:hAnsi="宋体" w:eastAsia="宋体" w:cs="宋体"/>
                <w:color w:val="000000"/>
                <w:sz w:val="24"/>
                <w:szCs w:val="24"/>
              </w:rPr>
            </w:pPr>
          </w:p>
        </w:tc>
      </w:tr>
    </w:tbl>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tbl>
      <w:tblPr>
        <w:tblStyle w:val="9"/>
        <w:tblW w:w="8620" w:type="dxa"/>
        <w:jc w:val="center"/>
        <w:tblLayout w:type="autofit"/>
        <w:tblCellMar>
          <w:top w:w="0" w:type="dxa"/>
          <w:left w:w="0" w:type="dxa"/>
          <w:bottom w:w="0" w:type="dxa"/>
          <w:right w:w="0" w:type="dxa"/>
        </w:tblCellMar>
      </w:tblPr>
      <w:tblGrid>
        <w:gridCol w:w="3830"/>
        <w:gridCol w:w="910"/>
        <w:gridCol w:w="2890"/>
        <w:gridCol w:w="1030"/>
      </w:tblGrid>
      <w:tr>
        <w:tblPrEx>
          <w:tblCellMar>
            <w:top w:w="0" w:type="dxa"/>
            <w:left w:w="0" w:type="dxa"/>
            <w:bottom w:w="0" w:type="dxa"/>
            <w:right w:w="0" w:type="dxa"/>
          </w:tblCellMar>
        </w:tblPrEx>
        <w:trPr>
          <w:trHeight w:val="909" w:hRule="atLeast"/>
          <w:jc w:val="center"/>
        </w:trPr>
        <w:tc>
          <w:tcPr>
            <w:tcW w:w="8620" w:type="dxa"/>
            <w:gridSpan w:val="4"/>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kern w:val="0"/>
                <w:sz w:val="44"/>
                <w:szCs w:val="44"/>
              </w:rPr>
              <w:t>部门收支总体情况表</w:t>
            </w:r>
          </w:p>
        </w:tc>
      </w:tr>
      <w:tr>
        <w:tblPrEx>
          <w:tblCellMar>
            <w:top w:w="0" w:type="dxa"/>
            <w:left w:w="0" w:type="dxa"/>
            <w:bottom w:w="0" w:type="dxa"/>
            <w:right w:w="0" w:type="dxa"/>
          </w:tblCellMar>
        </w:tblPrEx>
        <w:trPr>
          <w:trHeight w:val="329" w:hRule="atLeast"/>
          <w:jc w:val="center"/>
        </w:trPr>
        <w:tc>
          <w:tcPr>
            <w:tcW w:w="0" w:type="auto"/>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01表</w:t>
            </w:r>
          </w:p>
        </w:tc>
      </w:tr>
      <w:tr>
        <w:tblPrEx>
          <w:tblCellMar>
            <w:top w:w="0" w:type="dxa"/>
            <w:left w:w="0" w:type="dxa"/>
            <w:bottom w:w="0" w:type="dxa"/>
            <w:right w:w="0" w:type="dxa"/>
          </w:tblCellMar>
        </w:tblPrEx>
        <w:trPr>
          <w:trHeight w:val="403" w:hRule="atLeast"/>
          <w:jc w:val="center"/>
        </w:trPr>
        <w:tc>
          <w:tcPr>
            <w:tcW w:w="0" w:type="auto"/>
            <w:tcBorders>
              <w:top w:val="nil"/>
              <w:left w:val="nil"/>
              <w:bottom w:val="single" w:color="000000" w:sz="4" w:space="0"/>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编制部门：西安市蓝田县发展和改革委员会</w:t>
            </w:r>
          </w:p>
        </w:tc>
        <w:tc>
          <w:tcPr>
            <w:tcW w:w="0" w:type="auto"/>
            <w:tcBorders>
              <w:top w:val="nil"/>
              <w:left w:val="nil"/>
              <w:bottom w:val="single" w:color="000000" w:sz="4" w:space="0"/>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0" w:type="auto"/>
            <w:tcBorders>
              <w:top w:val="nil"/>
              <w:left w:val="nil"/>
              <w:bottom w:val="single" w:color="000000" w:sz="4" w:space="0"/>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0" w:type="dxa"/>
            <w:bottom w:w="0" w:type="dxa"/>
            <w:right w:w="0" w:type="dxa"/>
          </w:tblCellMar>
        </w:tblPrEx>
        <w:trPr>
          <w:trHeight w:val="354"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收入</w:t>
            </w:r>
          </w:p>
        </w:tc>
        <w:tc>
          <w:tcPr>
            <w:tcW w:w="0" w:type="auto"/>
            <w:gridSpan w:val="2"/>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支出</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1、一般公共预算财政拨款</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793.01</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1、一般公共服务支出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498.57</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2、政府性基金预算财政拨款</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2、外交支出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3、国有资本经营预算财政拨款 </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3、国防支出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4、上级补助收入</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4、公共安全支出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5、事业收入</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5、教育支出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6、经营收入</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6、科学技术支出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7、附属单位上缴收入</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7、文化旅游体育与传媒支出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8、其他收入</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8、社会保障和就业支出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33.22</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9、卫生健康支出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7.92</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10、节能环保支出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11、城乡社区支出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12、农林水支出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183.84</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13、交通运输支出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14、资源勘探信息等支出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15、商业服务业等支出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16、金融支出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17、援助其他地区支出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18、自然资源海洋气象等支出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19、住房保障支出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20、粮油物资储备支出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21、灾害防治及应急管理支出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0"/>
                <w:szCs w:val="20"/>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0"/>
                <w:szCs w:val="20"/>
              </w:rPr>
            </w:pP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22、其他支出</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963.50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本年收入合计</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1,756.52</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本年支出合计</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1,756.52</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用事业基金弥补收支差额</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 xml:space="preserve">结余分配 </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年初结转和结余</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0" w:type="auto"/>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年末结转和结余</w:t>
            </w:r>
          </w:p>
        </w:tc>
        <w:tc>
          <w:tcPr>
            <w:tcW w:w="0" w:type="auto"/>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54" w:hRule="atLeast"/>
          <w:jc w:val="center"/>
        </w:trPr>
        <w:tc>
          <w:tcPr>
            <w:tcW w:w="0" w:type="auto"/>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收入总计</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1,756.52</w:t>
            </w:r>
          </w:p>
        </w:tc>
        <w:tc>
          <w:tcPr>
            <w:tcW w:w="0" w:type="auto"/>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支出总计</w:t>
            </w:r>
          </w:p>
        </w:tc>
        <w:tc>
          <w:tcPr>
            <w:tcW w:w="0" w:type="auto"/>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1,756.52</w:t>
            </w:r>
          </w:p>
        </w:tc>
      </w:tr>
      <w:tr>
        <w:tblPrEx>
          <w:tblCellMar>
            <w:top w:w="0" w:type="dxa"/>
            <w:left w:w="0" w:type="dxa"/>
            <w:bottom w:w="0" w:type="dxa"/>
            <w:right w:w="0" w:type="dxa"/>
          </w:tblCellMar>
        </w:tblPrEx>
        <w:trPr>
          <w:trHeight w:val="671" w:hRule="atLeast"/>
          <w:jc w:val="center"/>
        </w:trPr>
        <w:tc>
          <w:tcPr>
            <w:tcW w:w="8620" w:type="dxa"/>
            <w:gridSpan w:val="4"/>
            <w:tcBorders>
              <w:top w:val="single" w:color="000000" w:sz="8" w:space="0"/>
              <w:left w:val="nil"/>
              <w:bottom w:val="nil"/>
              <w:right w:val="nil"/>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注：本表反映部门本年度的总收支和年末结转结余情况。本表金额转换为万元时，因四舍五入可能存在尾差。</w:t>
            </w:r>
          </w:p>
        </w:tc>
      </w:tr>
    </w:tbl>
    <w:p>
      <w:pPr>
        <w:spacing w:line="560" w:lineRule="exact"/>
        <w:rPr>
          <w:rFonts w:ascii="黑体" w:hAnsi="宋体" w:eastAsia="黑体"/>
          <w:color w:val="000000"/>
          <w:kern w:val="0"/>
          <w:sz w:val="44"/>
          <w:szCs w:val="44"/>
        </w:rPr>
      </w:pPr>
    </w:p>
    <w:tbl>
      <w:tblPr>
        <w:tblStyle w:val="9"/>
        <w:tblW w:w="9817" w:type="dxa"/>
        <w:jc w:val="center"/>
        <w:tblLayout w:type="autofit"/>
        <w:tblCellMar>
          <w:top w:w="0" w:type="dxa"/>
          <w:left w:w="0" w:type="dxa"/>
          <w:bottom w:w="0" w:type="dxa"/>
          <w:right w:w="0" w:type="dxa"/>
        </w:tblCellMar>
      </w:tblPr>
      <w:tblGrid>
        <w:gridCol w:w="982"/>
        <w:gridCol w:w="2030"/>
        <w:gridCol w:w="1005"/>
        <w:gridCol w:w="1035"/>
        <w:gridCol w:w="645"/>
        <w:gridCol w:w="735"/>
        <w:gridCol w:w="900"/>
        <w:gridCol w:w="690"/>
        <w:gridCol w:w="765"/>
        <w:gridCol w:w="1030"/>
      </w:tblGrid>
      <w:tr>
        <w:tblPrEx>
          <w:tblCellMar>
            <w:top w:w="0" w:type="dxa"/>
            <w:left w:w="0" w:type="dxa"/>
            <w:bottom w:w="0" w:type="dxa"/>
            <w:right w:w="0" w:type="dxa"/>
          </w:tblCellMar>
        </w:tblPrEx>
        <w:trPr>
          <w:trHeight w:val="720" w:hRule="atLeast"/>
          <w:jc w:val="center"/>
        </w:trPr>
        <w:tc>
          <w:tcPr>
            <w:tcW w:w="9817" w:type="dxa"/>
            <w:gridSpan w:val="10"/>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8"/>
                <w:szCs w:val="28"/>
              </w:rPr>
            </w:pPr>
            <w:r>
              <w:rPr>
                <w:rFonts w:ascii="方正小标宋简体" w:hAnsi="方正小标宋简体" w:eastAsia="方正小标宋简体" w:cs="方正小标宋简体"/>
                <w:color w:val="000000"/>
                <w:kern w:val="0"/>
                <w:sz w:val="44"/>
                <w:szCs w:val="44"/>
              </w:rPr>
              <w:t>部门收入总体情况表</w:t>
            </w:r>
            <w:r>
              <w:rPr>
                <w:rFonts w:hint="eastAsia" w:ascii="宋体" w:hAnsi="宋体" w:eastAsia="宋体" w:cs="宋体"/>
                <w:color w:val="000000"/>
                <w:kern w:val="0"/>
                <w:sz w:val="20"/>
                <w:szCs w:val="20"/>
              </w:rPr>
              <w:t>02表</w:t>
            </w:r>
          </w:p>
        </w:tc>
      </w:tr>
      <w:tr>
        <w:tblPrEx>
          <w:tblCellMar>
            <w:top w:w="0" w:type="dxa"/>
            <w:left w:w="0" w:type="dxa"/>
            <w:bottom w:w="0" w:type="dxa"/>
            <w:right w:w="0" w:type="dxa"/>
          </w:tblCellMar>
        </w:tblPrEx>
        <w:trPr>
          <w:trHeight w:val="580" w:hRule="atLeast"/>
          <w:jc w:val="center"/>
        </w:trPr>
        <w:tc>
          <w:tcPr>
            <w:tcW w:w="9817" w:type="dxa"/>
            <w:gridSpan w:val="10"/>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编制部门：西安市蓝田县发展和改革委员会                                                  单位：万元</w:t>
            </w:r>
          </w:p>
        </w:tc>
      </w:tr>
      <w:tr>
        <w:tblPrEx>
          <w:tblCellMar>
            <w:top w:w="0" w:type="dxa"/>
            <w:left w:w="0" w:type="dxa"/>
            <w:bottom w:w="0" w:type="dxa"/>
            <w:right w:w="0" w:type="dxa"/>
          </w:tblCellMar>
        </w:tblPrEx>
        <w:trPr>
          <w:trHeight w:val="307" w:hRule="atLeast"/>
          <w:jc w:val="center"/>
        </w:trPr>
        <w:tc>
          <w:tcPr>
            <w:tcW w:w="301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w:t>
            </w:r>
          </w:p>
        </w:tc>
        <w:tc>
          <w:tcPr>
            <w:tcW w:w="1005"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本年收入合计</w:t>
            </w:r>
          </w:p>
        </w:tc>
        <w:tc>
          <w:tcPr>
            <w:tcW w:w="1035"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财政拨款</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收入</w:t>
            </w:r>
          </w:p>
        </w:tc>
        <w:tc>
          <w:tcPr>
            <w:tcW w:w="645"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上级补助收入</w:t>
            </w:r>
          </w:p>
        </w:tc>
        <w:tc>
          <w:tcPr>
            <w:tcW w:w="1635" w:type="dxa"/>
            <w:gridSpan w:val="2"/>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事业收入</w:t>
            </w:r>
          </w:p>
        </w:tc>
        <w:tc>
          <w:tcPr>
            <w:tcW w:w="690"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经营收入</w:t>
            </w:r>
          </w:p>
        </w:tc>
        <w:tc>
          <w:tcPr>
            <w:tcW w:w="765"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附属单位上缴收入</w:t>
            </w:r>
          </w:p>
        </w:tc>
        <w:tc>
          <w:tcPr>
            <w:tcW w:w="1030" w:type="dxa"/>
            <w:vMerge w:val="restart"/>
            <w:tcBorders>
              <w:top w:val="single" w:color="000000" w:sz="4" w:space="0"/>
              <w:left w:val="nil"/>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其他收入</w:t>
            </w:r>
          </w:p>
        </w:tc>
      </w:tr>
      <w:tr>
        <w:tblPrEx>
          <w:tblCellMar>
            <w:top w:w="0" w:type="dxa"/>
            <w:left w:w="0" w:type="dxa"/>
            <w:bottom w:w="0" w:type="dxa"/>
            <w:right w:w="0" w:type="dxa"/>
          </w:tblCellMar>
        </w:tblPrEx>
        <w:trPr>
          <w:trHeight w:val="240" w:hRule="atLeast"/>
          <w:jc w:val="center"/>
        </w:trPr>
        <w:tc>
          <w:tcPr>
            <w:tcW w:w="982"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功能分类科目编码</w:t>
            </w:r>
          </w:p>
        </w:tc>
        <w:tc>
          <w:tcPr>
            <w:tcW w:w="2030"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科目名称</w:t>
            </w:r>
          </w:p>
        </w:tc>
        <w:tc>
          <w:tcPr>
            <w:tcW w:w="100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sz w:val="20"/>
                <w:szCs w:val="20"/>
              </w:rPr>
            </w:pPr>
          </w:p>
        </w:tc>
        <w:tc>
          <w:tcPr>
            <w:tcW w:w="103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sz w:val="20"/>
                <w:szCs w:val="20"/>
              </w:rPr>
            </w:pPr>
          </w:p>
        </w:tc>
        <w:tc>
          <w:tcPr>
            <w:tcW w:w="64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sz w:val="20"/>
                <w:szCs w:val="20"/>
              </w:rPr>
            </w:pPr>
          </w:p>
        </w:tc>
        <w:tc>
          <w:tcPr>
            <w:tcW w:w="1635" w:type="dxa"/>
            <w:gridSpan w:val="2"/>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sz w:val="20"/>
                <w:szCs w:val="20"/>
              </w:rPr>
            </w:pPr>
          </w:p>
        </w:tc>
        <w:tc>
          <w:tcPr>
            <w:tcW w:w="69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76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30" w:type="dxa"/>
            <w:vMerge w:val="continue"/>
            <w:tcBorders>
              <w:top w:val="single" w:color="000000" w:sz="4" w:space="0"/>
              <w:left w:val="nil"/>
              <w:bottom w:val="single" w:color="000000" w:sz="4" w:space="0"/>
              <w:right w:val="single" w:color="000000" w:sz="8"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300" w:hRule="atLeast"/>
          <w:jc w:val="center"/>
        </w:trPr>
        <w:tc>
          <w:tcPr>
            <w:tcW w:w="98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sz w:val="20"/>
                <w:szCs w:val="20"/>
              </w:rPr>
            </w:pPr>
          </w:p>
        </w:tc>
        <w:tc>
          <w:tcPr>
            <w:tcW w:w="2030"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exact"/>
              <w:jc w:val="center"/>
              <w:rPr>
                <w:rFonts w:ascii="宋体" w:hAnsi="宋体" w:eastAsia="宋体" w:cs="宋体"/>
                <w:color w:val="000000"/>
                <w:sz w:val="20"/>
                <w:szCs w:val="20"/>
              </w:rPr>
            </w:pPr>
          </w:p>
        </w:tc>
        <w:tc>
          <w:tcPr>
            <w:tcW w:w="100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sz w:val="20"/>
                <w:szCs w:val="20"/>
              </w:rPr>
            </w:pPr>
          </w:p>
        </w:tc>
        <w:tc>
          <w:tcPr>
            <w:tcW w:w="103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sz w:val="20"/>
                <w:szCs w:val="20"/>
              </w:rPr>
            </w:pPr>
          </w:p>
        </w:tc>
        <w:tc>
          <w:tcPr>
            <w:tcW w:w="64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rPr>
                <w:rFonts w:ascii="宋体" w:hAnsi="宋体" w:eastAsia="宋体" w:cs="宋体"/>
                <w:color w:val="000000"/>
                <w:sz w:val="20"/>
                <w:szCs w:val="20"/>
              </w:rPr>
            </w:pPr>
          </w:p>
        </w:tc>
        <w:tc>
          <w:tcPr>
            <w:tcW w:w="735"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小计</w:t>
            </w:r>
          </w:p>
        </w:tc>
        <w:tc>
          <w:tcPr>
            <w:tcW w:w="90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exact"/>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其中：教育收费</w:t>
            </w:r>
          </w:p>
        </w:tc>
        <w:tc>
          <w:tcPr>
            <w:tcW w:w="69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76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30" w:type="dxa"/>
            <w:vMerge w:val="continue"/>
            <w:tcBorders>
              <w:top w:val="single" w:color="000000" w:sz="4" w:space="0"/>
              <w:left w:val="nil"/>
              <w:bottom w:val="single" w:color="000000" w:sz="4" w:space="0"/>
              <w:right w:val="single" w:color="000000" w:sz="8"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312" w:hRule="atLeast"/>
          <w:jc w:val="center"/>
        </w:trPr>
        <w:tc>
          <w:tcPr>
            <w:tcW w:w="98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2030"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00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3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64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735"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90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69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76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30" w:type="dxa"/>
            <w:vMerge w:val="continue"/>
            <w:tcBorders>
              <w:top w:val="single" w:color="000000" w:sz="4" w:space="0"/>
              <w:left w:val="nil"/>
              <w:bottom w:val="single" w:color="000000" w:sz="4" w:space="0"/>
              <w:right w:val="single" w:color="000000" w:sz="8"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280" w:hRule="atLeast"/>
          <w:jc w:val="center"/>
        </w:trPr>
        <w:tc>
          <w:tcPr>
            <w:tcW w:w="301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1,756.52</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1,756.52</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一般公共服务支出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498.57</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498.57</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20104</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发展与改革事务</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483.27</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483.27</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2010401</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行政运行</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204.77</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204.77</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2010408</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物价管理</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93.22</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93.22</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482"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2010499</w:t>
            </w:r>
          </w:p>
        </w:tc>
        <w:tc>
          <w:tcPr>
            <w:tcW w:w="20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其他发展与改革</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事务支出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185.28</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185.28</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20199</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其他一般公共服务支出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15.30</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15.30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512"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2019999</w:t>
            </w:r>
          </w:p>
        </w:tc>
        <w:tc>
          <w:tcPr>
            <w:tcW w:w="20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其他一般公共</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服务支出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15.30</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15.30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208</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社会保障和就业支出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33.23</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33.23</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20805</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行政事业单位离退休</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33.23</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33.23</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497"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2080505</w:t>
            </w:r>
          </w:p>
        </w:tc>
        <w:tc>
          <w:tcPr>
            <w:tcW w:w="20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机关事业单位基本养老保险缴费支出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32.08</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32.08</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395"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2080506</w:t>
            </w:r>
          </w:p>
        </w:tc>
        <w:tc>
          <w:tcPr>
            <w:tcW w:w="20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机关事业单位职业年金缴费支出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1.15</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1.15</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210</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卫生健康支出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7.92</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7.92</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21011</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行政事业单位医疗</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7.20</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7.20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2101101</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行政单位医疗</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6.07</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6.07</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2101102</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事业单位医疗</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0.74</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0.74</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2101103</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公务员医疗补助</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0.39</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0.39</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21099</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其他卫生健康支出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0.72</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0.72</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2109901</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其他卫生健康支出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0.72</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0.72</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211</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节能环保支出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19.45</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19.45</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21110</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能源节约利用</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19.45</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19.45</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2111001</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能源节约利用</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19.45</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19.45</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213</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农林水支出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183.84</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183.84</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21301</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农业</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3.00</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488"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2130152</w:t>
            </w:r>
          </w:p>
        </w:tc>
        <w:tc>
          <w:tcPr>
            <w:tcW w:w="20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对高校毕业生到</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基层任职补助</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3.00</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21305</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扶贫</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180.84</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180.84</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2130505</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生产发展</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180.84</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180.84</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216</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商业服务业等支出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50.00</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21699</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其他商业服务业等支出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50.00</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5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2169999</w:t>
            </w:r>
          </w:p>
        </w:tc>
        <w:tc>
          <w:tcPr>
            <w:tcW w:w="20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其他商业服务业</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等支出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50.00</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28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229</w:t>
            </w:r>
          </w:p>
        </w:tc>
        <w:tc>
          <w:tcPr>
            <w:tcW w:w="20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其他支出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963.50</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963.50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840" w:hRule="atLeast"/>
          <w:jc w:val="center"/>
        </w:trPr>
        <w:tc>
          <w:tcPr>
            <w:tcW w:w="9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22904</w:t>
            </w:r>
          </w:p>
        </w:tc>
        <w:tc>
          <w:tcPr>
            <w:tcW w:w="203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其他政府性基金及对应专项债务收入安排的支出</w:t>
            </w:r>
          </w:p>
        </w:tc>
        <w:tc>
          <w:tcPr>
            <w:tcW w:w="100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963.50</w:t>
            </w:r>
          </w:p>
        </w:tc>
        <w:tc>
          <w:tcPr>
            <w:tcW w:w="10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963.50</w:t>
            </w:r>
          </w:p>
        </w:tc>
        <w:tc>
          <w:tcPr>
            <w:tcW w:w="64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600" w:hRule="atLeast"/>
          <w:jc w:val="center"/>
        </w:trPr>
        <w:tc>
          <w:tcPr>
            <w:tcW w:w="982" w:type="dxa"/>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2290401</w:t>
            </w:r>
          </w:p>
        </w:tc>
        <w:tc>
          <w:tcPr>
            <w:tcW w:w="2030"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其他政府性基金</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安排的支出</w:t>
            </w:r>
          </w:p>
        </w:tc>
        <w:tc>
          <w:tcPr>
            <w:tcW w:w="1005"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963.50</w:t>
            </w:r>
          </w:p>
        </w:tc>
        <w:tc>
          <w:tcPr>
            <w:tcW w:w="1035"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963.50</w:t>
            </w:r>
          </w:p>
        </w:tc>
        <w:tc>
          <w:tcPr>
            <w:tcW w:w="645"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35"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900"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690"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765"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c>
          <w:tcPr>
            <w:tcW w:w="1030"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0.00</w:t>
            </w:r>
          </w:p>
        </w:tc>
      </w:tr>
      <w:tr>
        <w:tblPrEx>
          <w:tblCellMar>
            <w:top w:w="0" w:type="dxa"/>
            <w:left w:w="0" w:type="dxa"/>
            <w:bottom w:w="0" w:type="dxa"/>
            <w:right w:w="0" w:type="dxa"/>
          </w:tblCellMar>
        </w:tblPrEx>
        <w:trPr>
          <w:trHeight w:val="520" w:hRule="atLeast"/>
          <w:jc w:val="center"/>
        </w:trPr>
        <w:tc>
          <w:tcPr>
            <w:tcW w:w="9817" w:type="dxa"/>
            <w:gridSpan w:val="10"/>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注：本表反映部门本年度取得的各项收入情况。本表金额转换为万元时，因四舍五入可能存在尾差。</w:t>
            </w:r>
          </w:p>
        </w:tc>
      </w:tr>
    </w:tbl>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tbl>
      <w:tblPr>
        <w:tblStyle w:val="9"/>
        <w:tblW w:w="9794" w:type="dxa"/>
        <w:jc w:val="center"/>
        <w:tblLayout w:type="fixed"/>
        <w:tblCellMar>
          <w:top w:w="0" w:type="dxa"/>
          <w:left w:w="0" w:type="dxa"/>
          <w:bottom w:w="0" w:type="dxa"/>
          <w:right w:w="0" w:type="dxa"/>
        </w:tblCellMar>
      </w:tblPr>
      <w:tblGrid>
        <w:gridCol w:w="978"/>
        <w:gridCol w:w="50"/>
        <w:gridCol w:w="50"/>
        <w:gridCol w:w="1894"/>
        <w:gridCol w:w="1448"/>
        <w:gridCol w:w="1116"/>
        <w:gridCol w:w="965"/>
        <w:gridCol w:w="989"/>
        <w:gridCol w:w="950"/>
        <w:gridCol w:w="1354"/>
      </w:tblGrid>
      <w:tr>
        <w:tblPrEx>
          <w:tblCellMar>
            <w:top w:w="0" w:type="dxa"/>
            <w:left w:w="0" w:type="dxa"/>
            <w:bottom w:w="0" w:type="dxa"/>
            <w:right w:w="0" w:type="dxa"/>
          </w:tblCellMar>
        </w:tblPrEx>
        <w:trPr>
          <w:trHeight w:val="570" w:hRule="atLeast"/>
          <w:jc w:val="center"/>
        </w:trPr>
        <w:tc>
          <w:tcPr>
            <w:tcW w:w="9794" w:type="dxa"/>
            <w:gridSpan w:val="10"/>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hint="eastAsia" w:ascii="方正小标宋简体" w:hAnsi="方正小标宋简体" w:eastAsia="方正小标宋简体" w:cs="方正小标宋简体"/>
                <w:color w:val="000000"/>
                <w:kern w:val="0"/>
                <w:sz w:val="44"/>
                <w:szCs w:val="44"/>
              </w:rPr>
            </w:pPr>
          </w:p>
          <w:p>
            <w:pPr>
              <w:widowControl/>
              <w:jc w:val="center"/>
              <w:textAlignment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kern w:val="0"/>
                <w:sz w:val="44"/>
                <w:szCs w:val="44"/>
              </w:rPr>
              <w:t>部门支出总体情况表</w:t>
            </w:r>
          </w:p>
        </w:tc>
      </w:tr>
      <w:tr>
        <w:tblPrEx>
          <w:tblCellMar>
            <w:top w:w="0" w:type="dxa"/>
            <w:left w:w="0" w:type="dxa"/>
            <w:bottom w:w="0" w:type="dxa"/>
            <w:right w:w="0" w:type="dxa"/>
          </w:tblCellMar>
        </w:tblPrEx>
        <w:trPr>
          <w:trHeight w:val="255" w:hRule="atLeast"/>
          <w:jc w:val="center"/>
        </w:trPr>
        <w:tc>
          <w:tcPr>
            <w:tcW w:w="980"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36"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36"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1900"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1452"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1119"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968"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992"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953"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1358" w:type="dxa"/>
            <w:tcBorders>
              <w:top w:val="nil"/>
              <w:left w:val="nil"/>
              <w:bottom w:val="nil"/>
              <w:right w:val="nil"/>
            </w:tcBorders>
            <w:shd w:val="clear" w:color="auto" w:fill="auto"/>
            <w:noWrap/>
            <w:tcMar>
              <w:top w:w="15" w:type="dxa"/>
              <w:left w:w="15" w:type="dxa"/>
              <w:right w:w="15" w:type="dxa"/>
            </w:tcMar>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03表</w:t>
            </w:r>
          </w:p>
        </w:tc>
      </w:tr>
      <w:tr>
        <w:tblPrEx>
          <w:tblCellMar>
            <w:top w:w="0" w:type="dxa"/>
            <w:left w:w="0" w:type="dxa"/>
            <w:bottom w:w="0" w:type="dxa"/>
            <w:right w:w="0" w:type="dxa"/>
          </w:tblCellMar>
        </w:tblPrEx>
        <w:trPr>
          <w:trHeight w:val="480" w:hRule="atLeast"/>
          <w:jc w:val="center"/>
        </w:trPr>
        <w:tc>
          <w:tcPr>
            <w:tcW w:w="9794" w:type="dxa"/>
            <w:gridSpan w:val="10"/>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编制部门：西安市蓝田县发展和改革委员会（汇总）2019年</w:t>
            </w:r>
          </w:p>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0" w:type="dxa"/>
            <w:bottom w:w="0" w:type="dxa"/>
            <w:right w:w="0" w:type="dxa"/>
          </w:tblCellMar>
        </w:tblPrEx>
        <w:trPr>
          <w:trHeight w:val="540" w:hRule="atLeast"/>
          <w:jc w:val="center"/>
        </w:trPr>
        <w:tc>
          <w:tcPr>
            <w:tcW w:w="2952" w:type="dxa"/>
            <w:gridSpan w:val="4"/>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1452"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本年支出合计</w:t>
            </w:r>
          </w:p>
        </w:tc>
        <w:tc>
          <w:tcPr>
            <w:tcW w:w="1119"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基本支出</w:t>
            </w:r>
          </w:p>
        </w:tc>
        <w:tc>
          <w:tcPr>
            <w:tcW w:w="968"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项目支出</w:t>
            </w:r>
          </w:p>
        </w:tc>
        <w:tc>
          <w:tcPr>
            <w:tcW w:w="992"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上缴上级支出</w:t>
            </w:r>
          </w:p>
        </w:tc>
        <w:tc>
          <w:tcPr>
            <w:tcW w:w="95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经营支出</w:t>
            </w:r>
          </w:p>
        </w:tc>
        <w:tc>
          <w:tcPr>
            <w:tcW w:w="1358" w:type="dxa"/>
            <w:vMerge w:val="restart"/>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对附属单位补助支出</w:t>
            </w:r>
          </w:p>
        </w:tc>
      </w:tr>
      <w:tr>
        <w:tblPrEx>
          <w:tblCellMar>
            <w:top w:w="0" w:type="dxa"/>
            <w:left w:w="0" w:type="dxa"/>
            <w:bottom w:w="0" w:type="dxa"/>
            <w:right w:w="0" w:type="dxa"/>
          </w:tblCellMar>
        </w:tblPrEx>
        <w:trPr>
          <w:trHeight w:val="312" w:hRule="atLeast"/>
          <w:jc w:val="center"/>
        </w:trPr>
        <w:tc>
          <w:tcPr>
            <w:tcW w:w="1052" w:type="dxa"/>
            <w:gridSpan w:val="3"/>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功能分类科目编码</w:t>
            </w:r>
          </w:p>
        </w:tc>
        <w:tc>
          <w:tcPr>
            <w:tcW w:w="1900" w:type="dxa"/>
            <w:vMerge w:val="restar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1452"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119"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68"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92"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5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358"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12" w:hRule="atLeast"/>
          <w:jc w:val="center"/>
        </w:trPr>
        <w:tc>
          <w:tcPr>
            <w:tcW w:w="1052" w:type="dxa"/>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900"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ascii="宋体" w:hAnsi="宋体" w:eastAsia="宋体" w:cs="宋体"/>
                <w:color w:val="000000"/>
                <w:sz w:val="22"/>
              </w:rPr>
            </w:pPr>
          </w:p>
        </w:tc>
        <w:tc>
          <w:tcPr>
            <w:tcW w:w="1452"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119"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68"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92"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5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358"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12" w:hRule="atLeast"/>
          <w:jc w:val="center"/>
        </w:trPr>
        <w:tc>
          <w:tcPr>
            <w:tcW w:w="1052" w:type="dxa"/>
            <w:gridSpan w:val="3"/>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900" w:type="dxa"/>
            <w:vMerge w:val="continue"/>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ascii="宋体" w:hAnsi="宋体" w:eastAsia="宋体" w:cs="宋体"/>
                <w:color w:val="000000"/>
                <w:sz w:val="22"/>
              </w:rPr>
            </w:pPr>
          </w:p>
        </w:tc>
        <w:tc>
          <w:tcPr>
            <w:tcW w:w="1452"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119"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68"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92"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5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358"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60" w:hRule="atLeast"/>
          <w:jc w:val="center"/>
        </w:trPr>
        <w:tc>
          <w:tcPr>
            <w:tcW w:w="2952" w:type="dxa"/>
            <w:gridSpan w:val="4"/>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1,756.52</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332.26</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1,424.25</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70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一般公共服务支出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498.57</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291.11</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207.46</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w:t>
            </w:r>
          </w:p>
        </w:tc>
        <w:tc>
          <w:tcPr>
            <w:tcW w:w="1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发展与改革事务</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483.27</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291.11</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192.16</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2010401</w:t>
            </w:r>
          </w:p>
        </w:tc>
        <w:tc>
          <w:tcPr>
            <w:tcW w:w="1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行政运行</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204.77</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204.77</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2010408</w:t>
            </w:r>
          </w:p>
        </w:tc>
        <w:tc>
          <w:tcPr>
            <w:tcW w:w="1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物价管理</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93.22</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86.34</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6.88</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0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2010499</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其他发展与改革事务支出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185.28</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185.28</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4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20199</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其他一般公共服务支出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15.30</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15.30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0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2019999</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其他一般公共服务支出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15.30</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15.30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社会保障和就业支出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33.23</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33.23</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2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20805</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行政事业单位离退休</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33.23</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33.23</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104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2080505</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机关事业单位基本养老保险缴费支出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32.08</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32.08</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88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2080506</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机关事业单位职业年金缴费支出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1.15</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1.15</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卫生健康支出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7.92</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7.92</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0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21011</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行政事业单位医疗</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7.20</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7.20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2101101</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行政单位医疗</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6.07</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6.07</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0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2101102</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行政事业单位医疗</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0.74</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0.74</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2101103</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公务员医疗补助</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0.39</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0.39</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21099</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其他卫生健康支出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2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2109901</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其他卫生健康支出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211</w:t>
            </w:r>
          </w:p>
        </w:tc>
        <w:tc>
          <w:tcPr>
            <w:tcW w:w="1900" w:type="dxa"/>
            <w:tcBorders>
              <w:top w:val="nil"/>
              <w:left w:val="nil"/>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节能环保支出</w:t>
            </w:r>
          </w:p>
        </w:tc>
        <w:tc>
          <w:tcPr>
            <w:tcW w:w="1452" w:type="dxa"/>
            <w:tcBorders>
              <w:top w:val="nil"/>
              <w:left w:val="nil"/>
              <w:bottom w:val="nil"/>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1119" w:type="dxa"/>
            <w:tcBorders>
              <w:top w:val="nil"/>
              <w:left w:val="nil"/>
              <w:bottom w:val="nil"/>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nil"/>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992" w:type="dxa"/>
            <w:tcBorders>
              <w:top w:val="nil"/>
              <w:left w:val="nil"/>
              <w:bottom w:val="nil"/>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nil"/>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nil"/>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21110</w:t>
            </w:r>
          </w:p>
        </w:tc>
        <w:tc>
          <w:tcPr>
            <w:tcW w:w="1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能源节约利用</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2111001</w:t>
            </w:r>
          </w:p>
        </w:tc>
        <w:tc>
          <w:tcPr>
            <w:tcW w:w="1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能源节约利用</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9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农林水支出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183.84</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183.84</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21301</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农业</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4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2130152</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对高校毕业生到基层任职补助</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21305</w:t>
            </w:r>
          </w:p>
        </w:tc>
        <w:tc>
          <w:tcPr>
            <w:tcW w:w="1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扶贫</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180.84</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180.84</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2130505</w:t>
            </w:r>
          </w:p>
        </w:tc>
        <w:tc>
          <w:tcPr>
            <w:tcW w:w="1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生产发展</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180.84</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180.84</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216</w:t>
            </w:r>
          </w:p>
        </w:tc>
        <w:tc>
          <w:tcPr>
            <w:tcW w:w="1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商业服务业等支出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0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21699</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其他商业服务业等支出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0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2169999</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其他商业服务业等支出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w:t>
            </w:r>
          </w:p>
        </w:tc>
        <w:tc>
          <w:tcPr>
            <w:tcW w:w="19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1260" w:hRule="atLeast"/>
          <w:jc w:val="center"/>
        </w:trPr>
        <w:tc>
          <w:tcPr>
            <w:tcW w:w="1052"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22904</w:t>
            </w:r>
          </w:p>
        </w:tc>
        <w:tc>
          <w:tcPr>
            <w:tcW w:w="19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其他政府性基金及对应专项债务收入安排的支出</w:t>
            </w:r>
          </w:p>
        </w:tc>
        <w:tc>
          <w:tcPr>
            <w:tcW w:w="145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11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9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840" w:hRule="atLeast"/>
          <w:jc w:val="center"/>
        </w:trPr>
        <w:tc>
          <w:tcPr>
            <w:tcW w:w="1052" w:type="dxa"/>
            <w:gridSpan w:val="3"/>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2290401</w:t>
            </w:r>
          </w:p>
        </w:tc>
        <w:tc>
          <w:tcPr>
            <w:tcW w:w="1900"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其他政府性基金安排的支出</w:t>
            </w:r>
          </w:p>
        </w:tc>
        <w:tc>
          <w:tcPr>
            <w:tcW w:w="1452"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1119"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68"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992"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53"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358"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43" w:hRule="atLeast"/>
          <w:jc w:val="center"/>
        </w:trPr>
        <w:tc>
          <w:tcPr>
            <w:tcW w:w="9794" w:type="dxa"/>
            <w:gridSpan w:val="10"/>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注：本表反映部门本年度各项支出情况。本表金额转换为万元时，因四舍五入可能存在尾差。</w:t>
            </w:r>
          </w:p>
        </w:tc>
      </w:tr>
    </w:tbl>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tbl>
      <w:tblPr>
        <w:tblStyle w:val="9"/>
        <w:tblW w:w="9597" w:type="dxa"/>
        <w:jc w:val="center"/>
        <w:tblLayout w:type="fixed"/>
        <w:tblCellMar>
          <w:top w:w="0" w:type="dxa"/>
          <w:left w:w="0" w:type="dxa"/>
          <w:bottom w:w="0" w:type="dxa"/>
          <w:right w:w="0" w:type="dxa"/>
        </w:tblCellMar>
      </w:tblPr>
      <w:tblGrid>
        <w:gridCol w:w="2898"/>
        <w:gridCol w:w="1297"/>
        <w:gridCol w:w="2521"/>
        <w:gridCol w:w="910"/>
        <w:gridCol w:w="807"/>
        <w:gridCol w:w="1164"/>
      </w:tblGrid>
      <w:tr>
        <w:tblPrEx>
          <w:tblCellMar>
            <w:top w:w="0" w:type="dxa"/>
            <w:left w:w="0" w:type="dxa"/>
            <w:bottom w:w="0" w:type="dxa"/>
            <w:right w:w="0" w:type="dxa"/>
          </w:tblCellMar>
        </w:tblPrEx>
        <w:trPr>
          <w:trHeight w:val="840" w:hRule="atLeast"/>
          <w:jc w:val="center"/>
        </w:trPr>
        <w:tc>
          <w:tcPr>
            <w:tcW w:w="9597" w:type="dxa"/>
            <w:gridSpan w:val="6"/>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kern w:val="0"/>
                <w:sz w:val="44"/>
                <w:szCs w:val="44"/>
              </w:rPr>
              <w:t>财政拨款收支总体情况表</w:t>
            </w:r>
          </w:p>
        </w:tc>
      </w:tr>
      <w:tr>
        <w:tblPrEx>
          <w:tblCellMar>
            <w:top w:w="0" w:type="dxa"/>
            <w:left w:w="0" w:type="dxa"/>
            <w:bottom w:w="0" w:type="dxa"/>
            <w:right w:w="0" w:type="dxa"/>
          </w:tblCellMar>
        </w:tblPrEx>
        <w:trPr>
          <w:trHeight w:val="360" w:hRule="atLeast"/>
          <w:jc w:val="center"/>
        </w:trPr>
        <w:tc>
          <w:tcPr>
            <w:tcW w:w="2898"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1297"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2521"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910"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807"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1164" w:type="dxa"/>
            <w:tcBorders>
              <w:top w:val="nil"/>
              <w:left w:val="nil"/>
              <w:bottom w:val="nil"/>
              <w:right w:val="nil"/>
            </w:tcBorders>
            <w:shd w:val="clear" w:color="auto" w:fill="auto"/>
            <w:noWrap/>
            <w:tcMar>
              <w:top w:w="15" w:type="dxa"/>
              <w:left w:w="15" w:type="dxa"/>
              <w:right w:w="15" w:type="dxa"/>
            </w:tcMar>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04表</w:t>
            </w:r>
          </w:p>
        </w:tc>
      </w:tr>
      <w:tr>
        <w:tblPrEx>
          <w:tblCellMar>
            <w:top w:w="0" w:type="dxa"/>
            <w:left w:w="0" w:type="dxa"/>
            <w:bottom w:w="0" w:type="dxa"/>
            <w:right w:w="0" w:type="dxa"/>
          </w:tblCellMar>
        </w:tblPrEx>
        <w:trPr>
          <w:trHeight w:val="400" w:hRule="atLeast"/>
          <w:jc w:val="center"/>
        </w:trPr>
        <w:tc>
          <w:tcPr>
            <w:tcW w:w="2898" w:type="dxa"/>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编制部门：西安市蓝田县发展和改革委员会（汇总）</w:t>
            </w:r>
          </w:p>
        </w:tc>
        <w:tc>
          <w:tcPr>
            <w:tcW w:w="1297" w:type="dxa"/>
            <w:tcBorders>
              <w:top w:val="nil"/>
              <w:left w:val="nil"/>
              <w:bottom w:val="nil"/>
              <w:right w:val="nil"/>
            </w:tcBorders>
            <w:shd w:val="clear" w:color="auto" w:fill="auto"/>
            <w:noWrap/>
            <w:tcMar>
              <w:top w:w="15" w:type="dxa"/>
              <w:left w:w="15" w:type="dxa"/>
              <w:right w:w="15" w:type="dxa"/>
            </w:tcMar>
            <w:vAlign w:val="center"/>
          </w:tcPr>
          <w:p>
            <w:pPr>
              <w:rPr>
                <w:rFonts w:ascii="Arial" w:hAnsi="Arial" w:cs="Arial"/>
                <w:color w:val="000000"/>
                <w:sz w:val="20"/>
                <w:szCs w:val="20"/>
              </w:rPr>
            </w:pPr>
          </w:p>
        </w:tc>
        <w:tc>
          <w:tcPr>
            <w:tcW w:w="2521" w:type="dxa"/>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2019年</w:t>
            </w:r>
          </w:p>
        </w:tc>
        <w:tc>
          <w:tcPr>
            <w:tcW w:w="910" w:type="dxa"/>
            <w:tcBorders>
              <w:top w:val="nil"/>
              <w:left w:val="nil"/>
              <w:bottom w:val="nil"/>
              <w:right w:val="nil"/>
            </w:tcBorders>
            <w:shd w:val="clear" w:color="auto" w:fill="auto"/>
            <w:noWrap/>
            <w:tcMar>
              <w:top w:w="15" w:type="dxa"/>
              <w:left w:w="15" w:type="dxa"/>
              <w:right w:w="15" w:type="dxa"/>
            </w:tcMar>
            <w:vAlign w:val="center"/>
          </w:tcPr>
          <w:p>
            <w:pPr>
              <w:rPr>
                <w:rFonts w:ascii="Arial" w:hAnsi="Arial" w:cs="Arial"/>
                <w:color w:val="000000"/>
                <w:sz w:val="20"/>
                <w:szCs w:val="20"/>
              </w:rPr>
            </w:pPr>
          </w:p>
        </w:tc>
        <w:tc>
          <w:tcPr>
            <w:tcW w:w="807" w:type="dxa"/>
            <w:tcBorders>
              <w:top w:val="nil"/>
              <w:left w:val="nil"/>
              <w:bottom w:val="nil"/>
              <w:right w:val="nil"/>
            </w:tcBorders>
            <w:shd w:val="clear" w:color="auto" w:fill="auto"/>
            <w:noWrap/>
            <w:tcMar>
              <w:top w:w="15" w:type="dxa"/>
              <w:left w:w="15" w:type="dxa"/>
              <w:right w:w="15" w:type="dxa"/>
            </w:tcMar>
            <w:vAlign w:val="center"/>
          </w:tcPr>
          <w:p>
            <w:pPr>
              <w:rPr>
                <w:rFonts w:ascii="Arial" w:hAnsi="Arial" w:cs="Arial"/>
                <w:color w:val="000000"/>
                <w:sz w:val="20"/>
                <w:szCs w:val="20"/>
              </w:rPr>
            </w:pPr>
          </w:p>
        </w:tc>
        <w:tc>
          <w:tcPr>
            <w:tcW w:w="1164" w:type="dxa"/>
            <w:tcBorders>
              <w:top w:val="nil"/>
              <w:left w:val="nil"/>
              <w:bottom w:val="nil"/>
              <w:right w:val="nil"/>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0" w:type="dxa"/>
            <w:bottom w:w="0" w:type="dxa"/>
            <w:right w:w="0" w:type="dxa"/>
          </w:tblCellMar>
        </w:tblPrEx>
        <w:trPr>
          <w:trHeight w:val="580" w:hRule="atLeast"/>
          <w:jc w:val="center"/>
        </w:trPr>
        <w:tc>
          <w:tcPr>
            <w:tcW w:w="4195"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收     入</w:t>
            </w:r>
          </w:p>
        </w:tc>
        <w:tc>
          <w:tcPr>
            <w:tcW w:w="5402" w:type="dxa"/>
            <w:gridSpan w:val="4"/>
            <w:tcBorders>
              <w:top w:val="single" w:color="000000" w:sz="4" w:space="0"/>
              <w:left w:val="nil"/>
              <w:bottom w:val="single" w:color="000000" w:sz="4" w:space="0"/>
              <w:right w:val="single" w:color="000000" w:sz="8" w:space="0"/>
            </w:tcBorders>
            <w:shd w:val="clear" w:color="FFFFFF" w:fill="C0C0C0"/>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支     出</w:t>
            </w:r>
          </w:p>
        </w:tc>
      </w:tr>
      <w:tr>
        <w:tblPrEx>
          <w:tblCellMar>
            <w:top w:w="0" w:type="dxa"/>
            <w:left w:w="0" w:type="dxa"/>
            <w:bottom w:w="0" w:type="dxa"/>
            <w:right w:w="0" w:type="dxa"/>
          </w:tblCellMar>
        </w:tblPrEx>
        <w:trPr>
          <w:trHeight w:val="380" w:hRule="atLeast"/>
          <w:jc w:val="center"/>
        </w:trPr>
        <w:tc>
          <w:tcPr>
            <w:tcW w:w="2898"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    目</w:t>
            </w:r>
          </w:p>
        </w:tc>
        <w:tc>
          <w:tcPr>
            <w:tcW w:w="129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c>
          <w:tcPr>
            <w:tcW w:w="25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2881" w:type="dxa"/>
            <w:gridSpan w:val="3"/>
            <w:tcBorders>
              <w:top w:val="nil"/>
              <w:left w:val="nil"/>
              <w:bottom w:val="single" w:color="000000" w:sz="4" w:space="0"/>
              <w:right w:val="single" w:color="000000" w:sz="8" w:space="0"/>
            </w:tcBorders>
            <w:shd w:val="clear" w:color="FFFFFF" w:fill="C0C0C0"/>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tblPrEx>
          <w:tblCellMar>
            <w:top w:w="0" w:type="dxa"/>
            <w:left w:w="0" w:type="dxa"/>
            <w:bottom w:w="0" w:type="dxa"/>
            <w:right w:w="0" w:type="dxa"/>
          </w:tblCellMar>
        </w:tblPrEx>
        <w:trPr>
          <w:trHeight w:val="780" w:hRule="atLeast"/>
          <w:jc w:val="center"/>
        </w:trPr>
        <w:tc>
          <w:tcPr>
            <w:tcW w:w="2898"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29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25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1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807"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一般公共预算财政拨款</w:t>
            </w:r>
          </w:p>
        </w:tc>
        <w:tc>
          <w:tcPr>
            <w:tcW w:w="1164" w:type="dxa"/>
            <w:tcBorders>
              <w:top w:val="nil"/>
              <w:left w:val="nil"/>
              <w:bottom w:val="single" w:color="000000" w:sz="4" w:space="0"/>
              <w:right w:val="single" w:color="000000" w:sz="8"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政府性基金预算财政拨款</w:t>
            </w:r>
          </w:p>
        </w:tc>
      </w:tr>
      <w:tr>
        <w:tblPrEx>
          <w:tblCellMar>
            <w:top w:w="0" w:type="dxa"/>
            <w:left w:w="0" w:type="dxa"/>
            <w:bottom w:w="0" w:type="dxa"/>
            <w:right w:w="0" w:type="dxa"/>
          </w:tblCellMar>
        </w:tblPrEx>
        <w:trPr>
          <w:trHeight w:val="500" w:hRule="atLeast"/>
          <w:jc w:val="center"/>
        </w:trPr>
        <w:tc>
          <w:tcPr>
            <w:tcW w:w="2898"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1、一般公共预算财政拨款</w:t>
            </w: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793.01</w:t>
            </w: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1、一般公共服务支出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498.57</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498.57</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80" w:hRule="atLeast"/>
          <w:jc w:val="center"/>
        </w:trPr>
        <w:tc>
          <w:tcPr>
            <w:tcW w:w="2898"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2、政府性基金预算财政拨款</w:t>
            </w: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2、外交支出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60" w:hRule="atLeast"/>
          <w:jc w:val="center"/>
        </w:trPr>
        <w:tc>
          <w:tcPr>
            <w:tcW w:w="2898"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3、国有资本经营预算收入</w:t>
            </w: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3、国防支出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6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4、公共安全支出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6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5、教育支出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4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6、科学技术支出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8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7、文化旅游体育与传媒支出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0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8、社会保障和就业支出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33.22</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33.22</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2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9、卫生健康支出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7.92</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7.92</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4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10、节能环保支出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4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11、城乡社区支出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8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12、农林水支出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183.84</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183.84</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2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13、交通运输支出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4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14、资源勘探信息等支出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4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15、商业服务业等支出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4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16、金融支出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0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17、援助其他地区支出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6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18、自然资源海洋气象等支出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4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19、住房保障支出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66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20、粮油物资储备支出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70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21、灾害防治及应急管理支出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420" w:hRule="atLeast"/>
          <w:jc w:val="center"/>
        </w:trPr>
        <w:tc>
          <w:tcPr>
            <w:tcW w:w="2898"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left"/>
              <w:rPr>
                <w:rFonts w:ascii="宋体" w:hAnsi="宋体" w:eastAsia="宋体" w:cs="宋体"/>
                <w:color w:val="000000"/>
                <w:sz w:val="22"/>
              </w:rPr>
            </w:pP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22、其他支出</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r>
      <w:tr>
        <w:tblPrEx>
          <w:tblCellMar>
            <w:top w:w="0" w:type="dxa"/>
            <w:left w:w="0" w:type="dxa"/>
            <w:bottom w:w="0" w:type="dxa"/>
            <w:right w:w="0" w:type="dxa"/>
          </w:tblCellMar>
        </w:tblPrEx>
        <w:trPr>
          <w:trHeight w:val="480" w:hRule="atLeast"/>
          <w:jc w:val="center"/>
        </w:trPr>
        <w:tc>
          <w:tcPr>
            <w:tcW w:w="2898"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本年收入合计</w:t>
            </w: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1,756.52</w:t>
            </w: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本年支出合计</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1,756.52</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793.01</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r>
      <w:tr>
        <w:tblPrEx>
          <w:tblCellMar>
            <w:top w:w="0" w:type="dxa"/>
            <w:left w:w="0" w:type="dxa"/>
            <w:bottom w:w="0" w:type="dxa"/>
            <w:right w:w="0" w:type="dxa"/>
          </w:tblCellMar>
        </w:tblPrEx>
        <w:trPr>
          <w:trHeight w:val="680" w:hRule="atLeast"/>
          <w:jc w:val="center"/>
        </w:trPr>
        <w:tc>
          <w:tcPr>
            <w:tcW w:w="2898"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年初财政拨款结转和结余</w:t>
            </w: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年末财政拨款结转和结余</w:t>
            </w: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960" w:hRule="atLeast"/>
          <w:jc w:val="center"/>
        </w:trPr>
        <w:tc>
          <w:tcPr>
            <w:tcW w:w="2898"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w:t>
            </w: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b/>
                <w:color w:val="000000"/>
                <w:sz w:val="22"/>
              </w:rPr>
            </w:pP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960" w:hRule="atLeast"/>
          <w:jc w:val="center"/>
        </w:trPr>
        <w:tc>
          <w:tcPr>
            <w:tcW w:w="2898" w:type="dxa"/>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w:t>
            </w:r>
          </w:p>
        </w:tc>
        <w:tc>
          <w:tcPr>
            <w:tcW w:w="129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2521" w:type="dxa"/>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left"/>
              <w:rPr>
                <w:rFonts w:ascii="宋体" w:hAnsi="宋体" w:eastAsia="宋体" w:cs="宋体"/>
                <w:color w:val="000000"/>
                <w:sz w:val="22"/>
              </w:rPr>
            </w:pPr>
          </w:p>
        </w:tc>
        <w:tc>
          <w:tcPr>
            <w:tcW w:w="91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8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164"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60" w:hRule="atLeast"/>
          <w:jc w:val="center"/>
        </w:trPr>
        <w:tc>
          <w:tcPr>
            <w:tcW w:w="2898" w:type="dxa"/>
            <w:tcBorders>
              <w:top w:val="nil"/>
              <w:left w:val="single" w:color="000000" w:sz="4" w:space="0"/>
              <w:bottom w:val="single" w:color="000000" w:sz="8"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1297"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1,756.52</w:t>
            </w:r>
          </w:p>
        </w:tc>
        <w:tc>
          <w:tcPr>
            <w:tcW w:w="2521" w:type="dxa"/>
            <w:tcBorders>
              <w:top w:val="nil"/>
              <w:left w:val="nil"/>
              <w:bottom w:val="single" w:color="000000" w:sz="8"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910"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1,756.52</w:t>
            </w:r>
          </w:p>
        </w:tc>
        <w:tc>
          <w:tcPr>
            <w:tcW w:w="807"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793.01</w:t>
            </w:r>
          </w:p>
        </w:tc>
        <w:tc>
          <w:tcPr>
            <w:tcW w:w="1164"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r>
      <w:tr>
        <w:tblPrEx>
          <w:tblCellMar>
            <w:top w:w="0" w:type="dxa"/>
            <w:left w:w="0" w:type="dxa"/>
            <w:bottom w:w="0" w:type="dxa"/>
            <w:right w:w="0" w:type="dxa"/>
          </w:tblCellMar>
        </w:tblPrEx>
        <w:trPr>
          <w:trHeight w:val="860" w:hRule="atLeast"/>
          <w:jc w:val="center"/>
        </w:trPr>
        <w:tc>
          <w:tcPr>
            <w:tcW w:w="9597" w:type="dxa"/>
            <w:gridSpan w:val="6"/>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注：本表反映部门本年度一般公共预算财政拨款和政府性基金预算财政拨款的总收支和年末结转结余情况。本表金额转换为万元时，因四舍五入可能存在尾差。</w:t>
            </w:r>
          </w:p>
        </w:tc>
      </w:tr>
    </w:tbl>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hint="eastAsia"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tbl>
      <w:tblPr>
        <w:tblStyle w:val="9"/>
        <w:tblW w:w="9494" w:type="dxa"/>
        <w:jc w:val="center"/>
        <w:tblLayout w:type="fixed"/>
        <w:tblCellMar>
          <w:top w:w="0" w:type="dxa"/>
          <w:left w:w="0" w:type="dxa"/>
          <w:bottom w:w="0" w:type="dxa"/>
          <w:right w:w="0" w:type="dxa"/>
        </w:tblCellMar>
      </w:tblPr>
      <w:tblGrid>
        <w:gridCol w:w="1006"/>
        <w:gridCol w:w="2233"/>
        <w:gridCol w:w="772"/>
        <w:gridCol w:w="958"/>
        <w:gridCol w:w="944"/>
        <w:gridCol w:w="1075"/>
        <w:gridCol w:w="1211"/>
        <w:gridCol w:w="1295"/>
      </w:tblGrid>
      <w:tr>
        <w:tblPrEx>
          <w:tblCellMar>
            <w:top w:w="0" w:type="dxa"/>
            <w:left w:w="0" w:type="dxa"/>
            <w:bottom w:w="0" w:type="dxa"/>
            <w:right w:w="0" w:type="dxa"/>
          </w:tblCellMar>
        </w:tblPrEx>
        <w:trPr>
          <w:trHeight w:val="780" w:hRule="atLeast"/>
          <w:jc w:val="center"/>
        </w:trPr>
        <w:tc>
          <w:tcPr>
            <w:tcW w:w="9494" w:type="dxa"/>
            <w:gridSpan w:val="8"/>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kern w:val="0"/>
                <w:sz w:val="44"/>
                <w:szCs w:val="44"/>
              </w:rPr>
              <w:t>一般公共预算支出情况表（按功能分类科目）</w:t>
            </w:r>
          </w:p>
        </w:tc>
      </w:tr>
      <w:tr>
        <w:tblPrEx>
          <w:tblCellMar>
            <w:top w:w="0" w:type="dxa"/>
            <w:left w:w="0" w:type="dxa"/>
            <w:bottom w:w="0" w:type="dxa"/>
            <w:right w:w="0" w:type="dxa"/>
          </w:tblCellMar>
        </w:tblPrEx>
        <w:trPr>
          <w:trHeight w:val="255" w:hRule="atLeast"/>
          <w:jc w:val="center"/>
        </w:trPr>
        <w:tc>
          <w:tcPr>
            <w:tcW w:w="9494" w:type="dxa"/>
            <w:gridSpan w:val="8"/>
            <w:tcBorders>
              <w:top w:val="nil"/>
              <w:left w:val="nil"/>
              <w:bottom w:val="nil"/>
              <w:right w:val="nil"/>
            </w:tcBorders>
            <w:shd w:val="clear" w:color="auto" w:fill="auto"/>
            <w:noWrap/>
            <w:tcMar>
              <w:top w:w="15" w:type="dxa"/>
              <w:left w:w="15" w:type="dxa"/>
              <w:right w:w="15" w:type="dxa"/>
            </w:tcMar>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05表</w:t>
            </w:r>
          </w:p>
        </w:tc>
      </w:tr>
      <w:tr>
        <w:tblPrEx>
          <w:tblCellMar>
            <w:top w:w="0" w:type="dxa"/>
            <w:left w:w="0" w:type="dxa"/>
            <w:bottom w:w="0" w:type="dxa"/>
            <w:right w:w="0" w:type="dxa"/>
          </w:tblCellMar>
        </w:tblPrEx>
        <w:trPr>
          <w:trHeight w:val="480" w:hRule="atLeast"/>
          <w:jc w:val="center"/>
        </w:trPr>
        <w:tc>
          <w:tcPr>
            <w:tcW w:w="9494" w:type="dxa"/>
            <w:gridSpan w:val="8"/>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编制部门：西安市蓝田县发展和改革委员会（汇总）2019年</w:t>
            </w:r>
          </w:p>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0" w:type="dxa"/>
            <w:bottom w:w="0" w:type="dxa"/>
            <w:right w:w="0" w:type="dxa"/>
          </w:tblCellMar>
        </w:tblPrEx>
        <w:trPr>
          <w:trHeight w:val="520" w:hRule="atLeast"/>
          <w:jc w:val="center"/>
        </w:trPr>
        <w:tc>
          <w:tcPr>
            <w:tcW w:w="323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772"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本年支出合计</w:t>
            </w:r>
          </w:p>
        </w:tc>
        <w:tc>
          <w:tcPr>
            <w:tcW w:w="2977"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基本支出</w:t>
            </w:r>
          </w:p>
        </w:tc>
        <w:tc>
          <w:tcPr>
            <w:tcW w:w="1211"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项目支出</w:t>
            </w:r>
          </w:p>
        </w:tc>
        <w:tc>
          <w:tcPr>
            <w:tcW w:w="1295" w:type="dxa"/>
            <w:vMerge w:val="restart"/>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备注</w:t>
            </w:r>
          </w:p>
        </w:tc>
      </w:tr>
      <w:tr>
        <w:tblPrEx>
          <w:tblCellMar>
            <w:top w:w="0" w:type="dxa"/>
            <w:left w:w="0" w:type="dxa"/>
            <w:bottom w:w="0" w:type="dxa"/>
            <w:right w:w="0" w:type="dxa"/>
          </w:tblCellMar>
        </w:tblPrEx>
        <w:trPr>
          <w:trHeight w:val="312" w:hRule="atLeast"/>
          <w:jc w:val="center"/>
        </w:trPr>
        <w:tc>
          <w:tcPr>
            <w:tcW w:w="100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功能分类科目编码</w:t>
            </w:r>
          </w:p>
        </w:tc>
        <w:tc>
          <w:tcPr>
            <w:tcW w:w="223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772"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94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人员经费</w:t>
            </w:r>
          </w:p>
        </w:tc>
        <w:tc>
          <w:tcPr>
            <w:tcW w:w="107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公用经费</w:t>
            </w:r>
          </w:p>
        </w:tc>
        <w:tc>
          <w:tcPr>
            <w:tcW w:w="1211"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295"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12" w:hRule="atLeast"/>
          <w:jc w:val="center"/>
        </w:trPr>
        <w:tc>
          <w:tcPr>
            <w:tcW w:w="100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223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772"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4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211"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295"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615" w:hRule="atLeast"/>
          <w:jc w:val="center"/>
        </w:trPr>
        <w:tc>
          <w:tcPr>
            <w:tcW w:w="100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223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772"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4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211"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295"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480" w:hRule="atLeast"/>
          <w:jc w:val="center"/>
        </w:trPr>
        <w:tc>
          <w:tcPr>
            <w:tcW w:w="3239"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793.01</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332.26</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313.22</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19.04</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460.75</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8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一般公共服务支出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498.57</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291.11</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272.07</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19.04</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207.46</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0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发展与改革事务</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483.27</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291.11</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272.07</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19.04</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192.16</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2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2010401</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行政运行</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204.77</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204.77</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189.98</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14.79</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2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2010408</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物价管理</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93.22</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86.34</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82.09</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4.25</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6.88</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70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2010499</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其他发展与改革事务支出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185.28</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185.28</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8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20199</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其他一般公共服务支出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15.30</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15.30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6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2019999</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其他一般公共服务支出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15.30</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15.30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2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社会保障和就业支出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33.23</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33.23</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33.23</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4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20805</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行政事业单位离退休</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33.23</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33.23</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33.23</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92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2080505</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机关事业单位基本养老保险缴费支出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32.08</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32.08</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32.08</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88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2080506</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机关事业单位职业年金缴费支出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1.15</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1.15</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1.15</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52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卫生健康支出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7.92</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7.92</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7.92</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6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21011</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行政事业单位医疗</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7.20</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7.20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7.20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6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2101101</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行政单位医疗</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6.07</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6.07</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6.07</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4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2101102</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事业单位医疗</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0.74</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0.74</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0.74</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6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2101103</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公务员医疗补助</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0.39</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0.39</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0.39</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0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21099</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其他卫生健康支出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6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2109901</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其他卫生健康支出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50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211</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节能环保支出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8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21110</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能源节约利用</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4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2111001</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能源节约利用</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19.45</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2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农林水支出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183.84</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183.84</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6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21301</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农业</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96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2130152</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对高校毕业生到基层任职补助</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4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21305</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扶贫</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180.84</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180.84</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6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2130505</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生产发展</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180.84</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180.84</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6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216</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商业服务业等支出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660" w:hRule="atLeast"/>
          <w:jc w:val="center"/>
        </w:trPr>
        <w:tc>
          <w:tcPr>
            <w:tcW w:w="10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21699</w:t>
            </w:r>
          </w:p>
        </w:tc>
        <w:tc>
          <w:tcPr>
            <w:tcW w:w="223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其他商业服务业等支出</w:t>
            </w:r>
          </w:p>
        </w:tc>
        <w:tc>
          <w:tcPr>
            <w:tcW w:w="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9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12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780" w:hRule="atLeast"/>
          <w:jc w:val="center"/>
        </w:trPr>
        <w:tc>
          <w:tcPr>
            <w:tcW w:w="1006" w:type="dxa"/>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2169999</w:t>
            </w:r>
          </w:p>
        </w:tc>
        <w:tc>
          <w:tcPr>
            <w:tcW w:w="2233"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其他商业服务业等支出</w:t>
            </w:r>
          </w:p>
        </w:tc>
        <w:tc>
          <w:tcPr>
            <w:tcW w:w="772"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958"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44"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75"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11"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50.00</w:t>
            </w:r>
          </w:p>
        </w:tc>
        <w:tc>
          <w:tcPr>
            <w:tcW w:w="12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520" w:hRule="atLeast"/>
          <w:jc w:val="center"/>
        </w:trPr>
        <w:tc>
          <w:tcPr>
            <w:tcW w:w="9494" w:type="dxa"/>
            <w:gridSpan w:val="8"/>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注：本表反映部门本年度一般公共预算财政拨款实际支出情况。本表金额转换为万元时，因四舍五入可能存在尾差。</w:t>
            </w:r>
          </w:p>
        </w:tc>
      </w:tr>
    </w:tbl>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tbl>
      <w:tblPr>
        <w:tblStyle w:val="9"/>
        <w:tblW w:w="9507" w:type="dxa"/>
        <w:jc w:val="center"/>
        <w:tblLayout w:type="fixed"/>
        <w:tblCellMar>
          <w:top w:w="0" w:type="dxa"/>
          <w:left w:w="0" w:type="dxa"/>
          <w:bottom w:w="0" w:type="dxa"/>
          <w:right w:w="0" w:type="dxa"/>
        </w:tblCellMar>
      </w:tblPr>
      <w:tblGrid>
        <w:gridCol w:w="1829"/>
        <w:gridCol w:w="2661"/>
        <w:gridCol w:w="1466"/>
        <w:gridCol w:w="1295"/>
        <w:gridCol w:w="1193"/>
        <w:gridCol w:w="1063"/>
      </w:tblGrid>
      <w:tr>
        <w:tblPrEx>
          <w:tblCellMar>
            <w:top w:w="0" w:type="dxa"/>
            <w:left w:w="0" w:type="dxa"/>
            <w:bottom w:w="0" w:type="dxa"/>
            <w:right w:w="0" w:type="dxa"/>
          </w:tblCellMar>
        </w:tblPrEx>
        <w:trPr>
          <w:trHeight w:val="880" w:hRule="atLeast"/>
          <w:jc w:val="center"/>
        </w:trPr>
        <w:tc>
          <w:tcPr>
            <w:tcW w:w="9507" w:type="dxa"/>
            <w:gridSpan w:val="6"/>
            <w:tcBorders>
              <w:top w:val="nil"/>
              <w:left w:val="nil"/>
              <w:bottom w:val="nil"/>
              <w:right w:val="nil"/>
            </w:tcBorders>
            <w:shd w:val="clear" w:color="auto" w:fill="auto"/>
            <w:noWrap/>
            <w:tcMar>
              <w:top w:w="15" w:type="dxa"/>
              <w:left w:w="15" w:type="dxa"/>
              <w:right w:w="15" w:type="dxa"/>
            </w:tcMar>
            <w:vAlign w:val="center"/>
          </w:tcPr>
          <w:p>
            <w:pPr>
              <w:rPr>
                <w:rFonts w:hint="eastAsia" w:ascii="方正小标宋简体" w:hAnsi="方正小标宋简体" w:eastAsia="方正小标宋简体" w:cs="方正小标宋简体"/>
                <w:color w:val="000000"/>
                <w:kern w:val="0"/>
                <w:sz w:val="42"/>
                <w:szCs w:val="42"/>
              </w:rPr>
            </w:pPr>
          </w:p>
          <w:p>
            <w:pPr>
              <w:rPr>
                <w:rFonts w:ascii="方正小标宋简体" w:hAnsi="方正小标宋简体" w:eastAsia="方正小标宋简体" w:cs="方正小标宋简体"/>
                <w:color w:val="000000"/>
                <w:sz w:val="42"/>
                <w:szCs w:val="42"/>
              </w:rPr>
            </w:pPr>
            <w:r>
              <w:rPr>
                <w:rFonts w:hint="eastAsia" w:ascii="方正小标宋简体" w:hAnsi="方正小标宋简体" w:eastAsia="方正小标宋简体" w:cs="方正小标宋简体"/>
                <w:color w:val="000000"/>
                <w:kern w:val="0"/>
                <w:sz w:val="42"/>
                <w:szCs w:val="42"/>
              </w:rPr>
              <w:t>一般公共预算基本支出情况表（按经济分类科目）</w:t>
            </w:r>
          </w:p>
        </w:tc>
      </w:tr>
      <w:tr>
        <w:tblPrEx>
          <w:tblCellMar>
            <w:top w:w="0" w:type="dxa"/>
            <w:left w:w="0" w:type="dxa"/>
            <w:bottom w:w="0" w:type="dxa"/>
            <w:right w:w="0" w:type="dxa"/>
          </w:tblCellMar>
        </w:tblPrEx>
        <w:trPr>
          <w:trHeight w:val="255" w:hRule="atLeast"/>
          <w:jc w:val="center"/>
        </w:trPr>
        <w:tc>
          <w:tcPr>
            <w:tcW w:w="9507" w:type="dxa"/>
            <w:gridSpan w:val="6"/>
            <w:tcBorders>
              <w:top w:val="nil"/>
              <w:left w:val="nil"/>
              <w:bottom w:val="nil"/>
              <w:right w:val="nil"/>
            </w:tcBorders>
            <w:shd w:val="clear" w:color="auto" w:fill="auto"/>
            <w:noWrap/>
            <w:tcMar>
              <w:top w:w="15" w:type="dxa"/>
              <w:left w:w="15" w:type="dxa"/>
              <w:right w:w="15" w:type="dxa"/>
            </w:tcMar>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06表</w:t>
            </w:r>
          </w:p>
        </w:tc>
      </w:tr>
      <w:tr>
        <w:tblPrEx>
          <w:tblCellMar>
            <w:top w:w="0" w:type="dxa"/>
            <w:left w:w="0" w:type="dxa"/>
            <w:bottom w:w="0" w:type="dxa"/>
            <w:right w:w="0" w:type="dxa"/>
          </w:tblCellMar>
        </w:tblPrEx>
        <w:trPr>
          <w:trHeight w:val="480" w:hRule="atLeast"/>
          <w:jc w:val="center"/>
        </w:trPr>
        <w:tc>
          <w:tcPr>
            <w:tcW w:w="9507" w:type="dxa"/>
            <w:gridSpan w:val="6"/>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编制部门：西安市蓝田县发展和改革委员会（汇总）2019年</w:t>
            </w:r>
          </w:p>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0" w:type="dxa"/>
            <w:bottom w:w="0" w:type="dxa"/>
            <w:right w:w="0" w:type="dxa"/>
          </w:tblCellMar>
        </w:tblPrEx>
        <w:trPr>
          <w:trHeight w:val="635" w:hRule="atLeast"/>
          <w:jc w:val="center"/>
        </w:trPr>
        <w:tc>
          <w:tcPr>
            <w:tcW w:w="4490"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1466"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本年支出合计</w:t>
            </w:r>
          </w:p>
        </w:tc>
        <w:tc>
          <w:tcPr>
            <w:tcW w:w="1295"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人员经费</w:t>
            </w:r>
          </w:p>
        </w:tc>
        <w:tc>
          <w:tcPr>
            <w:tcW w:w="119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公用经费</w:t>
            </w:r>
          </w:p>
        </w:tc>
        <w:tc>
          <w:tcPr>
            <w:tcW w:w="1063" w:type="dxa"/>
            <w:vMerge w:val="restart"/>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备注</w:t>
            </w:r>
          </w:p>
        </w:tc>
      </w:tr>
      <w:tr>
        <w:tblPrEx>
          <w:tblCellMar>
            <w:top w:w="0" w:type="dxa"/>
            <w:left w:w="0" w:type="dxa"/>
            <w:bottom w:w="0" w:type="dxa"/>
            <w:right w:w="0" w:type="dxa"/>
          </w:tblCellMar>
        </w:tblPrEx>
        <w:trPr>
          <w:trHeight w:val="312" w:hRule="atLeast"/>
          <w:jc w:val="center"/>
        </w:trPr>
        <w:tc>
          <w:tcPr>
            <w:tcW w:w="18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经济分类科目编码</w:t>
            </w:r>
          </w:p>
        </w:tc>
        <w:tc>
          <w:tcPr>
            <w:tcW w:w="266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1466"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29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19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63"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12" w:hRule="atLeast"/>
          <w:jc w:val="center"/>
        </w:trPr>
        <w:tc>
          <w:tcPr>
            <w:tcW w:w="18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266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466"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29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19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63"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12" w:hRule="atLeast"/>
          <w:jc w:val="center"/>
        </w:trPr>
        <w:tc>
          <w:tcPr>
            <w:tcW w:w="18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266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466"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295"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19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63"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4490"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332.26</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313.22</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19.04</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工资福利支出</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307.67</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30101</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基本工资</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129.97</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30102</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津贴补贴</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79.07</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30103</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奖金</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43.85</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30107</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绩效工资</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13.63</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30108</w:t>
            </w:r>
          </w:p>
        </w:tc>
        <w:tc>
          <w:tcPr>
            <w:tcW w:w="2661"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机关事业单位基本养老保险缴费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32.08</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30109</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职业年金缴费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1.15</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30110</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职工基本医疗保险缴费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6.82</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30111</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公务员医疗补助缴费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0.39</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30112</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其他社会保障缴费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商品和服务支出</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19.04</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30201</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办公费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2.12</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30202</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印刷费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0.17</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30205</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水费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0.46</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30206</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邮电费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0.58</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30207</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邮电费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0.79</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30211</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差旅费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1.53</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30215</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会议费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1.05</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30216</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培训费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0.02</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30217</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30226</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劳务费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0.08</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30227</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委托业务费</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0.52</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30239</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其他交通费用</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10.99</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w:t>
            </w:r>
          </w:p>
        </w:tc>
        <w:tc>
          <w:tcPr>
            <w:tcW w:w="26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对个人和家庭的补助</w:t>
            </w:r>
          </w:p>
        </w:tc>
        <w:tc>
          <w:tcPr>
            <w:tcW w:w="14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5.55</w:t>
            </w:r>
          </w:p>
        </w:tc>
        <w:tc>
          <w:tcPr>
            <w:tcW w:w="119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63"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400" w:hRule="atLeast"/>
          <w:jc w:val="center"/>
        </w:trPr>
        <w:tc>
          <w:tcPr>
            <w:tcW w:w="1829" w:type="dxa"/>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30305</w:t>
            </w:r>
          </w:p>
        </w:tc>
        <w:tc>
          <w:tcPr>
            <w:tcW w:w="2661"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生活补助</w:t>
            </w:r>
          </w:p>
        </w:tc>
        <w:tc>
          <w:tcPr>
            <w:tcW w:w="1466"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295"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5.55</w:t>
            </w:r>
          </w:p>
        </w:tc>
        <w:tc>
          <w:tcPr>
            <w:tcW w:w="1193"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63"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580" w:hRule="atLeast"/>
          <w:jc w:val="center"/>
        </w:trPr>
        <w:tc>
          <w:tcPr>
            <w:tcW w:w="9507" w:type="dxa"/>
            <w:gridSpan w:val="6"/>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注：本表反映部门本年度一般公共预算财政拨款基本支出明细情况。本表金额转换为万元时，因四舍五入可能存在尾差。</w:t>
            </w:r>
          </w:p>
        </w:tc>
      </w:tr>
    </w:tbl>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tbl>
      <w:tblPr>
        <w:tblStyle w:val="9"/>
        <w:tblW w:w="9460" w:type="dxa"/>
        <w:jc w:val="center"/>
        <w:tblLayout w:type="fixed"/>
        <w:tblCellMar>
          <w:top w:w="0" w:type="dxa"/>
          <w:left w:w="0" w:type="dxa"/>
          <w:bottom w:w="0" w:type="dxa"/>
          <w:right w:w="0" w:type="dxa"/>
        </w:tblCellMar>
      </w:tblPr>
      <w:tblGrid>
        <w:gridCol w:w="1108"/>
        <w:gridCol w:w="1858"/>
        <w:gridCol w:w="1040"/>
        <w:gridCol w:w="784"/>
        <w:gridCol w:w="818"/>
        <w:gridCol w:w="920"/>
        <w:gridCol w:w="1057"/>
        <w:gridCol w:w="852"/>
        <w:gridCol w:w="1023"/>
      </w:tblGrid>
      <w:tr>
        <w:tblPrEx>
          <w:tblCellMar>
            <w:top w:w="0" w:type="dxa"/>
            <w:left w:w="0" w:type="dxa"/>
            <w:bottom w:w="0" w:type="dxa"/>
            <w:right w:w="0" w:type="dxa"/>
          </w:tblCellMar>
        </w:tblPrEx>
        <w:trPr>
          <w:trHeight w:val="1240" w:hRule="atLeast"/>
          <w:jc w:val="center"/>
        </w:trPr>
        <w:tc>
          <w:tcPr>
            <w:tcW w:w="9460" w:type="dxa"/>
            <w:gridSpan w:val="9"/>
            <w:tcBorders>
              <w:top w:val="nil"/>
              <w:left w:val="nil"/>
              <w:bottom w:val="nil"/>
              <w:right w:val="nil"/>
            </w:tcBorders>
            <w:shd w:val="clear" w:color="auto" w:fill="auto"/>
            <w:tcMar>
              <w:top w:w="15" w:type="dxa"/>
              <w:left w:w="15" w:type="dxa"/>
              <w:right w:w="15" w:type="dxa"/>
            </w:tcMar>
            <w:vAlign w:val="center"/>
          </w:tcPr>
          <w:p>
            <w:pPr>
              <w:widowControl/>
              <w:spacing w:line="560" w:lineRule="exact"/>
              <w:jc w:val="center"/>
              <w:textAlignment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kern w:val="0"/>
                <w:sz w:val="44"/>
                <w:szCs w:val="44"/>
              </w:rPr>
              <w:t>一般公共预算“三公”经费及会议费、培训费支出情况表</w:t>
            </w:r>
          </w:p>
        </w:tc>
      </w:tr>
      <w:tr>
        <w:tblPrEx>
          <w:tblCellMar>
            <w:top w:w="0" w:type="dxa"/>
            <w:left w:w="0" w:type="dxa"/>
            <w:bottom w:w="0" w:type="dxa"/>
            <w:right w:w="0" w:type="dxa"/>
          </w:tblCellMar>
        </w:tblPrEx>
        <w:trPr>
          <w:trHeight w:val="255" w:hRule="atLeast"/>
          <w:jc w:val="center"/>
        </w:trPr>
        <w:tc>
          <w:tcPr>
            <w:tcW w:w="1108"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1858"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1040"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784"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818"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920"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1057"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852" w:type="dxa"/>
            <w:tcBorders>
              <w:top w:val="nil"/>
              <w:left w:val="nil"/>
              <w:bottom w:val="nil"/>
              <w:right w:val="nil"/>
            </w:tcBorders>
            <w:shd w:val="clear" w:color="auto" w:fill="auto"/>
            <w:noWrap/>
            <w:tcMar>
              <w:top w:w="15" w:type="dxa"/>
              <w:left w:w="15" w:type="dxa"/>
              <w:right w:w="15" w:type="dxa"/>
            </w:tcMar>
            <w:vAlign w:val="bottom"/>
          </w:tcPr>
          <w:p>
            <w:pPr>
              <w:rPr>
                <w:rFonts w:ascii="Arial" w:hAnsi="Arial" w:cs="Arial"/>
                <w:color w:val="000000"/>
                <w:sz w:val="20"/>
                <w:szCs w:val="20"/>
              </w:rPr>
            </w:pPr>
          </w:p>
        </w:tc>
        <w:tc>
          <w:tcPr>
            <w:tcW w:w="1023" w:type="dxa"/>
            <w:tcBorders>
              <w:top w:val="nil"/>
              <w:left w:val="nil"/>
              <w:bottom w:val="nil"/>
              <w:right w:val="nil"/>
            </w:tcBorders>
            <w:shd w:val="clear" w:color="auto" w:fill="auto"/>
            <w:noWrap/>
            <w:tcMar>
              <w:top w:w="15" w:type="dxa"/>
              <w:left w:w="15" w:type="dxa"/>
              <w:right w:w="15" w:type="dxa"/>
            </w:tcMar>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07表</w:t>
            </w:r>
          </w:p>
        </w:tc>
      </w:tr>
      <w:tr>
        <w:tblPrEx>
          <w:tblCellMar>
            <w:top w:w="0" w:type="dxa"/>
            <w:left w:w="0" w:type="dxa"/>
            <w:bottom w:w="0" w:type="dxa"/>
            <w:right w:w="0" w:type="dxa"/>
          </w:tblCellMar>
        </w:tblPrEx>
        <w:trPr>
          <w:trHeight w:val="600" w:hRule="atLeast"/>
          <w:jc w:val="center"/>
        </w:trPr>
        <w:tc>
          <w:tcPr>
            <w:tcW w:w="9460" w:type="dxa"/>
            <w:gridSpan w:val="9"/>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编制部门：西安市蓝田县发展和改革委员会（汇总）2019年</w:t>
            </w:r>
          </w:p>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0" w:type="dxa"/>
            <w:bottom w:w="0" w:type="dxa"/>
            <w:right w:w="0" w:type="dxa"/>
          </w:tblCellMar>
        </w:tblPrEx>
        <w:trPr>
          <w:trHeight w:val="840" w:hRule="atLeast"/>
          <w:jc w:val="center"/>
        </w:trPr>
        <w:tc>
          <w:tcPr>
            <w:tcW w:w="110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6477" w:type="dxa"/>
            <w:gridSpan w:val="6"/>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一般公共预算财政拨款安排的“三公”经费</w:t>
            </w:r>
          </w:p>
        </w:tc>
        <w:tc>
          <w:tcPr>
            <w:tcW w:w="85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会议费</w:t>
            </w:r>
          </w:p>
        </w:tc>
        <w:tc>
          <w:tcPr>
            <w:tcW w:w="102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培训费</w:t>
            </w:r>
          </w:p>
        </w:tc>
      </w:tr>
      <w:tr>
        <w:tblPrEx>
          <w:tblCellMar>
            <w:top w:w="0" w:type="dxa"/>
            <w:left w:w="0" w:type="dxa"/>
            <w:bottom w:w="0" w:type="dxa"/>
            <w:right w:w="0" w:type="dxa"/>
          </w:tblCellMar>
        </w:tblPrEx>
        <w:trPr>
          <w:trHeight w:val="680" w:hRule="atLeast"/>
          <w:jc w:val="center"/>
        </w:trPr>
        <w:tc>
          <w:tcPr>
            <w:tcW w:w="110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85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04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因公出国（境）费用</w:t>
            </w:r>
          </w:p>
        </w:tc>
        <w:tc>
          <w:tcPr>
            <w:tcW w:w="78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2795" w:type="dxa"/>
            <w:gridSpan w:val="3"/>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85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2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960" w:hRule="atLeast"/>
          <w:jc w:val="center"/>
        </w:trPr>
        <w:tc>
          <w:tcPr>
            <w:tcW w:w="110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85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4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78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81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92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公务用车购置费</w:t>
            </w:r>
          </w:p>
        </w:tc>
        <w:tc>
          <w:tcPr>
            <w:tcW w:w="105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公务用车运行维护费</w:t>
            </w:r>
          </w:p>
        </w:tc>
        <w:tc>
          <w:tcPr>
            <w:tcW w:w="85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2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660" w:hRule="atLeast"/>
          <w:jc w:val="center"/>
        </w:trPr>
        <w:tc>
          <w:tcPr>
            <w:tcW w:w="110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85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04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784"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81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92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057"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8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023"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8</w:t>
            </w:r>
          </w:p>
        </w:tc>
      </w:tr>
      <w:tr>
        <w:tblPrEx>
          <w:tblCellMar>
            <w:top w:w="0" w:type="dxa"/>
            <w:left w:w="0" w:type="dxa"/>
            <w:bottom w:w="0" w:type="dxa"/>
            <w:right w:w="0" w:type="dxa"/>
          </w:tblCellMar>
        </w:tblPrEx>
        <w:trPr>
          <w:trHeight w:val="780" w:hRule="atLeast"/>
          <w:jc w:val="center"/>
        </w:trPr>
        <w:tc>
          <w:tcPr>
            <w:tcW w:w="11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预算数</w:t>
            </w:r>
          </w:p>
        </w:tc>
        <w:tc>
          <w:tcPr>
            <w:tcW w:w="18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2.68</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0.90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1.78</w:t>
            </w:r>
          </w:p>
        </w:tc>
        <w:tc>
          <w:tcPr>
            <w:tcW w:w="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1.78</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1.05</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0.10</w:t>
            </w:r>
          </w:p>
        </w:tc>
      </w:tr>
      <w:tr>
        <w:tblPrEx>
          <w:tblCellMar>
            <w:top w:w="0" w:type="dxa"/>
            <w:left w:w="0" w:type="dxa"/>
            <w:bottom w:w="0" w:type="dxa"/>
            <w:right w:w="0" w:type="dxa"/>
          </w:tblCellMar>
        </w:tblPrEx>
        <w:trPr>
          <w:trHeight w:val="780" w:hRule="atLeast"/>
          <w:jc w:val="center"/>
        </w:trPr>
        <w:tc>
          <w:tcPr>
            <w:tcW w:w="1108"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c>
          <w:tcPr>
            <w:tcW w:w="18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10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0.72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6.81</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1.05</w:t>
            </w:r>
          </w:p>
        </w:tc>
      </w:tr>
      <w:tr>
        <w:tblPrEx>
          <w:tblCellMar>
            <w:top w:w="0" w:type="dxa"/>
            <w:left w:w="0" w:type="dxa"/>
            <w:bottom w:w="0" w:type="dxa"/>
            <w:right w:w="0" w:type="dxa"/>
          </w:tblCellMar>
        </w:tblPrEx>
        <w:trPr>
          <w:trHeight w:val="820" w:hRule="atLeast"/>
          <w:jc w:val="center"/>
        </w:trPr>
        <w:tc>
          <w:tcPr>
            <w:tcW w:w="9460" w:type="dxa"/>
            <w:gridSpan w:val="9"/>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注：本表反映部门本年度一般公共预算财政拨款“三公”经费、会议费、培训费的实际支出情况。本表金额转换为万元时，因四舍五入可能存在尾差。</w:t>
            </w:r>
          </w:p>
        </w:tc>
      </w:tr>
    </w:tbl>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tbl>
      <w:tblPr>
        <w:tblStyle w:val="9"/>
        <w:tblW w:w="9108" w:type="dxa"/>
        <w:jc w:val="center"/>
        <w:tblLayout w:type="fixed"/>
        <w:tblCellMar>
          <w:top w:w="0" w:type="dxa"/>
          <w:left w:w="0" w:type="dxa"/>
          <w:bottom w:w="0" w:type="dxa"/>
          <w:right w:w="0" w:type="dxa"/>
        </w:tblCellMar>
      </w:tblPr>
      <w:tblGrid>
        <w:gridCol w:w="1341"/>
        <w:gridCol w:w="1587"/>
        <w:gridCol w:w="994"/>
        <w:gridCol w:w="1020"/>
        <w:gridCol w:w="870"/>
        <w:gridCol w:w="926"/>
        <w:gridCol w:w="1080"/>
        <w:gridCol w:w="1290"/>
      </w:tblGrid>
      <w:tr>
        <w:tblPrEx>
          <w:tblCellMar>
            <w:top w:w="0" w:type="dxa"/>
            <w:left w:w="0" w:type="dxa"/>
            <w:bottom w:w="0" w:type="dxa"/>
            <w:right w:w="0" w:type="dxa"/>
          </w:tblCellMar>
        </w:tblPrEx>
        <w:trPr>
          <w:trHeight w:val="840" w:hRule="atLeast"/>
          <w:jc w:val="center"/>
        </w:trPr>
        <w:tc>
          <w:tcPr>
            <w:tcW w:w="9108" w:type="dxa"/>
            <w:gridSpan w:val="8"/>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kern w:val="0"/>
                <w:sz w:val="44"/>
                <w:szCs w:val="44"/>
              </w:rPr>
              <w:t>政府性基金预算收支情况表</w:t>
            </w:r>
          </w:p>
        </w:tc>
      </w:tr>
      <w:tr>
        <w:tblPrEx>
          <w:tblCellMar>
            <w:top w:w="0" w:type="dxa"/>
            <w:left w:w="0" w:type="dxa"/>
            <w:bottom w:w="0" w:type="dxa"/>
            <w:right w:w="0" w:type="dxa"/>
          </w:tblCellMar>
        </w:tblPrEx>
        <w:trPr>
          <w:trHeight w:val="340" w:hRule="atLeast"/>
          <w:jc w:val="center"/>
        </w:trPr>
        <w:tc>
          <w:tcPr>
            <w:tcW w:w="9108" w:type="dxa"/>
            <w:gridSpan w:val="8"/>
            <w:tcBorders>
              <w:top w:val="nil"/>
              <w:left w:val="nil"/>
              <w:bottom w:val="nil"/>
              <w:right w:val="nil"/>
            </w:tcBorders>
            <w:shd w:val="clear" w:color="auto" w:fill="auto"/>
            <w:noWrap/>
            <w:tcMar>
              <w:top w:w="15" w:type="dxa"/>
              <w:left w:w="15" w:type="dxa"/>
              <w:right w:w="15" w:type="dxa"/>
            </w:tcMar>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08表</w:t>
            </w:r>
          </w:p>
        </w:tc>
      </w:tr>
      <w:tr>
        <w:tblPrEx>
          <w:tblCellMar>
            <w:top w:w="0" w:type="dxa"/>
            <w:left w:w="0" w:type="dxa"/>
            <w:bottom w:w="0" w:type="dxa"/>
            <w:right w:w="0" w:type="dxa"/>
          </w:tblCellMar>
        </w:tblPrEx>
        <w:trPr>
          <w:trHeight w:val="620" w:hRule="atLeast"/>
          <w:jc w:val="center"/>
        </w:trPr>
        <w:tc>
          <w:tcPr>
            <w:tcW w:w="9108" w:type="dxa"/>
            <w:gridSpan w:val="8"/>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编制部门：西安市蓝田县发展和改革委员会（汇总）2019年</w:t>
            </w:r>
          </w:p>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0" w:type="dxa"/>
            <w:bottom w:w="0" w:type="dxa"/>
            <w:right w:w="0" w:type="dxa"/>
          </w:tblCellMar>
        </w:tblPrEx>
        <w:trPr>
          <w:trHeight w:val="480" w:hRule="atLeast"/>
          <w:jc w:val="center"/>
        </w:trPr>
        <w:tc>
          <w:tcPr>
            <w:tcW w:w="2928"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w:t>
            </w:r>
          </w:p>
        </w:tc>
        <w:tc>
          <w:tcPr>
            <w:tcW w:w="994"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年初结转和结余</w:t>
            </w:r>
          </w:p>
        </w:tc>
        <w:tc>
          <w:tcPr>
            <w:tcW w:w="1020"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本年收入</w:t>
            </w:r>
          </w:p>
        </w:tc>
        <w:tc>
          <w:tcPr>
            <w:tcW w:w="2876"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本年支出</w:t>
            </w:r>
          </w:p>
        </w:tc>
        <w:tc>
          <w:tcPr>
            <w:tcW w:w="1290" w:type="dxa"/>
            <w:vMerge w:val="restart"/>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年末结转和结余</w:t>
            </w:r>
          </w:p>
        </w:tc>
      </w:tr>
      <w:tr>
        <w:tblPrEx>
          <w:tblCellMar>
            <w:top w:w="0" w:type="dxa"/>
            <w:left w:w="0" w:type="dxa"/>
            <w:bottom w:w="0" w:type="dxa"/>
            <w:right w:w="0" w:type="dxa"/>
          </w:tblCellMar>
        </w:tblPrEx>
        <w:trPr>
          <w:trHeight w:val="312" w:hRule="atLeast"/>
          <w:jc w:val="center"/>
        </w:trPr>
        <w:tc>
          <w:tcPr>
            <w:tcW w:w="1341"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功能分类科目编码</w:t>
            </w:r>
          </w:p>
        </w:tc>
        <w:tc>
          <w:tcPr>
            <w:tcW w:w="158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科目名称</w:t>
            </w:r>
          </w:p>
        </w:tc>
        <w:tc>
          <w:tcPr>
            <w:tcW w:w="994"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2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87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92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基本支出</w:t>
            </w:r>
          </w:p>
        </w:tc>
        <w:tc>
          <w:tcPr>
            <w:tcW w:w="108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项目支出</w:t>
            </w:r>
          </w:p>
        </w:tc>
        <w:tc>
          <w:tcPr>
            <w:tcW w:w="1290"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312" w:hRule="atLeast"/>
          <w:jc w:val="center"/>
        </w:trPr>
        <w:tc>
          <w:tcPr>
            <w:tcW w:w="1341"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58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94"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2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87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2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8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290"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615" w:hRule="atLeast"/>
          <w:jc w:val="center"/>
        </w:trPr>
        <w:tc>
          <w:tcPr>
            <w:tcW w:w="1341"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58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94"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20"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87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92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08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c>
          <w:tcPr>
            <w:tcW w:w="1290" w:type="dxa"/>
            <w:vMerge w:val="continue"/>
            <w:tcBorders>
              <w:top w:val="single" w:color="000000" w:sz="4" w:space="0"/>
              <w:left w:val="nil"/>
              <w:bottom w:val="single" w:color="000000" w:sz="4" w:space="0"/>
              <w:right w:val="single" w:color="000000" w:sz="8" w:space="0"/>
            </w:tcBorders>
            <w:shd w:val="clear" w:color="FFFFFF" w:fill="C0C0C0"/>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540" w:hRule="atLeast"/>
          <w:jc w:val="center"/>
        </w:trPr>
        <w:tc>
          <w:tcPr>
            <w:tcW w:w="2928"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9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8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129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520" w:hRule="atLeast"/>
          <w:jc w:val="center"/>
        </w:trPr>
        <w:tc>
          <w:tcPr>
            <w:tcW w:w="13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w:t>
            </w:r>
          </w:p>
        </w:tc>
        <w:tc>
          <w:tcPr>
            <w:tcW w:w="158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其他支出</w:t>
            </w:r>
          </w:p>
        </w:tc>
        <w:tc>
          <w:tcPr>
            <w:tcW w:w="9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8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129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1370" w:hRule="atLeast"/>
          <w:jc w:val="center"/>
        </w:trPr>
        <w:tc>
          <w:tcPr>
            <w:tcW w:w="13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22904</w:t>
            </w:r>
          </w:p>
        </w:tc>
        <w:tc>
          <w:tcPr>
            <w:tcW w:w="158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其他政府性基金及对应专项债务收入安排的支出</w:t>
            </w:r>
          </w:p>
        </w:tc>
        <w:tc>
          <w:tcPr>
            <w:tcW w:w="9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8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129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889" w:hRule="atLeast"/>
          <w:jc w:val="center"/>
        </w:trPr>
        <w:tc>
          <w:tcPr>
            <w:tcW w:w="13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2290401</w:t>
            </w:r>
          </w:p>
        </w:tc>
        <w:tc>
          <w:tcPr>
            <w:tcW w:w="158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其他政府性基金安排的支出</w:t>
            </w:r>
          </w:p>
        </w:tc>
        <w:tc>
          <w:tcPr>
            <w:tcW w:w="9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c>
          <w:tcPr>
            <w:tcW w:w="108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963.50</w:t>
            </w:r>
          </w:p>
        </w:tc>
        <w:tc>
          <w:tcPr>
            <w:tcW w:w="129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widowControl/>
              <w:jc w:val="right"/>
              <w:textAlignment w:val="center"/>
              <w:rPr>
                <w:rFonts w:ascii="宋体" w:hAnsi="宋体" w:eastAsia="宋体" w:cs="宋体"/>
                <w:color w:val="000000"/>
                <w:sz w:val="22"/>
              </w:rPr>
            </w:pPr>
            <w:r>
              <w:rPr>
                <w:rFonts w:hint="eastAsia" w:ascii="宋体" w:hAnsi="宋体" w:eastAsia="宋体" w:cs="宋体"/>
                <w:color w:val="000000"/>
                <w:kern w:val="0"/>
                <w:sz w:val="22"/>
              </w:rPr>
              <w:t>0.00</w:t>
            </w:r>
          </w:p>
        </w:tc>
      </w:tr>
      <w:tr>
        <w:tblPrEx>
          <w:tblCellMar>
            <w:top w:w="0" w:type="dxa"/>
            <w:left w:w="0" w:type="dxa"/>
            <w:bottom w:w="0" w:type="dxa"/>
            <w:right w:w="0" w:type="dxa"/>
          </w:tblCellMar>
        </w:tblPrEx>
        <w:trPr>
          <w:trHeight w:val="360" w:hRule="atLeast"/>
          <w:jc w:val="center"/>
        </w:trPr>
        <w:tc>
          <w:tcPr>
            <w:tcW w:w="13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158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9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08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29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360" w:hRule="atLeast"/>
          <w:jc w:val="center"/>
        </w:trPr>
        <w:tc>
          <w:tcPr>
            <w:tcW w:w="13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158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9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08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29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360" w:hRule="atLeast"/>
          <w:jc w:val="center"/>
        </w:trPr>
        <w:tc>
          <w:tcPr>
            <w:tcW w:w="13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158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9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08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29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360" w:hRule="atLeast"/>
          <w:jc w:val="center"/>
        </w:trPr>
        <w:tc>
          <w:tcPr>
            <w:tcW w:w="13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158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9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8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08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290" w:type="dxa"/>
            <w:tcBorders>
              <w:top w:val="nil"/>
              <w:left w:val="nil"/>
              <w:bottom w:val="single" w:color="000000" w:sz="4"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360" w:hRule="atLeast"/>
          <w:jc w:val="center"/>
        </w:trPr>
        <w:tc>
          <w:tcPr>
            <w:tcW w:w="1341" w:type="dxa"/>
            <w:tcBorders>
              <w:top w:val="nil"/>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1587"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jc w:val="left"/>
              <w:rPr>
                <w:rFonts w:ascii="宋体" w:hAnsi="宋体" w:eastAsia="宋体" w:cs="宋体"/>
                <w:color w:val="000000"/>
                <w:sz w:val="22"/>
              </w:rPr>
            </w:pPr>
          </w:p>
        </w:tc>
        <w:tc>
          <w:tcPr>
            <w:tcW w:w="994"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020"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870"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926"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080" w:type="dxa"/>
            <w:tcBorders>
              <w:top w:val="nil"/>
              <w:left w:val="nil"/>
              <w:bottom w:val="single" w:color="000000" w:sz="8" w:space="0"/>
              <w:right w:val="single" w:color="000000" w:sz="4"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c>
          <w:tcPr>
            <w:tcW w:w="1290" w:type="dxa"/>
            <w:tcBorders>
              <w:top w:val="nil"/>
              <w:left w:val="nil"/>
              <w:bottom w:val="single" w:color="000000" w:sz="8" w:space="0"/>
              <w:right w:val="single" w:color="000000" w:sz="8" w:space="0"/>
            </w:tcBorders>
            <w:shd w:val="clear" w:color="auto" w:fill="auto"/>
            <w:noWrap/>
            <w:tcMar>
              <w:top w:w="15" w:type="dxa"/>
              <w:left w:w="15" w:type="dxa"/>
              <w:right w:w="15" w:type="dxa"/>
            </w:tcMar>
            <w:vAlign w:val="center"/>
          </w:tcPr>
          <w:p>
            <w:pPr>
              <w:jc w:val="right"/>
              <w:rPr>
                <w:rFonts w:ascii="宋体" w:hAnsi="宋体" w:eastAsia="宋体" w:cs="宋体"/>
                <w:color w:val="000000"/>
                <w:sz w:val="22"/>
              </w:rPr>
            </w:pPr>
          </w:p>
        </w:tc>
      </w:tr>
      <w:tr>
        <w:tblPrEx>
          <w:tblCellMar>
            <w:top w:w="0" w:type="dxa"/>
            <w:left w:w="0" w:type="dxa"/>
            <w:bottom w:w="0" w:type="dxa"/>
            <w:right w:w="0" w:type="dxa"/>
          </w:tblCellMar>
        </w:tblPrEx>
        <w:trPr>
          <w:trHeight w:val="700" w:hRule="atLeast"/>
          <w:jc w:val="center"/>
        </w:trPr>
        <w:tc>
          <w:tcPr>
            <w:tcW w:w="9108" w:type="dxa"/>
            <w:gridSpan w:val="8"/>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注：本表反映部门本年度政府性基金预算财政拨款收入支出及结转和结余情况。本表金额转换为万元时，因四舍五入可能存在尾差。</w:t>
            </w:r>
          </w:p>
        </w:tc>
      </w:tr>
    </w:tbl>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hint="eastAsia" w:ascii="黑体" w:hAnsi="宋体" w:eastAsia="黑体"/>
          <w:color w:val="000000"/>
          <w:kern w:val="0"/>
          <w:sz w:val="44"/>
          <w:szCs w:val="44"/>
        </w:rPr>
      </w:pPr>
    </w:p>
    <w:p>
      <w:pPr>
        <w:spacing w:line="560" w:lineRule="exact"/>
        <w:rPr>
          <w:rFonts w:ascii="黑体" w:hAnsi="宋体" w:eastAsia="黑体"/>
          <w:color w:val="000000"/>
          <w:kern w:val="0"/>
          <w:sz w:val="44"/>
          <w:szCs w:val="44"/>
        </w:rPr>
      </w:pPr>
    </w:p>
    <w:p>
      <w:pPr>
        <w:spacing w:line="560" w:lineRule="exact"/>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spacing w:line="560" w:lineRule="exact"/>
        <w:ind w:firstLine="640" w:firstLineChars="200"/>
        <w:rPr>
          <w:rFonts w:ascii="仿宋" w:hAnsi="仿宋" w:eastAsia="仿宋" w:cs="Times New Roman"/>
          <w:sz w:val="32"/>
          <w:szCs w:val="32"/>
        </w:rPr>
      </w:pPr>
    </w:p>
    <w:p>
      <w:pPr>
        <w:spacing w:line="56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一</w:t>
      </w:r>
      <w:r>
        <w:rPr>
          <w:rFonts w:ascii="仿宋" w:hAnsi="仿宋" w:eastAsia="仿宋" w:cs="Times New Roman"/>
          <w:b/>
          <w:sz w:val="32"/>
          <w:szCs w:val="32"/>
        </w:rPr>
        <w:t>、</w:t>
      </w:r>
      <w:r>
        <w:rPr>
          <w:rFonts w:hint="eastAsia" w:ascii="仿宋" w:hAnsi="仿宋" w:eastAsia="仿宋" w:cs="Times New Roman"/>
          <w:b/>
          <w:sz w:val="32"/>
          <w:szCs w:val="32"/>
        </w:rPr>
        <w:t>收入支出决算</w:t>
      </w:r>
      <w:r>
        <w:rPr>
          <w:rFonts w:ascii="仿宋" w:hAnsi="仿宋" w:eastAsia="仿宋" w:cs="Times New Roman"/>
          <w:b/>
          <w:sz w:val="32"/>
          <w:szCs w:val="32"/>
        </w:rPr>
        <w:t>总体情况说明</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w:t>
      </w:r>
      <w:r>
        <w:rPr>
          <w:rFonts w:hint="eastAsia" w:ascii="仿宋" w:hAnsi="仿宋" w:eastAsia="仿宋" w:cs="Times New Roman"/>
          <w:sz w:val="32"/>
          <w:szCs w:val="32"/>
        </w:rPr>
        <w:t>度</w:t>
      </w:r>
      <w:r>
        <w:rPr>
          <w:rFonts w:ascii="仿宋" w:hAnsi="仿宋" w:eastAsia="仿宋" w:cs="Times New Roman"/>
          <w:sz w:val="32"/>
          <w:szCs w:val="32"/>
        </w:rPr>
        <w:t>收入</w:t>
      </w:r>
      <w:r>
        <w:rPr>
          <w:rFonts w:hint="eastAsia" w:ascii="仿宋" w:hAnsi="仿宋" w:eastAsia="仿宋" w:cs="Times New Roman"/>
          <w:sz w:val="32"/>
          <w:szCs w:val="32"/>
        </w:rPr>
        <w:t>1756.52</w:t>
      </w:r>
      <w:r>
        <w:rPr>
          <w:rFonts w:ascii="仿宋" w:hAnsi="仿宋" w:eastAsia="仿宋" w:cs="Times New Roman"/>
          <w:sz w:val="32"/>
          <w:szCs w:val="32"/>
        </w:rPr>
        <w:t>万元，比上年</w:t>
      </w:r>
      <w:r>
        <w:rPr>
          <w:rFonts w:hint="eastAsia" w:ascii="仿宋" w:hAnsi="仿宋" w:eastAsia="仿宋" w:cs="Times New Roman"/>
          <w:sz w:val="32"/>
          <w:szCs w:val="32"/>
        </w:rPr>
        <w:t>增加</w:t>
      </w:r>
      <w:r>
        <w:rPr>
          <w:rFonts w:ascii="仿宋" w:hAnsi="仿宋" w:eastAsia="仿宋" w:cs="Times New Roman"/>
          <w:sz w:val="32"/>
          <w:szCs w:val="32"/>
        </w:rPr>
        <w:t>了</w:t>
      </w:r>
      <w:r>
        <w:rPr>
          <w:rFonts w:hint="eastAsia" w:ascii="仿宋" w:hAnsi="仿宋" w:eastAsia="仿宋" w:cs="Times New Roman"/>
          <w:sz w:val="32"/>
          <w:szCs w:val="32"/>
        </w:rPr>
        <w:t>509.44</w:t>
      </w:r>
      <w:r>
        <w:rPr>
          <w:rFonts w:ascii="仿宋" w:hAnsi="仿宋" w:eastAsia="仿宋" w:cs="Times New Roman"/>
          <w:sz w:val="32"/>
          <w:szCs w:val="32"/>
        </w:rPr>
        <w:t>万元，主要原因</w:t>
      </w:r>
      <w:r>
        <w:rPr>
          <w:rFonts w:hint="eastAsia" w:ascii="仿宋" w:hAnsi="仿宋" w:eastAsia="仿宋" w:cs="Times New Roman"/>
          <w:sz w:val="32"/>
          <w:szCs w:val="32"/>
        </w:rPr>
        <w:t>：1是</w:t>
      </w:r>
      <w:r>
        <w:rPr>
          <w:rFonts w:ascii="仿宋" w:hAnsi="仿宋" w:eastAsia="仿宋" w:cs="Times New Roman"/>
          <w:sz w:val="32"/>
          <w:szCs w:val="32"/>
        </w:rPr>
        <w:t>机构改革</w:t>
      </w:r>
      <w:r>
        <w:rPr>
          <w:rFonts w:hint="eastAsia" w:ascii="仿宋" w:hAnsi="仿宋" w:eastAsia="仿宋" w:cs="Times New Roman"/>
          <w:sz w:val="32"/>
          <w:szCs w:val="32"/>
        </w:rPr>
        <w:t>，</w:t>
      </w:r>
      <w:r>
        <w:rPr>
          <w:rFonts w:ascii="仿宋" w:hAnsi="仿宋" w:eastAsia="仿宋" w:cs="Times New Roman"/>
          <w:sz w:val="32"/>
          <w:szCs w:val="32"/>
        </w:rPr>
        <w:t>原物价局物价管理职能划归发改委</w:t>
      </w:r>
      <w:r>
        <w:rPr>
          <w:rFonts w:hint="eastAsia" w:ascii="仿宋" w:hAnsi="仿宋" w:eastAsia="仿宋" w:cs="Times New Roman"/>
          <w:sz w:val="32"/>
          <w:szCs w:val="32"/>
        </w:rPr>
        <w:t>，基本支出收入比上年增加了202.08万元；2是加大了扶贫领域的建设投资，村级光伏扶贫电站配套建设项目投资180.84万元；3是加大了其他政府性基金投入力度，其他政府性基金收入比上年增加了71.55万元</w:t>
      </w:r>
      <w:r>
        <w:rPr>
          <w:rFonts w:ascii="仿宋" w:hAnsi="仿宋" w:eastAsia="仿宋" w:cs="Times New Roman"/>
          <w:sz w:val="32"/>
          <w:szCs w:val="32"/>
        </w:rPr>
        <w:t>。</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w:t>
      </w:r>
      <w:r>
        <w:rPr>
          <w:rFonts w:hint="eastAsia" w:ascii="仿宋" w:hAnsi="仿宋" w:eastAsia="仿宋" w:cs="Times New Roman"/>
          <w:sz w:val="32"/>
          <w:szCs w:val="32"/>
        </w:rPr>
        <w:t>度</w:t>
      </w:r>
      <w:r>
        <w:rPr>
          <w:rFonts w:ascii="仿宋" w:hAnsi="仿宋" w:eastAsia="仿宋" w:cs="Times New Roman"/>
          <w:sz w:val="32"/>
          <w:szCs w:val="32"/>
        </w:rPr>
        <w:t>支出</w:t>
      </w:r>
      <w:r>
        <w:rPr>
          <w:rFonts w:hint="eastAsia" w:ascii="仿宋" w:hAnsi="仿宋" w:eastAsia="仿宋" w:cs="Times New Roman"/>
          <w:sz w:val="32"/>
          <w:szCs w:val="32"/>
        </w:rPr>
        <w:t>1756.52</w:t>
      </w:r>
      <w:r>
        <w:rPr>
          <w:rFonts w:ascii="仿宋" w:hAnsi="仿宋" w:eastAsia="仿宋" w:cs="Times New Roman"/>
          <w:sz w:val="32"/>
          <w:szCs w:val="32"/>
        </w:rPr>
        <w:t>万元，比上年</w:t>
      </w:r>
      <w:r>
        <w:rPr>
          <w:rFonts w:hint="eastAsia" w:ascii="仿宋" w:hAnsi="仿宋" w:eastAsia="仿宋" w:cs="Times New Roman"/>
          <w:sz w:val="32"/>
          <w:szCs w:val="32"/>
        </w:rPr>
        <w:t>增加</w:t>
      </w:r>
      <w:r>
        <w:rPr>
          <w:rFonts w:ascii="仿宋" w:hAnsi="仿宋" w:eastAsia="仿宋" w:cs="Times New Roman"/>
          <w:sz w:val="32"/>
          <w:szCs w:val="32"/>
        </w:rPr>
        <w:t>了</w:t>
      </w:r>
      <w:r>
        <w:rPr>
          <w:rFonts w:hint="eastAsia" w:ascii="仿宋" w:hAnsi="仿宋" w:eastAsia="仿宋" w:cs="Times New Roman"/>
          <w:sz w:val="32"/>
          <w:szCs w:val="32"/>
        </w:rPr>
        <w:t>509.44</w:t>
      </w:r>
      <w:r>
        <w:rPr>
          <w:rFonts w:ascii="仿宋" w:hAnsi="仿宋" w:eastAsia="仿宋" w:cs="Times New Roman"/>
          <w:sz w:val="32"/>
          <w:szCs w:val="32"/>
        </w:rPr>
        <w:t>万元，主要原因</w:t>
      </w:r>
      <w:r>
        <w:rPr>
          <w:rFonts w:hint="eastAsia" w:ascii="仿宋" w:hAnsi="仿宋" w:eastAsia="仿宋" w:cs="Times New Roman"/>
          <w:sz w:val="32"/>
          <w:szCs w:val="32"/>
        </w:rPr>
        <w:t>：1是</w:t>
      </w:r>
      <w:r>
        <w:rPr>
          <w:rFonts w:ascii="仿宋" w:hAnsi="仿宋" w:eastAsia="仿宋" w:cs="Times New Roman"/>
          <w:sz w:val="32"/>
          <w:szCs w:val="32"/>
        </w:rPr>
        <w:t>机构改革</w:t>
      </w:r>
      <w:r>
        <w:rPr>
          <w:rFonts w:hint="eastAsia" w:ascii="仿宋" w:hAnsi="仿宋" w:eastAsia="仿宋" w:cs="Times New Roman"/>
          <w:sz w:val="32"/>
          <w:szCs w:val="32"/>
        </w:rPr>
        <w:t>，</w:t>
      </w:r>
      <w:r>
        <w:rPr>
          <w:rFonts w:ascii="仿宋" w:hAnsi="仿宋" w:eastAsia="仿宋" w:cs="Times New Roman"/>
          <w:sz w:val="32"/>
          <w:szCs w:val="32"/>
        </w:rPr>
        <w:t>原物价局物价管理职能划归发改委</w:t>
      </w:r>
      <w:r>
        <w:rPr>
          <w:rFonts w:hint="eastAsia" w:ascii="仿宋" w:hAnsi="仿宋" w:eastAsia="仿宋" w:cs="Times New Roman"/>
          <w:sz w:val="32"/>
          <w:szCs w:val="32"/>
        </w:rPr>
        <w:t>，基本支出比上年增加了202.08万元；2是加大了扶贫领域的建设力度，村级光伏扶贫电站配套建设项目支出180.84万元；3是加大了其他政府性基金支出，其他政府性基金支出比上年增加了71.55万元</w:t>
      </w:r>
      <w:r>
        <w:rPr>
          <w:rFonts w:ascii="仿宋" w:hAnsi="仿宋" w:eastAsia="仿宋" w:cs="Times New Roman"/>
          <w:sz w:val="32"/>
          <w:szCs w:val="32"/>
        </w:rPr>
        <w:t>。</w:t>
      </w:r>
    </w:p>
    <w:p>
      <w:pPr>
        <w:pStyle w:val="7"/>
        <w:spacing w:before="0" w:beforeAutospacing="0" w:after="0" w:afterAutospacing="0" w:line="560" w:lineRule="exact"/>
        <w:ind w:firstLine="640" w:firstLineChars="200"/>
        <w:rPr>
          <w:rFonts w:ascii="仿宋" w:hAnsi="仿宋" w:eastAsia="仿宋" w:cs="Times New Roman"/>
          <w:sz w:val="32"/>
          <w:szCs w:val="32"/>
        </w:rPr>
      </w:pPr>
    </w:p>
    <w:p>
      <w:pPr>
        <w:pStyle w:val="7"/>
        <w:spacing w:before="0" w:beforeAutospacing="0" w:after="0" w:afterAutospacing="0" w:line="560" w:lineRule="exact"/>
        <w:ind w:firstLine="480" w:firstLineChars="200"/>
        <w:rPr>
          <w:rFonts w:ascii="仿宋" w:hAnsi="仿宋" w:eastAsia="仿宋" w:cs="Times New Roman"/>
          <w:sz w:val="32"/>
          <w:szCs w:val="32"/>
        </w:rPr>
      </w:pPr>
      <w:r>
        <w:drawing>
          <wp:anchor distT="0" distB="0" distL="114300" distR="114300" simplePos="0" relativeHeight="251659264" behindDoc="1" locked="0" layoutInCell="1" allowOverlap="1">
            <wp:simplePos x="0" y="0"/>
            <wp:positionH relativeFrom="column">
              <wp:posOffset>499745</wp:posOffset>
            </wp:positionH>
            <wp:positionV relativeFrom="paragraph">
              <wp:posOffset>139700</wp:posOffset>
            </wp:positionV>
            <wp:extent cx="4695825" cy="3019425"/>
            <wp:effectExtent l="4445" t="4445" r="5080" b="5080"/>
            <wp:wrapTight wrapText="bothSides">
              <wp:wrapPolygon>
                <wp:start x="-20" y="-32"/>
                <wp:lineTo x="-20" y="21500"/>
                <wp:lineTo x="21536" y="21500"/>
                <wp:lineTo x="21536" y="-32"/>
                <wp:lineTo x="-20" y="-32"/>
              </wp:wrapPolygon>
            </wp:wrapTight>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numPr>
          <w:ilvl w:val="0"/>
          <w:numId w:val="2"/>
        </w:numPr>
        <w:ind w:firstLine="643" w:firstLineChars="200"/>
        <w:jc w:val="left"/>
        <w:rPr>
          <w:rFonts w:ascii="仿宋" w:hAnsi="仿宋" w:eastAsia="仿宋" w:cs="Times New Roman"/>
          <w:b/>
          <w:sz w:val="32"/>
          <w:szCs w:val="32"/>
        </w:rPr>
      </w:pPr>
      <w:r>
        <w:rPr>
          <w:rFonts w:ascii="仿宋" w:hAnsi="仿宋" w:eastAsia="仿宋" w:cs="Times New Roman"/>
          <w:b/>
          <w:sz w:val="32"/>
          <w:szCs w:val="32"/>
        </w:rPr>
        <w:t>收入</w:t>
      </w:r>
      <w:r>
        <w:rPr>
          <w:rFonts w:hint="eastAsia" w:ascii="仿宋" w:hAnsi="仿宋" w:eastAsia="仿宋" w:cs="Times New Roman"/>
          <w:b/>
          <w:sz w:val="32"/>
          <w:szCs w:val="32"/>
        </w:rPr>
        <w:t>决算</w:t>
      </w:r>
      <w:r>
        <w:rPr>
          <w:rFonts w:ascii="仿宋" w:hAnsi="仿宋" w:eastAsia="仿宋" w:cs="Times New Roman"/>
          <w:b/>
          <w:sz w:val="32"/>
          <w:szCs w:val="32"/>
        </w:rPr>
        <w:t>情况说明</w:t>
      </w:r>
    </w:p>
    <w:p>
      <w:pPr>
        <w:ind w:firstLine="640" w:firstLineChars="200"/>
        <w:jc w:val="left"/>
        <w:rPr>
          <w:rFonts w:ascii="仿宋" w:hAnsi="仿宋" w:eastAsia="仿宋" w:cs="Times New Roman"/>
          <w:sz w:val="32"/>
          <w:szCs w:val="32"/>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w:t>
      </w:r>
      <w:r>
        <w:rPr>
          <w:rFonts w:hint="eastAsia" w:ascii="仿宋" w:hAnsi="仿宋" w:eastAsia="仿宋" w:cs="Times New Roman"/>
          <w:sz w:val="32"/>
          <w:szCs w:val="32"/>
        </w:rPr>
        <w:t>度</w:t>
      </w:r>
      <w:r>
        <w:rPr>
          <w:rFonts w:ascii="仿宋" w:hAnsi="仿宋" w:eastAsia="仿宋" w:cs="Times New Roman"/>
          <w:sz w:val="32"/>
          <w:szCs w:val="32"/>
        </w:rPr>
        <w:t>收入合计</w:t>
      </w:r>
      <w:r>
        <w:rPr>
          <w:rFonts w:hint="eastAsia" w:ascii="仿宋" w:hAnsi="仿宋" w:eastAsia="仿宋" w:cs="Times New Roman"/>
          <w:sz w:val="32"/>
          <w:szCs w:val="32"/>
        </w:rPr>
        <w:t>1756.52</w:t>
      </w:r>
      <w:r>
        <w:rPr>
          <w:rFonts w:ascii="仿宋" w:hAnsi="仿宋" w:eastAsia="仿宋" w:cs="Times New Roman"/>
          <w:sz w:val="32"/>
          <w:szCs w:val="32"/>
        </w:rPr>
        <w:t>万元，其中</w:t>
      </w:r>
      <w:r>
        <w:rPr>
          <w:rFonts w:hint="eastAsia" w:ascii="仿宋" w:hAnsi="仿宋" w:eastAsia="仿宋" w:cs="Times New Roman"/>
          <w:sz w:val="32"/>
          <w:szCs w:val="32"/>
        </w:rPr>
        <w:t>：</w:t>
      </w:r>
      <w:r>
        <w:rPr>
          <w:rFonts w:ascii="仿宋" w:hAnsi="仿宋" w:eastAsia="仿宋" w:cs="Times New Roman"/>
          <w:sz w:val="32"/>
          <w:szCs w:val="32"/>
        </w:rPr>
        <w:t>财政拨款收入</w:t>
      </w:r>
      <w:r>
        <w:rPr>
          <w:rFonts w:hint="eastAsia" w:ascii="仿宋" w:hAnsi="仿宋" w:eastAsia="仿宋" w:cs="Times New Roman"/>
          <w:sz w:val="32"/>
          <w:szCs w:val="32"/>
        </w:rPr>
        <w:t>1756.52万元，占100%；事业收入0万元，占0%；经营收入0万元，占0%；其他收入0万元，占0%。</w:t>
      </w:r>
    </w:p>
    <w:p>
      <w:pPr>
        <w:ind w:firstLine="420" w:firstLineChars="200"/>
        <w:jc w:val="left"/>
        <w:rPr>
          <w:rFonts w:hint="eastAsia"/>
        </w:rPr>
      </w:pPr>
      <w:r>
        <w:rPr>
          <w:rFonts w:hint="eastAsia"/>
        </w:rPr>
        <w:pict>
          <v:shape id="文本框 3" o:spid="_x0000_s1026" o:spt="202" type="#_x0000_t202" style="position:absolute;left:0pt;margin-left:162.3pt;margin-top:204.25pt;height:24.7pt;width:119.25pt;z-index:251665408;mso-width-relative:page;mso-height-relative:page;" filled="f" stroked="f" coordsize="21600,21600" o:gfxdata="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SRk3c2AAAAAsBAAAPAAAAAAAAAAEAIAAAACIAAABkcnMvZG93bnJldi54bWxQSwECFAAUAAAA&#10;CACHTuJAyrzKlbUBAAAtAwAADgAAAAAAAAABACAAAAAnAQAAZHJzL2Uyb0RvYy54bWxQSwUGAAAA&#10;AAYABgBZAQAATgUAAAAA&#10;">
            <v:path/>
            <v:fill on="f" focussize="0,0"/>
            <v:stroke on="f" joinstyle="miter"/>
            <v:imagedata o:title=""/>
            <o:lock v:ext="edit"/>
            <v:textbox>
              <w:txbxContent>
                <w:p>
                  <w:pPr>
                    <w:rPr>
                      <w:rFonts w:hint="eastAsia"/>
                    </w:rPr>
                  </w:pPr>
                  <w:r>
                    <w:rPr>
                      <w:rFonts w:hint="eastAsia"/>
                    </w:rPr>
                    <w:t>财政拨款收入</w:t>
                  </w:r>
                </w:p>
              </w:txbxContent>
            </v:textbox>
          </v:shape>
        </w:pict>
      </w:r>
      <w:r>
        <w:rPr>
          <w:rFonts w:hint="eastAsia"/>
        </w:rPr>
        <w:pict>
          <v:shape id="文本框 2" o:spid="_x0000_s2055" o:spt="202" type="#_x0000_t202" style="position:absolute;left:0pt;margin-left:70.8pt;margin-top:24.25pt;height:37.5pt;width:70.5pt;z-index:251664384;mso-width-relative:page;mso-height-relative:page;" filled="f" stroked="f" coordsize="21600,21600" o:gfxdata="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Brw&#10;CDnWAAAACgEAAA8AAAAAAAAAAQAgAAAAIgAAAGRycy9kb3ducmV2LnhtbFBLAQIUABQAAAAIAIdO&#10;4kDyE2NPswEAACwDAAAOAAAAAAAAAAEAIAAAACUBAABkcnMvZTJvRG9jLnhtbFBLBQYAAAAABgAG&#10;AFkBAABKBQAAAAA=&#10;">
            <v:path/>
            <v:fill on="f" focussize="0,0"/>
            <v:stroke on="f" joinstyle="miter"/>
            <v:imagedata o:title=""/>
            <o:lock v:ext="edit"/>
            <v:textbox>
              <w:txbxContent>
                <w:p>
                  <w:pPr>
                    <w:rPr>
                      <w:rFonts w:hint="eastAsia"/>
                    </w:rPr>
                  </w:pPr>
                  <w:r>
                    <w:rPr>
                      <w:rFonts w:hint="eastAsia"/>
                    </w:rPr>
                    <w:t>0.00%</w:t>
                  </w:r>
                </w:p>
              </w:txbxContent>
            </v:textbox>
          </v:shape>
        </w:pict>
      </w:r>
      <w:r>
        <w:drawing>
          <wp:inline distT="0" distB="0" distL="114300" distR="114300">
            <wp:extent cx="4572000" cy="2743200"/>
            <wp:effectExtent l="4445" t="4445" r="14605" b="14605"/>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ind w:firstLine="420" w:firstLineChars="200"/>
        <w:jc w:val="left"/>
        <w:rPr>
          <w:rFonts w:hint="eastAsia"/>
        </w:rPr>
      </w:pPr>
    </w:p>
    <w:p>
      <w:pPr>
        <w:ind w:firstLine="643" w:firstLineChars="200"/>
        <w:jc w:val="left"/>
        <w:rPr>
          <w:rFonts w:ascii="仿宋" w:hAnsi="仿宋" w:eastAsia="仿宋" w:cs="Times New Roman"/>
          <w:b/>
          <w:sz w:val="32"/>
          <w:szCs w:val="32"/>
        </w:rPr>
      </w:pPr>
      <w:r>
        <w:rPr>
          <w:rFonts w:hint="eastAsia" w:ascii="仿宋" w:hAnsi="仿宋" w:eastAsia="仿宋" w:cs="Times New Roman"/>
          <w:b/>
          <w:sz w:val="32"/>
          <w:szCs w:val="32"/>
        </w:rPr>
        <w:t xml:space="preserve">三、支出决算情况说明 </w:t>
      </w:r>
    </w:p>
    <w:p>
      <w:pPr>
        <w:ind w:firstLine="640" w:firstLineChars="200"/>
        <w:jc w:val="left"/>
        <w:rPr>
          <w:rFonts w:ascii="仿宋" w:hAnsi="仿宋" w:eastAsia="仿宋" w:cs="Times New Roman"/>
          <w:sz w:val="32"/>
          <w:szCs w:val="32"/>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w:t>
      </w:r>
      <w:r>
        <w:rPr>
          <w:rFonts w:hint="eastAsia" w:ascii="仿宋" w:hAnsi="仿宋" w:eastAsia="仿宋" w:cs="Times New Roman"/>
          <w:sz w:val="32"/>
          <w:szCs w:val="32"/>
        </w:rPr>
        <w:t>度支出</w:t>
      </w:r>
      <w:r>
        <w:rPr>
          <w:rFonts w:ascii="仿宋" w:hAnsi="仿宋" w:eastAsia="仿宋" w:cs="Times New Roman"/>
          <w:sz w:val="32"/>
          <w:szCs w:val="32"/>
        </w:rPr>
        <w:t>合计</w:t>
      </w:r>
      <w:r>
        <w:rPr>
          <w:rFonts w:hint="eastAsia" w:ascii="仿宋" w:hAnsi="仿宋" w:eastAsia="仿宋" w:cs="Times New Roman"/>
          <w:sz w:val="32"/>
          <w:szCs w:val="32"/>
        </w:rPr>
        <w:t>1756.52</w:t>
      </w:r>
      <w:r>
        <w:rPr>
          <w:rFonts w:ascii="仿宋" w:hAnsi="仿宋" w:eastAsia="仿宋" w:cs="Times New Roman"/>
          <w:sz w:val="32"/>
          <w:szCs w:val="32"/>
        </w:rPr>
        <w:t>万元，其中</w:t>
      </w:r>
      <w:r>
        <w:rPr>
          <w:rFonts w:hint="eastAsia" w:ascii="仿宋" w:hAnsi="仿宋" w:eastAsia="仿宋" w:cs="Times New Roman"/>
          <w:sz w:val="32"/>
          <w:szCs w:val="32"/>
        </w:rPr>
        <w:t>：基本</w:t>
      </w:r>
      <w:r>
        <w:rPr>
          <w:rFonts w:ascii="仿宋" w:hAnsi="仿宋" w:eastAsia="仿宋" w:cs="Times New Roman"/>
          <w:sz w:val="32"/>
          <w:szCs w:val="32"/>
        </w:rPr>
        <w:t>支出</w:t>
      </w:r>
      <w:r>
        <w:rPr>
          <w:rFonts w:hint="eastAsia" w:ascii="仿宋" w:hAnsi="仿宋" w:eastAsia="仿宋" w:cs="Times New Roman"/>
          <w:sz w:val="32"/>
          <w:szCs w:val="32"/>
        </w:rPr>
        <w:t>332.26万元，占18.92%；项目支出1424.25万元，占81.08%；经营支出0万元，占0%。</w:t>
      </w:r>
    </w:p>
    <w:p>
      <w:pPr>
        <w:ind w:firstLine="420" w:firstLineChars="200"/>
        <w:jc w:val="left"/>
        <w:rPr>
          <w:rFonts w:ascii="仿宋" w:hAnsi="仿宋" w:eastAsia="仿宋" w:cs="Times New Roman"/>
          <w:sz w:val="32"/>
          <w:szCs w:val="32"/>
        </w:rPr>
      </w:pPr>
      <w:r>
        <w:drawing>
          <wp:anchor distT="0" distB="0" distL="114300" distR="114300" simplePos="0" relativeHeight="251660288" behindDoc="1" locked="0" layoutInCell="1" allowOverlap="1">
            <wp:simplePos x="0" y="0"/>
            <wp:positionH relativeFrom="column">
              <wp:posOffset>337820</wp:posOffset>
            </wp:positionH>
            <wp:positionV relativeFrom="paragraph">
              <wp:posOffset>12065</wp:posOffset>
            </wp:positionV>
            <wp:extent cx="4572000" cy="2743200"/>
            <wp:effectExtent l="4445" t="4445" r="14605" b="14605"/>
            <wp:wrapNone/>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pPr>
        <w:ind w:firstLine="640" w:firstLineChars="200"/>
        <w:jc w:val="left"/>
        <w:rPr>
          <w:rFonts w:ascii="仿宋" w:hAnsi="仿宋" w:eastAsia="仿宋" w:cs="Times New Roman"/>
          <w:sz w:val="32"/>
          <w:szCs w:val="32"/>
        </w:rPr>
      </w:pPr>
    </w:p>
    <w:p>
      <w:pPr>
        <w:ind w:firstLine="640" w:firstLineChars="200"/>
        <w:jc w:val="left"/>
        <w:rPr>
          <w:rFonts w:ascii="仿宋" w:hAnsi="仿宋" w:eastAsia="仿宋" w:cs="Times New Roman"/>
          <w:sz w:val="32"/>
          <w:szCs w:val="32"/>
        </w:rPr>
      </w:pPr>
    </w:p>
    <w:p>
      <w:pPr>
        <w:ind w:firstLine="640" w:firstLineChars="200"/>
        <w:jc w:val="left"/>
        <w:rPr>
          <w:rFonts w:ascii="仿宋" w:hAnsi="仿宋" w:eastAsia="仿宋" w:cs="Times New Roman"/>
          <w:sz w:val="32"/>
          <w:szCs w:val="32"/>
        </w:rPr>
      </w:pPr>
    </w:p>
    <w:p>
      <w:pPr>
        <w:ind w:firstLine="640" w:firstLineChars="200"/>
        <w:jc w:val="left"/>
        <w:rPr>
          <w:rFonts w:ascii="仿宋" w:hAnsi="仿宋" w:eastAsia="仿宋" w:cs="Times New Roman"/>
          <w:sz w:val="32"/>
          <w:szCs w:val="32"/>
        </w:rPr>
      </w:pPr>
    </w:p>
    <w:p>
      <w:pPr>
        <w:ind w:firstLine="640" w:firstLineChars="200"/>
        <w:jc w:val="left"/>
        <w:rPr>
          <w:rFonts w:ascii="仿宋" w:hAnsi="仿宋" w:eastAsia="仿宋" w:cs="Times New Roman"/>
          <w:sz w:val="32"/>
          <w:szCs w:val="32"/>
        </w:rPr>
      </w:pPr>
    </w:p>
    <w:p>
      <w:pPr>
        <w:ind w:firstLine="640" w:firstLineChars="200"/>
        <w:jc w:val="left"/>
        <w:rPr>
          <w:rFonts w:ascii="仿宋" w:hAnsi="仿宋" w:eastAsia="仿宋" w:cs="Times New Roman"/>
          <w:sz w:val="32"/>
          <w:szCs w:val="32"/>
        </w:rPr>
      </w:pPr>
    </w:p>
    <w:p>
      <w:pPr>
        <w:ind w:firstLine="643" w:firstLineChars="200"/>
        <w:jc w:val="left"/>
        <w:rPr>
          <w:rFonts w:ascii="仿宋" w:hAnsi="仿宋" w:eastAsia="仿宋" w:cs="Times New Roman"/>
          <w:b/>
          <w:sz w:val="32"/>
          <w:szCs w:val="32"/>
        </w:rPr>
      </w:pPr>
      <w:r>
        <w:rPr>
          <w:rFonts w:hint="eastAsia" w:ascii="仿宋" w:hAnsi="仿宋" w:eastAsia="仿宋" w:cs="Times New Roman"/>
          <w:b/>
          <w:sz w:val="32"/>
          <w:szCs w:val="32"/>
        </w:rPr>
        <w:t>四、财政拨款收入支出决算总体情况说明</w:t>
      </w:r>
    </w:p>
    <w:p>
      <w:pPr>
        <w:ind w:firstLine="800" w:firstLineChars="250"/>
        <w:jc w:val="left"/>
        <w:rPr>
          <w:rFonts w:ascii="仿宋" w:hAnsi="仿宋" w:eastAsia="仿宋" w:cs="Times New Roman"/>
          <w:sz w:val="32"/>
          <w:szCs w:val="32"/>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w:t>
      </w:r>
      <w:r>
        <w:rPr>
          <w:rFonts w:hint="eastAsia" w:ascii="仿宋" w:hAnsi="仿宋" w:eastAsia="仿宋" w:cs="Times New Roman"/>
          <w:sz w:val="32"/>
          <w:szCs w:val="32"/>
        </w:rPr>
        <w:t>度财政拨款收入1756.52</w:t>
      </w:r>
      <w:r>
        <w:rPr>
          <w:rFonts w:ascii="仿宋" w:hAnsi="仿宋" w:eastAsia="仿宋" w:cs="Times New Roman"/>
          <w:sz w:val="32"/>
          <w:szCs w:val="32"/>
        </w:rPr>
        <w:t>万元，</w:t>
      </w:r>
      <w:r>
        <w:rPr>
          <w:rFonts w:hint="eastAsia" w:ascii="仿宋" w:hAnsi="仿宋" w:eastAsia="仿宋" w:cs="Times New Roman"/>
          <w:sz w:val="32"/>
          <w:szCs w:val="32"/>
        </w:rPr>
        <w:t>与</w:t>
      </w:r>
      <w:r>
        <w:rPr>
          <w:rFonts w:ascii="仿宋" w:hAnsi="仿宋" w:eastAsia="仿宋" w:cs="Times New Roman"/>
          <w:sz w:val="32"/>
          <w:szCs w:val="32"/>
        </w:rPr>
        <w:t>上年相比</w:t>
      </w:r>
      <w:r>
        <w:rPr>
          <w:rFonts w:hint="eastAsia" w:ascii="仿宋" w:hAnsi="仿宋" w:eastAsia="仿宋" w:cs="Times New Roman"/>
          <w:sz w:val="32"/>
          <w:szCs w:val="32"/>
        </w:rPr>
        <w:t>增加</w:t>
      </w:r>
      <w:r>
        <w:rPr>
          <w:rFonts w:ascii="仿宋" w:hAnsi="仿宋" w:eastAsia="仿宋" w:cs="Times New Roman"/>
          <w:sz w:val="32"/>
          <w:szCs w:val="32"/>
        </w:rPr>
        <w:t>了</w:t>
      </w:r>
      <w:r>
        <w:rPr>
          <w:rFonts w:hint="eastAsia" w:ascii="仿宋" w:hAnsi="仿宋" w:eastAsia="仿宋" w:cs="Times New Roman"/>
          <w:sz w:val="32"/>
          <w:szCs w:val="32"/>
        </w:rPr>
        <w:t>509.44</w:t>
      </w:r>
      <w:r>
        <w:rPr>
          <w:rFonts w:ascii="仿宋" w:hAnsi="仿宋" w:eastAsia="仿宋" w:cs="Times New Roman"/>
          <w:sz w:val="32"/>
          <w:szCs w:val="32"/>
        </w:rPr>
        <w:t>万元，增长</w:t>
      </w:r>
      <w:r>
        <w:rPr>
          <w:rFonts w:hint="eastAsia" w:ascii="仿宋" w:hAnsi="仿宋" w:eastAsia="仿宋" w:cs="Times New Roman"/>
          <w:sz w:val="32"/>
          <w:szCs w:val="32"/>
        </w:rPr>
        <w:t>40.85%，增加的</w:t>
      </w:r>
      <w:r>
        <w:rPr>
          <w:rFonts w:ascii="仿宋" w:hAnsi="仿宋" w:eastAsia="仿宋" w:cs="Times New Roman"/>
          <w:sz w:val="32"/>
          <w:szCs w:val="32"/>
        </w:rPr>
        <w:t>主要原因</w:t>
      </w:r>
      <w:r>
        <w:rPr>
          <w:rFonts w:hint="eastAsia" w:ascii="仿宋" w:hAnsi="仿宋" w:eastAsia="仿宋" w:cs="Times New Roman"/>
          <w:sz w:val="32"/>
          <w:szCs w:val="32"/>
        </w:rPr>
        <w:t>：1是</w:t>
      </w:r>
      <w:r>
        <w:rPr>
          <w:rFonts w:ascii="仿宋" w:hAnsi="仿宋" w:eastAsia="仿宋" w:cs="Times New Roman"/>
          <w:sz w:val="32"/>
          <w:szCs w:val="32"/>
        </w:rPr>
        <w:t>机构改革</w:t>
      </w:r>
      <w:r>
        <w:rPr>
          <w:rFonts w:hint="eastAsia" w:ascii="仿宋" w:hAnsi="仿宋" w:eastAsia="仿宋" w:cs="Times New Roman"/>
          <w:sz w:val="32"/>
          <w:szCs w:val="32"/>
        </w:rPr>
        <w:t>，</w:t>
      </w:r>
      <w:r>
        <w:rPr>
          <w:rFonts w:ascii="仿宋" w:hAnsi="仿宋" w:eastAsia="仿宋" w:cs="Times New Roman"/>
          <w:sz w:val="32"/>
          <w:szCs w:val="32"/>
        </w:rPr>
        <w:t>原物价局物价管理职能划归发改委</w:t>
      </w:r>
      <w:r>
        <w:rPr>
          <w:rFonts w:hint="eastAsia" w:ascii="仿宋" w:hAnsi="仿宋" w:eastAsia="仿宋" w:cs="Times New Roman"/>
          <w:sz w:val="32"/>
          <w:szCs w:val="32"/>
        </w:rPr>
        <w:t>，基本支出收入比上年增加了202.08万元；2是加大了扶贫领域的建设力度 ，村级光伏扶贫电站配套建设项目投资180.84万元；3是加大了其他政府性基金投入力度，其他政府性基金收入比上年增加了71.55万元</w:t>
      </w:r>
      <w:r>
        <w:rPr>
          <w:rFonts w:ascii="仿宋" w:hAnsi="仿宋" w:eastAsia="仿宋" w:cs="Times New Roman"/>
          <w:sz w:val="32"/>
          <w:szCs w:val="32"/>
        </w:rPr>
        <w:t>。</w:t>
      </w:r>
    </w:p>
    <w:p>
      <w:pPr>
        <w:ind w:firstLine="630" w:firstLineChars="300"/>
        <w:jc w:val="left"/>
        <w:rPr>
          <w:rFonts w:ascii="仿宋" w:hAnsi="仿宋" w:eastAsia="仿宋" w:cs="Times New Roman"/>
          <w:sz w:val="32"/>
          <w:szCs w:val="32"/>
        </w:rPr>
      </w:pPr>
      <w:r>
        <w:drawing>
          <wp:anchor distT="0" distB="0" distL="114300" distR="114300" simplePos="0" relativeHeight="251661312" behindDoc="1" locked="0" layoutInCell="1" allowOverlap="1">
            <wp:simplePos x="0" y="0"/>
            <wp:positionH relativeFrom="column">
              <wp:posOffset>404495</wp:posOffset>
            </wp:positionH>
            <wp:positionV relativeFrom="paragraph">
              <wp:posOffset>2764155</wp:posOffset>
            </wp:positionV>
            <wp:extent cx="4695825" cy="3019425"/>
            <wp:effectExtent l="4445" t="4445" r="5080" b="5080"/>
            <wp:wrapTight wrapText="bothSides">
              <wp:wrapPolygon>
                <wp:start x="-20" y="-32"/>
                <wp:lineTo x="-20" y="21500"/>
                <wp:lineTo x="21536" y="21500"/>
                <wp:lineTo x="21536" y="-32"/>
                <wp:lineTo x="-20" y="-32"/>
              </wp:wrapPolygon>
            </wp:wrapTight>
            <wp:docPr id="1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w:t>
      </w:r>
      <w:r>
        <w:rPr>
          <w:rFonts w:hint="eastAsia" w:ascii="仿宋" w:hAnsi="仿宋" w:eastAsia="仿宋" w:cs="Times New Roman"/>
          <w:sz w:val="32"/>
          <w:szCs w:val="32"/>
        </w:rPr>
        <w:t>度财政拨款</w:t>
      </w:r>
      <w:r>
        <w:rPr>
          <w:rFonts w:ascii="仿宋" w:hAnsi="仿宋" w:eastAsia="仿宋" w:cs="Times New Roman"/>
          <w:sz w:val="32"/>
          <w:szCs w:val="32"/>
        </w:rPr>
        <w:t>支出</w:t>
      </w:r>
      <w:r>
        <w:rPr>
          <w:rFonts w:hint="eastAsia" w:ascii="仿宋" w:hAnsi="仿宋" w:eastAsia="仿宋" w:cs="Times New Roman"/>
          <w:sz w:val="32"/>
          <w:szCs w:val="32"/>
        </w:rPr>
        <w:t>1756.52</w:t>
      </w:r>
      <w:r>
        <w:rPr>
          <w:rFonts w:ascii="仿宋" w:hAnsi="仿宋" w:eastAsia="仿宋" w:cs="Times New Roman"/>
          <w:sz w:val="32"/>
          <w:szCs w:val="32"/>
        </w:rPr>
        <w:t>万元，比上年</w:t>
      </w:r>
      <w:r>
        <w:rPr>
          <w:rFonts w:hint="eastAsia" w:ascii="仿宋" w:hAnsi="仿宋" w:eastAsia="仿宋" w:cs="Times New Roman"/>
          <w:sz w:val="32"/>
          <w:szCs w:val="32"/>
        </w:rPr>
        <w:t>增加</w:t>
      </w:r>
      <w:r>
        <w:rPr>
          <w:rFonts w:ascii="仿宋" w:hAnsi="仿宋" w:eastAsia="仿宋" w:cs="Times New Roman"/>
          <w:sz w:val="32"/>
          <w:szCs w:val="32"/>
        </w:rPr>
        <w:t>了</w:t>
      </w:r>
      <w:r>
        <w:rPr>
          <w:rFonts w:hint="eastAsia" w:ascii="仿宋" w:hAnsi="仿宋" w:eastAsia="仿宋" w:cs="Times New Roman"/>
          <w:sz w:val="32"/>
          <w:szCs w:val="32"/>
        </w:rPr>
        <w:t>509.44</w:t>
      </w:r>
      <w:r>
        <w:rPr>
          <w:rFonts w:ascii="仿宋" w:hAnsi="仿宋" w:eastAsia="仿宋" w:cs="Times New Roman"/>
          <w:sz w:val="32"/>
          <w:szCs w:val="32"/>
        </w:rPr>
        <w:t>万元，增加的主要原因</w:t>
      </w:r>
      <w:r>
        <w:rPr>
          <w:rFonts w:hint="eastAsia" w:ascii="仿宋" w:hAnsi="仿宋" w:eastAsia="仿宋" w:cs="Times New Roman"/>
          <w:sz w:val="32"/>
          <w:szCs w:val="32"/>
        </w:rPr>
        <w:t>：1是</w:t>
      </w:r>
      <w:r>
        <w:rPr>
          <w:rFonts w:ascii="仿宋" w:hAnsi="仿宋" w:eastAsia="仿宋" w:cs="Times New Roman"/>
          <w:sz w:val="32"/>
          <w:szCs w:val="32"/>
        </w:rPr>
        <w:t>机构改革</w:t>
      </w:r>
      <w:r>
        <w:rPr>
          <w:rFonts w:hint="eastAsia" w:ascii="仿宋" w:hAnsi="仿宋" w:eastAsia="仿宋" w:cs="Times New Roman"/>
          <w:sz w:val="32"/>
          <w:szCs w:val="32"/>
        </w:rPr>
        <w:t>，</w:t>
      </w:r>
      <w:r>
        <w:rPr>
          <w:rFonts w:ascii="仿宋" w:hAnsi="仿宋" w:eastAsia="仿宋" w:cs="Times New Roman"/>
          <w:sz w:val="32"/>
          <w:szCs w:val="32"/>
        </w:rPr>
        <w:t>原物价局物价管理职能划归发改委</w:t>
      </w:r>
      <w:r>
        <w:rPr>
          <w:rFonts w:hint="eastAsia" w:ascii="仿宋" w:hAnsi="仿宋" w:eastAsia="仿宋" w:cs="Times New Roman"/>
          <w:sz w:val="32"/>
          <w:szCs w:val="32"/>
        </w:rPr>
        <w:t>，基本支出比上年增加了202.08万元；2是加大了农业特别是扶贫领域的建设，村级光伏扶贫电站配套建设项目支出180.84万元；3是加大了其他政府性基金支出力度，其他政府性基金支出比上年增加了71.55万元</w:t>
      </w:r>
      <w:r>
        <w:rPr>
          <w:rFonts w:ascii="仿宋" w:hAnsi="仿宋" w:eastAsia="仿宋" w:cs="Times New Roman"/>
          <w:sz w:val="32"/>
          <w:szCs w:val="32"/>
        </w:rPr>
        <w:t>。</w:t>
      </w:r>
    </w:p>
    <w:p>
      <w:pPr>
        <w:jc w:val="left"/>
        <w:rPr>
          <w:rFonts w:ascii="仿宋" w:hAnsi="仿宋" w:eastAsia="仿宋" w:cs="Times New Roman"/>
          <w:sz w:val="32"/>
          <w:szCs w:val="32"/>
        </w:rPr>
      </w:pPr>
    </w:p>
    <w:p>
      <w:pPr>
        <w:jc w:val="left"/>
        <w:rPr>
          <w:rFonts w:ascii="仿宋" w:hAnsi="仿宋" w:eastAsia="仿宋" w:cs="Times New Roman"/>
          <w:sz w:val="32"/>
          <w:szCs w:val="32"/>
        </w:rPr>
      </w:pPr>
    </w:p>
    <w:p>
      <w:pPr>
        <w:jc w:val="left"/>
        <w:rPr>
          <w:rFonts w:ascii="仿宋" w:hAnsi="仿宋" w:eastAsia="仿宋" w:cs="Times New Roman"/>
          <w:sz w:val="32"/>
          <w:szCs w:val="32"/>
        </w:rPr>
      </w:pPr>
      <w:r>
        <w:rPr>
          <w:sz w:val="32"/>
        </w:rPr>
        <w:pict>
          <v:shape id="文本框 4" o:spid="_x0000_s2054" o:spt="202" type="#_x0000_t202" style="position:absolute;left:0pt;margin-left:96.3pt;margin-top:150.7pt;height:23.2pt;width:78pt;z-index:251666432;mso-width-relative:page;mso-height-relative:page;" filled="f" stroked="f" coordsize="21600,21600" o:gfxdata="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fkFO+dcAAAALAQAADwAAAAAAAAABACAAAAAiAAAAZHJzL2Rvd25yZXYueG1sUEsBAhQAFAAAAAgA&#10;h07iQGS7wF60AQAALAMAAA4AAAAAAAAAAQAgAAAAJgEAAGRycy9lMm9Eb2MueG1sUEsFBgAAAAAG&#10;AAYAWQEAAEwFAAAAAA==&#10;">
            <v:path/>
            <v:fill on="f" focussize="0,0"/>
            <v:stroke on="f" joinstyle="miter"/>
            <v:imagedata o:title=""/>
            <o:lock v:ext="edit"/>
            <v:textbox>
              <w:txbxContent>
                <w:p>
                  <w:pPr>
                    <w:rPr>
                      <w:rFonts w:hint="eastAsia"/>
                    </w:rPr>
                  </w:pPr>
                  <w:r>
                    <w:rPr>
                      <w:rFonts w:hint="eastAsia"/>
                    </w:rPr>
                    <w:t>财政拨款收入</w:t>
                  </w:r>
                </w:p>
              </w:txbxContent>
            </v:textbox>
          </v:shape>
        </w:pict>
      </w:r>
      <w:r>
        <w:rPr>
          <w:sz w:val="32"/>
        </w:rPr>
        <w:pict>
          <v:shape id="文本框 5" o:spid="_x0000_s2053" o:spt="202" type="#_x0000_t202" style="position:absolute;left:0pt;margin-left:271.8pt;margin-top:151.45pt;height:23.2pt;width:78pt;z-index:251669504;mso-width-relative:page;mso-height-relative:page;" filled="f" stroked="f" coordsize="21600,21600" o:gfxdata="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8xxEUtcAAAALAQAADwAAAAAAAAABACAAAAAiAAAAZHJzL2Rvd25y&#10;ZXYueG1sUEsBAhQAFAAAAAgAh07iQB5aznGNAQAAAAMAAA4AAAAAAAAAAQAgAAAAJgEAAGRycy9l&#10;Mm9Eb2MueG1sUEsFBgAAAAAGAAYAWQEAACUFAAAAAA==&#10;">
            <v:path/>
            <v:fill on="f" focussize="0,0"/>
            <v:stroke on="f" joinstyle="miter"/>
            <v:imagedata o:title=""/>
            <o:lock v:ext="edit"/>
            <v:textbox>
              <w:txbxContent>
                <w:p>
                  <w:pPr>
                    <w:rPr>
                      <w:rFonts w:hint="eastAsia"/>
                    </w:rPr>
                  </w:pPr>
                  <w:r>
                    <w:rPr>
                      <w:rFonts w:hint="eastAsia"/>
                    </w:rPr>
                    <w:t>财政拨款支出</w:t>
                  </w:r>
                </w:p>
              </w:txbxContent>
            </v:textbox>
          </v:shape>
        </w:pict>
      </w:r>
    </w:p>
    <w:p>
      <w:pPr>
        <w:pStyle w:val="7"/>
        <w:spacing w:before="0" w:beforeAutospacing="0" w:after="0" w:afterAutospacing="0" w:line="560" w:lineRule="exact"/>
        <w:ind w:firstLine="480"/>
        <w:rPr>
          <w:rFonts w:ascii="仿宋" w:hAnsi="仿宋" w:eastAsia="仿宋" w:cs="Times New Roman"/>
          <w:b/>
          <w:sz w:val="32"/>
          <w:szCs w:val="32"/>
        </w:rPr>
      </w:pPr>
      <w:r>
        <w:rPr>
          <w:rFonts w:hint="eastAsia" w:ascii="仿宋" w:hAnsi="仿宋" w:eastAsia="仿宋" w:cs="Times New Roman"/>
          <w:b/>
          <w:sz w:val="32"/>
          <w:szCs w:val="32"/>
        </w:rPr>
        <w:t>五、一般公共预算财政拨款支出决算情况说明。</w:t>
      </w:r>
    </w:p>
    <w:p>
      <w:pPr>
        <w:pStyle w:val="7"/>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一</w:t>
      </w:r>
      <w:r>
        <w:rPr>
          <w:rFonts w:ascii="仿宋" w:hAnsi="仿宋" w:eastAsia="仿宋" w:cs="Times New Roman"/>
          <w:sz w:val="32"/>
          <w:szCs w:val="32"/>
        </w:rPr>
        <w:t>）财政拨款支出</w:t>
      </w:r>
      <w:r>
        <w:rPr>
          <w:rFonts w:hint="eastAsia" w:ascii="仿宋" w:hAnsi="仿宋" w:eastAsia="仿宋" w:cs="Times New Roman"/>
          <w:sz w:val="32"/>
          <w:szCs w:val="32"/>
        </w:rPr>
        <w:t>决算总体情况说明。</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w:t>
      </w:r>
      <w:r>
        <w:rPr>
          <w:rFonts w:hint="eastAsia" w:ascii="仿宋" w:hAnsi="仿宋" w:eastAsia="仿宋" w:cs="Times New Roman"/>
          <w:sz w:val="32"/>
          <w:szCs w:val="32"/>
        </w:rPr>
        <w:t>度财政拨款</w:t>
      </w:r>
      <w:r>
        <w:rPr>
          <w:rFonts w:ascii="仿宋" w:hAnsi="仿宋" w:eastAsia="仿宋" w:cs="Times New Roman"/>
          <w:sz w:val="32"/>
          <w:szCs w:val="32"/>
        </w:rPr>
        <w:t>支出</w:t>
      </w:r>
      <w:r>
        <w:rPr>
          <w:rFonts w:hint="eastAsia" w:ascii="仿宋" w:hAnsi="仿宋" w:eastAsia="仿宋" w:cs="Times New Roman"/>
          <w:sz w:val="32"/>
          <w:szCs w:val="32"/>
        </w:rPr>
        <w:t>1756.52</w:t>
      </w:r>
      <w:r>
        <w:rPr>
          <w:rFonts w:ascii="仿宋" w:hAnsi="仿宋" w:eastAsia="仿宋" w:cs="Times New Roman"/>
          <w:sz w:val="32"/>
          <w:szCs w:val="32"/>
        </w:rPr>
        <w:t>万元，占全年支出合计的</w:t>
      </w:r>
      <w:r>
        <w:rPr>
          <w:rFonts w:hint="eastAsia" w:ascii="仿宋" w:hAnsi="仿宋" w:eastAsia="仿宋" w:cs="Times New Roman"/>
          <w:sz w:val="32"/>
          <w:szCs w:val="32"/>
        </w:rPr>
        <w:t>100%。与</w:t>
      </w:r>
      <w:r>
        <w:rPr>
          <w:rFonts w:ascii="仿宋" w:hAnsi="仿宋" w:eastAsia="仿宋" w:cs="Times New Roman"/>
          <w:sz w:val="32"/>
          <w:szCs w:val="32"/>
        </w:rPr>
        <w:t>上年相比</w:t>
      </w:r>
      <w:r>
        <w:rPr>
          <w:rFonts w:hint="eastAsia" w:ascii="仿宋" w:hAnsi="仿宋" w:eastAsia="仿宋" w:cs="Times New Roman"/>
          <w:sz w:val="32"/>
          <w:szCs w:val="32"/>
        </w:rPr>
        <w:t>，</w:t>
      </w:r>
      <w:r>
        <w:rPr>
          <w:rFonts w:ascii="仿宋" w:hAnsi="仿宋" w:eastAsia="仿宋" w:cs="Times New Roman"/>
          <w:sz w:val="32"/>
          <w:szCs w:val="32"/>
        </w:rPr>
        <w:t>财政拨款支出</w:t>
      </w:r>
      <w:r>
        <w:rPr>
          <w:rFonts w:hint="eastAsia" w:ascii="仿宋" w:hAnsi="仿宋" w:eastAsia="仿宋" w:cs="Times New Roman"/>
          <w:sz w:val="32"/>
          <w:szCs w:val="32"/>
        </w:rPr>
        <w:t>增加</w:t>
      </w:r>
      <w:r>
        <w:rPr>
          <w:rFonts w:ascii="仿宋" w:hAnsi="仿宋" w:eastAsia="仿宋" w:cs="Times New Roman"/>
          <w:sz w:val="32"/>
          <w:szCs w:val="32"/>
        </w:rPr>
        <w:t>了</w:t>
      </w:r>
      <w:r>
        <w:rPr>
          <w:rFonts w:hint="eastAsia" w:ascii="仿宋" w:hAnsi="仿宋" w:eastAsia="仿宋" w:cs="Times New Roman"/>
          <w:sz w:val="32"/>
          <w:szCs w:val="32"/>
        </w:rPr>
        <w:t>509.44</w:t>
      </w:r>
      <w:r>
        <w:rPr>
          <w:rFonts w:ascii="仿宋" w:hAnsi="仿宋" w:eastAsia="仿宋" w:cs="Times New Roman"/>
          <w:sz w:val="32"/>
          <w:szCs w:val="32"/>
        </w:rPr>
        <w:t>万元，增长</w:t>
      </w:r>
      <w:r>
        <w:rPr>
          <w:rFonts w:hint="eastAsia" w:ascii="仿宋" w:hAnsi="仿宋" w:eastAsia="仿宋" w:cs="Times New Roman"/>
          <w:sz w:val="32"/>
          <w:szCs w:val="32"/>
        </w:rPr>
        <w:t>40.85%，</w:t>
      </w:r>
      <w:r>
        <w:rPr>
          <w:rFonts w:ascii="仿宋" w:hAnsi="仿宋" w:eastAsia="仿宋" w:cs="Times New Roman"/>
          <w:sz w:val="32"/>
          <w:szCs w:val="32"/>
        </w:rPr>
        <w:t>主要原因</w:t>
      </w:r>
      <w:r>
        <w:rPr>
          <w:rFonts w:hint="eastAsia" w:ascii="仿宋" w:hAnsi="仿宋" w:eastAsia="仿宋" w:cs="Times New Roman"/>
          <w:sz w:val="32"/>
          <w:szCs w:val="32"/>
        </w:rPr>
        <w:t>：1是</w:t>
      </w:r>
      <w:r>
        <w:rPr>
          <w:rFonts w:ascii="仿宋" w:hAnsi="仿宋" w:eastAsia="仿宋" w:cs="Times New Roman"/>
          <w:sz w:val="32"/>
          <w:szCs w:val="32"/>
        </w:rPr>
        <w:t>机构改革</w:t>
      </w:r>
      <w:r>
        <w:rPr>
          <w:rFonts w:hint="eastAsia" w:ascii="仿宋" w:hAnsi="仿宋" w:eastAsia="仿宋" w:cs="Times New Roman"/>
          <w:sz w:val="32"/>
          <w:szCs w:val="32"/>
        </w:rPr>
        <w:t>，</w:t>
      </w:r>
      <w:r>
        <w:rPr>
          <w:rFonts w:ascii="仿宋" w:hAnsi="仿宋" w:eastAsia="仿宋" w:cs="Times New Roman"/>
          <w:sz w:val="32"/>
          <w:szCs w:val="32"/>
        </w:rPr>
        <w:t>原物价局物价管理职能划归发改委</w:t>
      </w:r>
      <w:r>
        <w:rPr>
          <w:rFonts w:hint="eastAsia" w:ascii="仿宋" w:hAnsi="仿宋" w:eastAsia="仿宋" w:cs="Times New Roman"/>
          <w:sz w:val="32"/>
          <w:szCs w:val="32"/>
        </w:rPr>
        <w:t>，基本支出比上年增加了202.08万元；2是加大了农业特别是扶贫领域的建设，村级光伏扶贫电站配套建设项目支出180.84万元；3是加大了其他政府性基金支出力度，其他政府性基金支出比上年增加了71.55万元</w:t>
      </w:r>
      <w:r>
        <w:rPr>
          <w:rFonts w:ascii="仿宋" w:hAnsi="仿宋" w:eastAsia="仿宋" w:cs="Times New Roman"/>
          <w:sz w:val="32"/>
          <w:szCs w:val="32"/>
        </w:rPr>
        <w:t>。</w:t>
      </w:r>
    </w:p>
    <w:p>
      <w:pPr>
        <w:pStyle w:val="7"/>
        <w:spacing w:before="0" w:beforeAutospacing="0" w:after="0" w:afterAutospacing="0" w:line="560" w:lineRule="exact"/>
        <w:ind w:firstLine="480" w:firstLineChars="200"/>
        <w:rPr>
          <w:rFonts w:ascii="仿宋" w:hAnsi="仿宋" w:eastAsia="仿宋" w:cs="Times New Roman"/>
          <w:sz w:val="32"/>
          <w:szCs w:val="32"/>
        </w:rPr>
      </w:pPr>
      <w:r>
        <w:drawing>
          <wp:anchor distT="0" distB="0" distL="114300" distR="114300" simplePos="0" relativeHeight="251662336" behindDoc="1" locked="0" layoutInCell="1" allowOverlap="1">
            <wp:simplePos x="0" y="0"/>
            <wp:positionH relativeFrom="column">
              <wp:posOffset>252095</wp:posOffset>
            </wp:positionH>
            <wp:positionV relativeFrom="paragraph">
              <wp:posOffset>203200</wp:posOffset>
            </wp:positionV>
            <wp:extent cx="4572000" cy="2743200"/>
            <wp:effectExtent l="4445" t="4445" r="14605" b="14605"/>
            <wp:wrapTight wrapText="bothSides">
              <wp:wrapPolygon>
                <wp:start x="-21" y="-35"/>
                <wp:lineTo x="-21" y="21565"/>
                <wp:lineTo x="21579" y="21565"/>
                <wp:lineTo x="21579" y="-35"/>
                <wp:lineTo x="-21" y="-35"/>
              </wp:wrapPolygon>
            </wp:wrapTight>
            <wp:docPr id="11"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pPr>
        <w:pStyle w:val="7"/>
        <w:spacing w:before="0" w:beforeAutospacing="0" w:after="0" w:afterAutospacing="0" w:line="560" w:lineRule="exact"/>
        <w:ind w:firstLine="640" w:firstLineChars="200"/>
        <w:rPr>
          <w:rFonts w:ascii="仿宋" w:hAnsi="仿宋" w:eastAsia="仿宋" w:cs="Times New Roman"/>
          <w:sz w:val="32"/>
          <w:szCs w:val="32"/>
        </w:rPr>
      </w:pPr>
    </w:p>
    <w:p>
      <w:pPr>
        <w:pStyle w:val="7"/>
        <w:spacing w:before="0" w:beforeAutospacing="0" w:after="0" w:afterAutospacing="0" w:line="560" w:lineRule="exact"/>
        <w:ind w:firstLine="640" w:firstLineChars="200"/>
        <w:rPr>
          <w:rFonts w:ascii="仿宋" w:hAnsi="仿宋" w:eastAsia="仿宋" w:cs="Times New Roman"/>
          <w:sz w:val="32"/>
          <w:szCs w:val="32"/>
        </w:rPr>
      </w:pPr>
      <w:r>
        <w:rPr>
          <w:sz w:val="32"/>
        </w:rPr>
        <w:pict>
          <v:shape id="文本框 7" o:spid="_x0000_s2052" o:spt="202" type="#_x0000_t202" style="position:absolute;left:0pt;margin-left:73.8pt;margin-top:1.65pt;height:19.5pt;width:51.75pt;z-index:251667456;mso-width-relative:page;mso-height-relative:page;" filled="f" stroked="f" coordsize="21600,21600" o:gfxdata="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10;q3hQ1gAAAAgBAAAPAAAAAAAAAAEAIAAAACIAAABkcnMvZG93bnJldi54bWxQSwECFAAUAAAACACH&#10;TuJAzAKbYLQBAAAsAwAADgAAAAAAAAABACAAAAAlAQAAZHJzL2Uyb0RvYy54bWxQSwUGAAAAAAYA&#10;BgBZAQAASwUAAAAA&#10;">
            <v:path/>
            <v:fill on="f" focussize="0,0"/>
            <v:stroke on="f" joinstyle="miter"/>
            <v:imagedata o:title=""/>
            <o:lock v:ext="edit"/>
            <v:textbox>
              <w:txbxContent>
                <w:p>
                  <w:pPr>
                    <w:rPr>
                      <w:rFonts w:hint="eastAsia"/>
                    </w:rPr>
                  </w:pPr>
                  <w:r>
                    <w:rPr>
                      <w:rFonts w:hint="eastAsia"/>
                    </w:rPr>
                    <w:t>0.00%</w:t>
                  </w:r>
                </w:p>
              </w:txbxContent>
            </v:textbox>
          </v:shape>
        </w:pict>
      </w:r>
    </w:p>
    <w:p>
      <w:pPr>
        <w:pStyle w:val="7"/>
        <w:spacing w:before="0" w:beforeAutospacing="0" w:after="0" w:afterAutospacing="0" w:line="560" w:lineRule="exact"/>
        <w:ind w:firstLine="640" w:firstLineChars="200"/>
        <w:rPr>
          <w:rFonts w:ascii="仿宋" w:hAnsi="仿宋" w:eastAsia="仿宋" w:cs="Times New Roman"/>
          <w:sz w:val="32"/>
          <w:szCs w:val="32"/>
        </w:rPr>
      </w:pPr>
    </w:p>
    <w:p>
      <w:pPr>
        <w:pStyle w:val="7"/>
        <w:spacing w:before="0" w:beforeAutospacing="0" w:after="0" w:afterAutospacing="0" w:line="560" w:lineRule="exact"/>
        <w:ind w:firstLine="480"/>
        <w:rPr>
          <w:rFonts w:ascii="仿宋" w:hAnsi="仿宋" w:eastAsia="仿宋" w:cs="Times New Roman"/>
          <w:sz w:val="32"/>
          <w:szCs w:val="32"/>
        </w:rPr>
      </w:pPr>
      <w:r>
        <w:rPr>
          <w:sz w:val="21"/>
        </w:rPr>
        <w:pict>
          <v:shape id="文本框 6" o:spid="_x0000_s2051" o:spt="202" type="#_x0000_t202" style="position:absolute;left:0pt;margin-left:168.3pt;margin-top:-28.55pt;height:24.7pt;width:84pt;z-index:251670528;mso-width-relative:page;mso-height-relative:page;" filled="f" stroked="f" coordsize="21600,21600" o:gfxdata="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DjosAPXAAAACgEAAA8AAAAAAAAA&#10;AQAgAAAAIgAAAGRycy9kb3ducmV2LnhtbFBLAQIUABQAAAAIAIdO4kDxKBdIoAEAABgDAAAOAAAA&#10;AAAAAAEAIAAAACYBAABkcnMvZTJvRG9jLnhtbFBLBQYAAAAABgAGAFkBAAA4BQAAAAA=&#10;">
            <v:path/>
            <v:fill on="f" focussize="0,0"/>
            <v:stroke on="f" joinstyle="miter"/>
            <v:imagedata o:title=""/>
            <o:lock v:ext="edit"/>
            <v:textbox>
              <w:txbxContent>
                <w:p>
                  <w:pPr>
                    <w:rPr>
                      <w:rFonts w:hint="eastAsia"/>
                    </w:rPr>
                  </w:pPr>
                  <w:r>
                    <w:rPr>
                      <w:rFonts w:hint="eastAsia"/>
                    </w:rPr>
                    <w:t>财政拨款支出</w:t>
                  </w:r>
                </w:p>
              </w:txbxContent>
            </v:textbox>
          </v:shape>
        </w:pict>
      </w:r>
      <w:r>
        <w:rPr>
          <w:rFonts w:ascii="仿宋" w:hAnsi="仿宋" w:eastAsia="仿宋" w:cs="Times New Roman"/>
          <w:sz w:val="32"/>
          <w:szCs w:val="32"/>
        </w:rPr>
        <w:t>（</w:t>
      </w:r>
      <w:r>
        <w:rPr>
          <w:rFonts w:hint="eastAsia" w:ascii="仿宋" w:hAnsi="仿宋" w:eastAsia="仿宋" w:cs="Times New Roman"/>
          <w:sz w:val="32"/>
          <w:szCs w:val="32"/>
        </w:rPr>
        <w:t>二</w:t>
      </w:r>
      <w:r>
        <w:rPr>
          <w:rFonts w:ascii="仿宋" w:hAnsi="仿宋" w:eastAsia="仿宋" w:cs="Times New Roman"/>
          <w:sz w:val="32"/>
          <w:szCs w:val="32"/>
        </w:rPr>
        <w:t>）财政拨款支出</w:t>
      </w:r>
      <w:r>
        <w:rPr>
          <w:rFonts w:hint="eastAsia" w:ascii="仿宋" w:hAnsi="仿宋" w:eastAsia="仿宋" w:cs="Times New Roman"/>
          <w:sz w:val="32"/>
          <w:szCs w:val="32"/>
        </w:rPr>
        <w:t>决算具体情况说明。</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w:t>
      </w:r>
      <w:r>
        <w:rPr>
          <w:rFonts w:hint="eastAsia" w:ascii="仿宋" w:hAnsi="仿宋" w:eastAsia="仿宋" w:cs="Times New Roman"/>
          <w:sz w:val="32"/>
          <w:szCs w:val="32"/>
        </w:rPr>
        <w:t>度财政拨款</w:t>
      </w:r>
      <w:r>
        <w:rPr>
          <w:rFonts w:ascii="仿宋" w:hAnsi="仿宋" w:eastAsia="仿宋" w:cs="Times New Roman"/>
          <w:sz w:val="32"/>
          <w:szCs w:val="32"/>
        </w:rPr>
        <w:t>支出年初预算为</w:t>
      </w:r>
      <w:r>
        <w:rPr>
          <w:rFonts w:hint="eastAsia" w:ascii="仿宋" w:hAnsi="仿宋" w:eastAsia="仿宋" w:cs="Times New Roman"/>
          <w:sz w:val="32"/>
          <w:szCs w:val="32"/>
        </w:rPr>
        <w:t>144.75</w:t>
      </w:r>
      <w:r>
        <w:rPr>
          <w:rFonts w:ascii="仿宋" w:hAnsi="仿宋" w:eastAsia="仿宋" w:cs="Times New Roman"/>
          <w:sz w:val="32"/>
          <w:szCs w:val="32"/>
        </w:rPr>
        <w:t>万元</w:t>
      </w:r>
      <w:r>
        <w:rPr>
          <w:rFonts w:hint="eastAsia" w:ascii="仿宋" w:hAnsi="仿宋" w:eastAsia="仿宋" w:cs="Times New Roman"/>
          <w:sz w:val="32"/>
          <w:szCs w:val="32"/>
        </w:rPr>
        <w:t>，</w:t>
      </w:r>
      <w:r>
        <w:rPr>
          <w:rFonts w:ascii="仿宋" w:hAnsi="仿宋" w:eastAsia="仿宋" w:cs="Times New Roman"/>
          <w:sz w:val="32"/>
          <w:szCs w:val="32"/>
        </w:rPr>
        <w:t>支出决算为</w:t>
      </w:r>
      <w:r>
        <w:rPr>
          <w:rFonts w:hint="eastAsia" w:ascii="仿宋" w:hAnsi="仿宋" w:eastAsia="仿宋" w:cs="Times New Roman"/>
          <w:sz w:val="32"/>
          <w:szCs w:val="32"/>
        </w:rPr>
        <w:t>1756.52</w:t>
      </w:r>
      <w:r>
        <w:rPr>
          <w:rFonts w:ascii="仿宋" w:hAnsi="仿宋" w:eastAsia="仿宋" w:cs="Times New Roman"/>
          <w:sz w:val="32"/>
          <w:szCs w:val="32"/>
        </w:rPr>
        <w:t>万元，完成年初预算的</w:t>
      </w:r>
      <w:r>
        <w:rPr>
          <w:rFonts w:hint="eastAsia" w:ascii="仿宋" w:hAnsi="仿宋" w:eastAsia="仿宋" w:cs="Times New Roman"/>
          <w:sz w:val="32"/>
          <w:szCs w:val="32"/>
        </w:rPr>
        <w:t>1213.49%。按照政府功能分类科目，其中：</w:t>
      </w:r>
    </w:p>
    <w:p>
      <w:pPr>
        <w:pStyle w:val="7"/>
        <w:spacing w:before="0" w:beforeAutospacing="0" w:after="0" w:afterAutospacing="0" w:line="560" w:lineRule="exact"/>
        <w:ind w:firstLine="640" w:firstLineChars="200"/>
        <w:rPr>
          <w:rFonts w:ascii="仿宋" w:hAnsi="仿宋" w:eastAsia="仿宋" w:cs="Times New Roman"/>
          <w:sz w:val="32"/>
          <w:szCs w:val="32"/>
        </w:rPr>
      </w:pPr>
      <w:bookmarkStart w:id="0" w:name="_GoBack"/>
      <w:r>
        <w:rPr>
          <w:rFonts w:hint="eastAsia" w:ascii="仿宋" w:hAnsi="仿宋" w:eastAsia="仿宋" w:cs="Times New Roman"/>
          <w:sz w:val="32"/>
          <w:szCs w:val="32"/>
        </w:rPr>
        <w:t>1、一般公共服务支出（201）发展与改革事务（04）</w:t>
      </w:r>
    </w:p>
    <w:bookmarkEnd w:id="0"/>
    <w:p>
      <w:pPr>
        <w:pStyle w:val="7"/>
        <w:spacing w:before="0" w:beforeAutospacing="0" w:after="0" w:afterAutospacing="0" w:line="560" w:lineRule="exact"/>
        <w:ind w:firstLine="640" w:firstLineChars="200"/>
        <w:rPr>
          <w:rFonts w:hint="eastAsia" w:ascii="仿宋" w:hAnsi="仿宋" w:eastAsia="仿宋" w:cs="Times New Roman"/>
          <w:sz w:val="32"/>
          <w:szCs w:val="32"/>
        </w:rPr>
      </w:pPr>
      <w:r>
        <w:rPr>
          <w:rFonts w:ascii="仿宋" w:hAnsi="仿宋" w:eastAsia="仿宋" w:cs="Times New Roman"/>
          <w:sz w:val="32"/>
          <w:szCs w:val="32"/>
        </w:rPr>
        <w:fldChar w:fldCharType="begin"/>
      </w:r>
      <w:r>
        <w:rPr>
          <w:rFonts w:hint="eastAsia" w:ascii="仿宋" w:hAnsi="仿宋" w:eastAsia="仿宋" w:cs="Times New Roman"/>
          <w:sz w:val="32"/>
          <w:szCs w:val="32"/>
        </w:rPr>
        <w:instrText xml:space="preserve">= 1 \* GB3</w:instrText>
      </w:r>
      <w:r>
        <w:rPr>
          <w:rFonts w:ascii="仿宋" w:hAnsi="仿宋" w:eastAsia="仿宋" w:cs="Times New Roman"/>
          <w:sz w:val="32"/>
          <w:szCs w:val="32"/>
        </w:rPr>
        <w:fldChar w:fldCharType="separate"/>
      </w:r>
      <w:r>
        <w:rPr>
          <w:rFonts w:hint="eastAsia" w:ascii="仿宋" w:hAnsi="仿宋" w:eastAsia="仿宋" w:cs="Times New Roman"/>
          <w:sz w:val="32"/>
          <w:szCs w:val="32"/>
        </w:rPr>
        <w:t>①</w:t>
      </w:r>
      <w:r>
        <w:rPr>
          <w:rFonts w:ascii="仿宋" w:hAnsi="仿宋" w:eastAsia="仿宋" w:cs="Times New Roman"/>
          <w:sz w:val="32"/>
          <w:szCs w:val="32"/>
        </w:rPr>
        <w:fldChar w:fldCharType="end"/>
      </w:r>
      <w:r>
        <w:rPr>
          <w:rFonts w:hint="eastAsia" w:ascii="仿宋" w:hAnsi="仿宋" w:eastAsia="仿宋" w:cs="Times New Roman"/>
          <w:sz w:val="32"/>
          <w:szCs w:val="32"/>
        </w:rPr>
        <w:t>行政运行（01）。年初预算为121.24万元，决算支出为204.77万元，完成年初预算的168.9%，决算数大于预算数的主要原因是因机构改革， 2019年6月份原物价局机关5名行政人员划转发改委，蓝田县价格认证中心划归为发改委下属事业单位，增加事业人员4名，共增加9人，人员经费和公用经费都增加了。</w:t>
      </w:r>
    </w:p>
    <w:p>
      <w:pPr>
        <w:pStyle w:val="7"/>
        <w:spacing w:before="0" w:beforeAutospacing="0" w:after="0" w:afterAutospacing="0" w:line="560" w:lineRule="exact"/>
        <w:ind w:firstLine="600" w:firstLineChars="200"/>
        <w:rPr>
          <w:rFonts w:ascii="仿宋" w:hAnsi="仿宋" w:eastAsia="仿宋"/>
          <w:sz w:val="30"/>
          <w:szCs w:val="30"/>
        </w:rPr>
      </w:pPr>
      <w:r>
        <w:rPr>
          <w:rFonts w:ascii="仿宋" w:hAnsi="仿宋" w:eastAsia="仿宋"/>
          <w:sz w:val="30"/>
          <w:szCs w:val="30"/>
        </w:rPr>
        <w:fldChar w:fldCharType="begin"/>
      </w:r>
      <w:r>
        <w:rPr>
          <w:rFonts w:hint="eastAsia" w:ascii="仿宋" w:hAnsi="仿宋" w:eastAsia="仿宋"/>
          <w:sz w:val="30"/>
          <w:szCs w:val="30"/>
        </w:rPr>
        <w:instrText xml:space="preserve">= 2 \* GB3</w:instrText>
      </w:r>
      <w:r>
        <w:rPr>
          <w:rFonts w:ascii="仿宋" w:hAnsi="仿宋" w:eastAsia="仿宋"/>
          <w:sz w:val="30"/>
          <w:szCs w:val="30"/>
        </w:rPr>
        <w:fldChar w:fldCharType="separate"/>
      </w:r>
      <w:r>
        <w:rPr>
          <w:rFonts w:hint="eastAsia" w:ascii="仿宋" w:hAnsi="仿宋" w:eastAsia="仿宋"/>
          <w:sz w:val="30"/>
          <w:szCs w:val="30"/>
        </w:rPr>
        <w:t>②</w:t>
      </w:r>
      <w:r>
        <w:rPr>
          <w:rFonts w:ascii="仿宋" w:hAnsi="仿宋" w:eastAsia="仿宋"/>
          <w:sz w:val="30"/>
          <w:szCs w:val="30"/>
        </w:rPr>
        <w:fldChar w:fldCharType="end"/>
      </w:r>
      <w:r>
        <w:rPr>
          <w:rFonts w:ascii="仿宋" w:hAnsi="仿宋" w:eastAsia="仿宋"/>
          <w:sz w:val="30"/>
          <w:szCs w:val="30"/>
        </w:rPr>
        <w:t>物价管理</w:t>
      </w:r>
      <w:r>
        <w:rPr>
          <w:rFonts w:hint="eastAsia" w:ascii="仿宋" w:hAnsi="仿宋" w:eastAsia="仿宋"/>
          <w:sz w:val="30"/>
          <w:szCs w:val="30"/>
        </w:rPr>
        <w:t>（08）。</w:t>
      </w:r>
      <w:r>
        <w:rPr>
          <w:rFonts w:hint="eastAsia" w:ascii="仿宋" w:hAnsi="仿宋" w:eastAsia="仿宋" w:cs="Times New Roman"/>
          <w:sz w:val="32"/>
          <w:szCs w:val="32"/>
        </w:rPr>
        <w:t>年初预算为0万元，决算支出为93.22万元。决算数大于预算数的主要原因是因</w:t>
      </w:r>
      <w:r>
        <w:rPr>
          <w:rFonts w:hint="eastAsia" w:ascii="仿宋" w:hAnsi="仿宋" w:eastAsia="仿宋"/>
          <w:sz w:val="30"/>
          <w:szCs w:val="30"/>
        </w:rPr>
        <w:t>机构改革， 2019年6月份原物价局机关和蓝田县价格认证中心划归发改委，原物价局机关和蓝田县价格认证中心2019年1-5月的支出全部在发改委决算。</w:t>
      </w:r>
    </w:p>
    <w:p>
      <w:pPr>
        <w:ind w:firstLine="750" w:firstLineChars="250"/>
        <w:jc w:val="left"/>
        <w:rPr>
          <w:rFonts w:ascii="仿宋" w:hAnsi="仿宋" w:eastAsia="仿宋" w:cs="宋体"/>
          <w:kern w:val="0"/>
          <w:sz w:val="30"/>
          <w:szCs w:val="30"/>
        </w:rPr>
      </w:pPr>
      <w:r>
        <w:rPr>
          <w:rFonts w:ascii="仿宋" w:hAnsi="仿宋" w:eastAsia="仿宋" w:cs="宋体"/>
          <w:kern w:val="0"/>
          <w:sz w:val="30"/>
          <w:szCs w:val="30"/>
        </w:rPr>
        <w:fldChar w:fldCharType="begin"/>
      </w:r>
      <w:r>
        <w:rPr>
          <w:rFonts w:hint="eastAsia" w:ascii="仿宋" w:hAnsi="仿宋" w:eastAsia="仿宋" w:cs="宋体"/>
          <w:kern w:val="0"/>
          <w:sz w:val="30"/>
          <w:szCs w:val="30"/>
        </w:rPr>
        <w:instrText xml:space="preserve">= 3 \* GB3</w:instrText>
      </w:r>
      <w:r>
        <w:rPr>
          <w:rFonts w:ascii="仿宋" w:hAnsi="仿宋" w:eastAsia="仿宋" w:cs="宋体"/>
          <w:kern w:val="0"/>
          <w:sz w:val="30"/>
          <w:szCs w:val="30"/>
        </w:rPr>
        <w:fldChar w:fldCharType="separate"/>
      </w:r>
      <w:r>
        <w:rPr>
          <w:rFonts w:hint="eastAsia" w:ascii="仿宋" w:hAnsi="仿宋" w:eastAsia="仿宋" w:cs="宋体"/>
          <w:kern w:val="0"/>
          <w:sz w:val="30"/>
          <w:szCs w:val="30"/>
        </w:rPr>
        <w:t>③</w:t>
      </w:r>
      <w:r>
        <w:rPr>
          <w:rFonts w:ascii="仿宋" w:hAnsi="仿宋" w:eastAsia="仿宋" w:cs="宋体"/>
          <w:kern w:val="0"/>
          <w:sz w:val="30"/>
          <w:szCs w:val="30"/>
        </w:rPr>
        <w:fldChar w:fldCharType="end"/>
      </w:r>
      <w:r>
        <w:rPr>
          <w:rFonts w:hint="eastAsia" w:ascii="仿宋" w:hAnsi="仿宋" w:eastAsia="仿宋" w:cs="宋体"/>
          <w:kern w:val="0"/>
          <w:sz w:val="30"/>
          <w:szCs w:val="30"/>
        </w:rPr>
        <w:t>其他发展与改革事务支出（99）。</w:t>
      </w:r>
      <w:r>
        <w:rPr>
          <w:rFonts w:hint="eastAsia" w:ascii="仿宋" w:hAnsi="仿宋" w:eastAsia="仿宋" w:cs="Times New Roman"/>
          <w:sz w:val="32"/>
          <w:szCs w:val="32"/>
        </w:rPr>
        <w:t>年初预算为0万元，决算支出为93.22万元。决算数大于预算数的主要原因是年初预算中只预算了基本支出中的人员经费和公用经费，项目支出是年中追加的。</w:t>
      </w:r>
    </w:p>
    <w:p>
      <w:pPr>
        <w:pStyle w:val="7"/>
        <w:spacing w:before="0" w:beforeAutospacing="0" w:after="0" w:afterAutospacing="0" w:line="560" w:lineRule="exact"/>
        <w:ind w:firstLine="640" w:firstLineChars="200"/>
        <w:rPr>
          <w:rFonts w:ascii="仿宋" w:hAnsi="仿宋" w:eastAsia="仿宋" w:cs="Times New Roman"/>
          <w:kern w:val="2"/>
          <w:sz w:val="32"/>
          <w:szCs w:val="32"/>
        </w:rPr>
      </w:pPr>
      <w:r>
        <w:rPr>
          <w:rFonts w:hint="eastAsia" w:ascii="仿宋" w:hAnsi="仿宋" w:eastAsia="仿宋" w:cs="Times New Roman"/>
          <w:kern w:val="2"/>
          <w:sz w:val="32"/>
          <w:szCs w:val="32"/>
        </w:rPr>
        <w:t>2、社会保障和就业支出（208）行政事业单位离退休（05）</w:t>
      </w:r>
    </w:p>
    <w:p>
      <w:pPr>
        <w:pStyle w:val="7"/>
        <w:spacing w:before="0" w:beforeAutospacing="0" w:after="0" w:afterAutospacing="0" w:line="560" w:lineRule="exact"/>
        <w:ind w:firstLine="645"/>
        <w:rPr>
          <w:rFonts w:ascii="仿宋" w:hAnsi="仿宋" w:eastAsia="仿宋" w:cs="Times New Roman"/>
          <w:sz w:val="32"/>
          <w:szCs w:val="32"/>
        </w:rPr>
      </w:pPr>
      <w:r>
        <w:rPr>
          <w:rFonts w:ascii="仿宋" w:hAnsi="仿宋" w:eastAsia="仿宋" w:cs="Times New Roman"/>
          <w:sz w:val="32"/>
          <w:szCs w:val="32"/>
        </w:rPr>
        <w:fldChar w:fldCharType="begin"/>
      </w:r>
      <w:r>
        <w:rPr>
          <w:rFonts w:hint="eastAsia" w:ascii="仿宋" w:hAnsi="仿宋" w:eastAsia="仿宋" w:cs="Times New Roman"/>
          <w:sz w:val="32"/>
          <w:szCs w:val="32"/>
        </w:rPr>
        <w:instrText xml:space="preserve">= 1 \* GB3</w:instrText>
      </w:r>
      <w:r>
        <w:rPr>
          <w:rFonts w:ascii="仿宋" w:hAnsi="仿宋" w:eastAsia="仿宋" w:cs="Times New Roman"/>
          <w:sz w:val="32"/>
          <w:szCs w:val="32"/>
        </w:rPr>
        <w:fldChar w:fldCharType="separate"/>
      </w:r>
      <w:r>
        <w:rPr>
          <w:rFonts w:hint="eastAsia" w:ascii="仿宋" w:hAnsi="仿宋" w:eastAsia="仿宋" w:cs="Times New Roman"/>
          <w:sz w:val="32"/>
          <w:szCs w:val="32"/>
        </w:rPr>
        <w:t>①</w:t>
      </w:r>
      <w:r>
        <w:rPr>
          <w:rFonts w:ascii="仿宋" w:hAnsi="仿宋" w:eastAsia="仿宋" w:cs="Times New Roman"/>
          <w:sz w:val="32"/>
          <w:szCs w:val="32"/>
        </w:rPr>
        <w:fldChar w:fldCharType="end"/>
      </w:r>
      <w:r>
        <w:rPr>
          <w:rFonts w:hint="eastAsia" w:ascii="仿宋" w:hAnsi="仿宋" w:eastAsia="仿宋" w:cs="Times New Roman"/>
          <w:sz w:val="32"/>
          <w:szCs w:val="32"/>
        </w:rPr>
        <w:t>机关事业单位基本养老保险缴费支出（05）。年初预算为18.4万元，决算支出为32.08万元。决算数大于预算数的主要原因是年初预算不含</w:t>
      </w:r>
      <w:r>
        <w:rPr>
          <w:rFonts w:hint="eastAsia" w:ascii="仿宋" w:hAnsi="仿宋" w:eastAsia="仿宋"/>
          <w:sz w:val="30"/>
          <w:szCs w:val="30"/>
        </w:rPr>
        <w:t>原物价局机关和蓝田县价格认证中心人员的</w:t>
      </w:r>
      <w:r>
        <w:rPr>
          <w:rFonts w:hint="eastAsia" w:ascii="仿宋" w:hAnsi="仿宋" w:eastAsia="仿宋" w:cs="Times New Roman"/>
          <w:sz w:val="32"/>
          <w:szCs w:val="32"/>
        </w:rPr>
        <w:t>基本养老保险缴费。</w:t>
      </w:r>
    </w:p>
    <w:p>
      <w:pPr>
        <w:pStyle w:val="7"/>
        <w:spacing w:before="0" w:beforeAutospacing="0" w:after="0" w:afterAutospacing="0" w:line="560" w:lineRule="exact"/>
        <w:ind w:firstLine="645"/>
        <w:rPr>
          <w:rFonts w:ascii="仿宋" w:hAnsi="仿宋" w:eastAsia="仿宋" w:cs="Times New Roman"/>
          <w:sz w:val="32"/>
          <w:szCs w:val="32"/>
        </w:rPr>
      </w:pPr>
      <w:r>
        <w:rPr>
          <w:rFonts w:ascii="仿宋" w:hAnsi="仿宋" w:eastAsia="仿宋"/>
          <w:sz w:val="30"/>
          <w:szCs w:val="30"/>
        </w:rPr>
        <w:fldChar w:fldCharType="begin"/>
      </w:r>
      <w:r>
        <w:rPr>
          <w:rFonts w:hint="eastAsia" w:ascii="仿宋" w:hAnsi="仿宋" w:eastAsia="仿宋"/>
          <w:sz w:val="30"/>
          <w:szCs w:val="30"/>
        </w:rPr>
        <w:instrText xml:space="preserve">= 2 \* GB3</w:instrText>
      </w:r>
      <w:r>
        <w:rPr>
          <w:rFonts w:ascii="仿宋" w:hAnsi="仿宋" w:eastAsia="仿宋"/>
          <w:sz w:val="30"/>
          <w:szCs w:val="30"/>
        </w:rPr>
        <w:fldChar w:fldCharType="separate"/>
      </w:r>
      <w:r>
        <w:rPr>
          <w:rFonts w:hint="eastAsia" w:ascii="仿宋" w:hAnsi="仿宋" w:eastAsia="仿宋"/>
          <w:sz w:val="30"/>
          <w:szCs w:val="30"/>
        </w:rPr>
        <w:t>②</w:t>
      </w:r>
      <w:r>
        <w:rPr>
          <w:rFonts w:ascii="仿宋" w:hAnsi="仿宋" w:eastAsia="仿宋"/>
          <w:sz w:val="30"/>
          <w:szCs w:val="30"/>
        </w:rPr>
        <w:fldChar w:fldCharType="end"/>
      </w:r>
      <w:r>
        <w:rPr>
          <w:rFonts w:hint="eastAsia" w:ascii="仿宋" w:hAnsi="仿宋" w:eastAsia="仿宋" w:cs="Times New Roman"/>
          <w:sz w:val="32"/>
          <w:szCs w:val="32"/>
        </w:rPr>
        <w:t>机关事业单位职业年金缴费支出（06）。年初预算为5.11万元，决算支出为1.15万元。决算数小于预算数的主要原因是政策原因。</w:t>
      </w:r>
    </w:p>
    <w:p>
      <w:pPr>
        <w:pStyle w:val="7"/>
        <w:spacing w:before="0" w:beforeAutospacing="0" w:after="0" w:afterAutospacing="0" w:line="560" w:lineRule="exact"/>
        <w:ind w:firstLine="750" w:firstLineChars="250"/>
        <w:rPr>
          <w:rFonts w:ascii="仿宋" w:hAnsi="仿宋" w:eastAsia="仿宋"/>
          <w:sz w:val="30"/>
          <w:szCs w:val="30"/>
        </w:rPr>
      </w:pPr>
      <w:r>
        <w:rPr>
          <w:rFonts w:hint="eastAsia" w:ascii="仿宋" w:hAnsi="仿宋" w:eastAsia="仿宋"/>
          <w:sz w:val="30"/>
          <w:szCs w:val="30"/>
        </w:rPr>
        <w:t>3、卫生健康支出（210）行政事业单位医疗（11）</w:t>
      </w:r>
    </w:p>
    <w:p>
      <w:pPr>
        <w:pStyle w:val="7"/>
        <w:spacing w:before="0" w:beforeAutospacing="0" w:after="0" w:afterAutospacing="0" w:line="560" w:lineRule="exact"/>
        <w:ind w:firstLine="640" w:firstLineChars="200"/>
        <w:rPr>
          <w:rFonts w:ascii="仿宋" w:hAnsi="仿宋" w:eastAsia="仿宋"/>
          <w:sz w:val="30"/>
          <w:szCs w:val="30"/>
        </w:rPr>
      </w:pPr>
      <w:r>
        <w:rPr>
          <w:rFonts w:ascii="仿宋" w:hAnsi="仿宋" w:eastAsia="仿宋" w:cs="Times New Roman"/>
          <w:sz w:val="32"/>
          <w:szCs w:val="32"/>
        </w:rPr>
        <w:fldChar w:fldCharType="begin"/>
      </w:r>
      <w:r>
        <w:rPr>
          <w:rFonts w:hint="eastAsia" w:ascii="仿宋" w:hAnsi="仿宋" w:eastAsia="仿宋" w:cs="Times New Roman"/>
          <w:sz w:val="32"/>
          <w:szCs w:val="32"/>
        </w:rPr>
        <w:instrText xml:space="preserve">= 1 \* GB3</w:instrText>
      </w:r>
      <w:r>
        <w:rPr>
          <w:rFonts w:ascii="仿宋" w:hAnsi="仿宋" w:eastAsia="仿宋" w:cs="Times New Roman"/>
          <w:sz w:val="32"/>
          <w:szCs w:val="32"/>
        </w:rPr>
        <w:fldChar w:fldCharType="separate"/>
      </w:r>
      <w:r>
        <w:rPr>
          <w:rFonts w:hint="eastAsia" w:ascii="仿宋" w:hAnsi="仿宋" w:eastAsia="仿宋" w:cs="Times New Roman"/>
          <w:sz w:val="32"/>
          <w:szCs w:val="32"/>
        </w:rPr>
        <w:t>①</w:t>
      </w:r>
      <w:r>
        <w:rPr>
          <w:rFonts w:ascii="仿宋" w:hAnsi="仿宋" w:eastAsia="仿宋" w:cs="Times New Roman"/>
          <w:sz w:val="32"/>
          <w:szCs w:val="32"/>
        </w:rPr>
        <w:fldChar w:fldCharType="end"/>
      </w:r>
      <w:r>
        <w:rPr>
          <w:rFonts w:hint="eastAsia" w:ascii="仿宋" w:hAnsi="仿宋" w:eastAsia="仿宋"/>
          <w:sz w:val="30"/>
          <w:szCs w:val="30"/>
        </w:rPr>
        <w:t>行政单位医疗（01）。</w:t>
      </w:r>
      <w:r>
        <w:rPr>
          <w:rFonts w:hint="eastAsia" w:ascii="仿宋" w:hAnsi="仿宋" w:eastAsia="仿宋" w:cs="Times New Roman"/>
          <w:sz w:val="32"/>
          <w:szCs w:val="32"/>
        </w:rPr>
        <w:t>年初预算为0万元，决算支出为6.07万元。决算数大于预算数的主要原因是年初预算中只预算了基本支出中的人员经费和公用经费。</w:t>
      </w:r>
    </w:p>
    <w:p>
      <w:pPr>
        <w:pStyle w:val="7"/>
        <w:spacing w:before="0" w:beforeAutospacing="0" w:after="0" w:afterAutospacing="0" w:line="560" w:lineRule="exact"/>
        <w:ind w:firstLine="750" w:firstLineChars="250"/>
        <w:rPr>
          <w:rFonts w:ascii="仿宋" w:hAnsi="仿宋" w:eastAsia="仿宋"/>
          <w:sz w:val="30"/>
          <w:szCs w:val="30"/>
        </w:rPr>
      </w:pPr>
      <w:r>
        <w:rPr>
          <w:rFonts w:ascii="仿宋" w:hAnsi="仿宋" w:eastAsia="仿宋"/>
          <w:sz w:val="30"/>
          <w:szCs w:val="30"/>
        </w:rPr>
        <w:fldChar w:fldCharType="begin"/>
      </w:r>
      <w:r>
        <w:rPr>
          <w:rFonts w:hint="eastAsia" w:ascii="仿宋" w:hAnsi="仿宋" w:eastAsia="仿宋"/>
          <w:sz w:val="30"/>
          <w:szCs w:val="30"/>
        </w:rPr>
        <w:instrText xml:space="preserve">= 2 \* GB3</w:instrText>
      </w:r>
      <w:r>
        <w:rPr>
          <w:rFonts w:ascii="仿宋" w:hAnsi="仿宋" w:eastAsia="仿宋"/>
          <w:sz w:val="30"/>
          <w:szCs w:val="30"/>
        </w:rPr>
        <w:fldChar w:fldCharType="separate"/>
      </w:r>
      <w:r>
        <w:rPr>
          <w:rFonts w:hint="eastAsia" w:ascii="仿宋" w:hAnsi="仿宋" w:eastAsia="仿宋"/>
          <w:sz w:val="30"/>
          <w:szCs w:val="30"/>
        </w:rPr>
        <w:t>②</w:t>
      </w:r>
      <w:r>
        <w:rPr>
          <w:rFonts w:ascii="仿宋" w:hAnsi="仿宋" w:eastAsia="仿宋"/>
          <w:sz w:val="30"/>
          <w:szCs w:val="30"/>
        </w:rPr>
        <w:fldChar w:fldCharType="end"/>
      </w:r>
      <w:r>
        <w:rPr>
          <w:rFonts w:hint="eastAsia" w:ascii="仿宋" w:hAnsi="仿宋" w:eastAsia="仿宋"/>
          <w:sz w:val="30"/>
          <w:szCs w:val="30"/>
        </w:rPr>
        <w:t>事业单位医疗（02）。</w:t>
      </w:r>
      <w:r>
        <w:rPr>
          <w:rFonts w:hint="eastAsia" w:ascii="仿宋" w:hAnsi="仿宋" w:eastAsia="仿宋" w:cs="Times New Roman"/>
          <w:sz w:val="32"/>
          <w:szCs w:val="32"/>
        </w:rPr>
        <w:t>年初预算为0万元，决算支出为0.74万元。决算数大于预算数的主要原因是年初预算中只预算了基本支出中的人员经费和公用经费。</w:t>
      </w:r>
    </w:p>
    <w:p>
      <w:pPr>
        <w:pStyle w:val="7"/>
        <w:spacing w:before="0" w:beforeAutospacing="0" w:after="0" w:afterAutospacing="0" w:line="560" w:lineRule="exact"/>
        <w:ind w:firstLine="900" w:firstLineChars="300"/>
        <w:rPr>
          <w:rFonts w:ascii="仿宋" w:hAnsi="仿宋" w:eastAsia="仿宋" w:cs="Times New Roman"/>
          <w:sz w:val="32"/>
          <w:szCs w:val="32"/>
        </w:rPr>
      </w:pPr>
      <w:r>
        <w:rPr>
          <w:rFonts w:ascii="仿宋" w:hAnsi="仿宋" w:eastAsia="仿宋"/>
          <w:sz w:val="30"/>
          <w:szCs w:val="30"/>
        </w:rPr>
        <w:fldChar w:fldCharType="begin"/>
      </w:r>
      <w:r>
        <w:rPr>
          <w:rFonts w:hint="eastAsia" w:ascii="仿宋" w:hAnsi="仿宋" w:eastAsia="仿宋"/>
          <w:sz w:val="30"/>
          <w:szCs w:val="30"/>
        </w:rPr>
        <w:instrText xml:space="preserve">= 3 \* GB3</w:instrText>
      </w:r>
      <w:r>
        <w:rPr>
          <w:rFonts w:ascii="仿宋" w:hAnsi="仿宋" w:eastAsia="仿宋"/>
          <w:sz w:val="30"/>
          <w:szCs w:val="30"/>
        </w:rPr>
        <w:fldChar w:fldCharType="separate"/>
      </w:r>
      <w:r>
        <w:rPr>
          <w:rFonts w:hint="eastAsia" w:ascii="仿宋" w:hAnsi="仿宋" w:eastAsia="仿宋"/>
          <w:sz w:val="30"/>
          <w:szCs w:val="30"/>
        </w:rPr>
        <w:t>③</w:t>
      </w:r>
      <w:r>
        <w:rPr>
          <w:rFonts w:ascii="仿宋" w:hAnsi="仿宋" w:eastAsia="仿宋"/>
          <w:sz w:val="30"/>
          <w:szCs w:val="30"/>
        </w:rPr>
        <w:fldChar w:fldCharType="end"/>
      </w:r>
      <w:r>
        <w:rPr>
          <w:rFonts w:hint="eastAsia" w:ascii="仿宋" w:hAnsi="仿宋" w:eastAsia="仿宋"/>
          <w:sz w:val="30"/>
          <w:szCs w:val="30"/>
        </w:rPr>
        <w:t>公务员医疗补助（03）。</w:t>
      </w:r>
      <w:r>
        <w:rPr>
          <w:rFonts w:hint="eastAsia" w:ascii="仿宋" w:hAnsi="仿宋" w:eastAsia="仿宋" w:cs="Times New Roman"/>
          <w:sz w:val="32"/>
          <w:szCs w:val="32"/>
        </w:rPr>
        <w:t>年初预算为0万元，决算支出为0.39万元。决算数大于预算数的主要原因是年初预算中只预算了基本支出中的人员经费和公用经费。</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4、节能环保支出（211）节约能源利用（10）节约能源利用（01）。年初预算为0万元，决算支出为19.45万元。决算数大于预算数的主要原因是这部分资金是2018年结转的市级财政拨付资金。</w:t>
      </w:r>
    </w:p>
    <w:p>
      <w:pPr>
        <w:pStyle w:val="7"/>
        <w:spacing w:before="0" w:beforeAutospacing="0" w:after="0" w:afterAutospacing="0" w:line="560" w:lineRule="exact"/>
        <w:ind w:firstLine="585"/>
        <w:rPr>
          <w:rFonts w:ascii="仿宋" w:hAnsi="仿宋" w:eastAsia="仿宋" w:cs="Times New Roman"/>
          <w:sz w:val="32"/>
          <w:szCs w:val="32"/>
        </w:rPr>
      </w:pPr>
      <w:r>
        <w:rPr>
          <w:rFonts w:hint="eastAsia" w:ascii="仿宋" w:hAnsi="仿宋" w:eastAsia="仿宋"/>
          <w:sz w:val="30"/>
          <w:szCs w:val="30"/>
        </w:rPr>
        <w:t>5、农林水支出（213）农业（01）对高校毕业生到基层任职补助（52）。</w:t>
      </w:r>
      <w:r>
        <w:rPr>
          <w:rFonts w:hint="eastAsia" w:ascii="仿宋" w:hAnsi="仿宋" w:eastAsia="仿宋" w:cs="Times New Roman"/>
          <w:sz w:val="32"/>
          <w:szCs w:val="32"/>
        </w:rPr>
        <w:t>年初预算为0万元，决算支出为3万元。决算数大于预算数的主要原因是选调生生活补助是年中追加的预算。</w:t>
      </w:r>
    </w:p>
    <w:p>
      <w:pPr>
        <w:pStyle w:val="7"/>
        <w:spacing w:before="0" w:beforeAutospacing="0" w:after="0" w:afterAutospacing="0" w:line="560" w:lineRule="exact"/>
        <w:ind w:firstLine="585"/>
        <w:rPr>
          <w:rFonts w:ascii="仿宋" w:hAnsi="仿宋" w:eastAsia="仿宋" w:cs="Times New Roman"/>
          <w:sz w:val="32"/>
          <w:szCs w:val="32"/>
        </w:rPr>
      </w:pPr>
      <w:r>
        <w:rPr>
          <w:rFonts w:hint="eastAsia" w:ascii="仿宋" w:hAnsi="仿宋" w:eastAsia="仿宋" w:cs="Times New Roman"/>
          <w:sz w:val="32"/>
          <w:szCs w:val="32"/>
        </w:rPr>
        <w:t>6、</w:t>
      </w:r>
      <w:r>
        <w:rPr>
          <w:rFonts w:hint="eastAsia" w:ascii="仿宋" w:hAnsi="仿宋" w:eastAsia="仿宋"/>
          <w:sz w:val="30"/>
          <w:szCs w:val="30"/>
        </w:rPr>
        <w:t>农林水支出（213）扶贫（05）生产发展（05）。</w:t>
      </w:r>
      <w:r>
        <w:rPr>
          <w:rFonts w:hint="eastAsia" w:ascii="仿宋" w:hAnsi="仿宋" w:eastAsia="仿宋" w:cs="Times New Roman"/>
          <w:sz w:val="32"/>
          <w:szCs w:val="32"/>
        </w:rPr>
        <w:t>年初预算为0万元，决算支出为180.84万元。决算数大于预算数的主要原因是这部分资金是2018年结转的市级财政拨付资金。</w:t>
      </w:r>
    </w:p>
    <w:p>
      <w:pPr>
        <w:pStyle w:val="7"/>
        <w:spacing w:before="0" w:beforeAutospacing="0" w:after="0" w:afterAutospacing="0" w:line="560" w:lineRule="exact"/>
        <w:ind w:firstLine="585"/>
        <w:rPr>
          <w:rFonts w:ascii="仿宋" w:hAnsi="仿宋" w:eastAsia="仿宋" w:cs="Times New Roman"/>
          <w:sz w:val="32"/>
          <w:szCs w:val="32"/>
        </w:rPr>
      </w:pPr>
      <w:r>
        <w:rPr>
          <w:rFonts w:hint="eastAsia" w:ascii="仿宋" w:hAnsi="仿宋" w:eastAsia="仿宋" w:cs="Times New Roman"/>
          <w:sz w:val="32"/>
          <w:szCs w:val="32"/>
        </w:rPr>
        <w:t>7、商业服务业等支出（216）其他商业服务业等支出（99）其他商业服务业等支出（99）。年初预算为0万元，决算支出为50万元。决算数大于预算数的主要原因这部分资金是2018年结转的市级财政拨付资金。</w:t>
      </w:r>
    </w:p>
    <w:p>
      <w:pPr>
        <w:pStyle w:val="7"/>
        <w:spacing w:before="0" w:beforeAutospacing="0" w:after="0" w:afterAutospacing="0" w:line="560" w:lineRule="exact"/>
        <w:ind w:firstLine="585"/>
        <w:rPr>
          <w:rFonts w:ascii="仿宋" w:hAnsi="仿宋" w:eastAsia="仿宋"/>
          <w:sz w:val="30"/>
          <w:szCs w:val="30"/>
        </w:rPr>
      </w:pPr>
      <w:r>
        <w:rPr>
          <w:rFonts w:hint="eastAsia" w:ascii="仿宋" w:hAnsi="仿宋" w:eastAsia="仿宋" w:cs="Times New Roman"/>
          <w:sz w:val="32"/>
          <w:szCs w:val="32"/>
        </w:rPr>
        <w:t>8、其他支出（229）其他政府性基金及对应专项债务收入安排的支出（04）其他政府性基金安排的支出（01）。年初预算为0万元，决算支出为963.5万元。决算数大于预算数的主要原因这部分资金是2018年结转的市级财政拨付资金。</w:t>
      </w:r>
    </w:p>
    <w:p>
      <w:pPr>
        <w:pStyle w:val="7"/>
        <w:spacing w:before="0" w:beforeAutospacing="0" w:after="0" w:afterAutospacing="0" w:line="560" w:lineRule="exact"/>
        <w:ind w:firstLine="602" w:firstLineChars="200"/>
        <w:rPr>
          <w:rFonts w:ascii="仿宋" w:hAnsi="仿宋" w:eastAsia="仿宋"/>
          <w:b/>
          <w:sz w:val="30"/>
          <w:szCs w:val="30"/>
        </w:rPr>
      </w:pPr>
      <w:r>
        <w:rPr>
          <w:rFonts w:hint="eastAsia" w:ascii="仿宋" w:hAnsi="仿宋" w:eastAsia="仿宋"/>
          <w:b/>
          <w:sz w:val="30"/>
          <w:szCs w:val="30"/>
        </w:rPr>
        <w:t>六、一般公共预算财政拨款基本支出决算情况说明。</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2019年度一般公共预算财政拨款基本支出332.26万元，包括：人员经费支出313.22万元和公用经费支出19.04万元。</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人员经费313.22万元，主要包括：1发展和改革事务272.07万元，其中：基本工资（30101）129.97万元，津贴补贴（30102）79.07万元，奖金（30103）43.85万元，绩效工资（30107）13.63万元，生活补助（30305）5.55万元；2、行政事业单位离退休33.22万元，其中：机关事业单位基本养老保险缴费（30108）32.08万元，职业年金缴费（30109）1.15万元；3、行政事业单位医疗7.21万元，其中：职工基本医疗保险缴费（30110）6.82万元，公务员医疗补助缴费（30111）0.39万元；4、其他卫生健康支出0.72万元，其中：其他社会保障缴费（30112）0.72万元。</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公用经费19.04万元，主要包括发展和改革事务19.04万元，其中：办公费（30201）2.12万元，印刷费（30202）0.17万元，水费（30205）0.46万元，电费（30206）0.58万元，邮电费（30207）0.79万元，差旅费（30211）1.53万元，会议费（30215）1.05万元，培训费（30216）0.02万元，公务接待费（30217）0.72万元，劳务费（30226）0.08万元，委托业务费（30227）0.52万元，其他交通费用（30239）10.99万元。</w:t>
      </w:r>
    </w:p>
    <w:p>
      <w:pPr>
        <w:pStyle w:val="7"/>
        <w:spacing w:before="0" w:beforeAutospacing="0" w:after="0" w:afterAutospacing="0" w:line="56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七、一般公共预算财政拨款“三公”经费及会议费、培训费支出决算情况说明</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一</w:t>
      </w:r>
      <w:r>
        <w:rPr>
          <w:rFonts w:ascii="仿宋" w:hAnsi="仿宋" w:eastAsia="仿宋" w:cs="Times New Roman"/>
          <w:sz w:val="32"/>
          <w:szCs w:val="32"/>
        </w:rPr>
        <w:t>） “三公”</w:t>
      </w:r>
      <w:r>
        <w:rPr>
          <w:rFonts w:hint="eastAsia" w:ascii="仿宋" w:hAnsi="仿宋" w:eastAsia="仿宋" w:cs="Times New Roman"/>
          <w:sz w:val="32"/>
          <w:szCs w:val="32"/>
        </w:rPr>
        <w:t>经费财政拨款</w:t>
      </w:r>
      <w:r>
        <w:rPr>
          <w:rFonts w:ascii="仿宋" w:hAnsi="仿宋" w:eastAsia="仿宋" w:cs="Times New Roman"/>
          <w:sz w:val="32"/>
          <w:szCs w:val="32"/>
        </w:rPr>
        <w:t>支出决算总体情况</w:t>
      </w:r>
      <w:r>
        <w:rPr>
          <w:rFonts w:hint="eastAsia" w:ascii="仿宋" w:hAnsi="仿宋" w:eastAsia="仿宋" w:cs="Times New Roman"/>
          <w:sz w:val="32"/>
          <w:szCs w:val="32"/>
        </w:rPr>
        <w:t>说明。</w:t>
      </w:r>
    </w:p>
    <w:p>
      <w:pPr>
        <w:spacing w:line="550" w:lineRule="exact"/>
        <w:ind w:firstLine="800" w:firstLineChars="250"/>
        <w:rPr>
          <w:rFonts w:ascii="仿宋" w:hAnsi="仿宋" w:eastAsia="仿宋"/>
          <w:sz w:val="32"/>
          <w:szCs w:val="32"/>
        </w:rPr>
      </w:pPr>
      <w:r>
        <w:rPr>
          <w:rFonts w:ascii="仿宋" w:hAnsi="仿宋" w:eastAsia="仿宋"/>
          <w:sz w:val="32"/>
          <w:szCs w:val="32"/>
        </w:rPr>
        <w:t>201</w:t>
      </w:r>
      <w:r>
        <w:rPr>
          <w:rFonts w:hint="eastAsia" w:ascii="仿宋" w:hAnsi="仿宋" w:eastAsia="仿宋"/>
          <w:sz w:val="32"/>
          <w:szCs w:val="32"/>
        </w:rPr>
        <w:t>9年度 “三公”经费</w:t>
      </w:r>
      <w:r>
        <w:rPr>
          <w:rFonts w:hint="eastAsia" w:ascii="仿宋" w:hAnsi="仿宋" w:eastAsia="仿宋" w:cs="Times New Roman"/>
          <w:sz w:val="32"/>
          <w:szCs w:val="32"/>
        </w:rPr>
        <w:t>财政拨款</w:t>
      </w:r>
      <w:r>
        <w:rPr>
          <w:rFonts w:ascii="仿宋" w:hAnsi="仿宋" w:eastAsia="仿宋" w:cs="Times New Roman"/>
          <w:sz w:val="32"/>
          <w:szCs w:val="32"/>
        </w:rPr>
        <w:t>支出</w:t>
      </w:r>
      <w:r>
        <w:rPr>
          <w:rFonts w:hint="eastAsia" w:ascii="仿宋" w:hAnsi="仿宋" w:eastAsia="仿宋"/>
          <w:sz w:val="32"/>
          <w:szCs w:val="32"/>
        </w:rPr>
        <w:t>预算为3.83万元，支出决算为8.58万元，完成预算的224.02%。决算数较预算数增加4.75万元，主要原因是年初预算时只做了基本支出中的“三公”经费预算，支出决算数包含年中追加的项目支出中的“三公”经费。</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二</w:t>
      </w:r>
      <w:r>
        <w:rPr>
          <w:rFonts w:ascii="仿宋" w:hAnsi="仿宋" w:eastAsia="仿宋" w:cs="Times New Roman"/>
          <w:sz w:val="32"/>
          <w:szCs w:val="32"/>
        </w:rPr>
        <w:t>）“三公”</w:t>
      </w:r>
      <w:r>
        <w:rPr>
          <w:rFonts w:hint="eastAsia" w:ascii="仿宋" w:hAnsi="仿宋" w:eastAsia="仿宋" w:cs="Times New Roman"/>
          <w:sz w:val="32"/>
          <w:szCs w:val="32"/>
        </w:rPr>
        <w:t>经费财政拨款</w:t>
      </w:r>
      <w:r>
        <w:rPr>
          <w:rFonts w:ascii="仿宋" w:hAnsi="仿宋" w:eastAsia="仿宋" w:cs="Times New Roman"/>
          <w:sz w:val="32"/>
          <w:szCs w:val="32"/>
        </w:rPr>
        <w:t>支出决算</w:t>
      </w:r>
      <w:r>
        <w:rPr>
          <w:rFonts w:hint="eastAsia" w:ascii="仿宋" w:hAnsi="仿宋" w:eastAsia="仿宋" w:cs="Times New Roman"/>
          <w:sz w:val="32"/>
          <w:szCs w:val="32"/>
        </w:rPr>
        <w:t>具</w:t>
      </w:r>
      <w:r>
        <w:rPr>
          <w:rFonts w:ascii="仿宋" w:hAnsi="仿宋" w:eastAsia="仿宋" w:cs="Times New Roman"/>
          <w:sz w:val="32"/>
          <w:szCs w:val="32"/>
        </w:rPr>
        <w:t>体情况</w:t>
      </w:r>
      <w:r>
        <w:rPr>
          <w:rFonts w:hint="eastAsia" w:ascii="仿宋" w:hAnsi="仿宋" w:eastAsia="仿宋" w:cs="Times New Roman"/>
          <w:sz w:val="32"/>
          <w:szCs w:val="32"/>
        </w:rPr>
        <w:t>说明。</w:t>
      </w:r>
    </w:p>
    <w:p>
      <w:pPr>
        <w:pStyle w:val="7"/>
        <w:spacing w:before="0" w:beforeAutospacing="0" w:after="0" w:afterAutospacing="0" w:line="560" w:lineRule="exact"/>
        <w:ind w:firstLine="800" w:firstLineChars="250"/>
        <w:rPr>
          <w:rFonts w:ascii="仿宋" w:hAnsi="仿宋" w:eastAsia="仿宋"/>
          <w:sz w:val="32"/>
          <w:szCs w:val="32"/>
        </w:rPr>
      </w:pPr>
      <w:r>
        <w:rPr>
          <w:rFonts w:ascii="仿宋" w:hAnsi="仿宋" w:eastAsia="仿宋"/>
          <w:sz w:val="32"/>
          <w:szCs w:val="32"/>
        </w:rPr>
        <w:t>201</w:t>
      </w:r>
      <w:r>
        <w:rPr>
          <w:rFonts w:hint="eastAsia" w:ascii="仿宋" w:hAnsi="仿宋" w:eastAsia="仿宋"/>
          <w:sz w:val="32"/>
          <w:szCs w:val="32"/>
        </w:rPr>
        <w:t>9年度 “三公”经费</w:t>
      </w:r>
      <w:r>
        <w:rPr>
          <w:rFonts w:hint="eastAsia" w:ascii="仿宋" w:hAnsi="仿宋" w:eastAsia="仿宋" w:cs="Times New Roman"/>
          <w:sz w:val="32"/>
          <w:szCs w:val="32"/>
        </w:rPr>
        <w:t>财政拨款</w:t>
      </w:r>
      <w:r>
        <w:rPr>
          <w:rFonts w:ascii="仿宋" w:hAnsi="仿宋" w:eastAsia="仿宋" w:cs="Times New Roman"/>
          <w:sz w:val="32"/>
          <w:szCs w:val="32"/>
        </w:rPr>
        <w:t>支出</w:t>
      </w:r>
      <w:r>
        <w:rPr>
          <w:rFonts w:hint="eastAsia" w:ascii="仿宋" w:hAnsi="仿宋" w:eastAsia="仿宋"/>
          <w:sz w:val="32"/>
          <w:szCs w:val="32"/>
        </w:rPr>
        <w:t>决算中，因公出国（境）费支出决算0万元，占0%，公务用车购置费支出0万元，占0%；公务用车运行维护费支出决算0万元，占0%；公务接待费支出决算0.72万元，占100%。具体情况如下：</w:t>
      </w:r>
    </w:p>
    <w:p>
      <w:pPr>
        <w:pStyle w:val="7"/>
        <w:spacing w:before="0" w:beforeAutospacing="0" w:after="0" w:afterAutospacing="0" w:line="560" w:lineRule="exact"/>
        <w:ind w:firstLine="800" w:firstLineChars="250"/>
        <w:rPr>
          <w:rFonts w:ascii="仿宋" w:hAnsi="仿宋" w:eastAsia="仿宋"/>
          <w:sz w:val="32"/>
          <w:szCs w:val="32"/>
        </w:rPr>
      </w:pPr>
    </w:p>
    <w:p>
      <w:pPr>
        <w:pStyle w:val="7"/>
        <w:spacing w:before="0" w:beforeAutospacing="0" w:after="0" w:afterAutospacing="0" w:line="560" w:lineRule="exact"/>
        <w:ind w:firstLine="800" w:firstLineChars="250"/>
        <w:rPr>
          <w:rFonts w:ascii="仿宋" w:hAnsi="仿宋" w:eastAsia="仿宋"/>
          <w:sz w:val="32"/>
          <w:szCs w:val="32"/>
        </w:rPr>
      </w:pPr>
    </w:p>
    <w:p>
      <w:pPr>
        <w:pStyle w:val="7"/>
        <w:spacing w:before="0" w:beforeAutospacing="0" w:after="0" w:afterAutospacing="0" w:line="560" w:lineRule="exact"/>
        <w:ind w:firstLine="800" w:firstLineChars="250"/>
        <w:rPr>
          <w:rFonts w:ascii="仿宋" w:hAnsi="仿宋" w:eastAsia="仿宋"/>
          <w:sz w:val="32"/>
          <w:szCs w:val="32"/>
        </w:rPr>
      </w:pPr>
    </w:p>
    <w:p>
      <w:pPr>
        <w:pStyle w:val="7"/>
        <w:spacing w:before="0" w:beforeAutospacing="0" w:after="0" w:afterAutospacing="0" w:line="560" w:lineRule="exact"/>
        <w:ind w:firstLine="800" w:firstLineChars="250"/>
        <w:rPr>
          <w:rFonts w:ascii="仿宋" w:hAnsi="仿宋" w:eastAsia="仿宋"/>
          <w:sz w:val="32"/>
          <w:szCs w:val="32"/>
        </w:rPr>
      </w:pPr>
    </w:p>
    <w:p>
      <w:pPr>
        <w:pStyle w:val="7"/>
        <w:spacing w:before="0" w:beforeAutospacing="0" w:after="0" w:afterAutospacing="0" w:line="560" w:lineRule="exact"/>
        <w:ind w:firstLine="600" w:firstLineChars="250"/>
        <w:rPr>
          <w:rFonts w:ascii="仿宋" w:hAnsi="仿宋" w:eastAsia="仿宋"/>
          <w:sz w:val="32"/>
          <w:szCs w:val="32"/>
        </w:rPr>
      </w:pPr>
      <w:r>
        <w:drawing>
          <wp:anchor distT="0" distB="0" distL="114300" distR="114300" simplePos="0" relativeHeight="251663360" behindDoc="1" locked="0" layoutInCell="1" allowOverlap="1">
            <wp:simplePos x="0" y="0"/>
            <wp:positionH relativeFrom="column">
              <wp:posOffset>423545</wp:posOffset>
            </wp:positionH>
            <wp:positionV relativeFrom="paragraph">
              <wp:posOffset>-414655</wp:posOffset>
            </wp:positionV>
            <wp:extent cx="4572000" cy="2743200"/>
            <wp:effectExtent l="4445" t="4445" r="14605" b="14605"/>
            <wp:wrapTight wrapText="bothSides">
              <wp:wrapPolygon>
                <wp:start x="-21" y="-35"/>
                <wp:lineTo x="-21" y="21565"/>
                <wp:lineTo x="21579" y="21565"/>
                <wp:lineTo x="21579" y="-35"/>
                <wp:lineTo x="-21" y="-35"/>
              </wp:wrapPolygon>
            </wp:wrapTight>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pPr>
        <w:pStyle w:val="7"/>
        <w:spacing w:before="0" w:beforeAutospacing="0" w:after="0" w:afterAutospacing="0" w:line="560" w:lineRule="exact"/>
        <w:ind w:firstLine="800" w:firstLineChars="250"/>
        <w:rPr>
          <w:rFonts w:ascii="仿宋" w:hAnsi="仿宋" w:eastAsia="仿宋"/>
          <w:sz w:val="32"/>
          <w:szCs w:val="32"/>
        </w:rPr>
      </w:pPr>
    </w:p>
    <w:p>
      <w:pPr>
        <w:pStyle w:val="7"/>
        <w:spacing w:before="0" w:beforeAutospacing="0" w:after="0" w:afterAutospacing="0" w:line="560" w:lineRule="exact"/>
        <w:ind w:firstLine="800" w:firstLineChars="250"/>
        <w:rPr>
          <w:rFonts w:ascii="仿宋" w:hAnsi="仿宋" w:eastAsia="仿宋"/>
          <w:sz w:val="32"/>
          <w:szCs w:val="32"/>
        </w:rPr>
      </w:pPr>
      <w:r>
        <w:rPr>
          <w:rFonts w:hint="eastAsia" w:ascii="仿宋" w:hAnsi="仿宋" w:eastAsia="仿宋"/>
          <w:sz w:val="32"/>
          <w:szCs w:val="32"/>
        </w:rPr>
        <w:t>1．因公出国（境）支出情况说明。</w:t>
      </w:r>
    </w:p>
    <w:p>
      <w:pPr>
        <w:pStyle w:val="7"/>
        <w:spacing w:before="0" w:beforeAutospacing="0" w:after="0" w:afterAutospacing="0" w:line="560" w:lineRule="exact"/>
        <w:ind w:firstLine="800" w:firstLineChars="250"/>
        <w:rPr>
          <w:rFonts w:ascii="仿宋" w:hAnsi="仿宋" w:eastAsia="仿宋"/>
          <w:sz w:val="32"/>
          <w:szCs w:val="32"/>
        </w:rPr>
      </w:pPr>
      <w:r>
        <w:rPr>
          <w:rFonts w:hint="eastAsia" w:ascii="仿宋" w:hAnsi="仿宋" w:eastAsia="仿宋"/>
          <w:sz w:val="32"/>
          <w:szCs w:val="32"/>
        </w:rPr>
        <w:t>2019年度因公出国（境）团组0个，0人次，预算为0万元，支出决算为0万元。支出决算数和预算数相同。</w:t>
      </w:r>
    </w:p>
    <w:p>
      <w:pPr>
        <w:pStyle w:val="7"/>
        <w:spacing w:before="0" w:beforeAutospacing="0" w:after="0" w:afterAutospacing="0" w:line="560" w:lineRule="exact"/>
        <w:ind w:left="283" w:leftChars="135" w:firstLine="480" w:firstLineChars="150"/>
        <w:rPr>
          <w:rFonts w:ascii="仿宋" w:hAnsi="仿宋" w:eastAsia="仿宋"/>
          <w:sz w:val="32"/>
          <w:szCs w:val="32"/>
        </w:rPr>
      </w:pPr>
      <w:r>
        <w:rPr>
          <w:rFonts w:hint="eastAsia" w:ascii="仿宋" w:hAnsi="仿宋" w:eastAsia="仿宋"/>
          <w:sz w:val="32"/>
          <w:szCs w:val="32"/>
        </w:rPr>
        <w:t>2、公务用车购置费用支出情况说明。</w:t>
      </w:r>
    </w:p>
    <w:p>
      <w:pPr>
        <w:pStyle w:val="7"/>
        <w:spacing w:before="0" w:beforeAutospacing="0" w:after="0" w:afterAutospacing="0" w:line="560" w:lineRule="exact"/>
        <w:ind w:firstLine="803" w:firstLineChars="251"/>
        <w:rPr>
          <w:rFonts w:ascii="仿宋" w:hAnsi="仿宋" w:eastAsia="仿宋"/>
          <w:sz w:val="32"/>
          <w:szCs w:val="32"/>
        </w:rPr>
      </w:pPr>
      <w:r>
        <w:rPr>
          <w:rFonts w:hint="eastAsia" w:ascii="仿宋" w:hAnsi="仿宋" w:eastAsia="仿宋"/>
          <w:sz w:val="32"/>
          <w:szCs w:val="32"/>
        </w:rPr>
        <w:t>2019年度购置车辆0台，预算为0万元，支出决算为0万元。支出决算数和预算数相同。</w:t>
      </w:r>
    </w:p>
    <w:p>
      <w:pPr>
        <w:pStyle w:val="7"/>
        <w:spacing w:before="0" w:beforeAutospacing="0" w:after="0" w:afterAutospacing="0" w:line="560" w:lineRule="exact"/>
        <w:ind w:left="283" w:leftChars="135" w:firstLine="480" w:firstLineChars="150"/>
        <w:rPr>
          <w:rFonts w:ascii="仿宋" w:hAnsi="仿宋" w:eastAsia="仿宋"/>
          <w:sz w:val="32"/>
          <w:szCs w:val="32"/>
        </w:rPr>
      </w:pPr>
      <w:r>
        <w:rPr>
          <w:rFonts w:hint="eastAsia" w:ascii="仿宋" w:hAnsi="仿宋" w:eastAsia="仿宋"/>
          <w:sz w:val="32"/>
          <w:szCs w:val="32"/>
        </w:rPr>
        <w:t>3、公务用车运行维护费用支出情况说明。</w:t>
      </w:r>
    </w:p>
    <w:p>
      <w:pPr>
        <w:pStyle w:val="7"/>
        <w:spacing w:before="0" w:beforeAutospacing="0" w:after="0" w:afterAutospacing="0" w:line="560" w:lineRule="exact"/>
        <w:rPr>
          <w:rFonts w:ascii="仿宋" w:hAnsi="仿宋" w:eastAsia="仿宋" w:cs="Times New Roman"/>
          <w:sz w:val="32"/>
          <w:szCs w:val="32"/>
          <w:highlight w:val="green"/>
        </w:rPr>
      </w:pPr>
      <w:r>
        <w:rPr>
          <w:rFonts w:hint="eastAsia" w:ascii="仿宋" w:hAnsi="仿宋" w:eastAsia="仿宋"/>
          <w:sz w:val="32"/>
          <w:szCs w:val="32"/>
        </w:rPr>
        <w:t xml:space="preserve">     2019年度公务用车运行维护费预算为1.78万元，支出决算为0万元，完成预算的0%。决算数较预算数减少1.78万元，主要原因是年初预算时单位有一辆从政府平台租用的公务用车，公务用车运行维护费预算1.78万元，2019年将车归还政府平台，单位无公务用车，无公务用车运行维护费支出。</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4、公务接待费</w:t>
      </w:r>
      <w:r>
        <w:rPr>
          <w:rFonts w:hint="eastAsia" w:ascii="仿宋" w:hAnsi="仿宋" w:eastAsia="仿宋"/>
          <w:sz w:val="32"/>
          <w:szCs w:val="32"/>
        </w:rPr>
        <w:t>支出情况说明。</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2019年度公务接待27批次，156人次，预算为0.9万元，支出决算为0.72万元，完成预算的80%，决算数较预算数减少0.18万元，主要原因是严格执行中央八项规定精神，</w:t>
      </w:r>
      <w:r>
        <w:rPr>
          <w:rFonts w:hint="eastAsia" w:ascii="仿宋_GB2312" w:eastAsia="仿宋_GB2312"/>
          <w:color w:val="000000"/>
          <w:sz w:val="32"/>
          <w:szCs w:val="32"/>
        </w:rPr>
        <w:t>公务接待必须持公函，无公函的公务活动和来访人员一律不予接待。同时加强对公务活动费用开支的监督，严格管理，杜绝漏洞，</w:t>
      </w:r>
      <w:r>
        <w:rPr>
          <w:rFonts w:hint="eastAsia" w:ascii="仿宋" w:hAnsi="仿宋" w:eastAsia="仿宋" w:cs="Times New Roman"/>
          <w:sz w:val="32"/>
          <w:szCs w:val="32"/>
        </w:rPr>
        <w:t>从严控制公务接待费</w:t>
      </w:r>
      <w:r>
        <w:rPr>
          <w:rFonts w:hint="eastAsia" w:ascii="仿宋" w:hAnsi="仿宋" w:eastAsia="仿宋"/>
          <w:sz w:val="32"/>
          <w:szCs w:val="32"/>
        </w:rPr>
        <w:t>支出</w:t>
      </w:r>
      <w:r>
        <w:rPr>
          <w:rFonts w:hint="eastAsia" w:ascii="仿宋" w:hAnsi="仿宋" w:eastAsia="仿宋" w:cs="Times New Roman"/>
          <w:sz w:val="32"/>
          <w:szCs w:val="32"/>
        </w:rPr>
        <w:t>。</w:t>
      </w:r>
    </w:p>
    <w:p>
      <w:pPr>
        <w:spacing w:line="550" w:lineRule="exact"/>
        <w:ind w:firstLine="640" w:firstLineChars="200"/>
        <w:rPr>
          <w:rFonts w:ascii="仿宋" w:hAnsi="仿宋" w:eastAsia="仿宋"/>
          <w:sz w:val="32"/>
          <w:szCs w:val="32"/>
        </w:rPr>
      </w:pPr>
      <w:r>
        <w:rPr>
          <w:rFonts w:hint="eastAsia" w:ascii="仿宋" w:hAnsi="仿宋" w:eastAsia="仿宋"/>
          <w:sz w:val="32"/>
          <w:szCs w:val="32"/>
        </w:rPr>
        <w:t>（三）培训费支出情况说明。</w:t>
      </w:r>
    </w:p>
    <w:p>
      <w:pPr>
        <w:spacing w:line="550" w:lineRule="exact"/>
        <w:ind w:firstLine="640" w:firstLineChars="200"/>
        <w:rPr>
          <w:rFonts w:ascii="仿宋" w:hAnsi="仿宋" w:eastAsia="仿宋"/>
          <w:sz w:val="32"/>
          <w:szCs w:val="32"/>
        </w:rPr>
      </w:pPr>
      <w:r>
        <w:rPr>
          <w:rFonts w:hint="eastAsia" w:ascii="仿宋" w:hAnsi="仿宋" w:eastAsia="仿宋"/>
          <w:sz w:val="32"/>
          <w:szCs w:val="32"/>
        </w:rPr>
        <w:t>2019年度培训费预算为0.1万元，支出决算为1.05万元，完成预算的1050%，决算数较预算数增加0.95万元，主要原因是年初预算中只包括基本支出中的培训费，由于工作需要年中追加了项目支出预算，支出决算中含项目支出中的培训费。</w:t>
      </w:r>
    </w:p>
    <w:p>
      <w:pPr>
        <w:spacing w:line="550" w:lineRule="exact"/>
        <w:ind w:firstLine="640" w:firstLineChars="200"/>
        <w:rPr>
          <w:rFonts w:ascii="仿宋" w:hAnsi="仿宋" w:eastAsia="仿宋"/>
          <w:sz w:val="32"/>
          <w:szCs w:val="32"/>
        </w:rPr>
      </w:pPr>
      <w:r>
        <w:rPr>
          <w:rFonts w:hint="eastAsia" w:ascii="仿宋" w:hAnsi="仿宋" w:eastAsia="仿宋"/>
          <w:sz w:val="32"/>
          <w:szCs w:val="32"/>
        </w:rPr>
        <w:t>（四）会议费支出情况说明。</w:t>
      </w:r>
    </w:p>
    <w:p>
      <w:pPr>
        <w:spacing w:line="550" w:lineRule="exact"/>
        <w:ind w:firstLine="640" w:firstLineChars="200"/>
        <w:rPr>
          <w:rFonts w:ascii="仿宋" w:hAnsi="仿宋" w:eastAsia="仿宋"/>
          <w:sz w:val="32"/>
          <w:szCs w:val="32"/>
        </w:rPr>
      </w:pPr>
      <w:r>
        <w:rPr>
          <w:rFonts w:hint="eastAsia" w:ascii="仿宋" w:hAnsi="仿宋" w:eastAsia="仿宋"/>
          <w:sz w:val="32"/>
          <w:szCs w:val="32"/>
        </w:rPr>
        <w:t>2019年度会议费预算为1.05万元，支出决算为6.81万元，完成预算的648.6%。决算数较预算数增加5.76万元，主要原因是年初预算中只包括基本支出中的会议费，由于工作需要年中追加了项目支出预算，支出决算中含项目支出中的会议费。</w:t>
      </w:r>
    </w:p>
    <w:p>
      <w:pPr>
        <w:pStyle w:val="7"/>
        <w:spacing w:before="0" w:beforeAutospacing="0" w:after="0" w:afterAutospacing="0" w:line="560" w:lineRule="exact"/>
        <w:ind w:firstLine="643" w:firstLineChars="200"/>
        <w:rPr>
          <w:rFonts w:ascii="仿宋" w:hAnsi="仿宋" w:eastAsia="仿宋" w:cs="Times New Roman"/>
          <w:b/>
          <w:sz w:val="32"/>
          <w:szCs w:val="32"/>
        </w:rPr>
      </w:pPr>
      <w:r>
        <w:rPr>
          <w:rFonts w:hint="eastAsia" w:ascii="仿宋" w:hAnsi="仿宋" w:eastAsia="仿宋" w:cs="Times New Roman"/>
          <w:b/>
          <w:sz w:val="32"/>
          <w:szCs w:val="32"/>
        </w:rPr>
        <w:t>八、政府性基金预算财政拨款收入支出情况说明</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2019年度本部门</w:t>
      </w:r>
      <w:r>
        <w:rPr>
          <w:rFonts w:ascii="仿宋" w:hAnsi="仿宋" w:eastAsia="仿宋" w:cs="Times New Roman"/>
          <w:sz w:val="32"/>
          <w:szCs w:val="32"/>
        </w:rPr>
        <w:t>政府性基金财政拨款收</w:t>
      </w:r>
      <w:r>
        <w:rPr>
          <w:rFonts w:hint="eastAsia" w:ascii="仿宋" w:hAnsi="仿宋" w:eastAsia="仿宋" w:cs="Times New Roman"/>
          <w:sz w:val="32"/>
          <w:szCs w:val="32"/>
        </w:rPr>
        <w:t>入963.5万元，支出963.5万元</w:t>
      </w:r>
      <w:r>
        <w:rPr>
          <w:rFonts w:ascii="仿宋" w:hAnsi="仿宋" w:eastAsia="仿宋" w:cs="Times New Roman"/>
          <w:sz w:val="32"/>
          <w:szCs w:val="32"/>
        </w:rPr>
        <w:t>。</w:t>
      </w:r>
    </w:p>
    <w:p>
      <w:pPr>
        <w:pStyle w:val="7"/>
        <w:spacing w:before="0" w:beforeAutospacing="0" w:after="0" w:afterAutospacing="0" w:line="560" w:lineRule="exact"/>
        <w:ind w:firstLine="480"/>
        <w:rPr>
          <w:rFonts w:ascii="仿宋" w:hAnsi="仿宋" w:eastAsia="仿宋" w:cs="Times New Roman"/>
          <w:b/>
          <w:sz w:val="32"/>
          <w:szCs w:val="32"/>
        </w:rPr>
      </w:pPr>
      <w:r>
        <w:rPr>
          <w:rFonts w:hint="eastAsia" w:ascii="仿宋" w:hAnsi="仿宋" w:eastAsia="仿宋" w:cs="Times New Roman"/>
          <w:b/>
          <w:sz w:val="32"/>
          <w:szCs w:val="32"/>
        </w:rPr>
        <w:t>九、国有资本经营财政拨款收入支出情况说明</w:t>
      </w:r>
    </w:p>
    <w:p>
      <w:pPr>
        <w:pStyle w:val="7"/>
        <w:spacing w:before="0" w:beforeAutospacing="0" w:after="0" w:afterAutospacing="0" w:line="560" w:lineRule="exact"/>
        <w:ind w:firstLine="480"/>
        <w:rPr>
          <w:rFonts w:ascii="仿宋" w:hAnsi="仿宋" w:eastAsia="仿宋" w:cs="Times New Roman"/>
          <w:sz w:val="32"/>
          <w:szCs w:val="32"/>
        </w:rPr>
      </w:pPr>
      <w:r>
        <w:rPr>
          <w:rFonts w:hint="eastAsia" w:ascii="仿宋" w:hAnsi="仿宋" w:eastAsia="仿宋" w:cs="Times New Roman"/>
          <w:sz w:val="32"/>
          <w:szCs w:val="32"/>
        </w:rPr>
        <w:t>本部门无国有资本经营决算拨款收支。</w:t>
      </w:r>
    </w:p>
    <w:p>
      <w:pPr>
        <w:pStyle w:val="7"/>
        <w:spacing w:before="0" w:beforeAutospacing="0" w:after="0" w:afterAutospacing="0" w:line="560" w:lineRule="exact"/>
        <w:ind w:firstLine="480"/>
        <w:rPr>
          <w:rFonts w:ascii="仿宋" w:hAnsi="仿宋" w:eastAsia="仿宋" w:cs="Times New Roman"/>
          <w:b/>
          <w:sz w:val="32"/>
          <w:szCs w:val="32"/>
        </w:rPr>
      </w:pPr>
      <w:r>
        <w:rPr>
          <w:rFonts w:hint="eastAsia" w:ascii="仿宋" w:hAnsi="仿宋" w:eastAsia="仿宋" w:cs="Times New Roman"/>
          <w:b/>
          <w:sz w:val="32"/>
          <w:szCs w:val="32"/>
        </w:rPr>
        <w:t>十</w:t>
      </w:r>
      <w:r>
        <w:rPr>
          <w:rFonts w:ascii="仿宋" w:hAnsi="仿宋" w:eastAsia="仿宋" w:cs="Times New Roman"/>
          <w:b/>
          <w:sz w:val="32"/>
          <w:szCs w:val="32"/>
        </w:rPr>
        <w:t>、</w:t>
      </w:r>
      <w:r>
        <w:rPr>
          <w:rFonts w:hint="eastAsia" w:ascii="仿宋" w:hAnsi="仿宋" w:eastAsia="仿宋" w:cs="Times New Roman"/>
          <w:b/>
          <w:sz w:val="32"/>
          <w:szCs w:val="32"/>
        </w:rPr>
        <w:t>预算</w:t>
      </w:r>
      <w:r>
        <w:rPr>
          <w:rFonts w:ascii="仿宋" w:hAnsi="仿宋" w:eastAsia="仿宋" w:cs="Times New Roman"/>
          <w:b/>
          <w:sz w:val="32"/>
          <w:szCs w:val="32"/>
        </w:rPr>
        <w:t>绩效管理情况说明</w:t>
      </w:r>
    </w:p>
    <w:p>
      <w:pPr>
        <w:pStyle w:val="7"/>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（一）预算绩效管理工作开展情况</w:t>
      </w:r>
      <w:r>
        <w:rPr>
          <w:rFonts w:hint="eastAsia" w:ascii="仿宋" w:hAnsi="仿宋" w:eastAsia="仿宋" w:cs="Times New Roman"/>
          <w:sz w:val="32"/>
          <w:szCs w:val="32"/>
        </w:rPr>
        <w:t>。</w:t>
      </w:r>
    </w:p>
    <w:p>
      <w:pPr>
        <w:pStyle w:val="7"/>
        <w:spacing w:before="0" w:beforeAutospacing="0" w:after="0" w:afterAutospacing="0" w:line="560" w:lineRule="exact"/>
        <w:ind w:firstLine="480"/>
        <w:rPr>
          <w:rFonts w:ascii="仿宋" w:hAnsi="仿宋" w:eastAsia="仿宋" w:cs="Times New Roman"/>
          <w:sz w:val="32"/>
          <w:szCs w:val="32"/>
        </w:rPr>
      </w:pPr>
      <w:r>
        <w:rPr>
          <w:rFonts w:hint="eastAsia" w:ascii="仿宋" w:hAnsi="仿宋" w:eastAsia="仿宋" w:cs="Times New Roman"/>
          <w:sz w:val="32"/>
          <w:szCs w:val="32"/>
        </w:rPr>
        <w:t>根据预算绩效管理要求，本部门组织对2019年度一般公共预算1个项目支出开展了绩效自评，其中一级项目 1个，二级项目0个，共涉及资金180.84万元，占一般公共预算项目支出总额的39.25%；组织对2019年度政府性基金预算0个项目支出开展了绩效自评，涉及项目0个，共涉及资金0万元，占政府性基金预算项目支出总额的0%。</w:t>
      </w:r>
    </w:p>
    <w:p>
      <w:pPr>
        <w:pStyle w:val="7"/>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二</w:t>
      </w:r>
      <w:r>
        <w:rPr>
          <w:rFonts w:ascii="仿宋" w:hAnsi="仿宋" w:eastAsia="仿宋" w:cs="Times New Roman"/>
          <w:sz w:val="32"/>
          <w:szCs w:val="32"/>
        </w:rPr>
        <w:t>）部门决算中项目绩效自评结果</w:t>
      </w:r>
      <w:r>
        <w:rPr>
          <w:rFonts w:hint="eastAsia" w:ascii="仿宋" w:hAnsi="仿宋" w:eastAsia="仿宋" w:cs="Times New Roman"/>
          <w:sz w:val="32"/>
          <w:szCs w:val="32"/>
        </w:rPr>
        <w:t>。</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村级光伏扶贫电站并网线路等配套建设项目绩效自评综述：根据年初设定的绩效目标，项目自评得分92.18分。项目结转上年预算资金181.7万元，执行数180.84万元，完成上年结转资金的99.53%。</w:t>
      </w:r>
    </w:p>
    <w:p>
      <w:pPr>
        <w:adjustRightInd w:val="0"/>
        <w:snapToGrid w:val="0"/>
        <w:spacing w:line="360" w:lineRule="auto"/>
        <w:ind w:firstLine="640" w:firstLineChars="200"/>
        <w:rPr>
          <w:rFonts w:ascii="仿宋" w:hAnsi="仿宋" w:eastAsia="仿宋" w:cs="Times New Roman"/>
          <w:kern w:val="0"/>
          <w:sz w:val="32"/>
          <w:szCs w:val="32"/>
        </w:rPr>
      </w:pPr>
      <w:r>
        <w:rPr>
          <w:rFonts w:hint="eastAsia" w:ascii="仿宋" w:hAnsi="仿宋" w:eastAsia="仿宋" w:cs="Times New Roman"/>
          <w:kern w:val="0"/>
          <w:sz w:val="32"/>
          <w:szCs w:val="32"/>
        </w:rPr>
        <w:t>主要产出和效果：推进我县光伏发电项目建设，发展村级光伏电站，实现精准扶贫、精准脱贫，造福贫困村、贫困群众，拓宽贫困群众稳定增收渠道，推动贫困群众增收脱贫，按时完成脱贫目标任务。项目建成后解决了6个镇街30个村31个光伏电站并网问题，实现村级电站全部并网发电，为我县脱贫攻坚、经济发展、节能减排、推进“治污减霾”作出积极贡献。</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通过项目实施，使我县31个村级光伏电站100%完成并网发电。全年31个光伏电站共发电391.5万度，电费收入52.92万元，受益群众10500户，受益贫困户2707户。</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发现的问题及原因：主要是个别电站管理制度落实不到位，日常清扫维护不及时，影响发电量和电站收益。</w:t>
      </w:r>
    </w:p>
    <w:p>
      <w:pPr>
        <w:pStyle w:val="7"/>
        <w:spacing w:before="0" w:beforeAutospacing="0" w:after="0" w:afterAutospacing="0"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下一步改进措施：进一步完善、落实光伏电站的各项管理制度，做好电站日常管护，提高发电量，增加群众收益。</w:t>
      </w:r>
    </w:p>
    <w:p>
      <w:pPr>
        <w:pStyle w:val="7"/>
        <w:spacing w:before="0" w:beforeAutospacing="0" w:after="0" w:afterAutospacing="0" w:line="560" w:lineRule="exact"/>
        <w:ind w:firstLine="640" w:firstLineChars="200"/>
        <w:rPr>
          <w:rFonts w:ascii="仿宋" w:hAnsi="仿宋" w:eastAsia="仿宋" w:cs="Times New Roman"/>
          <w:sz w:val="32"/>
          <w:szCs w:val="32"/>
        </w:rPr>
      </w:pPr>
    </w:p>
    <w:p>
      <w:pPr>
        <w:pStyle w:val="7"/>
        <w:spacing w:before="0" w:beforeAutospacing="0" w:after="0" w:afterAutospacing="0" w:line="560" w:lineRule="exact"/>
        <w:ind w:firstLine="640" w:firstLineChars="200"/>
        <w:rPr>
          <w:rFonts w:ascii="仿宋" w:hAnsi="仿宋" w:eastAsia="仿宋" w:cs="Times New Roman"/>
          <w:sz w:val="32"/>
          <w:szCs w:val="32"/>
        </w:rPr>
      </w:pPr>
    </w:p>
    <w:p>
      <w:pPr>
        <w:pStyle w:val="7"/>
        <w:spacing w:before="0" w:beforeAutospacing="0" w:after="0" w:afterAutospacing="0" w:line="560" w:lineRule="exact"/>
        <w:rPr>
          <w:rFonts w:ascii="仿宋" w:hAnsi="仿宋" w:eastAsia="仿宋" w:cs="Times New Roman"/>
          <w:b/>
          <w:sz w:val="20"/>
          <w:szCs w:val="20"/>
        </w:rPr>
      </w:pPr>
      <w:r>
        <w:rPr>
          <w:sz w:val="20"/>
        </w:rPr>
        <w:pict>
          <v:shape id="文本框 9" o:spid="_x0000_s2050" o:spt="202" type="#_x0000_t202" style="position:absolute;left:0pt;margin-left:-73.25pt;margin-top:-8.05pt;height:737.45pt;width:564.3pt;mso-wrap-distance-bottom:0pt;mso-wrap-distance-left:9pt;mso-wrap-distance-right:9pt;mso-wrap-distance-top:0pt;z-index:251668480;mso-width-relative:page;mso-height-relative:page;" filled="f" stroked="f" coordsize="21600,21600" o:gfxdata="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VM7h4dgAAAANAQAADwAAAAAAAAABACAAAAAiAAAAZHJzL2Rvd25yZXYueG1sUEsBAhQAFAAAAAgA&#10;h07iQCSiOQuzAQAALgMAAA4AAAAAAAAAAQAgAAAAJwEAAGRycy9lMm9Eb2MueG1sUEsFBgAAAAAG&#10;AAYAWQEAAEwFAAAAAA==&#10;">
            <v:path/>
            <v:fill on="f" focussize="0,0"/>
            <v:stroke on="f" joinstyle="miter"/>
            <v:imagedata o:title=""/>
            <o:lock v:ext="edit"/>
            <v:textbox>
              <w:txbxContent>
                <w:tbl>
                  <w:tblPr>
                    <w:tblStyle w:val="9"/>
                    <w:tblW w:w="10875" w:type="dxa"/>
                    <w:tblInd w:w="0" w:type="dxa"/>
                    <w:tblLayout w:type="autofit"/>
                    <w:tblCellMar>
                      <w:top w:w="0" w:type="dxa"/>
                      <w:left w:w="0" w:type="dxa"/>
                      <w:bottom w:w="0" w:type="dxa"/>
                      <w:right w:w="0" w:type="dxa"/>
                    </w:tblCellMar>
                  </w:tblPr>
                  <w:tblGrid>
                    <w:gridCol w:w="510"/>
                    <w:gridCol w:w="750"/>
                    <w:gridCol w:w="885"/>
                    <w:gridCol w:w="2160"/>
                    <w:gridCol w:w="1215"/>
                    <w:gridCol w:w="450"/>
                    <w:gridCol w:w="1695"/>
                    <w:gridCol w:w="1830"/>
                    <w:gridCol w:w="1380"/>
                  </w:tblGrid>
                  <w:tr>
                    <w:tblPrEx>
                      <w:tblCellMar>
                        <w:top w:w="0" w:type="dxa"/>
                        <w:left w:w="0" w:type="dxa"/>
                        <w:bottom w:w="0" w:type="dxa"/>
                        <w:right w:w="0" w:type="dxa"/>
                      </w:tblCellMar>
                    </w:tblPrEx>
                    <w:trPr>
                      <w:trHeight w:val="640" w:hRule="atLeast"/>
                    </w:trPr>
                    <w:tc>
                      <w:tcPr>
                        <w:tcW w:w="10875" w:type="dxa"/>
                        <w:gridSpan w:val="9"/>
                        <w:tcBorders>
                          <w:top w:val="nil"/>
                          <w:left w:val="nil"/>
                          <w:bottom w:val="single" w:color="000000" w:sz="4" w:space="0"/>
                          <w:right w:val="nil"/>
                        </w:tcBorders>
                        <w:shd w:val="clear" w:color="auto" w:fill="FFFFFF"/>
                        <w:tcMar>
                          <w:top w:w="15" w:type="dxa"/>
                          <w:left w:w="15" w:type="dxa"/>
                          <w:right w:w="15" w:type="dxa"/>
                        </w:tcMar>
                        <w:vAlign w:val="center"/>
                      </w:tcPr>
                      <w:p>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村级光伏扶贫电站并网线路配套建设项目绩效目标自评表</w:t>
                        </w:r>
                        <w:r>
                          <w:rPr>
                            <w:rFonts w:hint="eastAsia" w:ascii="宋体" w:hAnsi="宋体" w:eastAsia="宋体" w:cs="宋体"/>
                            <w:b/>
                            <w:color w:val="000000"/>
                            <w:kern w:val="0"/>
                            <w:sz w:val="22"/>
                          </w:rPr>
                          <w:br w:type="textWrapping"/>
                        </w:r>
                        <w:r>
                          <w:rPr>
                            <w:rFonts w:hint="eastAsia" w:ascii="宋体" w:hAnsi="宋体" w:eastAsia="宋体" w:cs="宋体"/>
                            <w:color w:val="000000"/>
                            <w:kern w:val="0"/>
                            <w:sz w:val="22"/>
                          </w:rPr>
                          <w:t>（2019年度）</w:t>
                        </w:r>
                      </w:p>
                    </w:tc>
                  </w:tr>
                  <w:tr>
                    <w:tblPrEx>
                      <w:tblCellMar>
                        <w:top w:w="0" w:type="dxa"/>
                        <w:left w:w="0" w:type="dxa"/>
                        <w:bottom w:w="0" w:type="dxa"/>
                        <w:right w:w="0" w:type="dxa"/>
                      </w:tblCellMar>
                    </w:tblPrEx>
                    <w:trPr>
                      <w:trHeight w:val="400" w:hRule="atLeast"/>
                    </w:trPr>
                    <w:tc>
                      <w:tcPr>
                        <w:tcW w:w="126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项目名称</w:t>
                        </w:r>
                      </w:p>
                    </w:tc>
                    <w:tc>
                      <w:tcPr>
                        <w:tcW w:w="9615" w:type="dxa"/>
                        <w:gridSpan w:val="7"/>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村级光伏扶贫电站并网线路配套建设项目</w:t>
                        </w:r>
                      </w:p>
                    </w:tc>
                  </w:tr>
                  <w:tr>
                    <w:tblPrEx>
                      <w:tblCellMar>
                        <w:top w:w="0" w:type="dxa"/>
                        <w:left w:w="0" w:type="dxa"/>
                        <w:bottom w:w="0" w:type="dxa"/>
                        <w:right w:w="0" w:type="dxa"/>
                      </w:tblCellMar>
                    </w:tblPrEx>
                    <w:trPr>
                      <w:trHeight w:val="400" w:hRule="atLeast"/>
                    </w:trPr>
                    <w:tc>
                      <w:tcPr>
                        <w:tcW w:w="126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县级主管部门</w:t>
                        </w:r>
                      </w:p>
                    </w:tc>
                    <w:tc>
                      <w:tcPr>
                        <w:tcW w:w="4260"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2145"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实施单位</w:t>
                        </w:r>
                      </w:p>
                    </w:tc>
                    <w:tc>
                      <w:tcPr>
                        <w:tcW w:w="321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蓝田县发展和改革委员会</w:t>
                        </w:r>
                      </w:p>
                    </w:tc>
                  </w:tr>
                  <w:tr>
                    <w:tblPrEx>
                      <w:tblCellMar>
                        <w:top w:w="0" w:type="dxa"/>
                        <w:left w:w="0" w:type="dxa"/>
                        <w:bottom w:w="0" w:type="dxa"/>
                        <w:right w:w="0" w:type="dxa"/>
                      </w:tblCellMar>
                    </w:tblPrEx>
                    <w:trPr>
                      <w:trHeight w:val="400" w:hRule="atLeast"/>
                    </w:trPr>
                    <w:tc>
                      <w:tcPr>
                        <w:tcW w:w="1260" w:type="dxa"/>
                        <w:gridSpan w:val="2"/>
                        <w:vMerge w:val="restart"/>
                        <w:tcBorders>
                          <w:top w:val="single" w:color="000000" w:sz="4" w:space="0"/>
                          <w:left w:val="single" w:color="000000" w:sz="4" w:space="0"/>
                          <w:bottom w:val="nil"/>
                          <w:right w:val="nil"/>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项目资金</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（万元）</w:t>
                        </w: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类别</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年初预算</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全年执行数</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预算执行率</w:t>
                        </w:r>
                      </w:p>
                    </w:tc>
                  </w:tr>
                  <w:tr>
                    <w:tblPrEx>
                      <w:tblCellMar>
                        <w:top w:w="0" w:type="dxa"/>
                        <w:left w:w="0" w:type="dxa"/>
                        <w:bottom w:w="0" w:type="dxa"/>
                        <w:right w:w="0" w:type="dxa"/>
                      </w:tblCellMar>
                    </w:tblPrEx>
                    <w:trPr>
                      <w:trHeight w:val="400" w:hRule="atLeast"/>
                    </w:trPr>
                    <w:tc>
                      <w:tcPr>
                        <w:tcW w:w="1260" w:type="dxa"/>
                        <w:gridSpan w:val="2"/>
                        <w:vMerge w:val="continue"/>
                        <w:tcBorders>
                          <w:top w:val="single" w:color="000000" w:sz="4" w:space="0"/>
                          <w:left w:val="single" w:color="000000" w:sz="4" w:space="0"/>
                          <w:bottom w:val="nil"/>
                          <w:right w:val="nil"/>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年度资金总额：</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181.7</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180.84</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99.53%</w:t>
                        </w:r>
                      </w:p>
                    </w:tc>
                  </w:tr>
                  <w:tr>
                    <w:tblPrEx>
                      <w:tblCellMar>
                        <w:top w:w="0" w:type="dxa"/>
                        <w:left w:w="0" w:type="dxa"/>
                        <w:bottom w:w="0" w:type="dxa"/>
                        <w:right w:w="0" w:type="dxa"/>
                      </w:tblCellMar>
                    </w:tblPrEx>
                    <w:trPr>
                      <w:trHeight w:val="400" w:hRule="atLeast"/>
                    </w:trPr>
                    <w:tc>
                      <w:tcPr>
                        <w:tcW w:w="1260" w:type="dxa"/>
                        <w:gridSpan w:val="2"/>
                        <w:vMerge w:val="continue"/>
                        <w:tcBorders>
                          <w:top w:val="single" w:color="000000" w:sz="4" w:space="0"/>
                          <w:left w:val="single" w:color="000000" w:sz="4" w:space="0"/>
                          <w:bottom w:val="nil"/>
                          <w:right w:val="nil"/>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其中：市级财政资金</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181.7</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180.84</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99.53%</w:t>
                        </w:r>
                      </w:p>
                    </w:tc>
                  </w:tr>
                  <w:tr>
                    <w:tblPrEx>
                      <w:tblCellMar>
                        <w:top w:w="0" w:type="dxa"/>
                        <w:left w:w="0" w:type="dxa"/>
                        <w:bottom w:w="0" w:type="dxa"/>
                        <w:right w:w="0" w:type="dxa"/>
                      </w:tblCellMar>
                    </w:tblPrEx>
                    <w:trPr>
                      <w:trHeight w:val="400" w:hRule="atLeast"/>
                    </w:trPr>
                    <w:tc>
                      <w:tcPr>
                        <w:tcW w:w="1260" w:type="dxa"/>
                        <w:gridSpan w:val="2"/>
                        <w:vMerge w:val="continue"/>
                        <w:tcBorders>
                          <w:top w:val="single" w:color="000000" w:sz="4" w:space="0"/>
                          <w:left w:val="single" w:color="000000" w:sz="4" w:space="0"/>
                          <w:bottom w:val="nil"/>
                          <w:right w:val="nil"/>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3045"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区县财政资金</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ascii="宋体" w:hAnsi="宋体" w:eastAsia="宋体" w:cs="宋体"/>
                            <w:color w:val="000000"/>
                            <w:sz w:val="20"/>
                            <w:szCs w:val="20"/>
                          </w:rPr>
                        </w:pP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00" w:hRule="atLeast"/>
                    </w:trPr>
                    <w:tc>
                      <w:tcPr>
                        <w:tcW w:w="1260" w:type="dxa"/>
                        <w:gridSpan w:val="2"/>
                        <w:vMerge w:val="continue"/>
                        <w:tcBorders>
                          <w:top w:val="single" w:color="000000" w:sz="4" w:space="0"/>
                          <w:left w:val="single" w:color="000000" w:sz="4" w:space="0"/>
                          <w:bottom w:val="nil"/>
                          <w:right w:val="nil"/>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3045" w:type="dxa"/>
                        <w:gridSpan w:val="2"/>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其他资金</w:t>
                        </w:r>
                      </w:p>
                    </w:tc>
                    <w:tc>
                      <w:tcPr>
                        <w:tcW w:w="1665" w:type="dxa"/>
                        <w:gridSpan w:val="2"/>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0" w:type="auto"/>
                        <w:gridSpan w:val="2"/>
                        <w:tcBorders>
                          <w:top w:val="single" w:color="000000" w:sz="4" w:space="0"/>
                          <w:left w:val="single" w:color="000000" w:sz="4" w:space="0"/>
                          <w:bottom w:val="nil"/>
                          <w:right w:val="single" w:color="000000" w:sz="4" w:space="0"/>
                        </w:tcBorders>
                        <w:shd w:val="clear" w:color="auto" w:fill="FFFFFF"/>
                        <w:noWrap/>
                        <w:tcMar>
                          <w:top w:w="15" w:type="dxa"/>
                          <w:left w:w="15" w:type="dxa"/>
                          <w:right w:w="15" w:type="dxa"/>
                        </w:tcMar>
                        <w:vAlign w:val="center"/>
                      </w:tcPr>
                      <w:p>
                        <w:pPr>
                          <w:jc w:val="center"/>
                          <w:rPr>
                            <w:rFonts w:ascii="宋体" w:hAnsi="宋体" w:eastAsia="宋体" w:cs="宋体"/>
                            <w:color w:val="000000"/>
                            <w:sz w:val="20"/>
                            <w:szCs w:val="20"/>
                          </w:rPr>
                        </w:pP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2"/>
                          </w:rPr>
                        </w:pPr>
                      </w:p>
                    </w:tc>
                  </w:tr>
                  <w:tr>
                    <w:tblPrEx>
                      <w:tblCellMar>
                        <w:top w:w="0" w:type="dxa"/>
                        <w:left w:w="0" w:type="dxa"/>
                        <w:bottom w:w="0" w:type="dxa"/>
                        <w:right w:w="0" w:type="dxa"/>
                      </w:tblCellMar>
                    </w:tblPrEx>
                    <w:trPr>
                      <w:trHeight w:val="400" w:hRule="atLeast"/>
                    </w:trPr>
                    <w:tc>
                      <w:tcPr>
                        <w:tcW w:w="51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年度</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总体</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目标</w:t>
                        </w:r>
                      </w:p>
                    </w:tc>
                    <w:tc>
                      <w:tcPr>
                        <w:tcW w:w="5460" w:type="dxa"/>
                        <w:gridSpan w:val="5"/>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年初设定目标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全年实际完成情况</w:t>
                        </w:r>
                      </w:p>
                    </w:tc>
                  </w:tr>
                  <w:tr>
                    <w:tblPrEx>
                      <w:tblCellMar>
                        <w:top w:w="0" w:type="dxa"/>
                        <w:left w:w="0" w:type="dxa"/>
                        <w:bottom w:w="0" w:type="dxa"/>
                        <w:right w:w="0" w:type="dxa"/>
                      </w:tblCellMar>
                    </w:tblPrEx>
                    <w:trPr>
                      <w:trHeight w:val="522"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5460" w:type="dxa"/>
                        <w:gridSpan w:val="5"/>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完成6个镇街30个贫困村31个光伏电站与供电公司400V线路连接并网配套设施建设，实现电站并网发电，增加村集体收入，带动2707户贫困户脱贫增收。减少碳排放，实现空气质量持续提升。光伏电站年发电量不小于300万千瓦时，年发电收入不小于40.43万元，参与光伏扶贫的贫困人口户均年收入增加1000元。</w:t>
                        </w:r>
                      </w:p>
                    </w:tc>
                    <w:tc>
                      <w:tcPr>
                        <w:tcW w:w="4905"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全面完成了6个镇街30个贫困村31个光伏电站与供电公司400V线路连接并网配套设施建设，实现电站并网发电，增加村集体收入，带动2707户贫困户脱贫增收。减少碳排放，实现空气质量持续提升。光伏电站年发电总量391.51万千瓦时，年发电收益52.96万元，参与光伏扶贫的贫困人口户均年收入增加1000元。</w:t>
                        </w:r>
                      </w:p>
                    </w:tc>
                  </w:tr>
                  <w:tr>
                    <w:tblPrEx>
                      <w:tblCellMar>
                        <w:top w:w="0" w:type="dxa"/>
                        <w:left w:w="0" w:type="dxa"/>
                        <w:bottom w:w="0" w:type="dxa"/>
                        <w:right w:w="0" w:type="dxa"/>
                      </w:tblCellMar>
                    </w:tblPrEx>
                    <w:trPr>
                      <w:trHeight w:val="114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5460" w:type="dxa"/>
                        <w:gridSpan w:val="5"/>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宋体" w:hAnsi="宋体" w:eastAsia="宋体" w:cs="宋体"/>
                            <w:color w:val="000000"/>
                            <w:sz w:val="20"/>
                            <w:szCs w:val="20"/>
                          </w:rPr>
                        </w:pPr>
                      </w:p>
                    </w:tc>
                    <w:tc>
                      <w:tcPr>
                        <w:tcW w:w="4905"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1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绩</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效</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指</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标</w:t>
                        </w:r>
                      </w:p>
                    </w:tc>
                    <w:tc>
                      <w:tcPr>
                        <w:tcW w:w="7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一级指标</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二级指标</w:t>
                        </w: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年度指标值</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全年完成情况</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未完成原因和改进措施</w:t>
                        </w:r>
                      </w:p>
                    </w:tc>
                  </w:tr>
                  <w:tr>
                    <w:tblPrEx>
                      <w:tblCellMar>
                        <w:top w:w="0" w:type="dxa"/>
                        <w:left w:w="0" w:type="dxa"/>
                        <w:bottom w:w="0" w:type="dxa"/>
                        <w:right w:w="0" w:type="dxa"/>
                      </w:tblCellMar>
                    </w:tblPrEx>
                    <w:trPr>
                      <w:trHeight w:val="40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restart"/>
                        <w:tcBorders>
                          <w:top w:val="single" w:color="000000" w:sz="4" w:space="0"/>
                          <w:left w:val="single" w:color="000000" w:sz="4" w:space="0"/>
                          <w:bottom w:val="nil"/>
                          <w:right w:val="nil"/>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产出指标</w:t>
                        </w: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数量指标</w:t>
                        </w: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建设光伏扶贫电站配套设施个数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31个</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continue"/>
                        <w:tcBorders>
                          <w:top w:val="single" w:color="000000" w:sz="4" w:space="0"/>
                          <w:left w:val="single" w:color="000000" w:sz="4" w:space="0"/>
                          <w:bottom w:val="nil"/>
                          <w:right w:val="nil"/>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配套贫困村村级光伏电站建设总规模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3968.2</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千瓦</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3968.2</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千瓦</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0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continue"/>
                        <w:tcBorders>
                          <w:top w:val="single" w:color="000000" w:sz="4" w:space="0"/>
                          <w:left w:val="single" w:color="000000" w:sz="4" w:space="0"/>
                          <w:bottom w:val="nil"/>
                          <w:right w:val="nil"/>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配套贫困村村级光伏电站年总发电量</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≥300</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万千瓦时</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391.51万千瓦时</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0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continue"/>
                        <w:tcBorders>
                          <w:top w:val="single" w:color="000000" w:sz="4" w:space="0"/>
                          <w:left w:val="single" w:color="000000" w:sz="4" w:space="0"/>
                          <w:bottom w:val="nil"/>
                          <w:right w:val="nil"/>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质量指标</w:t>
                        </w: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配套光伏扶贫项目验收合格率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100%</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0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continue"/>
                        <w:tcBorders>
                          <w:top w:val="single" w:color="000000" w:sz="4" w:space="0"/>
                          <w:left w:val="single" w:color="000000" w:sz="4" w:space="0"/>
                          <w:bottom w:val="nil"/>
                          <w:right w:val="nil"/>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时效指标</w:t>
                        </w: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村级光伏扶贫电站并网发电及时完成率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100%</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0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continue"/>
                        <w:tcBorders>
                          <w:top w:val="single" w:color="000000" w:sz="4" w:space="0"/>
                          <w:left w:val="single" w:color="000000" w:sz="4" w:space="0"/>
                          <w:bottom w:val="nil"/>
                          <w:right w:val="nil"/>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885"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成本指标</w:t>
                        </w: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建设光伏扶贫电站周边配套设施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31个</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31个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0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效益指标</w:t>
                        </w: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经济效益指标</w:t>
                        </w: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贫困村村级光伏电站发电总收益</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≥40.43万元</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52.96万元</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0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带动增加贫困村集体经济年收入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≥8.08万元</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10.6万元</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0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参与光伏扶贫的贫困人口户均年收入增加额</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不少于1000元</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1000元</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0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社会效益</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指标</w:t>
                        </w:r>
                      </w:p>
                    </w:tc>
                    <w:tc>
                      <w:tcPr>
                        <w:tcW w:w="3825" w:type="dxa"/>
                        <w:gridSpan w:val="3"/>
                        <w:tcBorders>
                          <w:top w:val="single" w:color="000000" w:sz="4" w:space="0"/>
                          <w:left w:val="single" w:color="000000" w:sz="4" w:space="0"/>
                          <w:bottom w:val="single" w:color="000000" w:sz="4" w:space="0"/>
                          <w:right w:val="single" w:color="000000" w:sz="4" w:space="0"/>
                        </w:tcBorders>
                        <w:shd w:val="clear" w:color="000000"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受益建档立卡贫困户数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2707户</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2707户</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0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3825" w:type="dxa"/>
                        <w:gridSpan w:val="3"/>
                        <w:tcBorders>
                          <w:top w:val="single" w:color="000000" w:sz="4" w:space="0"/>
                          <w:left w:val="single" w:color="000000" w:sz="4" w:space="0"/>
                          <w:bottom w:val="single" w:color="000000" w:sz="4" w:space="0"/>
                          <w:right w:val="single" w:color="000000" w:sz="4" w:space="0"/>
                        </w:tcBorders>
                        <w:shd w:val="clear" w:color="000000"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受益建档立卡贫困人口数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8121人</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8121人</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0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生态效益指标</w:t>
                        </w:r>
                      </w:p>
                    </w:tc>
                    <w:tc>
                      <w:tcPr>
                        <w:tcW w:w="3825" w:type="dxa"/>
                        <w:gridSpan w:val="3"/>
                        <w:tcBorders>
                          <w:top w:val="single" w:color="000000" w:sz="4" w:space="0"/>
                          <w:left w:val="single" w:color="000000" w:sz="4" w:space="0"/>
                          <w:bottom w:val="single" w:color="000000" w:sz="4" w:space="0"/>
                          <w:right w:val="single" w:color="000000" w:sz="4" w:space="0"/>
                        </w:tcBorders>
                        <w:shd w:val="clear" w:color="000000"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减少燃煤使用和碳排放</w:t>
                        </w:r>
                      </w:p>
                    </w:tc>
                    <w:tc>
                      <w:tcPr>
                        <w:tcW w:w="0" w:type="auto"/>
                        <w:tcBorders>
                          <w:top w:val="single" w:color="000000" w:sz="4" w:space="0"/>
                          <w:left w:val="single" w:color="000000" w:sz="4" w:space="0"/>
                          <w:bottom w:val="single" w:color="000000" w:sz="4" w:space="0"/>
                          <w:right w:val="single" w:color="000000" w:sz="4" w:space="0"/>
                        </w:tcBorders>
                        <w:shd w:val="clear" w:color="000000"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空气质量持续提升</w:t>
                        </w:r>
                      </w:p>
                    </w:tc>
                    <w:tc>
                      <w:tcPr>
                        <w:tcW w:w="1830" w:type="dxa"/>
                        <w:tcBorders>
                          <w:top w:val="single" w:color="000000" w:sz="4" w:space="0"/>
                          <w:left w:val="single" w:color="000000" w:sz="4" w:space="0"/>
                          <w:bottom w:val="single" w:color="000000" w:sz="4" w:space="0"/>
                          <w:right w:val="single" w:color="000000" w:sz="4" w:space="0"/>
                        </w:tcBorders>
                        <w:shd w:val="clear" w:color="000000"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空气质量持续提升</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可持续影响指标</w:t>
                        </w: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光伏扶贫电站持续运营年限</w:t>
                        </w:r>
                      </w:p>
                    </w:tc>
                    <w:tc>
                      <w:tcPr>
                        <w:tcW w:w="0" w:type="auto"/>
                        <w:tcBorders>
                          <w:top w:val="single" w:color="000000" w:sz="4" w:space="0"/>
                          <w:left w:val="single" w:color="000000" w:sz="4" w:space="0"/>
                          <w:bottom w:val="single" w:color="000000" w:sz="4" w:space="0"/>
                          <w:right w:val="single" w:color="000000" w:sz="4" w:space="0"/>
                        </w:tcBorders>
                        <w:shd w:val="clear" w:color="000000"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20年</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20年</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72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7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满意度指标</w:t>
                        </w:r>
                      </w:p>
                    </w:tc>
                    <w:tc>
                      <w:tcPr>
                        <w:tcW w:w="8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服务对象</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满意度指标</w:t>
                        </w:r>
                      </w:p>
                    </w:tc>
                    <w:tc>
                      <w:tcPr>
                        <w:tcW w:w="382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参与光伏扶贫的贫困人口满意度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100%</w:t>
                        </w:r>
                      </w:p>
                    </w:tc>
                    <w:tc>
                      <w:tcPr>
                        <w:tcW w:w="18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r>
                </w:tbl>
                <w:p>
                  <w:pPr>
                    <w:rPr>
                      <w:rFonts w:hint="eastAsia"/>
                    </w:rPr>
                  </w:pPr>
                </w:p>
              </w:txbxContent>
            </v:textbox>
            <w10:wrap type="square"/>
          </v:shape>
        </w:pict>
      </w:r>
    </w:p>
    <w:p>
      <w:pPr>
        <w:pStyle w:val="7"/>
        <w:spacing w:before="0" w:beforeAutospacing="0" w:after="0" w:afterAutospacing="0" w:line="560" w:lineRule="exact"/>
        <w:ind w:firstLine="480"/>
        <w:rPr>
          <w:rFonts w:ascii="仿宋" w:hAnsi="仿宋" w:eastAsia="仿宋" w:cs="Times New Roman"/>
          <w:b/>
          <w:sz w:val="32"/>
          <w:szCs w:val="32"/>
        </w:rPr>
      </w:pPr>
      <w:r>
        <w:rPr>
          <w:rFonts w:hint="eastAsia" w:ascii="仿宋" w:hAnsi="仿宋" w:eastAsia="仿宋" w:cs="Times New Roman"/>
          <w:b/>
          <w:sz w:val="32"/>
          <w:szCs w:val="32"/>
        </w:rPr>
        <w:t>十一</w:t>
      </w:r>
      <w:r>
        <w:rPr>
          <w:rFonts w:ascii="仿宋" w:hAnsi="仿宋" w:eastAsia="仿宋" w:cs="Times New Roman"/>
          <w:b/>
          <w:sz w:val="32"/>
          <w:szCs w:val="32"/>
        </w:rPr>
        <w:t>、其他重要事项情况说明</w:t>
      </w:r>
    </w:p>
    <w:p>
      <w:pPr>
        <w:pStyle w:val="7"/>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（一）机关运行经费支出情况说明。</w:t>
      </w:r>
    </w:p>
    <w:p>
      <w:pPr>
        <w:pStyle w:val="7"/>
        <w:spacing w:before="0" w:beforeAutospacing="0" w:after="0" w:afterAutospacing="0" w:line="560" w:lineRule="exact"/>
        <w:ind w:firstLine="800" w:firstLineChars="250"/>
        <w:rPr>
          <w:rFonts w:ascii="仿宋" w:hAnsi="仿宋" w:eastAsia="仿宋" w:cs="Times New Roman"/>
          <w:sz w:val="32"/>
          <w:szCs w:val="32"/>
        </w:rPr>
      </w:pPr>
      <w:r>
        <w:rPr>
          <w:rFonts w:ascii="仿宋" w:hAnsi="仿宋" w:eastAsia="仿宋" w:cs="Times New Roman"/>
          <w:sz w:val="32"/>
          <w:szCs w:val="32"/>
        </w:rPr>
        <w:t>201</w:t>
      </w:r>
      <w:r>
        <w:rPr>
          <w:rFonts w:hint="eastAsia" w:ascii="仿宋" w:hAnsi="仿宋" w:eastAsia="仿宋" w:cs="Times New Roman"/>
          <w:sz w:val="32"/>
          <w:szCs w:val="32"/>
        </w:rPr>
        <w:t>9</w:t>
      </w:r>
      <w:r>
        <w:rPr>
          <w:rFonts w:ascii="仿宋" w:hAnsi="仿宋" w:eastAsia="仿宋" w:cs="Times New Roman"/>
          <w:sz w:val="32"/>
          <w:szCs w:val="32"/>
        </w:rPr>
        <w:t>年度机关运</w:t>
      </w:r>
      <w:r>
        <w:rPr>
          <w:rFonts w:hint="eastAsia" w:ascii="仿宋" w:hAnsi="仿宋" w:eastAsia="仿宋" w:cs="Times New Roman"/>
          <w:sz w:val="32"/>
          <w:szCs w:val="32"/>
        </w:rPr>
        <w:t>行经</w:t>
      </w:r>
      <w:r>
        <w:rPr>
          <w:rFonts w:ascii="仿宋" w:hAnsi="仿宋" w:eastAsia="仿宋" w:cs="Times New Roman"/>
          <w:sz w:val="32"/>
          <w:szCs w:val="32"/>
        </w:rPr>
        <w:t>费预算为</w:t>
      </w:r>
      <w:r>
        <w:rPr>
          <w:rFonts w:hint="eastAsia" w:ascii="仿宋" w:hAnsi="仿宋" w:eastAsia="仿宋" w:cs="Times New Roman"/>
          <w:sz w:val="32"/>
          <w:szCs w:val="32"/>
        </w:rPr>
        <w:t>13.41</w:t>
      </w:r>
      <w:r>
        <w:rPr>
          <w:rFonts w:ascii="仿宋" w:hAnsi="仿宋" w:eastAsia="仿宋" w:cs="Times New Roman"/>
          <w:sz w:val="32"/>
          <w:szCs w:val="32"/>
        </w:rPr>
        <w:t>万元</w:t>
      </w:r>
      <w:r>
        <w:rPr>
          <w:rFonts w:hint="eastAsia" w:ascii="仿宋" w:hAnsi="仿宋" w:eastAsia="仿宋" w:cs="Times New Roman"/>
          <w:sz w:val="32"/>
          <w:szCs w:val="32"/>
        </w:rPr>
        <w:t>，</w:t>
      </w:r>
      <w:r>
        <w:rPr>
          <w:rFonts w:ascii="仿宋" w:hAnsi="仿宋" w:eastAsia="仿宋" w:cs="Times New Roman"/>
          <w:sz w:val="32"/>
          <w:szCs w:val="32"/>
        </w:rPr>
        <w:t>支出决算数为</w:t>
      </w:r>
      <w:r>
        <w:rPr>
          <w:rFonts w:hint="eastAsia" w:ascii="仿宋" w:hAnsi="仿宋" w:eastAsia="仿宋" w:cs="Times New Roman"/>
          <w:sz w:val="32"/>
          <w:szCs w:val="32"/>
        </w:rPr>
        <w:t>19.04</w:t>
      </w:r>
      <w:r>
        <w:rPr>
          <w:rFonts w:ascii="仿宋" w:hAnsi="仿宋" w:eastAsia="仿宋" w:cs="Times New Roman"/>
          <w:sz w:val="32"/>
          <w:szCs w:val="32"/>
        </w:rPr>
        <w:t>万元，完成预算的</w:t>
      </w:r>
      <w:r>
        <w:rPr>
          <w:rFonts w:hint="eastAsia" w:ascii="仿宋" w:hAnsi="仿宋" w:eastAsia="仿宋" w:cs="Times New Roman"/>
          <w:sz w:val="32"/>
          <w:szCs w:val="32"/>
        </w:rPr>
        <w:t>141.98%。决算</w:t>
      </w:r>
      <w:r>
        <w:rPr>
          <w:rFonts w:ascii="仿宋" w:hAnsi="仿宋" w:eastAsia="仿宋" w:cs="Times New Roman"/>
          <w:sz w:val="32"/>
          <w:szCs w:val="32"/>
        </w:rPr>
        <w:t>数较预算数增加了</w:t>
      </w:r>
      <w:r>
        <w:rPr>
          <w:rFonts w:hint="eastAsia" w:ascii="仿宋" w:hAnsi="仿宋" w:eastAsia="仿宋" w:cs="Times New Roman"/>
          <w:sz w:val="32"/>
          <w:szCs w:val="32"/>
        </w:rPr>
        <w:t>5.63</w:t>
      </w:r>
      <w:r>
        <w:rPr>
          <w:rFonts w:ascii="仿宋" w:hAnsi="仿宋" w:eastAsia="仿宋" w:cs="Times New Roman"/>
          <w:sz w:val="32"/>
          <w:szCs w:val="32"/>
        </w:rPr>
        <w:t>万元</w:t>
      </w:r>
      <w:r>
        <w:rPr>
          <w:rFonts w:hint="eastAsia" w:ascii="仿宋" w:hAnsi="仿宋" w:eastAsia="仿宋" w:cs="Times New Roman"/>
          <w:sz w:val="32"/>
          <w:szCs w:val="32"/>
        </w:rPr>
        <w:t>，</w:t>
      </w:r>
      <w:r>
        <w:rPr>
          <w:rFonts w:ascii="仿宋" w:hAnsi="仿宋" w:eastAsia="仿宋" w:cs="Times New Roman"/>
          <w:sz w:val="32"/>
          <w:szCs w:val="32"/>
        </w:rPr>
        <w:t>主要原因</w:t>
      </w:r>
      <w:r>
        <w:rPr>
          <w:rFonts w:hint="eastAsia" w:ascii="仿宋" w:hAnsi="仿宋" w:eastAsia="仿宋" w:cs="Times New Roman"/>
          <w:sz w:val="32"/>
          <w:szCs w:val="32"/>
        </w:rPr>
        <w:t>是因机构改革， 2019年6月份原物价局机关5名行政人员划转发改委，蓝田县价格认证中心划归为发改委下属事业单位，增加事业人员4名，共增加9人。年初预算数不含这9人，决算数包含这9人的费用。</w:t>
      </w:r>
    </w:p>
    <w:p>
      <w:pPr>
        <w:pStyle w:val="7"/>
        <w:spacing w:before="0" w:beforeAutospacing="0" w:after="0" w:afterAutospacing="0" w:line="560" w:lineRule="exact"/>
        <w:ind w:firstLine="480"/>
        <w:rPr>
          <w:rFonts w:ascii="仿宋" w:hAnsi="仿宋" w:eastAsia="仿宋" w:cs="Times New Roman"/>
          <w:sz w:val="72"/>
          <w:szCs w:val="72"/>
        </w:rPr>
      </w:pPr>
      <w:r>
        <w:rPr>
          <w:rFonts w:ascii="仿宋" w:hAnsi="仿宋" w:eastAsia="仿宋" w:cs="Times New Roman"/>
          <w:sz w:val="32"/>
          <w:szCs w:val="32"/>
        </w:rPr>
        <w:t>（</w:t>
      </w:r>
      <w:r>
        <w:rPr>
          <w:rFonts w:hint="eastAsia" w:ascii="仿宋" w:hAnsi="仿宋" w:eastAsia="仿宋" w:cs="Times New Roman"/>
          <w:sz w:val="32"/>
          <w:szCs w:val="32"/>
        </w:rPr>
        <w:t>二</w:t>
      </w:r>
      <w:r>
        <w:rPr>
          <w:rFonts w:ascii="仿宋" w:hAnsi="仿宋" w:eastAsia="仿宋" w:cs="Times New Roman"/>
          <w:sz w:val="32"/>
          <w:szCs w:val="32"/>
        </w:rPr>
        <w:t>）政府采购支出情况说明</w:t>
      </w:r>
      <w:r>
        <w:rPr>
          <w:rFonts w:hint="eastAsia" w:ascii="仿宋" w:hAnsi="仿宋" w:eastAsia="仿宋" w:cs="Times New Roman"/>
          <w:sz w:val="32"/>
          <w:szCs w:val="32"/>
        </w:rPr>
        <w:t>。</w:t>
      </w:r>
    </w:p>
    <w:p>
      <w:pPr>
        <w:pStyle w:val="7"/>
        <w:spacing w:before="0" w:beforeAutospacing="0" w:after="0" w:afterAutospacing="0" w:line="560" w:lineRule="exact"/>
        <w:ind w:firstLine="480"/>
        <w:rPr>
          <w:rFonts w:ascii="仿宋" w:hAnsi="仿宋" w:eastAsia="仿宋" w:cs="Times New Roman"/>
          <w:sz w:val="32"/>
          <w:szCs w:val="32"/>
        </w:rPr>
      </w:pPr>
      <w:r>
        <w:rPr>
          <w:rFonts w:hint="eastAsia" w:ascii="仿宋" w:hAnsi="仿宋" w:eastAsia="仿宋" w:cs="Times New Roman"/>
          <w:sz w:val="32"/>
          <w:szCs w:val="32"/>
        </w:rPr>
        <w:t>本部门2019年度无政府采购支出。</w:t>
      </w:r>
    </w:p>
    <w:p>
      <w:pPr>
        <w:pStyle w:val="7"/>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三</w:t>
      </w:r>
      <w:r>
        <w:rPr>
          <w:rFonts w:ascii="仿宋" w:hAnsi="仿宋" w:eastAsia="仿宋" w:cs="Times New Roman"/>
          <w:sz w:val="32"/>
          <w:szCs w:val="32"/>
        </w:rPr>
        <w:t>）国有资产占用及购置情况说明。</w:t>
      </w:r>
    </w:p>
    <w:p>
      <w:pPr>
        <w:pStyle w:val="7"/>
        <w:spacing w:before="0" w:beforeAutospacing="0" w:after="0" w:afterAutospacing="0" w:line="560" w:lineRule="exact"/>
        <w:ind w:firstLine="480"/>
        <w:rPr>
          <w:rFonts w:ascii="仿宋" w:hAnsi="仿宋" w:eastAsia="仿宋"/>
          <w:sz w:val="32"/>
          <w:szCs w:val="32"/>
        </w:rPr>
      </w:pPr>
      <w:r>
        <w:rPr>
          <w:rFonts w:hint="eastAsia" w:ascii="仿宋" w:hAnsi="仿宋" w:eastAsia="仿宋" w:cs="Times New Roman"/>
          <w:sz w:val="32"/>
          <w:szCs w:val="32"/>
        </w:rPr>
        <w:t>截至</w:t>
      </w:r>
      <w:r>
        <w:rPr>
          <w:rFonts w:ascii="仿宋" w:hAnsi="仿宋" w:eastAsia="仿宋" w:cs="Times New Roman"/>
          <w:sz w:val="32"/>
          <w:szCs w:val="32"/>
        </w:rPr>
        <w:t>201</w:t>
      </w:r>
      <w:r>
        <w:rPr>
          <w:rFonts w:hint="eastAsia" w:ascii="仿宋" w:hAnsi="仿宋" w:eastAsia="仿宋" w:cs="Times New Roman"/>
          <w:sz w:val="32"/>
          <w:szCs w:val="32"/>
        </w:rPr>
        <w:t>9年末，本部门机关及所属单位共有车辆0辆；单价</w:t>
      </w:r>
      <w:r>
        <w:rPr>
          <w:rFonts w:ascii="仿宋" w:hAnsi="仿宋" w:eastAsia="仿宋" w:cs="Times New Roman"/>
          <w:sz w:val="32"/>
          <w:szCs w:val="32"/>
        </w:rPr>
        <w:t>50</w:t>
      </w:r>
      <w:r>
        <w:rPr>
          <w:rFonts w:hint="eastAsia" w:ascii="仿宋" w:hAnsi="仿宋" w:eastAsia="仿宋" w:cs="Times New Roman"/>
          <w:sz w:val="32"/>
          <w:szCs w:val="32"/>
        </w:rPr>
        <w:t>万元以上的通用设备0台（套）；单价</w:t>
      </w:r>
      <w:r>
        <w:rPr>
          <w:rFonts w:ascii="仿宋" w:hAnsi="仿宋" w:eastAsia="仿宋" w:cs="Times New Roman"/>
          <w:sz w:val="32"/>
          <w:szCs w:val="32"/>
        </w:rPr>
        <w:t>100</w:t>
      </w:r>
      <w:r>
        <w:rPr>
          <w:rFonts w:hint="eastAsia" w:ascii="仿宋" w:hAnsi="仿宋" w:eastAsia="仿宋" w:cs="Times New Roman"/>
          <w:sz w:val="32"/>
          <w:szCs w:val="32"/>
        </w:rPr>
        <w:t>万元以上的专用设备0台（套）。</w:t>
      </w:r>
      <w:r>
        <w:rPr>
          <w:rFonts w:ascii="仿宋" w:hAnsi="仿宋" w:eastAsia="仿宋" w:cs="Times New Roman"/>
          <w:sz w:val="32"/>
          <w:szCs w:val="32"/>
        </w:rPr>
        <w:t>201</w:t>
      </w:r>
      <w:r>
        <w:rPr>
          <w:rFonts w:hint="eastAsia" w:ascii="仿宋" w:hAnsi="仿宋" w:eastAsia="仿宋" w:cs="Times New Roman"/>
          <w:sz w:val="32"/>
          <w:szCs w:val="32"/>
        </w:rPr>
        <w:t>9年当年购置车辆0辆；购置单价</w:t>
      </w:r>
      <w:r>
        <w:rPr>
          <w:rFonts w:ascii="仿宋" w:hAnsi="仿宋" w:eastAsia="仿宋" w:cs="Times New Roman"/>
          <w:sz w:val="32"/>
          <w:szCs w:val="32"/>
        </w:rPr>
        <w:t>50</w:t>
      </w:r>
      <w:r>
        <w:rPr>
          <w:rFonts w:hint="eastAsia" w:ascii="仿宋" w:hAnsi="仿宋" w:eastAsia="仿宋"/>
          <w:sz w:val="32"/>
          <w:szCs w:val="32"/>
        </w:rPr>
        <w:t>万元以上的通用设备0台（套）；购置单价</w:t>
      </w:r>
      <w:r>
        <w:rPr>
          <w:rFonts w:ascii="仿宋" w:hAnsi="仿宋" w:eastAsia="仿宋"/>
          <w:sz w:val="32"/>
          <w:szCs w:val="32"/>
        </w:rPr>
        <w:t>100</w:t>
      </w:r>
      <w:r>
        <w:rPr>
          <w:rFonts w:hint="eastAsia" w:ascii="仿宋" w:hAnsi="仿宋" w:eastAsia="仿宋"/>
          <w:sz w:val="32"/>
          <w:szCs w:val="32"/>
        </w:rPr>
        <w:t>万元以上的专用设备0台（套）。</w:t>
      </w:r>
    </w:p>
    <w:p>
      <w:pPr>
        <w:pStyle w:val="7"/>
        <w:spacing w:before="0" w:beforeAutospacing="0" w:after="0" w:afterAutospacing="0" w:line="560" w:lineRule="exact"/>
        <w:ind w:firstLine="480"/>
        <w:rPr>
          <w:rFonts w:ascii="黑体" w:hAnsi="黑体" w:eastAsia="黑体" w:cs="Times New Roman"/>
          <w:sz w:val="48"/>
          <w:szCs w:val="48"/>
        </w:rPr>
      </w:pPr>
    </w:p>
    <w:p>
      <w:pPr>
        <w:pStyle w:val="7"/>
        <w:spacing w:before="0" w:beforeAutospacing="0" w:after="0" w:afterAutospacing="0" w:line="560" w:lineRule="exact"/>
        <w:ind w:firstLine="480"/>
        <w:rPr>
          <w:rFonts w:ascii="黑体" w:hAnsi="黑体" w:eastAsia="黑体" w:cs="Times New Roman"/>
          <w:sz w:val="48"/>
          <w:szCs w:val="48"/>
        </w:rPr>
      </w:pPr>
      <w:r>
        <w:rPr>
          <w:rFonts w:ascii="黑体" w:hAnsi="黑体" w:eastAsia="黑体" w:cs="Times New Roman"/>
          <w:sz w:val="48"/>
          <w:szCs w:val="48"/>
        </w:rPr>
        <w:t>第四部分专业名词解释</w:t>
      </w:r>
    </w:p>
    <w:p>
      <w:pPr>
        <w:pStyle w:val="7"/>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1、基本支出：指为保障机构正常运转、完成日常工作任务而发生的各项支出。</w:t>
      </w:r>
    </w:p>
    <w:p>
      <w:pPr>
        <w:pStyle w:val="7"/>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2、项目支出：指单位为完成特定的行政工作任务或事业发展目标所发生的各项支出。</w:t>
      </w:r>
    </w:p>
    <w:p>
      <w:pPr>
        <w:pStyle w:val="7"/>
        <w:spacing w:before="0" w:beforeAutospacing="0" w:after="0" w:afterAutospacing="0" w:line="560" w:lineRule="exact"/>
        <w:ind w:firstLine="480"/>
        <w:rPr>
          <w:rFonts w:ascii="仿宋" w:hAnsi="仿宋" w:eastAsia="仿宋" w:cs="Times New Roman"/>
          <w:sz w:val="32"/>
          <w:szCs w:val="32"/>
        </w:rPr>
      </w:pPr>
      <w:r>
        <w:rPr>
          <w:rFonts w:ascii="仿宋" w:hAnsi="仿宋" w:eastAsia="仿宋" w:cs="Times New Roman"/>
          <w:sz w:val="32"/>
          <w:szCs w:val="32"/>
        </w:rPr>
        <w:t>3、“三公”经费：指部门使用一般公共预算财政拨款安排的因公出国（境）费、公务用车购置及运行费和公务接待费支出。</w:t>
      </w:r>
    </w:p>
    <w:p>
      <w:pPr>
        <w:pStyle w:val="7"/>
        <w:spacing w:before="0" w:beforeAutospacing="0" w:after="0" w:afterAutospacing="0" w:line="560" w:lineRule="exact"/>
        <w:ind w:firstLine="480"/>
        <w:rPr>
          <w:rFonts w:ascii="仿宋" w:hAnsi="仿宋" w:eastAsia="仿宋" w:cs="Times New Roman"/>
          <w:sz w:val="32"/>
          <w:szCs w:val="32"/>
        </w:rPr>
      </w:pPr>
      <w:r>
        <w:rPr>
          <w:rFonts w:hint="eastAsia" w:ascii="仿宋" w:hAnsi="仿宋" w:eastAsia="仿宋" w:cs="Times New Roman"/>
          <w:sz w:val="32"/>
          <w:szCs w:val="32"/>
        </w:rPr>
        <w:t>4、财政拨款收入：指本级财政当年拨付的资金。</w:t>
      </w:r>
    </w:p>
    <w:p>
      <w:pPr>
        <w:pStyle w:val="7"/>
        <w:spacing w:before="0" w:beforeAutospacing="0" w:after="0" w:afterAutospacing="0" w:line="560" w:lineRule="exact"/>
        <w:ind w:firstLine="480"/>
        <w:rPr>
          <w:rFonts w:ascii="仿宋" w:hAnsi="仿宋" w:eastAsia="仿宋" w:cs="Times New Roman"/>
          <w:sz w:val="32"/>
          <w:szCs w:val="32"/>
        </w:rPr>
      </w:pPr>
      <w:r>
        <w:rPr>
          <w:rFonts w:hint="eastAsia" w:ascii="仿宋" w:hAnsi="仿宋" w:eastAsia="仿宋" w:cs="Times New Roman"/>
          <w:sz w:val="32"/>
          <w:szCs w:val="32"/>
        </w:rPr>
        <w:t>5、调整预算数：填列经调整后的全年预算数，包括年初预算数和预算调增调减数，即：调整预算数=年初预算数+预算调增数-预算调减数</w:t>
      </w:r>
    </w:p>
    <w:p>
      <w:pPr>
        <w:ind w:firstLine="640" w:firstLineChars="200"/>
        <w:jc w:val="left"/>
        <w:rPr>
          <w:rFonts w:ascii="仿宋" w:hAnsi="仿宋" w:eastAsia="仿宋" w:cs="Times New Roman"/>
          <w:sz w:val="32"/>
          <w:szCs w:val="32"/>
        </w:rPr>
      </w:pPr>
    </w:p>
    <w:p>
      <w:pPr>
        <w:pStyle w:val="7"/>
        <w:spacing w:before="0" w:beforeAutospacing="0" w:after="0" w:afterAutospacing="0" w:line="560" w:lineRule="exact"/>
        <w:ind w:firstLine="480"/>
        <w:rPr>
          <w:rFonts w:ascii="仿宋" w:hAnsi="仿宋" w:eastAsia="仿宋" w:cs="Times New Roman"/>
          <w:sz w:val="32"/>
          <w:szCs w:val="32"/>
          <w:highlight w:val="green"/>
        </w:rPr>
      </w:pPr>
      <w:r>
        <w:rPr>
          <w:rFonts w:ascii="仿宋" w:hAnsi="仿宋" w:eastAsia="仿宋" w:cs="Times New Roman"/>
          <w:sz w:val="32"/>
          <w:szCs w:val="32"/>
        </w:rPr>
        <w:drawing>
          <wp:inline distT="0" distB="0" distL="0" distR="0">
            <wp:extent cx="4336415" cy="3053080"/>
            <wp:effectExtent l="19050" t="0" r="6730" b="0"/>
            <wp:docPr id="1" name="图片 10" descr="C:\Users\Lenovo\AppData\Roaming\Tencent\Users\573433765\QQ\WinTemp\RichOle\RV}}B7~G0H_L2ZK7KUB_T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descr="C:\Users\Lenovo\AppData\Roaming\Tencent\Users\573433765\QQ\WinTemp\RichOle\RV}}B7~G0H_L2ZK7KUB_TPI.png"/>
                    <pic:cNvPicPr>
                      <a:picLocks noChangeAspect="1" noChangeArrowheads="1"/>
                    </pic:cNvPicPr>
                  </pic:nvPicPr>
                  <pic:blipFill>
                    <a:blip r:embed="rId17"/>
                    <a:srcRect/>
                    <a:stretch>
                      <a:fillRect/>
                    </a:stretch>
                  </pic:blipFill>
                  <pic:spPr>
                    <a:xfrm>
                      <a:off x="0" y="0"/>
                      <a:ext cx="4342242" cy="3057224"/>
                    </a:xfrm>
                    <a:prstGeom prst="rect">
                      <a:avLst/>
                    </a:prstGeom>
                    <a:noFill/>
                    <a:ln w="9525">
                      <a:noFill/>
                      <a:miter lim="800000"/>
                      <a:headEnd/>
                      <a:tailEnd/>
                    </a:ln>
                  </pic:spPr>
                </pic:pic>
              </a:graphicData>
            </a:graphic>
          </wp:inline>
        </w:drawing>
      </w:r>
    </w:p>
    <w:sectPr>
      <w:footerReference r:id="rId7" w:type="default"/>
      <w:footerReference r:id="rId8" w:type="even"/>
      <w:pgSz w:w="11906" w:h="16838"/>
      <w:pgMar w:top="1440" w:right="1800" w:bottom="1440" w:left="1800" w:header="851" w:footer="992" w:gutter="0"/>
      <w:pgNumType w:fmt="numberInDash"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r>
      <w:rPr>
        <w:rFonts w:hint="eastAsia"/>
      </w:rPr>
      <w:pict>
        <v:shape id="_x0000_s3074" o:spid="_x0000_s3074" o:spt="202" type="#_x0000_t202" style="position:absolute;left:0pt;margin-left:373.3pt;margin-top:-11.45pt;height:144pt;width:144pt;mso-position-horizontal-relative:margin;mso-wrap-style:none;z-index:251671552;mso-width-relative:page;mso-height-relative:page;" filled="f" stroked="f" coordsize="21600,21600" o:gfxdata="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88NcddcA&#10;AAAMAQAADwAAAAAAAAABACAAAAAiAAAAZHJzL2Rvd25yZXYueG1sUEsBAhQAFAAAAAgAh07iQBUL&#10;O8uuAQAATAMAAA4AAAAAAAAAAQAgAAAAJgEAAGRycy9lMm9Eb2MueG1sUEsFBgAAAAAGAAYAWQEA&#10;AEYFAAAAAA==&#10;">
          <v:path/>
          <v:fill on="f" focussize="0,0"/>
          <v:stroke on="f" joinstyle="miter"/>
          <v:imagedata o:title=""/>
          <o:lock v:ext="edit"/>
          <v:textbox inset="0mm,0mm,0mm,0mm" style="mso-fit-shape-to-text:t;">
            <w:txbxContent>
              <w:p>
                <w:pPr>
                  <w:pStyle w:val="5"/>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- 23 -</w:t>
                </w:r>
                <w:r>
                  <w:rPr>
                    <w:rFonts w:hint="eastAsia" w:asciiTheme="minorEastAsia" w:hAnsiTheme="minorEastAsia" w:cstheme="minorEastAsia"/>
                    <w:sz w:val="28"/>
                    <w:szCs w:val="28"/>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r>
      <w:rPr>
        <w:rFonts w:hint="eastAsia"/>
      </w:rPr>
      <w:pict>
        <v:shape id="文本框 8" o:spid="_x0000_s3073" o:spt="202" type="#_x0000_t202" style="position:absolute;left:0pt;margin-left:0pt;margin-top:-10.15pt;height:144pt;width:144pt;mso-position-horizontal-relative:margin;mso-wrap-style:none;z-index:251672576;mso-width-relative:page;mso-height-relative:page;" filled="f" stroked="f" coordsize="21600,21600" o:gfxdata="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PDNeqPUAAAA&#10;CAEAAA8AAAAAAAAAAQAgAAAAIgAAAGRycy9kb3ducmV2LnhtbFBLAQIUABQAAAAIAIdO4kDr2/19&#10;rwEAAEwDAAAOAAAAAAAAAAEAIAAAACMBAABkcnMvZTJvRG9jLnhtbFBLBQYAAAAABgAGAFkBAABE&#10;BQAAAAA=&#10;">
          <v:path/>
          <v:fill on="f" focussize="0,0"/>
          <v:stroke on="f" joinstyle="miter"/>
          <v:imagedata o:title=""/>
          <o:lock v:ext="edit"/>
          <v:textbox inset="0mm,0mm,0mm,0mm" style="mso-fit-shape-to-text:t;">
            <w:txbxContent>
              <w:p>
                <w:pPr>
                  <w:pStyle w:val="5"/>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- 24 -</w:t>
                </w:r>
                <w:r>
                  <w:rPr>
                    <w:rFonts w:hint="eastAsia" w:asciiTheme="minorEastAsia" w:hAnsiTheme="minorEastAsia" w:cstheme="minorEastAsia"/>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74CB9096"/>
    <w:multiLevelType w:val="singleLevel"/>
    <w:tmpl w:val="74CB9096"/>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420"/>
  <w:evenAndOddHeaders w:val="1"/>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Y5NzcyMzliYTY4M2RhMGZhY2FiNzE4MTc1M2E3NGIifQ=="/>
  </w:docVars>
  <w:rsids>
    <w:rsidRoot w:val="00C767C0"/>
    <w:rsid w:val="000035C9"/>
    <w:rsid w:val="000167A5"/>
    <w:rsid w:val="0001795E"/>
    <w:rsid w:val="00021F09"/>
    <w:rsid w:val="000301ED"/>
    <w:rsid w:val="00036D97"/>
    <w:rsid w:val="00053375"/>
    <w:rsid w:val="00053F1D"/>
    <w:rsid w:val="00057795"/>
    <w:rsid w:val="00083397"/>
    <w:rsid w:val="000B53E1"/>
    <w:rsid w:val="000C1D11"/>
    <w:rsid w:val="000D0323"/>
    <w:rsid w:val="000D5011"/>
    <w:rsid w:val="000E0BA1"/>
    <w:rsid w:val="000E3F5F"/>
    <w:rsid w:val="000F455B"/>
    <w:rsid w:val="00100990"/>
    <w:rsid w:val="00131FE6"/>
    <w:rsid w:val="00145B96"/>
    <w:rsid w:val="00153A5E"/>
    <w:rsid w:val="00163CAE"/>
    <w:rsid w:val="00170895"/>
    <w:rsid w:val="00172607"/>
    <w:rsid w:val="00177B68"/>
    <w:rsid w:val="0018564E"/>
    <w:rsid w:val="0019730E"/>
    <w:rsid w:val="001A1DD7"/>
    <w:rsid w:val="001C2D85"/>
    <w:rsid w:val="001D63D8"/>
    <w:rsid w:val="001E2F0A"/>
    <w:rsid w:val="001F2B79"/>
    <w:rsid w:val="0020500B"/>
    <w:rsid w:val="002104E5"/>
    <w:rsid w:val="0023386F"/>
    <w:rsid w:val="002478C6"/>
    <w:rsid w:val="00253F94"/>
    <w:rsid w:val="00256686"/>
    <w:rsid w:val="0025739E"/>
    <w:rsid w:val="00272F7E"/>
    <w:rsid w:val="0027785E"/>
    <w:rsid w:val="0027795F"/>
    <w:rsid w:val="002953AC"/>
    <w:rsid w:val="002A1DAA"/>
    <w:rsid w:val="002A6E9C"/>
    <w:rsid w:val="002B6A04"/>
    <w:rsid w:val="002D132E"/>
    <w:rsid w:val="002E24A2"/>
    <w:rsid w:val="00301316"/>
    <w:rsid w:val="003072CF"/>
    <w:rsid w:val="003269D9"/>
    <w:rsid w:val="0035153C"/>
    <w:rsid w:val="00360E63"/>
    <w:rsid w:val="00364F72"/>
    <w:rsid w:val="0037596C"/>
    <w:rsid w:val="003774A7"/>
    <w:rsid w:val="00387CE2"/>
    <w:rsid w:val="00390EBA"/>
    <w:rsid w:val="00391E33"/>
    <w:rsid w:val="00392357"/>
    <w:rsid w:val="003A2199"/>
    <w:rsid w:val="003C1CAD"/>
    <w:rsid w:val="003C2068"/>
    <w:rsid w:val="003C3143"/>
    <w:rsid w:val="003C5EEE"/>
    <w:rsid w:val="003D0ED0"/>
    <w:rsid w:val="003D426E"/>
    <w:rsid w:val="00402979"/>
    <w:rsid w:val="00412336"/>
    <w:rsid w:val="00424F0C"/>
    <w:rsid w:val="00425F88"/>
    <w:rsid w:val="004353D1"/>
    <w:rsid w:val="00457B82"/>
    <w:rsid w:val="00475497"/>
    <w:rsid w:val="00475CCF"/>
    <w:rsid w:val="00490A23"/>
    <w:rsid w:val="00494A93"/>
    <w:rsid w:val="00495D54"/>
    <w:rsid w:val="00497E65"/>
    <w:rsid w:val="004A6C63"/>
    <w:rsid w:val="004B2D8E"/>
    <w:rsid w:val="004B76C0"/>
    <w:rsid w:val="004C34CB"/>
    <w:rsid w:val="004D2147"/>
    <w:rsid w:val="004D31B8"/>
    <w:rsid w:val="004D3C30"/>
    <w:rsid w:val="004F5288"/>
    <w:rsid w:val="004F6D50"/>
    <w:rsid w:val="0050431B"/>
    <w:rsid w:val="00505AF7"/>
    <w:rsid w:val="00517784"/>
    <w:rsid w:val="00521E49"/>
    <w:rsid w:val="00533EA2"/>
    <w:rsid w:val="00542BC9"/>
    <w:rsid w:val="00551B34"/>
    <w:rsid w:val="005704BC"/>
    <w:rsid w:val="005807E2"/>
    <w:rsid w:val="00591745"/>
    <w:rsid w:val="00593F20"/>
    <w:rsid w:val="005970C8"/>
    <w:rsid w:val="00597764"/>
    <w:rsid w:val="005D0507"/>
    <w:rsid w:val="00600379"/>
    <w:rsid w:val="0061024E"/>
    <w:rsid w:val="00630484"/>
    <w:rsid w:val="00631539"/>
    <w:rsid w:val="006571EC"/>
    <w:rsid w:val="00660178"/>
    <w:rsid w:val="006637C5"/>
    <w:rsid w:val="00691C8F"/>
    <w:rsid w:val="00697095"/>
    <w:rsid w:val="006A7332"/>
    <w:rsid w:val="006B055C"/>
    <w:rsid w:val="006B35E1"/>
    <w:rsid w:val="006B3B37"/>
    <w:rsid w:val="006B61CA"/>
    <w:rsid w:val="006B7460"/>
    <w:rsid w:val="006C6AC2"/>
    <w:rsid w:val="006D268C"/>
    <w:rsid w:val="006E3A0F"/>
    <w:rsid w:val="006E6513"/>
    <w:rsid w:val="007003E9"/>
    <w:rsid w:val="00712D02"/>
    <w:rsid w:val="007172A0"/>
    <w:rsid w:val="0072019A"/>
    <w:rsid w:val="007335AA"/>
    <w:rsid w:val="00740A6B"/>
    <w:rsid w:val="00742EA2"/>
    <w:rsid w:val="00743DB4"/>
    <w:rsid w:val="007639EA"/>
    <w:rsid w:val="00791195"/>
    <w:rsid w:val="007B641D"/>
    <w:rsid w:val="007D388A"/>
    <w:rsid w:val="007E2871"/>
    <w:rsid w:val="007E33D1"/>
    <w:rsid w:val="007E4B41"/>
    <w:rsid w:val="007E52DD"/>
    <w:rsid w:val="008054FC"/>
    <w:rsid w:val="00805F46"/>
    <w:rsid w:val="00807822"/>
    <w:rsid w:val="0081341A"/>
    <w:rsid w:val="00813DE7"/>
    <w:rsid w:val="00814DFA"/>
    <w:rsid w:val="00816117"/>
    <w:rsid w:val="00840713"/>
    <w:rsid w:val="008529BE"/>
    <w:rsid w:val="00885F25"/>
    <w:rsid w:val="00894EDC"/>
    <w:rsid w:val="008E02D9"/>
    <w:rsid w:val="008F16D4"/>
    <w:rsid w:val="008F214D"/>
    <w:rsid w:val="008F794B"/>
    <w:rsid w:val="0091602D"/>
    <w:rsid w:val="00924FD7"/>
    <w:rsid w:val="009330AB"/>
    <w:rsid w:val="00954A9D"/>
    <w:rsid w:val="009625A3"/>
    <w:rsid w:val="00967B58"/>
    <w:rsid w:val="00986FB0"/>
    <w:rsid w:val="00992AB8"/>
    <w:rsid w:val="00996729"/>
    <w:rsid w:val="00997383"/>
    <w:rsid w:val="009B092C"/>
    <w:rsid w:val="009B2B38"/>
    <w:rsid w:val="009D31C0"/>
    <w:rsid w:val="009E56F8"/>
    <w:rsid w:val="009F3511"/>
    <w:rsid w:val="00A27E79"/>
    <w:rsid w:val="00A3174C"/>
    <w:rsid w:val="00A77DAA"/>
    <w:rsid w:val="00A85E59"/>
    <w:rsid w:val="00A9313B"/>
    <w:rsid w:val="00AA3CF3"/>
    <w:rsid w:val="00AC3990"/>
    <w:rsid w:val="00AD54FB"/>
    <w:rsid w:val="00AE67E8"/>
    <w:rsid w:val="00B104FF"/>
    <w:rsid w:val="00B1299B"/>
    <w:rsid w:val="00B20104"/>
    <w:rsid w:val="00B3671F"/>
    <w:rsid w:val="00B3744A"/>
    <w:rsid w:val="00B4437F"/>
    <w:rsid w:val="00B52FA1"/>
    <w:rsid w:val="00B6336B"/>
    <w:rsid w:val="00B67FE4"/>
    <w:rsid w:val="00B770A1"/>
    <w:rsid w:val="00B84FBF"/>
    <w:rsid w:val="00BA3FFD"/>
    <w:rsid w:val="00BC1ED8"/>
    <w:rsid w:val="00BC66A2"/>
    <w:rsid w:val="00BD0FB4"/>
    <w:rsid w:val="00C00F11"/>
    <w:rsid w:val="00C0524B"/>
    <w:rsid w:val="00C22E98"/>
    <w:rsid w:val="00C44907"/>
    <w:rsid w:val="00C52436"/>
    <w:rsid w:val="00C56F58"/>
    <w:rsid w:val="00C579B5"/>
    <w:rsid w:val="00C62B15"/>
    <w:rsid w:val="00C767C0"/>
    <w:rsid w:val="00C83C39"/>
    <w:rsid w:val="00CA6634"/>
    <w:rsid w:val="00CE1203"/>
    <w:rsid w:val="00D07FC2"/>
    <w:rsid w:val="00D175A0"/>
    <w:rsid w:val="00D433A7"/>
    <w:rsid w:val="00D5261E"/>
    <w:rsid w:val="00D54ECB"/>
    <w:rsid w:val="00D675D8"/>
    <w:rsid w:val="00D67BB4"/>
    <w:rsid w:val="00D8442F"/>
    <w:rsid w:val="00D86101"/>
    <w:rsid w:val="00D86FBE"/>
    <w:rsid w:val="00DA0B5B"/>
    <w:rsid w:val="00DA5DDF"/>
    <w:rsid w:val="00DD02CB"/>
    <w:rsid w:val="00DD0CD5"/>
    <w:rsid w:val="00DE3BCF"/>
    <w:rsid w:val="00DE69FF"/>
    <w:rsid w:val="00DF0E8B"/>
    <w:rsid w:val="00DF4EDA"/>
    <w:rsid w:val="00DF7435"/>
    <w:rsid w:val="00E36D5E"/>
    <w:rsid w:val="00E6343E"/>
    <w:rsid w:val="00E73BFB"/>
    <w:rsid w:val="00E75AB3"/>
    <w:rsid w:val="00EA079C"/>
    <w:rsid w:val="00EC03BD"/>
    <w:rsid w:val="00EC3CA5"/>
    <w:rsid w:val="00EE7610"/>
    <w:rsid w:val="00EF5D01"/>
    <w:rsid w:val="00F1475A"/>
    <w:rsid w:val="00F2415E"/>
    <w:rsid w:val="00F34946"/>
    <w:rsid w:val="00F55C12"/>
    <w:rsid w:val="00F66F6D"/>
    <w:rsid w:val="00FA3250"/>
    <w:rsid w:val="00FB67C7"/>
    <w:rsid w:val="00FB6B75"/>
    <w:rsid w:val="00FD7C12"/>
    <w:rsid w:val="00FE0528"/>
    <w:rsid w:val="00FF0452"/>
    <w:rsid w:val="01B93CAA"/>
    <w:rsid w:val="032A19F9"/>
    <w:rsid w:val="072365F4"/>
    <w:rsid w:val="0B2C2B54"/>
    <w:rsid w:val="1B143797"/>
    <w:rsid w:val="1C00634B"/>
    <w:rsid w:val="26F455D9"/>
    <w:rsid w:val="283E77AD"/>
    <w:rsid w:val="29DF45BA"/>
    <w:rsid w:val="35263C88"/>
    <w:rsid w:val="374D1CEF"/>
    <w:rsid w:val="516044A6"/>
    <w:rsid w:val="54823D02"/>
    <w:rsid w:val="6B652957"/>
    <w:rsid w:val="6CB663AC"/>
    <w:rsid w:val="6EEA6AA8"/>
    <w:rsid w:val="708E4A15"/>
    <w:rsid w:val="73005F17"/>
    <w:rsid w:val="75AC740E"/>
    <w:rsid w:val="7AED34AE"/>
    <w:rsid w:val="7B5B1B1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11"/>
    </w:pPr>
    <w:rPr>
      <w:rFonts w:ascii="宋体" w:hAnsi="宋体" w:eastAsia="宋体" w:cs="宋体"/>
      <w:b/>
      <w:bCs/>
      <w:sz w:val="32"/>
      <w:szCs w:val="32"/>
      <w:lang w:val="zh-CN" w:bidi="zh-CN"/>
    </w:rPr>
  </w:style>
  <w:style w:type="paragraph" w:styleId="3">
    <w:name w:val="Body Text Indent"/>
    <w:basedOn w:val="1"/>
    <w:link w:val="15"/>
    <w:semiHidden/>
    <w:unhideWhenUsed/>
    <w:qFormat/>
    <w:uiPriority w:val="99"/>
    <w:pPr>
      <w:spacing w:after="120"/>
      <w:ind w:left="420" w:leftChars="200"/>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Body Text First Indent 2"/>
    <w:basedOn w:val="1"/>
    <w:next w:val="1"/>
    <w:link w:val="16"/>
    <w:qFormat/>
    <w:uiPriority w:val="0"/>
    <w:pPr>
      <w:ind w:firstLine="420" w:firstLineChars="200"/>
    </w:pPr>
    <w:rPr>
      <w:rFonts w:ascii="Calibri" w:hAnsi="Calibri" w:eastAsia="宋体" w:cs="Times New Roman"/>
      <w:szCs w:val="24"/>
    </w:rPr>
  </w:style>
  <w:style w:type="table" w:styleId="10">
    <w:name w:val="Table Grid"/>
    <w:basedOn w:val="9"/>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页眉 Char"/>
    <w:basedOn w:val="11"/>
    <w:link w:val="6"/>
    <w:qFormat/>
    <w:uiPriority w:val="99"/>
    <w:rPr>
      <w:sz w:val="18"/>
      <w:szCs w:val="18"/>
    </w:rPr>
  </w:style>
  <w:style w:type="character" w:customStyle="1" w:styleId="13">
    <w:name w:val="页脚 Char"/>
    <w:basedOn w:val="11"/>
    <w:link w:val="5"/>
    <w:qFormat/>
    <w:uiPriority w:val="99"/>
    <w:rPr>
      <w:sz w:val="18"/>
      <w:szCs w:val="18"/>
    </w:rPr>
  </w:style>
  <w:style w:type="character" w:customStyle="1" w:styleId="14">
    <w:name w:val="批注框文本 Char"/>
    <w:basedOn w:val="11"/>
    <w:link w:val="4"/>
    <w:semiHidden/>
    <w:qFormat/>
    <w:uiPriority w:val="99"/>
    <w:rPr>
      <w:sz w:val="18"/>
      <w:szCs w:val="18"/>
    </w:rPr>
  </w:style>
  <w:style w:type="character" w:customStyle="1" w:styleId="15">
    <w:name w:val="正文文本缩进 Char"/>
    <w:basedOn w:val="11"/>
    <w:link w:val="3"/>
    <w:semiHidden/>
    <w:qFormat/>
    <w:uiPriority w:val="99"/>
    <w:rPr>
      <w:kern w:val="2"/>
      <w:sz w:val="21"/>
      <w:szCs w:val="22"/>
    </w:rPr>
  </w:style>
  <w:style w:type="character" w:customStyle="1" w:styleId="16">
    <w:name w:val="正文首行缩进 2 Char"/>
    <w:basedOn w:val="15"/>
    <w:link w:val="8"/>
    <w:qFormat/>
    <w:uiPriority w:val="0"/>
    <w:rPr>
      <w:rFonts w:ascii="Calibri" w:hAnsi="Calibri" w:eastAsia="宋体" w:cs="Times New Roman"/>
      <w:szCs w:val="24"/>
    </w:rPr>
  </w:style>
  <w:style w:type="paragraph" w:styleId="17">
    <w:name w:val="List Paragraph"/>
    <w:basedOn w:val="1"/>
    <w:unhideWhenUsed/>
    <w:qFormat/>
    <w:uiPriority w:val="99"/>
    <w:pPr>
      <w:ind w:firstLine="420" w:firstLineChars="200"/>
    </w:pPr>
  </w:style>
  <w:style w:type="character" w:customStyle="1" w:styleId="18">
    <w:name w:val="font21"/>
    <w:basedOn w:val="11"/>
    <w:uiPriority w:val="0"/>
    <w:rPr>
      <w:rFonts w:hint="eastAsia" w:ascii="宋体" w:hAnsi="宋体" w:eastAsia="宋体" w:cs="宋体"/>
      <w:color w:val="000000"/>
      <w:sz w:val="44"/>
      <w:szCs w:val="44"/>
      <w:u w:val="none"/>
    </w:rPr>
  </w:style>
  <w:style w:type="character" w:customStyle="1" w:styleId="19">
    <w:name w:val="font11"/>
    <w:basedOn w:val="11"/>
    <w:uiPriority w:val="0"/>
    <w:rPr>
      <w:rFonts w:hint="eastAsia" w:ascii="方正小标宋简体" w:hAnsi="方正小标宋简体" w:eastAsia="方正小标宋简体" w:cs="方正小标宋简体"/>
      <w:color w:val="000000"/>
      <w:sz w:val="44"/>
      <w:szCs w:val="44"/>
      <w:u w:val="none"/>
    </w:rPr>
  </w:style>
  <w:style w:type="character" w:customStyle="1" w:styleId="20">
    <w:name w:val="font51"/>
    <w:basedOn w:val="11"/>
    <w:uiPriority w:val="0"/>
    <w:rPr>
      <w:rFonts w:ascii="方正小标宋简体" w:hAnsi="方正小标宋简体" w:eastAsia="方正小标宋简体" w:cs="方正小标宋简体"/>
      <w:color w:val="000000"/>
      <w:sz w:val="44"/>
      <w:szCs w:val="44"/>
      <w:u w:val="none"/>
    </w:rPr>
  </w:style>
  <w:style w:type="character" w:customStyle="1" w:styleId="21">
    <w:name w:val="font31"/>
    <w:basedOn w:val="11"/>
    <w:uiPriority w:val="0"/>
    <w:rPr>
      <w:rFonts w:hint="eastAsia" w:ascii="宋体" w:hAnsi="宋体" w:eastAsia="宋体" w:cs="宋体"/>
      <w:b/>
      <w:color w:val="000000"/>
      <w:sz w:val="32"/>
      <w:szCs w:val="32"/>
      <w:u w:val="none"/>
    </w:rPr>
  </w:style>
  <w:style w:type="paragraph" w:customStyle="1" w:styleId="22">
    <w:name w:val="Table Paragraph"/>
    <w:basedOn w:val="1"/>
    <w:qFormat/>
    <w:uiPriority w:val="1"/>
    <w:rPr>
      <w:rFonts w:ascii="宋体" w:hAnsi="宋体" w:eastAsia="宋体" w:cs="宋体"/>
      <w:lang w:val="zh-CN" w:bidi="zh-CN"/>
    </w:rPr>
  </w:style>
  <w:style w:type="table" w:customStyle="1" w:styleId="23">
    <w:name w:val="Table Normal"/>
    <w:semiHidden/>
    <w:unhideWhenUsed/>
    <w:qFormat/>
    <w:uiPriority w:val="2"/>
    <w:tblPr>
      <w:tblCellMar>
        <w:top w:w="0" w:type="dxa"/>
        <w:left w:w="0" w:type="dxa"/>
        <w:bottom w:w="0" w:type="dxa"/>
        <w:right w:w="0" w:type="dxa"/>
      </w:tblCellMar>
    </w:tblPr>
  </w:style>
  <w:style w:type="character" w:customStyle="1" w:styleId="24">
    <w:name w:val="font41"/>
    <w:basedOn w:val="11"/>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E:\2019&#24180;&#20915;&#31639;&#20844;&#24320;\&#26032;&#24314;%20Microsoft%20Office%20Excel%20&#24037;&#20316;&#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6032;&#24314;%20XLS%20&#24037;&#20316;&#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6032;&#24314;%20XLS%20&#24037;&#20316;&#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6032;&#24314;%20XLS%20&#24037;&#20316;&#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6032;&#24314;%20XLS%20&#24037;&#20316;&#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6032;&#24314;%20XLS%20&#24037;&#20316;&#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istrator\Desktop\&#26032;&#24314;%20XLS%20&#24037;&#2031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Sheet1!$B$1:$B$4</c:f>
              <c:strCache>
                <c:ptCount val="4"/>
                <c:pt idx="0">
                  <c:v>行政编制人数</c:v>
                </c:pt>
                <c:pt idx="1">
                  <c:v>行政实有人数</c:v>
                </c:pt>
                <c:pt idx="2">
                  <c:v>事业编制人数</c:v>
                </c:pt>
                <c:pt idx="3">
                  <c:v>事业实有人数</c:v>
                </c:pt>
              </c:strCache>
            </c:strRef>
          </c:cat>
          <c:val>
            <c:numRef>
              <c:f>Sheet1!$C$1:$C$4</c:f>
              <c:numCache>
                <c:formatCode>General</c:formatCode>
                <c:ptCount val="4"/>
                <c:pt idx="0">
                  <c:v>14</c:v>
                </c:pt>
                <c:pt idx="1">
                  <c:v>13</c:v>
                </c:pt>
                <c:pt idx="2">
                  <c:v>17</c:v>
                </c:pt>
                <c:pt idx="3">
                  <c:v>9</c:v>
                </c:pt>
              </c:numCache>
            </c:numRef>
          </c:val>
        </c:ser>
        <c:dLbls>
          <c:showLegendKey val="0"/>
          <c:showVal val="1"/>
          <c:showCatName val="0"/>
          <c:showSerName val="0"/>
          <c:showPercent val="0"/>
          <c:showBubbleSize val="0"/>
        </c:dLbls>
        <c:gapWidth val="150"/>
        <c:axId val="133218688"/>
        <c:axId val="133220224"/>
      </c:barChart>
      <c:catAx>
        <c:axId val="13321868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3220224"/>
        <c:crosses val="autoZero"/>
        <c:auto val="1"/>
        <c:lblAlgn val="ctr"/>
        <c:lblOffset val="100"/>
        <c:noMultiLvlLbl val="0"/>
      </c:catAx>
      <c:valAx>
        <c:axId val="13322022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3218688"/>
        <c:crosses val="autoZero"/>
        <c:crossBetween val="between"/>
      </c:valAx>
      <c:spPr>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c:spPr>
    </c:plotArea>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收入支出情况表</a:t>
            </a:r>
          </a:p>
        </c:rich>
      </c:tx>
      <c:layout>
        <c:manualLayout>
          <c:xMode val="edge"/>
          <c:yMode val="edge"/>
          <c:x val="0.410277777777778"/>
          <c:y val="0.00694444444444444"/>
        </c:manualLayout>
      </c:layout>
      <c:overlay val="0"/>
      <c:spPr>
        <a:noFill/>
        <a:ln>
          <a:noFill/>
        </a:ln>
        <a:effectLst/>
      </c:spPr>
    </c:title>
    <c:autoTitleDeleted val="0"/>
    <c:plotArea>
      <c:layout>
        <c:manualLayout>
          <c:layoutTarget val="inner"/>
          <c:xMode val="edge"/>
          <c:yMode val="edge"/>
          <c:x val="0.0777222222222222"/>
          <c:y val="0.297916666666667"/>
          <c:w val="0.882"/>
          <c:h val="0.606805555555556"/>
        </c:manualLayout>
      </c:layout>
      <c:barChart>
        <c:barDir val="col"/>
        <c:grouping val="clustered"/>
        <c:varyColors val="0"/>
        <c:ser>
          <c:idx val="0"/>
          <c:order val="0"/>
          <c:tx>
            <c:strRef>
              <c:f>'[新建 XLS 工作表.xls]Sheet1'!$A$2</c:f>
              <c:strCache>
                <c:ptCount val="1"/>
                <c:pt idx="0">
                  <c:v>2018年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'[新建 XLS 工作表.xls]Sheet1'!$B$1:$C$1</c:f>
              <c:strCache>
                <c:ptCount val="2"/>
                <c:pt idx="0">
                  <c:v>收入</c:v>
                </c:pt>
                <c:pt idx="1">
                  <c:v>支出</c:v>
                </c:pt>
              </c:strCache>
            </c:strRef>
          </c:cat>
          <c:val>
            <c:numRef>
              <c:f>'[新建 XLS 工作表.xls]Sheet1'!$B$2:$C$2</c:f>
              <c:numCache>
                <c:formatCode>General</c:formatCode>
                <c:ptCount val="2"/>
                <c:pt idx="0">
                  <c:v>1247.08</c:v>
                </c:pt>
                <c:pt idx="1">
                  <c:v>1247.08</c:v>
                </c:pt>
              </c:numCache>
            </c:numRef>
          </c:val>
        </c:ser>
        <c:ser>
          <c:idx val="1"/>
          <c:order val="1"/>
          <c:tx>
            <c:strRef>
              <c:f>'[新建 XLS 工作表.xls]Sheet1'!$A$3</c:f>
              <c:strCache>
                <c:ptCount val="1"/>
                <c:pt idx="0">
                  <c:v>2019年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'[新建 XLS 工作表.xls]Sheet1'!$B$1:$C$1</c:f>
              <c:strCache>
                <c:ptCount val="2"/>
                <c:pt idx="0">
                  <c:v>收入</c:v>
                </c:pt>
                <c:pt idx="1">
                  <c:v>支出</c:v>
                </c:pt>
              </c:strCache>
            </c:strRef>
          </c:cat>
          <c:val>
            <c:numRef>
              <c:f>'[新建 XLS 工作表.xls]Sheet1'!$B$3:$C$3</c:f>
              <c:numCache>
                <c:formatCode>General</c:formatCode>
                <c:ptCount val="2"/>
                <c:pt idx="0">
                  <c:v>1756.52</c:v>
                </c:pt>
                <c:pt idx="1">
                  <c:v>1756.52</c:v>
                </c:pt>
              </c:numCache>
            </c:numRef>
          </c:val>
        </c:ser>
        <c:dLbls>
          <c:showLegendKey val="0"/>
          <c:showVal val="1"/>
          <c:showCatName val="0"/>
          <c:showSerName val="0"/>
          <c:showPercent val="0"/>
          <c:showBubbleSize val="0"/>
        </c:dLbls>
        <c:gapWidth val="219"/>
        <c:overlap val="-27"/>
        <c:axId val="254337408"/>
        <c:axId val="292496128"/>
      </c:barChart>
      <c:catAx>
        <c:axId val="254337408"/>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92496128"/>
        <c:crosses val="autoZero"/>
        <c:auto val="1"/>
        <c:lblAlgn val="ctr"/>
        <c:lblOffset val="100"/>
        <c:noMultiLvlLbl val="0"/>
      </c:catAx>
      <c:valAx>
        <c:axId val="29249612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433740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年度收入构成情况</a:t>
            </a:r>
          </a:p>
        </c:rich>
      </c:tx>
      <c:layout/>
      <c:overlay val="0"/>
      <c:spPr>
        <a:noFill/>
        <a:ln>
          <a:noFill/>
        </a:ln>
        <a:effectLst/>
      </c:spPr>
    </c:title>
    <c:autoTitleDeleted val="0"/>
    <c:plotArea>
      <c:layout/>
      <c:pieChart>
        <c:varyColors val="1"/>
        <c:ser>
          <c:idx val="0"/>
          <c:order val="0"/>
          <c:tx>
            <c:strRef>
              <c:f>'[新建 XLS 工作表.xls]Sheet1'!$B$5</c:f>
              <c:strCache>
                <c:ptCount val="1"/>
                <c:pt idx="0">
                  <c:v>财政拨款收入</c:v>
                </c:pt>
              </c:strCache>
            </c:strRef>
          </c:tx>
          <c:explosion val="0"/>
          <c:dPt>
            <c:idx val="0"/>
            <c:bubble3D val="0"/>
            <c:spPr>
              <a:solidFill>
                <a:schemeClr val="accent1"/>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a:p>
                    <a:pPr>
                      <a:defRPr lang="zh-CN" sz="900" b="0" i="0" u="none" strike="noStrike" kern="1200" baseline="0">
                        <a:solidFill>
                          <a:schemeClr val="tx1">
                            <a:lumMod val="75000"/>
                            <a:lumOff val="25000"/>
                          </a:schemeClr>
                        </a:solidFill>
                        <a:latin typeface="+mn-lt"/>
                        <a:ea typeface="+mn-ea"/>
                        <a:cs typeface="+mn-cs"/>
                      </a:defRPr>
                    </a:pPr>
                    <a:r>
                      <a:t>100%</a:t>
                    </a:r>
                  </a:p>
                </c:rich>
              </c:tx>
              <c:dLblPos val="inEnd"/>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val>
            <c:numRef>
              <c:f>'[新建 XLS 工作表.xls]Sheet1'!$B$6</c:f>
              <c:numCache>
                <c:formatCode>0%</c:formatCode>
                <c:ptCount val="1"/>
                <c:pt idx="0">
                  <c:v>1</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年度支出构成情况</a:t>
            </a:r>
          </a:p>
        </c:rich>
      </c:tx>
      <c:layout/>
      <c:overlay val="0"/>
      <c:spPr>
        <a:noFill/>
        <a:ln>
          <a:noFill/>
        </a:ln>
        <a:effectLst/>
      </c:spPr>
    </c:title>
    <c:autoTitleDeleted val="0"/>
    <c:plotArea>
      <c:layout/>
      <c:pieChart>
        <c:varyColors val="1"/>
        <c:ser>
          <c:idx val="0"/>
          <c:order val="0"/>
          <c:tx>
            <c:strRef>
              <c:f>'[新建 XLS 工作表.xls]Sheet1'!$A$12</c:f>
              <c:strCache>
                <c:ptCount val="1"/>
                <c:pt idx="0">
                  <c:v>占比</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multiLvlStrRef>
              <c:f>'[新建 XLS 工作表.xls]Sheet1'!$B$10:$C$11</c:f>
              <c:multiLvlStrCache>
                <c:ptCount val="2"/>
                <c:lvl>
                  <c:pt idx="0">
                    <c:v>332.26万元</c:v>
                  </c:pt>
                  <c:pt idx="1">
                    <c:v>1424.25万元</c:v>
                  </c:pt>
                </c:lvl>
                <c:lvl>
                  <c:pt idx="0">
                    <c:v>基本支出</c:v>
                  </c:pt>
                  <c:pt idx="1">
                    <c:v>项目支出</c:v>
                  </c:pt>
                </c:lvl>
              </c:multiLvlStrCache>
            </c:multiLvlStrRef>
          </c:cat>
          <c:val>
            <c:numRef>
              <c:f>'[新建 XLS 工作表.xls]Sheet1'!$B$12:$C$12</c:f>
              <c:numCache>
                <c:formatCode>0.00%</c:formatCode>
                <c:ptCount val="2"/>
                <c:pt idx="0">
                  <c:v>0.1892</c:v>
                </c:pt>
                <c:pt idx="1">
                  <c:v>0.8108</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财政拨款收入支出情况表</a:t>
            </a:r>
          </a:p>
        </c:rich>
      </c:tx>
      <c:layout>
        <c:manualLayout>
          <c:xMode val="edge"/>
          <c:yMode val="edge"/>
          <c:x val="0.318999887311247"/>
          <c:y val="0.00694444444444444"/>
        </c:manualLayout>
      </c:layout>
      <c:overlay val="0"/>
      <c:spPr>
        <a:noFill/>
        <a:ln>
          <a:noFill/>
        </a:ln>
        <a:effectLst/>
      </c:spPr>
    </c:title>
    <c:autoTitleDeleted val="0"/>
    <c:plotArea>
      <c:layout>
        <c:manualLayout>
          <c:layoutTarget val="inner"/>
          <c:xMode val="edge"/>
          <c:yMode val="edge"/>
          <c:x val="0.0777222222222222"/>
          <c:y val="0.297916666666667"/>
          <c:w val="0.882"/>
          <c:h val="0.606805555555556"/>
        </c:manualLayout>
      </c:layout>
      <c:barChart>
        <c:barDir val="col"/>
        <c:grouping val="clustered"/>
        <c:varyColors val="0"/>
        <c:ser>
          <c:idx val="0"/>
          <c:order val="0"/>
          <c:tx>
            <c:strRef>
              <c:f>'[新建 XLS 工作表.xls]Sheet1'!$A$2</c:f>
              <c:strCache>
                <c:ptCount val="1"/>
                <c:pt idx="0">
                  <c:v>2018年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'[新建 XLS 工作表.xls]Sheet1'!$B$1:$C$1</c:f>
              <c:strCache>
                <c:ptCount val="2"/>
                <c:pt idx="0">
                  <c:v>收入</c:v>
                </c:pt>
                <c:pt idx="1">
                  <c:v>支出</c:v>
                </c:pt>
              </c:strCache>
            </c:strRef>
          </c:cat>
          <c:val>
            <c:numRef>
              <c:f>'[新建 XLS 工作表.xls]Sheet1'!$B$2:$C$2</c:f>
              <c:numCache>
                <c:formatCode>General</c:formatCode>
                <c:ptCount val="2"/>
                <c:pt idx="0">
                  <c:v>1247.08</c:v>
                </c:pt>
                <c:pt idx="1">
                  <c:v>1247.08</c:v>
                </c:pt>
              </c:numCache>
            </c:numRef>
          </c:val>
        </c:ser>
        <c:ser>
          <c:idx val="1"/>
          <c:order val="1"/>
          <c:tx>
            <c:strRef>
              <c:f>'[新建 XLS 工作表.xls]Sheet1'!$A$3</c:f>
              <c:strCache>
                <c:ptCount val="1"/>
                <c:pt idx="0">
                  <c:v>2019年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'[新建 XLS 工作表.xls]Sheet1'!$B$1:$C$1</c:f>
              <c:strCache>
                <c:ptCount val="2"/>
                <c:pt idx="0">
                  <c:v>收入</c:v>
                </c:pt>
                <c:pt idx="1">
                  <c:v>支出</c:v>
                </c:pt>
              </c:strCache>
            </c:strRef>
          </c:cat>
          <c:val>
            <c:numRef>
              <c:f>'[新建 XLS 工作表.xls]Sheet1'!$B$3:$C$3</c:f>
              <c:numCache>
                <c:formatCode>General</c:formatCode>
                <c:ptCount val="2"/>
                <c:pt idx="0">
                  <c:v>1756.52</c:v>
                </c:pt>
                <c:pt idx="1">
                  <c:v>1756.52</c:v>
                </c:pt>
              </c:numCache>
            </c:numRef>
          </c:val>
        </c:ser>
        <c:dLbls>
          <c:showLegendKey val="0"/>
          <c:showVal val="1"/>
          <c:showCatName val="0"/>
          <c:showSerName val="0"/>
          <c:showPercent val="0"/>
          <c:showBubbleSize val="0"/>
        </c:dLbls>
        <c:gapWidth val="219"/>
        <c:overlap val="-27"/>
        <c:axId val="130130688"/>
        <c:axId val="130132224"/>
      </c:barChart>
      <c:catAx>
        <c:axId val="130130688"/>
        <c:scaling>
          <c:orientation val="minMax"/>
        </c:scaling>
        <c:delete val="1"/>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0132224"/>
        <c:crosses val="autoZero"/>
        <c:auto val="1"/>
        <c:lblAlgn val="ctr"/>
        <c:lblOffset val="100"/>
        <c:noMultiLvlLbl val="0"/>
      </c:catAx>
      <c:valAx>
        <c:axId val="13013222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013068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年度财政拨款支出构成情况</a:t>
            </a:r>
          </a:p>
        </c:rich>
      </c:tx>
      <c:layout/>
      <c:overlay val="0"/>
      <c:spPr>
        <a:noFill/>
        <a:ln>
          <a:noFill/>
        </a:ln>
        <a:effectLst/>
      </c:spPr>
    </c:title>
    <c:autoTitleDeleted val="0"/>
    <c:plotArea>
      <c:layout/>
      <c:pieChart>
        <c:varyColors val="1"/>
        <c:ser>
          <c:idx val="0"/>
          <c:order val="0"/>
          <c:tx>
            <c:strRef>
              <c:f>'[新建 XLS 工作表.xls]Sheet1'!$B$5</c:f>
              <c:strCache>
                <c:ptCount val="1"/>
                <c:pt idx="0">
                  <c:v>财政拨款收入</c:v>
                </c:pt>
              </c:strCache>
            </c:strRef>
          </c:tx>
          <c:explosion val="0"/>
          <c:dPt>
            <c:idx val="0"/>
            <c:bubble3D val="0"/>
            <c:spPr>
              <a:solidFill>
                <a:schemeClr val="accent1"/>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a:p>
                    <a:pPr>
                      <a:defRPr lang="zh-CN" sz="900" b="0" i="0" u="none" strike="noStrike" kern="1200" baseline="0">
                        <a:solidFill>
                          <a:schemeClr val="tx1">
                            <a:lumMod val="75000"/>
                            <a:lumOff val="25000"/>
                          </a:schemeClr>
                        </a:solidFill>
                        <a:latin typeface="+mn-lt"/>
                        <a:ea typeface="+mn-ea"/>
                        <a:cs typeface="+mn-cs"/>
                      </a:defRPr>
                    </a:pPr>
                    <a:r>
                      <a:t>100%</a:t>
                    </a:r>
                  </a:p>
                </c:rich>
              </c:tx>
              <c:dLblPos val="inEnd"/>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val>
            <c:numRef>
              <c:f>'[新建 XLS 工作表.xls]Sheet1'!$B$6</c:f>
              <c:numCache>
                <c:formatCode>0%</c:formatCode>
                <c:ptCount val="1"/>
                <c:pt idx="0">
                  <c:v>1</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spPr>
            <a:solidFill>
              <a:schemeClr val="accent4">
                <a:lumMod val="60000"/>
                <a:lumOff val="40000"/>
              </a:schemeClr>
            </a:solidFill>
          </c:spPr>
          <c:explosion val="0"/>
          <c:dPt>
            <c:idx val="0"/>
            <c:bubble3D val="0"/>
            <c:spPr>
              <a:solidFill>
                <a:schemeClr val="accent4">
                  <a:lumMod val="60000"/>
                  <a:lumOff val="40000"/>
                </a:schemeClr>
              </a:solidFill>
              <a:ln w="19050">
                <a:solidFill>
                  <a:schemeClr val="lt1"/>
                </a:solidFill>
              </a:ln>
              <a:effectLst/>
            </c:spPr>
          </c:dPt>
          <c:dPt>
            <c:idx val="1"/>
            <c:bubble3D val="0"/>
            <c:spPr>
              <a:solidFill>
                <a:schemeClr val="accent4">
                  <a:lumMod val="60000"/>
                  <a:lumOff val="40000"/>
                </a:schemeClr>
              </a:solidFill>
              <a:ln w="19050">
                <a:solidFill>
                  <a:schemeClr val="lt1"/>
                </a:solidFill>
              </a:ln>
              <a:effectLst/>
            </c:spPr>
          </c:dPt>
          <c:dPt>
            <c:idx val="2"/>
            <c:bubble3D val="0"/>
            <c:spPr>
              <a:solidFill>
                <a:schemeClr val="accent4">
                  <a:lumMod val="60000"/>
                  <a:lumOff val="40000"/>
                </a:schemeClr>
              </a:solidFill>
              <a:ln w="19050">
                <a:solidFill>
                  <a:schemeClr val="lt1"/>
                </a:solidFill>
              </a:ln>
              <a:effectLst/>
            </c:spPr>
          </c:dPt>
          <c:dPt>
            <c:idx val="3"/>
            <c:bubble3D val="0"/>
            <c:spPr>
              <a:solidFill>
                <a:schemeClr val="accent4">
                  <a:lumMod val="60000"/>
                  <a:lumOff val="40000"/>
                </a:schemeClr>
              </a:solidFill>
              <a:ln w="19050">
                <a:solidFill>
                  <a:schemeClr val="lt1"/>
                </a:solidFill>
              </a:ln>
              <a:effectLst/>
            </c:spPr>
          </c:dPt>
          <c:dLbls>
            <c:dLbl>
              <c:idx val="1"/>
              <c:layout>
                <c:manualLayout>
                  <c:x val="0.148332992257453"/>
                  <c:y val="0.000943981483023485"/>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1375"/>
                  <c:y val="0.0173611111111111"/>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multiLvlStrRef>
              <c:f>'[新建 XLS 工作表.xls]Sheet1'!$A$10:$D$11</c:f>
              <c:multiLvlStrCache>
                <c:ptCount val="4"/>
                <c:lvl>
                  <c:pt idx="0">
                    <c:v>金额</c:v>
                  </c:pt>
                  <c:pt idx="1">
                    <c:v>0万元</c:v>
                  </c:pt>
                  <c:pt idx="2">
                    <c:v>0.72万元</c:v>
                  </c:pt>
                  <c:pt idx="3">
                    <c:v>0万元</c:v>
                  </c:pt>
                </c:lvl>
                <c:lvl>
                  <c:pt idx="0">
                    <c:v>类别</c:v>
                  </c:pt>
                  <c:pt idx="1">
                    <c:v>公务用车运行维护费</c:v>
                  </c:pt>
                  <c:pt idx="2">
                    <c:v>公务接待费</c:v>
                  </c:pt>
                  <c:pt idx="3">
                    <c:v>因公出国（境）费</c:v>
                  </c:pt>
                </c:lvl>
              </c:multiLvlStrCache>
            </c:multiLvlStrRef>
          </c:cat>
          <c:val>
            <c:numRef>
              <c:f>'[新建 XLS 工作表.xls]Sheet1'!$A$12:$D$12</c:f>
              <c:numCache>
                <c:formatCode>General</c:formatCode>
                <c:ptCount val="4"/>
                <c:pt idx="0">
                  <c:v>0</c:v>
                </c:pt>
                <c:pt idx="1" c:formatCode="0.00%">
                  <c:v>0</c:v>
                </c:pt>
                <c:pt idx="2" c:formatCode="0.00%">
                  <c:v>1</c:v>
                </c:pt>
                <c:pt idx="3" c:formatCode="0%">
                  <c:v>0</c:v>
                </c:pt>
              </c:numCache>
            </c:numRef>
          </c:val>
        </c:ser>
        <c:ser>
          <c:idx val="1"/>
          <c:order val="1"/>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multiLvlStrRef>
              <c:f>'[新建 XLS 工作表.xls]Sheet1'!$A$10:$D$11</c:f>
              <c:multiLvlStrCache>
                <c:ptCount val="4"/>
                <c:lvl>
                  <c:pt idx="0">
                    <c:v>金额</c:v>
                  </c:pt>
                  <c:pt idx="1">
                    <c:v>0万元</c:v>
                  </c:pt>
                  <c:pt idx="2">
                    <c:v>0.72万元</c:v>
                  </c:pt>
                  <c:pt idx="3">
                    <c:v>0万元</c:v>
                  </c:pt>
                </c:lvl>
                <c:lvl>
                  <c:pt idx="0">
                    <c:v>类别</c:v>
                  </c:pt>
                  <c:pt idx="1">
                    <c:v>公务用车运行维护费</c:v>
                  </c:pt>
                  <c:pt idx="2">
                    <c:v>公务接待费</c:v>
                  </c:pt>
                  <c:pt idx="3">
                    <c:v>因公出国（境）费</c:v>
                  </c:pt>
                </c:lvl>
              </c:multiLvlStrCache>
            </c:multiLvlStrRef>
          </c:cat>
          <c:val>
            <c:numRef>
              <c:f>'[新建 XLS 工作表.xls]Sheet1'!$A$13:$D$13</c:f>
              <c:numCache>
                <c:formatCode>General</c:formatCode>
                <c:ptCount val="4"/>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4"/>
    <customShpInfo spid="_x0000_s3073"/>
    <customShpInfo spid="_x0000_s1026"/>
    <customShpInfo spid="_x0000_s2055"/>
    <customShpInfo spid="_x0000_s2054"/>
    <customShpInfo spid="_x0000_s2053"/>
    <customShpInfo spid="_x0000_s2052"/>
    <customShpInfo spid="_x0000_s2051"/>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0A15EC-A63B-4761-B98A-B3F071C172E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38</Pages>
  <Words>2712</Words>
  <Characters>15465</Characters>
  <Lines>128</Lines>
  <Paragraphs>36</Paragraphs>
  <TotalTime>95</TotalTime>
  <ScaleCrop>false</ScaleCrop>
  <LinksUpToDate>false</LinksUpToDate>
  <CharactersWithSpaces>18141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2020-09-23T09:14:00Z</dcterms:created>
  <dc:creator>Administrator</dc:creator>
  <cp:lastModifiedBy>Lenovo</cp:lastModifiedBy>
  <cp:lastPrinted>2020-09-22T02:16:00Z</cp:lastPrinted>
  <dcterms:modified xsi:type="dcterms:W3CDTF">2024-01-15T08:04:02Z</dcterms:modified>
  <cp:revision>150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Created">
    <vt:filetime>2020-09-23T00:00:00Z</vt:filetime>
  </property>
  <property fmtid="{D5CDD505-2E9C-101B-9397-08002B2CF9AE}" pid="4" name="Creator">
    <vt:lpwstr>WPS 表格</vt:lpwstr>
  </property>
  <property fmtid="{D5CDD505-2E9C-101B-9397-08002B2CF9AE}" pid="5" name="LastSaved">
    <vt:filetime>2020-09-23T00:00:00Z</vt:filetime>
  </property>
  <property fmtid="{D5CDD505-2E9C-101B-9397-08002B2CF9AE}" pid="6" name="ICV">
    <vt:lpwstr>7C9EE87274BB4022A8B3CC5BDB2073EF_12</vt:lpwstr>
  </property>
</Properties>
</file>