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20" w:lineRule="exact"/>
        <w:ind w:firstLine="640"/>
        <w:jc w:val="center"/>
        <w:rPr>
          <w:rFonts w:ascii="黑体" w:hAnsi="黑体" w:eastAsia="黑体" w:cs="黑体"/>
          <w:sz w:val="32"/>
          <w:szCs w:val="32"/>
        </w:rPr>
      </w:pPr>
      <w:r>
        <w:rPr>
          <w:rFonts w:hint="eastAsia" w:ascii="黑体" w:hAnsi="黑体" w:eastAsia="黑体" w:cs="黑体"/>
          <w:sz w:val="32"/>
          <w:szCs w:val="32"/>
        </w:rPr>
        <w:t>蓝田县妇女联合会</w:t>
      </w:r>
    </w:p>
    <w:p>
      <w:pPr>
        <w:adjustRightInd w:val="0"/>
        <w:snapToGrid w:val="0"/>
        <w:spacing w:line="520" w:lineRule="exact"/>
        <w:ind w:firstLine="640"/>
        <w:jc w:val="center"/>
        <w:rPr>
          <w:rFonts w:ascii="黑体" w:hAnsi="黑体" w:eastAsia="黑体"/>
          <w:sz w:val="32"/>
          <w:szCs w:val="32"/>
        </w:rPr>
      </w:pPr>
      <w:r>
        <w:rPr>
          <w:rFonts w:hint="eastAsia" w:ascii="黑体" w:hAnsi="黑体" w:eastAsia="黑体" w:cs="黑体"/>
          <w:sz w:val="32"/>
          <w:szCs w:val="32"/>
        </w:rPr>
        <w:t>2020年部门综合预算公开说明</w:t>
      </w:r>
    </w:p>
    <w:p>
      <w:pPr>
        <w:spacing w:line="520" w:lineRule="exact"/>
        <w:ind w:firstLine="643"/>
        <w:jc w:val="center"/>
        <w:rPr>
          <w:rFonts w:ascii="仿宋_GB2312" w:hAnsi="仿宋_GB2312" w:eastAsia="仿宋_GB2312" w:cs="仿宋_GB2312"/>
          <w:b/>
          <w:bCs/>
          <w:sz w:val="32"/>
          <w:szCs w:val="32"/>
        </w:rPr>
      </w:pPr>
    </w:p>
    <w:p>
      <w:pPr>
        <w:spacing w:line="520" w:lineRule="exact"/>
        <w:ind w:firstLine="643"/>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目  录</w:t>
      </w:r>
    </w:p>
    <w:p>
      <w:pPr>
        <w:spacing w:line="520" w:lineRule="exact"/>
        <w:ind w:firstLine="643"/>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第一部分   部门概况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一、部门主要职责及机构设置</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二、2020年年度部门工作任务</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三、部门预算单位构成</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四、部门人员情况说明</w:t>
      </w:r>
    </w:p>
    <w:p>
      <w:pPr>
        <w:spacing w:line="520" w:lineRule="exact"/>
        <w:ind w:firstLine="643"/>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第二部分   收支情况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五、2020年部门预算收支说明</w:t>
      </w:r>
    </w:p>
    <w:p>
      <w:pPr>
        <w:spacing w:line="520" w:lineRule="exact"/>
        <w:ind w:firstLine="643"/>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第三部分   其他说明情况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六、部门预算“三公”经费等情况说明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七、部门国有资产占有使用及资产购置情况说明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八、部门政府采购情况说明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九、部门预算绩效目标说明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十、机关运行经费安排说明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十一、专业名词解释</w:t>
      </w:r>
    </w:p>
    <w:p>
      <w:pPr>
        <w:spacing w:line="520" w:lineRule="exact"/>
        <w:ind w:firstLine="643"/>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第四部分   公开报表</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（具体部门预算公开报表）</w:t>
      </w:r>
    </w:p>
    <w:p>
      <w:pPr>
        <w:spacing w:line="520" w:lineRule="exact"/>
        <w:ind w:firstLine="643"/>
        <w:jc w:val="center"/>
        <w:rPr>
          <w:rFonts w:ascii="仿宋_GB2312" w:hAnsi="仿宋_GB2312" w:eastAsia="仿宋_GB2312" w:cs="仿宋_GB2312"/>
          <w:b/>
          <w:bCs/>
          <w:sz w:val="32"/>
          <w:szCs w:val="32"/>
        </w:rPr>
      </w:pPr>
    </w:p>
    <w:p>
      <w:pPr>
        <w:spacing w:line="520" w:lineRule="exact"/>
        <w:ind w:firstLine="643"/>
        <w:jc w:val="center"/>
        <w:rPr>
          <w:rFonts w:ascii="仿宋_GB2312" w:hAnsi="仿宋_GB2312" w:eastAsia="仿宋_GB2312" w:cs="仿宋_GB2312"/>
          <w:b/>
          <w:bCs/>
          <w:sz w:val="32"/>
          <w:szCs w:val="32"/>
        </w:rPr>
      </w:pPr>
    </w:p>
    <w:p>
      <w:pPr>
        <w:spacing w:line="520" w:lineRule="exact"/>
        <w:ind w:firstLine="643"/>
        <w:jc w:val="center"/>
        <w:rPr>
          <w:rFonts w:ascii="仿宋_GB2312" w:hAnsi="仿宋_GB2312" w:eastAsia="仿宋_GB2312" w:cs="仿宋_GB2312"/>
          <w:b/>
          <w:bCs/>
          <w:sz w:val="32"/>
          <w:szCs w:val="32"/>
        </w:rPr>
      </w:pPr>
    </w:p>
    <w:p>
      <w:pPr>
        <w:spacing w:line="520" w:lineRule="exact"/>
        <w:ind w:firstLine="643"/>
        <w:jc w:val="center"/>
        <w:rPr>
          <w:rFonts w:ascii="仿宋_GB2312" w:hAnsi="仿宋_GB2312" w:eastAsia="仿宋_GB2312" w:cs="仿宋_GB2312"/>
          <w:b/>
          <w:bCs/>
          <w:sz w:val="32"/>
          <w:szCs w:val="32"/>
        </w:rPr>
      </w:pPr>
    </w:p>
    <w:p>
      <w:pPr>
        <w:spacing w:line="520" w:lineRule="exact"/>
        <w:ind w:firstLine="643"/>
        <w:jc w:val="center"/>
        <w:rPr>
          <w:rFonts w:ascii="仿宋_GB2312" w:hAnsi="仿宋_GB2312" w:eastAsia="仿宋_GB2312" w:cs="仿宋_GB2312"/>
          <w:b/>
          <w:bCs/>
          <w:sz w:val="32"/>
          <w:szCs w:val="32"/>
        </w:rPr>
      </w:pPr>
    </w:p>
    <w:p>
      <w:pPr>
        <w:spacing w:line="520" w:lineRule="exact"/>
        <w:ind w:firstLine="643"/>
        <w:jc w:val="center"/>
        <w:rPr>
          <w:rFonts w:ascii="仿宋_GB2312" w:hAnsi="仿宋_GB2312" w:eastAsia="仿宋_GB2312" w:cs="仿宋_GB2312"/>
          <w:b/>
          <w:bCs/>
          <w:sz w:val="32"/>
          <w:szCs w:val="32"/>
        </w:rPr>
      </w:pPr>
    </w:p>
    <w:p>
      <w:pPr>
        <w:spacing w:line="520" w:lineRule="exact"/>
        <w:ind w:firstLine="643"/>
        <w:jc w:val="center"/>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第一部分  部门概况</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一、部门主要职责及机构设置</w:t>
      </w:r>
    </w:p>
    <w:p>
      <w:pPr>
        <w:widowControl/>
        <w:shd w:val="clear" w:color="auto" w:fill="FFFFFF"/>
        <w:spacing w:line="520" w:lineRule="exact"/>
        <w:ind w:firstLine="640"/>
        <w:jc w:val="left"/>
        <w:rPr>
          <w:rFonts w:ascii="仿宋_GB2312" w:hAnsi="仿宋" w:eastAsia="仿宋_GB2312"/>
          <w:sz w:val="32"/>
          <w:szCs w:val="32"/>
        </w:rPr>
      </w:pPr>
      <w:r>
        <w:rPr>
          <w:rFonts w:hint="eastAsia" w:ascii="仿宋_GB2312" w:hAnsi="仿宋" w:eastAsia="仿宋_GB2312"/>
          <w:sz w:val="32"/>
          <w:szCs w:val="32"/>
        </w:rPr>
        <w:t>我会是中共蓝田县委领导下的人民群众团体，蓝田县人民政府妇女儿童工作委员会办公室设在县妇女联合会。</w:t>
      </w:r>
    </w:p>
    <w:p>
      <w:pPr>
        <w:widowControl/>
        <w:shd w:val="clear" w:color="auto" w:fill="FFFFFF"/>
        <w:spacing w:line="520" w:lineRule="exact"/>
        <w:ind w:firstLine="640"/>
        <w:jc w:val="left"/>
        <w:rPr>
          <w:rFonts w:ascii="仿宋_GB2312" w:hAnsi="仿宋" w:eastAsia="仿宋_GB2312"/>
          <w:sz w:val="32"/>
          <w:szCs w:val="32"/>
        </w:rPr>
      </w:pPr>
      <w:r>
        <w:rPr>
          <w:rFonts w:hint="eastAsia" w:ascii="仿宋_GB2312" w:hAnsi="仿宋" w:eastAsia="仿宋_GB2312"/>
          <w:sz w:val="32"/>
          <w:szCs w:val="32"/>
        </w:rPr>
        <w:t>主要职责有：</w:t>
      </w:r>
    </w:p>
    <w:p>
      <w:pPr>
        <w:snapToGrid w:val="0"/>
        <w:spacing w:line="520" w:lineRule="exact"/>
        <w:ind w:firstLine="640"/>
        <w:rPr>
          <w:rFonts w:ascii="仿宋_GB2312" w:hAnsi="仿宋" w:eastAsia="仿宋_GB2312"/>
          <w:sz w:val="32"/>
          <w:szCs w:val="32"/>
        </w:rPr>
      </w:pPr>
      <w:r>
        <w:rPr>
          <w:rFonts w:hint="eastAsia" w:ascii="仿宋_GB2312" w:hAnsi="仿宋" w:eastAsia="仿宋_GB2312"/>
          <w:sz w:val="32"/>
          <w:szCs w:val="32"/>
        </w:rPr>
        <w:t>（一）坚持正确的政治方向，团结动员全县广大妇女及各类妇女组织，同党中央在思想上、政治上、行动上保持一致，坚定不移地走中国特色社会主义妇女发展道路，切实保持和增强妇联组织和妇女工作的政治性、先进性、群众性，把广大妇女群众团结凝聚在党的周围。</w:t>
      </w:r>
    </w:p>
    <w:p>
      <w:pPr>
        <w:snapToGrid w:val="0"/>
        <w:spacing w:line="520" w:lineRule="exact"/>
        <w:ind w:firstLine="640"/>
        <w:rPr>
          <w:rFonts w:ascii="仿宋_GB2312" w:hAnsi="仿宋" w:eastAsia="仿宋_GB2312"/>
          <w:sz w:val="32"/>
          <w:szCs w:val="32"/>
        </w:rPr>
      </w:pPr>
      <w:r>
        <w:rPr>
          <w:rFonts w:hint="eastAsia" w:ascii="仿宋_GB2312" w:hAnsi="仿宋" w:eastAsia="仿宋_GB2312"/>
          <w:sz w:val="32"/>
          <w:szCs w:val="32"/>
        </w:rPr>
        <w:t>（二）围绕市县委、县政府中心工作，团结动员广大妇女发挥“半边天”的作用，加强妇女创业创新工作，引导妇女在“</w:t>
      </w:r>
      <w:bookmarkStart w:id="0" w:name="_GoBack"/>
      <w:bookmarkEnd w:id="0"/>
      <w:r>
        <w:rPr>
          <w:rFonts w:hint="eastAsia" w:ascii="仿宋_GB2312" w:hAnsi="仿宋" w:eastAsia="仿宋_GB2312"/>
          <w:sz w:val="32"/>
          <w:szCs w:val="32"/>
        </w:rPr>
        <w:t>大众创业</w:t>
      </w:r>
      <w:r>
        <w:rPr>
          <w:rFonts w:hint="eastAsia" w:ascii="仿宋_GB2312" w:hAnsi="仿宋" w:eastAsia="仿宋_GB2312"/>
          <w:sz w:val="32"/>
          <w:szCs w:val="32"/>
          <w:lang w:eastAsia="zh-CN"/>
        </w:rPr>
        <w:t>、</w:t>
      </w:r>
      <w:r>
        <w:rPr>
          <w:rFonts w:hint="eastAsia" w:ascii="仿宋_GB2312" w:hAnsi="仿宋" w:eastAsia="仿宋_GB2312"/>
          <w:sz w:val="32"/>
          <w:szCs w:val="32"/>
        </w:rPr>
        <w:t>万众创新”中主动适应新常态，不断丰富“巾帼建功”“双学双比”时代内涵，在本职工作中创新、创优、创造新业绩。</w:t>
      </w:r>
    </w:p>
    <w:p>
      <w:pPr>
        <w:snapToGrid w:val="0"/>
        <w:spacing w:line="520" w:lineRule="exact"/>
        <w:ind w:firstLine="640"/>
        <w:rPr>
          <w:rFonts w:ascii="仿宋_GB2312" w:hAnsi="仿宋" w:eastAsia="仿宋_GB2312"/>
          <w:sz w:val="32"/>
          <w:szCs w:val="32"/>
        </w:rPr>
      </w:pPr>
      <w:r>
        <w:rPr>
          <w:rFonts w:hint="eastAsia" w:ascii="仿宋_GB2312" w:hAnsi="仿宋" w:eastAsia="仿宋_GB2312"/>
          <w:sz w:val="32"/>
          <w:szCs w:val="32"/>
        </w:rPr>
        <w:t>（三）教育和引导广大妇女践行社会主义核心价值观，弘扬传统美德和自尊自信自立自强精神，全面提高素质，促进妇女人才成长。培育良好家风，推进家庭文明建设；推动和开展妇女的科学文化知识及生产、生活技能培训，提高妇女综合素质，促进全面发展；宣传马克思主义妇女观，推动落实男女平等基本国策，营造有利于妇女全面发展的社会环境；宣传表彰优秀妇女典型，培养、推荐女性人才；广泛开展志愿服务，完善组织管理，提升志愿服务水平。</w:t>
      </w:r>
    </w:p>
    <w:p>
      <w:pPr>
        <w:snapToGrid w:val="0"/>
        <w:spacing w:line="520" w:lineRule="exact"/>
        <w:ind w:firstLine="640"/>
        <w:rPr>
          <w:rFonts w:ascii="仿宋_GB2312" w:hAnsi="仿宋" w:eastAsia="仿宋_GB2312"/>
          <w:sz w:val="32"/>
          <w:szCs w:val="32"/>
        </w:rPr>
      </w:pPr>
      <w:r>
        <w:rPr>
          <w:rFonts w:hint="eastAsia" w:ascii="仿宋_GB2312" w:hAnsi="仿宋" w:eastAsia="仿宋_GB2312"/>
          <w:sz w:val="32"/>
          <w:szCs w:val="32"/>
        </w:rPr>
        <w:t>（四）坚持为妇女儿童服务，开展维护妇女儿童合法权益工作；代表妇女参与全县社会事务的民主决策、民主管理、民主监督，参与有关妇女儿童法律、法规、条例和政策的制定，参与社会治理和公共服务，推进保障妇女、儿童权益法律政策和妇女、儿童发展纲要、规划的实施。</w:t>
      </w:r>
    </w:p>
    <w:p>
      <w:pPr>
        <w:snapToGrid w:val="0"/>
        <w:spacing w:line="520" w:lineRule="exact"/>
        <w:ind w:firstLine="640"/>
        <w:rPr>
          <w:rFonts w:ascii="仿宋_GB2312" w:hAnsi="仿宋" w:eastAsia="仿宋_GB2312"/>
          <w:sz w:val="32"/>
          <w:szCs w:val="32"/>
        </w:rPr>
      </w:pPr>
      <w:r>
        <w:rPr>
          <w:rFonts w:hint="eastAsia" w:ascii="仿宋_GB2312" w:hAnsi="仿宋" w:eastAsia="仿宋_GB2312"/>
          <w:sz w:val="32"/>
          <w:szCs w:val="32"/>
        </w:rPr>
        <w:t>（五）重视家庭建设，注重家庭、注重家教、注重家风。做好家庭和儿童工作，关心妇女儿童生活，拓宽服务渠道，建设服务阵地，发展公益事业，推动全社会为妇女儿童和家庭服务。</w:t>
      </w:r>
    </w:p>
    <w:p>
      <w:pPr>
        <w:snapToGrid w:val="0"/>
        <w:spacing w:line="520" w:lineRule="exact"/>
        <w:ind w:firstLine="640"/>
        <w:rPr>
          <w:rFonts w:ascii="仿宋_GB2312" w:hAnsi="仿宋" w:eastAsia="仿宋_GB2312"/>
          <w:sz w:val="32"/>
          <w:szCs w:val="32"/>
        </w:rPr>
      </w:pPr>
      <w:r>
        <w:rPr>
          <w:rFonts w:hint="eastAsia" w:ascii="仿宋_GB2312" w:hAnsi="仿宋" w:eastAsia="仿宋_GB2312"/>
          <w:sz w:val="32"/>
          <w:szCs w:val="32"/>
        </w:rPr>
        <w:t>（六）坚持改革创新，负责妇联组织自身建设，积极培育和发展各类妇女组织，加强与女性社会组织和社会各界的联系，推进妇联组织和妇女工作凝聚力、吸引力、影响力；创新基层组织设置、强化阵地建设，扩大组织覆盖，协调推动社会各界为妇女儿童办实事、办好事。</w:t>
      </w:r>
    </w:p>
    <w:p>
      <w:pPr>
        <w:snapToGrid w:val="0"/>
        <w:spacing w:line="520" w:lineRule="exact"/>
        <w:ind w:firstLine="640"/>
        <w:rPr>
          <w:rFonts w:ascii="仿宋_GB2312" w:hAnsi="仿宋" w:eastAsia="仿宋_GB2312"/>
          <w:sz w:val="32"/>
          <w:szCs w:val="32"/>
        </w:rPr>
      </w:pPr>
      <w:r>
        <w:rPr>
          <w:rFonts w:hint="eastAsia" w:ascii="仿宋_GB2312" w:hAnsi="仿宋" w:eastAsia="仿宋_GB2312"/>
          <w:sz w:val="32"/>
          <w:szCs w:val="32"/>
        </w:rPr>
        <w:t>（七）负责妇女交流合作，围绕实施“一带一路”倡议，加强交流与合作；巩固和扩大各族各界妇女的大团结，促进社会统一大业，积极开展妇女儿童方面的对外文化、教育、环保等交流和经贸活动，增进了解和友谊。</w:t>
      </w:r>
    </w:p>
    <w:p>
      <w:pPr>
        <w:snapToGrid w:val="0"/>
        <w:spacing w:line="520" w:lineRule="exact"/>
        <w:ind w:firstLine="640"/>
        <w:rPr>
          <w:rFonts w:ascii="仿宋_GB2312" w:hAnsi="仿宋" w:eastAsia="仿宋_GB2312"/>
          <w:sz w:val="32"/>
          <w:szCs w:val="32"/>
        </w:rPr>
      </w:pPr>
      <w:r>
        <w:rPr>
          <w:rFonts w:hint="eastAsia" w:ascii="仿宋_GB2312" w:hAnsi="仿宋" w:eastAsia="仿宋_GB2312"/>
          <w:sz w:val="32"/>
          <w:szCs w:val="32"/>
        </w:rPr>
        <w:t>（八）承办县委、县政府交办的其他事项。</w:t>
      </w:r>
    </w:p>
    <w:p>
      <w:pPr>
        <w:widowControl/>
        <w:shd w:val="clear" w:color="auto" w:fill="FFFFFF"/>
        <w:spacing w:line="52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蓝田县人民政府妇女儿童工作委员会（简称县妇儿工委）是蓝田县政府负责妇女儿童工作的议事协调机构,负责协调和推动政府有关部门执行妇女儿童的各项法律法规和政策措施,全面发展妇女儿童事业。县妇儿工委办公室设在县妇女联合会，承担县妇儿工委的日常工作。</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二、2020年度部门工作任务</w:t>
      </w:r>
    </w:p>
    <w:p>
      <w:pPr>
        <w:spacing w:line="520" w:lineRule="exact"/>
        <w:ind w:firstLine="640"/>
        <w:rPr>
          <w:rFonts w:ascii="华文仿宋" w:hAnsi="华文仿宋" w:eastAsia="华文仿宋"/>
          <w:sz w:val="32"/>
          <w:szCs w:val="32"/>
        </w:rPr>
      </w:pPr>
      <w:r>
        <w:rPr>
          <w:rFonts w:hint="eastAsia" w:ascii="华文仿宋" w:hAnsi="华文仿宋" w:eastAsia="华文仿宋"/>
          <w:sz w:val="32"/>
          <w:szCs w:val="32"/>
        </w:rPr>
        <w:t>1.积极做好党的各项方针政策的学习宣传和贯彻。</w:t>
      </w:r>
    </w:p>
    <w:p>
      <w:pPr>
        <w:spacing w:line="520" w:lineRule="exact"/>
        <w:ind w:firstLine="640"/>
        <w:rPr>
          <w:rFonts w:ascii="华文仿宋" w:hAnsi="华文仿宋" w:eastAsia="华文仿宋"/>
          <w:sz w:val="32"/>
          <w:szCs w:val="32"/>
        </w:rPr>
      </w:pPr>
      <w:r>
        <w:rPr>
          <w:rFonts w:hint="eastAsia" w:ascii="华文仿宋" w:hAnsi="华文仿宋" w:eastAsia="华文仿宋"/>
          <w:sz w:val="32"/>
          <w:szCs w:val="32"/>
        </w:rPr>
        <w:t>2.认真履行服务妇女、保护妇女基本职能，更好发挥“温暖之家”的作用。</w:t>
      </w:r>
    </w:p>
    <w:p>
      <w:pPr>
        <w:spacing w:line="520" w:lineRule="exact"/>
        <w:ind w:firstLine="640"/>
        <w:rPr>
          <w:rFonts w:ascii="华文仿宋" w:hAnsi="华文仿宋" w:eastAsia="华文仿宋"/>
          <w:sz w:val="32"/>
          <w:szCs w:val="32"/>
        </w:rPr>
      </w:pPr>
      <w:r>
        <w:rPr>
          <w:rFonts w:hint="eastAsia" w:ascii="华文仿宋" w:hAnsi="华文仿宋" w:eastAsia="华文仿宋"/>
          <w:sz w:val="32"/>
          <w:szCs w:val="32"/>
        </w:rPr>
        <w:t>3.继续扎实推进“妇女儿童关爱行动”。</w:t>
      </w:r>
    </w:p>
    <w:p>
      <w:pPr>
        <w:spacing w:line="520" w:lineRule="exact"/>
        <w:ind w:firstLine="640"/>
        <w:rPr>
          <w:rFonts w:ascii="华文仿宋" w:hAnsi="华文仿宋" w:eastAsia="华文仿宋"/>
          <w:sz w:val="32"/>
          <w:szCs w:val="32"/>
        </w:rPr>
      </w:pPr>
      <w:r>
        <w:rPr>
          <w:rFonts w:hint="eastAsia" w:ascii="华文仿宋" w:hAnsi="华文仿宋" w:eastAsia="华文仿宋"/>
          <w:sz w:val="32"/>
          <w:szCs w:val="32"/>
        </w:rPr>
        <w:t>4.加强家庭建设，广泛开展好各类评选。</w:t>
      </w:r>
    </w:p>
    <w:p>
      <w:pPr>
        <w:spacing w:line="520" w:lineRule="exact"/>
        <w:ind w:firstLine="640"/>
        <w:rPr>
          <w:rFonts w:ascii="华文仿宋" w:hAnsi="华文仿宋" w:eastAsia="华文仿宋"/>
          <w:sz w:val="32"/>
          <w:szCs w:val="32"/>
        </w:rPr>
      </w:pPr>
      <w:r>
        <w:rPr>
          <w:rFonts w:hint="eastAsia" w:ascii="华文仿宋" w:hAnsi="华文仿宋" w:eastAsia="华文仿宋"/>
          <w:sz w:val="32"/>
          <w:szCs w:val="32"/>
        </w:rPr>
        <w:t>5.促进妇女创业就业，带动贫困家庭脱贫致富。</w:t>
      </w:r>
    </w:p>
    <w:p>
      <w:pPr>
        <w:spacing w:line="520" w:lineRule="exact"/>
        <w:ind w:firstLine="640"/>
        <w:rPr>
          <w:rFonts w:ascii="华文仿宋" w:hAnsi="华文仿宋" w:eastAsia="华文仿宋"/>
          <w:sz w:val="32"/>
          <w:szCs w:val="32"/>
        </w:rPr>
      </w:pPr>
      <w:r>
        <w:rPr>
          <w:rFonts w:hint="eastAsia" w:ascii="华文仿宋" w:hAnsi="华文仿宋" w:eastAsia="华文仿宋"/>
          <w:sz w:val="32"/>
          <w:szCs w:val="32"/>
        </w:rPr>
        <w:t>6.发挥志愿者力量，完善基层“妇女之家”平台建设。</w:t>
      </w:r>
    </w:p>
    <w:p>
      <w:pPr>
        <w:spacing w:line="520" w:lineRule="exact"/>
        <w:ind w:firstLine="640"/>
        <w:rPr>
          <w:rFonts w:ascii="华文仿宋" w:hAnsi="华文仿宋" w:eastAsia="华文仿宋"/>
          <w:sz w:val="32"/>
          <w:szCs w:val="32"/>
        </w:rPr>
      </w:pPr>
      <w:r>
        <w:rPr>
          <w:rFonts w:hint="eastAsia" w:ascii="华文仿宋" w:hAnsi="华文仿宋" w:eastAsia="华文仿宋"/>
          <w:sz w:val="32"/>
          <w:szCs w:val="32"/>
        </w:rPr>
        <w:t>7.开展妇女儿童发展规划目标的检查和指导工作，确保各项指标按期实现。</w:t>
      </w:r>
    </w:p>
    <w:p>
      <w:pPr>
        <w:spacing w:line="520" w:lineRule="exact"/>
        <w:ind w:firstLine="640"/>
        <w:rPr>
          <w:rFonts w:ascii="华文仿宋" w:hAnsi="华文仿宋" w:eastAsia="华文仿宋"/>
          <w:sz w:val="32"/>
          <w:szCs w:val="32"/>
        </w:rPr>
      </w:pPr>
      <w:r>
        <w:rPr>
          <w:rFonts w:hint="eastAsia" w:ascii="华文仿宋" w:hAnsi="华文仿宋" w:eastAsia="华文仿宋"/>
          <w:sz w:val="32"/>
          <w:szCs w:val="32"/>
        </w:rPr>
        <w:t>8.做好结对帮扶工作，把精准扶贫的有关政策落到实处。</w:t>
      </w:r>
    </w:p>
    <w:p>
      <w:pPr>
        <w:spacing w:line="52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三、部门预算单位构成</w:t>
      </w:r>
    </w:p>
    <w:p>
      <w:pPr>
        <w:widowControl/>
        <w:shd w:val="clear" w:color="auto" w:fill="FFFFFF"/>
        <w:spacing w:line="52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蓝田县妇女联合会为独立预算部门，无二级预算部门，无内设科室或机构，为全额财政拨款的行政单位。</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四、部门人员情况说明</w:t>
      </w:r>
    </w:p>
    <w:p>
      <w:pPr>
        <w:widowControl/>
        <w:shd w:val="clear" w:color="auto" w:fill="FFFFFF"/>
        <w:spacing w:line="52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截至2019年12月31日，本部门人员编制6人，其中行政编制6人；单位实有在职人员4人，其中行政4人，；离退休人员4人（交养老中心管理），不属于本单位管理。</w:t>
      </w:r>
    </w:p>
    <w:p>
      <w:pPr>
        <w:widowControl/>
        <w:shd w:val="clear" w:color="auto" w:fill="FFFFFF"/>
        <w:spacing w:line="240" w:lineRule="auto"/>
        <w:ind w:firstLine="640"/>
        <w:jc w:val="center"/>
        <w:rPr>
          <w:rFonts w:ascii="仿宋_GB2312" w:hAnsi="宋体" w:eastAsia="仿宋_GB2312" w:cs="宋体"/>
          <w:kern w:val="0"/>
          <w:sz w:val="32"/>
          <w:szCs w:val="32"/>
        </w:rPr>
      </w:pPr>
      <w:r>
        <w:rPr>
          <w:rFonts w:hint="eastAsia" w:ascii="仿宋_GB2312" w:hAnsi="宋体" w:eastAsia="仿宋_GB2312" w:cs="宋体"/>
          <w:kern w:val="0"/>
          <w:sz w:val="32"/>
          <w:szCs w:val="32"/>
        </w:rPr>
        <w:drawing>
          <wp:inline distT="0" distB="0" distL="114300" distR="114300">
            <wp:extent cx="3943985" cy="2370455"/>
            <wp:effectExtent l="0" t="0" r="18415" b="10795"/>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12"/>
                    <a:stretch>
                      <a:fillRect/>
                    </a:stretch>
                  </pic:blipFill>
                  <pic:spPr>
                    <a:xfrm>
                      <a:off x="0" y="0"/>
                      <a:ext cx="3943985" cy="2370455"/>
                    </a:xfrm>
                    <a:prstGeom prst="rect">
                      <a:avLst/>
                    </a:prstGeom>
                  </pic:spPr>
                </pic:pic>
              </a:graphicData>
            </a:graphic>
          </wp:inline>
        </w:drawing>
      </w:r>
    </w:p>
    <w:p>
      <w:pPr>
        <w:spacing w:line="520" w:lineRule="exact"/>
        <w:ind w:firstLine="643"/>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第二部分  收支情况</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五、2020年部门预算收支说明</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（一）收支预算总体情况。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按照综合预算的原则，本部门所有收入和支出均纳入部门预算管理。2020年本部门预算收入495003.37元，其中一般公共预算拨款收入424292.37元、社会保障和就业收入54860.00元、卫生健康收入15851.00元，2020年本部门预算收入495003.37元较上年预算收入465729.2元增加29274.17元，主要原因是调整人员工资及增加卫生健康收入；2020年本部门预算支出495003.37元，其中一般公共预算拨款支出424292.37元、社会保障和就业支出54860.00元、卫生健康支出15851.00元，2020年本部门预算支出495003.37元较上年预算支出465729.2元增加29274.17万元，主要原因是调整人员工资及增加卫生健康支出。</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（二）财政拨款收支情况。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2020年本部门财政拨款收入495003.37元，其中一般公共预算拨款收入424292.37元、社会保障和就业收入54860.00元、卫生健康收入15851.00元，2020年本部门财政拨款收入495003.37元较上年财政拨款收入465729.2元增加29274.17元，主要原因是调整人员工资及增加卫生健康收入；2020年本部门财政拨款支出495003.37元，其中一般公共预算拨款支出424292.37元、社会保障和就业支出54860.00元、卫生健康支出15851.00元，2020年本部门财政拨款支出495003.37元较上年财政拨款支出465729.2元增加29274.17万元，主要原因是调整人员工资及增加卫生健康支出。</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（三）一般公共预算拨款支出明细情况。</w:t>
      </w:r>
    </w:p>
    <w:p>
      <w:pPr>
        <w:spacing w:line="52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sz w:val="32"/>
          <w:szCs w:val="32"/>
        </w:rPr>
        <w:t>一般公共预算当年拨款规模变化情况。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2020年本部门当年一般公共预算拨款支出495003.37元，较上年预算拨款收入465729.2元增加29274.17元，主要原因是调整人员工资及增加卫生健康收入。</w:t>
      </w:r>
    </w:p>
    <w:p>
      <w:pPr>
        <w:spacing w:line="52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sz w:val="32"/>
          <w:szCs w:val="32"/>
        </w:rPr>
        <w:t>支出按功能科目分类的明细情况。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本部门2020年当年一般公共预算支出495003.37元，其中：</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（1）行政运行（2010601）424292.37元，较上年465729.2元减少41436.83万元，原因是2019年末有1人退休，相应经费减少；</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（2）机关事业单位基本养老保险缴费支出54860元，较上年64522.2元，减少96622元，因为2019年末有1人退休，相应经费减少；</w:t>
      </w:r>
    </w:p>
    <w:p>
      <w:pPr>
        <w:spacing w:line="520" w:lineRule="exact"/>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（3）行政单位医疗支出12872元，2019年度没有该项预算，因为从2020年度开始职工医疗保险单位部分由单位预算缴纳；</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（4）公务员医疗保险支出768元，2019年度没有该项预算，因为从2020年度开始职工医疗保险单位部分由单位预算缴纳；</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（5）其他卫生健康支出2211元，2019年度没有该项预算，因为从2020年度开始职工医疗保险单位部分由单位预算缴纳；</w:t>
      </w:r>
    </w:p>
    <w:p>
      <w:pPr>
        <w:spacing w:line="52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sz w:val="32"/>
          <w:szCs w:val="32"/>
        </w:rPr>
        <w:t>支出按经济科目分类的明细情况。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（1）2020年本部门当年一般公共预算支出495003.37元，其中：</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工资福利支出（301）438357.00万元，较上年工资福利支出411289.2元，增加27067.8元，原因是部分工作人员职务职级晋升；</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商品和服务支出（302）56646.37元，较上年商品和服务支出54440.00元，增加2206.37元，原因是增加工会经费支出。</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（2）2020年本部门当年一般公共预算支出495003.37元，其中：</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机关工资福利支出（501）438357.00元，较上年机关工资福利支出411289.2元，增加27067.8元，原因是部分工作人员职务职级晋升；</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机关商品和服务支出（502）56646.37元，较上年商品和服务支出54440.00元，增加2206.37元，原因是增加工会经费支出。</w:t>
      </w:r>
    </w:p>
    <w:p>
      <w:pPr>
        <w:spacing w:line="520" w:lineRule="exact"/>
        <w:ind w:firstLine="643"/>
        <w:rPr>
          <w:rFonts w:ascii="仿宋_GB2312" w:hAnsi="仿宋_GB2312" w:eastAsia="仿宋_GB2312" w:cs="仿宋_GB2312"/>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sz w:val="32"/>
          <w:szCs w:val="32"/>
        </w:rPr>
        <w:t>2019年结转财政资金一般公共预算拨款支出情况。本部门无2019年结转的一般公共预算拨款资金支出。</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（四）政府性基金预算支出情况。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1、当年政府性基金预算支出情况。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本部门无当年政府性基金预算收支，并已公开空表。</w:t>
      </w:r>
    </w:p>
    <w:p>
      <w:pPr>
        <w:numPr>
          <w:ilvl w:val="0"/>
          <w:numId w:val="1"/>
        </w:num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上年结转政府性基金预算支出情况。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本部门无2019年结转的政府性基金预算拨款支出。</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（五）国有资本经营预算拨款收支情况。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本部门无当年国有资本经营预算拨款收支，并在财政拨款收支总体情况表中列示，本部门无2019年结转的国有资本经营预算拨款支出。</w:t>
      </w:r>
    </w:p>
    <w:p>
      <w:pPr>
        <w:spacing w:line="520" w:lineRule="exact"/>
        <w:ind w:firstLine="643"/>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第三部分  其他说明情况</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六、部门预算“三公”经费等预算情况说明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2020年本部门当年一般公共预算“三公”经费预算支出0元，较上年0元，相比无变化。其中：因公出国（境）经费0元，较上年0元相比无变化；公务接待费0元，较上年0元相比无变化；公务用车运行费0元，较上年0元相比无变化；公务用车购置费0元，较上年0元相比无变化。</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本部门无2019年结转的财政拨款‘三公’经费支出。</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本年度会议费预算为2000元、培训费预算数为0元，较2019年度会议费0元、培训费0元，共计增加2000元，主要原因是本年年度需要召开庆“三八”表彰大会。</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七、部门国有资产占有使用及资产购置情况说明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截至2019年底，本部门所属预算单位共有车辆0辆，单价20万元以上的设备0台（套）。2020年当年部门预算安排购置车辆0辆；安排购置单价20万元以上的设备0台（套）。</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本部门无2019年结转的财政拨款支出资产购置。</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八、部门政府采购情况说明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本部门2020年无政府采购预算，并已公开空表。</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本部门无2019年结转的政府采购资金支出。</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九、部门预算绩效目标说明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2020年本部门绩效目标管理全覆盖，涉及当年一般公共预算拨款495003.37元,当年政府性基金预算拨款0元，当年国有资本经营预算拨款0元（详见公开报表中的绩效目标表）。</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本部门无2019年结转的财政拨款支出涉及的绩效目标管理。</w:t>
      </w:r>
    </w:p>
    <w:p>
      <w:pPr>
        <w:spacing w:line="520" w:lineRule="exact"/>
        <w:ind w:firstLine="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十、机关运行经费安排说明</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本部门当年机关运行经费预算安排56646.37元，较上年54440增加2206.37元，主要原因是增加单位工会经费。</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本部门无2019年结转的财政拨款机关运行经费支出</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十一、专业名词解释</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1.机关运行经费：指各部门的公用经费，包括办公及印刷费、邮电费、差旅费、会议费、福利费、日常维修费、专用材料及一般设备购置费、办公用房水电费、办公用房取暖费、办公用房物业管理费、公务用车运行费以及其他费用。</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2、“三公”经费：指部门使用一般公共预算财政拨款安排的因公出国（境）费、公务用车购置及运行费和公务接待费支出。</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tab/>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第四部分  公开报表</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（见附件2内容）</w:t>
      </w:r>
      <w:r>
        <w:rPr>
          <w:rFonts w:hint="eastAsia" w:ascii="仿宋_GB2312" w:hAnsi="仿宋_GB2312" w:eastAsia="仿宋_GB2312" w:cs="仿宋_GB2312"/>
          <w:sz w:val="32"/>
          <w:szCs w:val="32"/>
        </w:rPr>
        <w:tab/>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numberInDash" w:start="6"/>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w:pict>
        <v:shape id="_x0000_s1026" o:spid="_x0000_s1026" o:spt="202" type="#_x0000_t202" style="position:absolute;left:0pt;margin-top:-2.3pt;height:21.1pt;width:80pt;mso-position-horizontal:outside;mso-position-horizontal-relative:margin;z-index:251659264;mso-width-relative:page;mso-height-relative:page;" filled="f" stroked="f" coordsize="21600,21600"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v:path/>
          <v:fill on="f" focussize="0,0"/>
          <v:stroke on="f" weight="0.5pt" joinstyle="miter"/>
          <v:imagedata o:title=""/>
          <o:lock v:ext="edit"/>
          <v:textbox inset="0mm,0mm,0mm,0mm">
            <w:txbxContent>
              <w:p>
                <w:pPr>
                  <w:pStyle w:val="3"/>
                  <w:ind w:firstLine="0" w:firstLineChars="0"/>
                  <w:rPr>
                    <w:sz w:val="28"/>
                    <w:szCs w:val="44"/>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3932D1"/>
    <w:multiLevelType w:val="singleLevel"/>
    <w:tmpl w:val="D23932D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VhYjFmODgzYzM0NjExZTlhNzM0OTM0ZWZkMGMwZWYifQ=="/>
  </w:docVars>
  <w:rsids>
    <w:rsidRoot w:val="1ED0381D"/>
    <w:rsid w:val="00021752"/>
    <w:rsid w:val="000562DC"/>
    <w:rsid w:val="005F0B4E"/>
    <w:rsid w:val="00670DA4"/>
    <w:rsid w:val="008B30F6"/>
    <w:rsid w:val="009B6591"/>
    <w:rsid w:val="00A6254D"/>
    <w:rsid w:val="00C32E6E"/>
    <w:rsid w:val="00E047B3"/>
    <w:rsid w:val="00F474A1"/>
    <w:rsid w:val="00F61A77"/>
    <w:rsid w:val="00F63694"/>
    <w:rsid w:val="00FB1A40"/>
    <w:rsid w:val="00FE06BD"/>
    <w:rsid w:val="06097224"/>
    <w:rsid w:val="0DEA623F"/>
    <w:rsid w:val="110A2FF1"/>
    <w:rsid w:val="1ED0381D"/>
    <w:rsid w:val="1F987A76"/>
    <w:rsid w:val="28BD5BC6"/>
    <w:rsid w:val="3055663F"/>
    <w:rsid w:val="331E2BEA"/>
    <w:rsid w:val="34DA761D"/>
    <w:rsid w:val="41114242"/>
    <w:rsid w:val="425D3D91"/>
    <w:rsid w:val="47A83052"/>
    <w:rsid w:val="4B923C3E"/>
    <w:rsid w:val="4F8C081B"/>
    <w:rsid w:val="55C84B3C"/>
    <w:rsid w:val="5C546F19"/>
    <w:rsid w:val="5FE125FD"/>
    <w:rsid w:val="64EC22FC"/>
    <w:rsid w:val="66110B6F"/>
    <w:rsid w:val="680A78E7"/>
    <w:rsid w:val="70527932"/>
    <w:rsid w:val="74C11402"/>
    <w:rsid w:val="755A4DF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6" w:lineRule="exact"/>
      <w:ind w:firstLine="200" w:firstLineChars="200"/>
      <w:jc w:val="both"/>
    </w:pPr>
    <w:rPr>
      <w:rFonts w:ascii="Times New Roman" w:hAnsi="Times New Roman" w:eastAsia="宋体" w:cs="Times New Roman"/>
      <w:kern w:val="2"/>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7"/>
    <w:uiPriority w:val="0"/>
    <w:pPr>
      <w:spacing w:line="240" w:lineRule="auto"/>
    </w:pPr>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character" w:customStyle="1" w:styleId="7">
    <w:name w:val="批注框文本 Char"/>
    <w:basedOn w:val="6"/>
    <w:link w:val="2"/>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9</Pages>
  <Words>655</Words>
  <Characters>3736</Characters>
  <Lines>31</Lines>
  <Paragraphs>8</Paragraphs>
  <TotalTime>5</TotalTime>
  <ScaleCrop>false</ScaleCrop>
  <LinksUpToDate>false</LinksUpToDate>
  <CharactersWithSpaces>4383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2022-03-30T05:41:00Z</dcterms:created>
  <dc:creator>郭超(拟稿)</dc:creator>
  <cp:lastModifiedBy>byx</cp:lastModifiedBy>
  <cp:lastPrinted>2020-01-06T07:32:00Z</cp:lastPrinted>
  <dcterms:modified xsi:type="dcterms:W3CDTF">2024-01-15T09:15:07Z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89377D3AE7BC43EA96ED990AE64AA534_12</vt:lpwstr>
  </property>
</Properties>
</file>