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center"/>
        <w:rPr>
          <w:rFonts w:ascii="宋体" w:hAnsi="宋体" w:eastAsia="宋体" w:cs="宋体"/>
          <w:b/>
          <w:bCs/>
          <w:sz w:val="44"/>
          <w:szCs w:val="44"/>
        </w:rPr>
      </w:pPr>
      <w:bookmarkStart w:id="0" w:name="_GoBack"/>
      <w:bookmarkEnd w:id="0"/>
    </w:p>
    <w:p>
      <w:pPr>
        <w:jc w:val="center"/>
        <w:rPr>
          <w:rFonts w:ascii="宋体" w:hAnsi="宋体" w:eastAsia="宋体" w:cs="宋体"/>
          <w:b/>
          <w:bCs/>
          <w:sz w:val="44"/>
          <w:szCs w:val="44"/>
        </w:rPr>
      </w:pPr>
    </w:p>
    <w:p>
      <w:pPr>
        <w:jc w:val="center"/>
        <w:rPr>
          <w:rFonts w:ascii="宋体" w:hAnsi="宋体" w:eastAsia="宋体" w:cs="宋体"/>
          <w:b/>
          <w:bCs/>
          <w:sz w:val="44"/>
          <w:szCs w:val="44"/>
        </w:rPr>
      </w:pP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hint="default" w:ascii="宋体" w:hAnsi="宋体" w:eastAsia="宋体" w:cstheme="majorEastAsia"/>
          <w:b/>
          <w:bCs/>
          <w:sz w:val="48"/>
          <w:szCs w:val="48"/>
          <w:lang w:val="en-US" w:eastAsia="zh-CN"/>
        </w:rPr>
      </w:pPr>
      <w:r>
        <w:rPr>
          <w:rFonts w:hint="eastAsia" w:ascii="宋体" w:hAnsi="宋体" w:eastAsia="宋体" w:cstheme="majorEastAsia"/>
          <w:b/>
          <w:bCs/>
          <w:sz w:val="48"/>
          <w:szCs w:val="48"/>
        </w:rPr>
        <w:t>蓝田县</w:t>
      </w:r>
      <w:r>
        <w:rPr>
          <w:rFonts w:hint="eastAsia" w:ascii="宋体" w:hAnsi="宋体" w:eastAsia="宋体" w:cstheme="majorEastAsia"/>
          <w:b/>
          <w:bCs/>
          <w:sz w:val="48"/>
          <w:szCs w:val="48"/>
          <w:lang w:val="en-US" w:eastAsia="zh-CN"/>
        </w:rPr>
        <w:t>扶贫工作办公室</w:t>
      </w:r>
    </w:p>
    <w:p>
      <w:pPr>
        <w:spacing w:line="560" w:lineRule="exact"/>
        <w:jc w:val="center"/>
        <w:rPr>
          <w:rFonts w:hint="default" w:asciiTheme="majorEastAsia" w:hAnsiTheme="majorEastAsia" w:eastAsiaTheme="majorEastAsia" w:cstheme="majorEastAsia"/>
          <w:b/>
          <w:bCs/>
          <w:sz w:val="44"/>
          <w:szCs w:val="44"/>
          <w:lang w:val="en-US"/>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eastAsia" w:ascii="宋体" w:hAnsi="宋体" w:eastAsia="宋体" w:cstheme="minorEastAsia"/>
          <w:b/>
          <w:bCs/>
          <w:szCs w:val="32"/>
          <w:lang w:val="en-US" w:eastAsia="zh-CN"/>
        </w:rPr>
      </w:pPr>
      <w:r>
        <w:rPr>
          <w:rFonts w:hint="eastAsia" w:ascii="宋体" w:hAnsi="宋体" w:eastAsia="宋体" w:cstheme="minorEastAsia"/>
          <w:b/>
          <w:bCs/>
          <w:szCs w:val="32"/>
        </w:rPr>
        <w:t>保密审查情况：</w:t>
      </w:r>
      <w:r>
        <w:rPr>
          <w:rFonts w:hint="eastAsia" w:ascii="宋体" w:hAnsi="宋体" w:eastAsia="宋体" w:cstheme="minorEastAsia"/>
          <w:b/>
          <w:bCs/>
          <w:szCs w:val="32"/>
          <w:lang w:val="en-US" w:eastAsia="zh-CN"/>
        </w:rPr>
        <w:t>已审查</w:t>
      </w:r>
    </w:p>
    <w:p>
      <w:pPr>
        <w:spacing w:line="400" w:lineRule="exact"/>
        <w:jc w:val="center"/>
        <w:rPr>
          <w:rFonts w:ascii="宋体" w:hAnsi="宋体" w:eastAsia="宋体" w:cstheme="minorEastAsia"/>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pPr>
        <w:spacing w:line="400" w:lineRule="exact"/>
        <w:ind w:firstLine="2088" w:firstLineChars="650"/>
        <w:rPr>
          <w:rFonts w:hint="default" w:ascii="宋体" w:hAnsi="宋体" w:eastAsia="宋体" w:cs="宋体"/>
          <w:b/>
          <w:bCs/>
          <w:szCs w:val="32"/>
          <w:lang w:val="en-US" w:eastAsia="zh-CN"/>
        </w:rPr>
      </w:pP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both"/>
        <w:rPr>
          <w:rFonts w:ascii="黑体" w:hAnsi="宋体" w:eastAsia="黑体"/>
          <w:bCs/>
          <w:color w:val="000000"/>
          <w:kern w:val="0"/>
          <w:sz w:val="36"/>
          <w:szCs w:val="3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widowControl/>
        <w:ind w:firstLine="640" w:firstLineChars="200"/>
        <w:jc w:val="left"/>
        <w:rPr>
          <w:rFonts w:hint="default"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蓝田县扶贫工作办公室是县政府工作部门，贯彻落实党中央、省委、市委、县委关于扶贫（脱贫攻坚）工作的方针政策和决策部署，在履行职责过程中坚持和加强党对扶贫（脱贫攻坚）工作的集中统一领导。主要职责：</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1、贯彻执行中省市县扶贫（脱贫攻坚）工作的方针、政策，制定全县扶贫（脱贫攻坚）工作规划和年度计划。</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2、组织识别扶贫对象，对扶贫对象实施动态管理。</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3、负责全县扶贫（脱贫攻坚）培训工作和驻村扶贫干部培训工作。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4、负责扶贫资金的使用管理和监督工作。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5、负责管理扶贫项目，指导实施扶贫项目，对落实情况进行监督检查。</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6、组织协调县级机关和企事业单位驻村联户扶贫工作，动员社会力量参与扶贫工作。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7、开展调查研究，指导镇街和村扶贫工作。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8、负责组织实施对县级各部门、各镇街和村扶贫工作的日常督查和考核工作。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9、负责扶贫宣传工作。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10、负责12317扶贫监督举报事项的受理、答复、核查等工作。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11、负责全县建档立卡贫困人口信息动态监测管理工作和脱贫攻坚业务数据统计分析、整理上报、对外发布工作。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12、承担县脱贫攻坚领导小组的日常工作。</w:t>
      </w:r>
    </w:p>
    <w:p>
      <w:pPr>
        <w:widowControl/>
        <w:ind w:firstLine="640" w:firstLineChars="200"/>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13、负责机关及所属事业单位安全生产管理工作。</w:t>
      </w:r>
    </w:p>
    <w:p>
      <w:pPr>
        <w:widowControl/>
        <w:ind w:firstLine="640" w:firstLineChars="200"/>
        <w:jc w:val="left"/>
        <w:rPr>
          <w:rFonts w:hint="default"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14、完成县委、县政府交办的其他任务。</w:t>
      </w:r>
    </w:p>
    <w:p>
      <w:pPr>
        <w:widowControl/>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pStyle w:val="6"/>
        <w:widowControl/>
        <w:shd w:val="clear" w:color="auto" w:fill="FFFFFF"/>
        <w:spacing w:beforeAutospacing="0" w:afterAutospacing="0"/>
        <w:ind w:firstLine="739" w:firstLineChars="231"/>
        <w:rPr>
          <w:rFonts w:hint="eastAsia" w:ascii="楷体" w:hAnsi="楷体" w:eastAsia="楷体" w:cs="楷体"/>
          <w:b/>
          <w:bCs/>
          <w:color w:val="000000"/>
          <w:kern w:val="0"/>
          <w:szCs w:val="32"/>
        </w:rPr>
      </w:pPr>
      <w:r>
        <w:rPr>
          <w:rFonts w:hint="eastAsia" w:ascii="仿宋_GB2312" w:hAnsi="仿宋_GB2312" w:eastAsia="仿宋_GB2312" w:cs="仿宋_GB2312"/>
          <w:kern w:val="2"/>
          <w:sz w:val="32"/>
          <w:szCs w:val="32"/>
          <w:lang w:val="en-US" w:eastAsia="zh-CN" w:bidi="ar-SA"/>
        </w:rPr>
        <w:t>根据《中共蓝田县委办公室 蓝田县人民政府办公室关于印发《蓝田县机构改革实施方案》（蓝办发〔2019〕4号），原蓝田县扶贫开发办公室，更名为蓝田县扶贫工作办公室，相关内设机构随之调整，县扶贫办内设机构：综合科、行业扶贫科、社会扶贫科、督查考评科。下属事业单位即蓝田县扶贫信息检测中心与项目管理服务中心（事业单位）</w:t>
      </w:r>
      <w:r>
        <w:rPr>
          <w:rFonts w:hint="eastAsia" w:ascii="宋体" w:hAnsi="宋体" w:cs="宋体"/>
          <w:color w:val="2B2B2B"/>
          <w:sz w:val="28"/>
          <w:szCs w:val="28"/>
          <w:shd w:val="clear" w:color="auto" w:fill="FFFFFF"/>
        </w:rPr>
        <w:t>。</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pStyle w:val="6"/>
        <w:widowControl/>
        <w:shd w:val="clear" w:color="auto" w:fill="FFFFFF"/>
        <w:spacing w:beforeAutospacing="0" w:afterAutospacing="0"/>
        <w:ind w:firstLine="739" w:firstLineChars="23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本部门2019年度部门决算编制范围的单位包括本级机关1个，下属事业单位蓝田县扶贫信息检测中心与项目管理服务中心（非独立预算单位）。</w:t>
      </w:r>
    </w:p>
    <w:p>
      <w:pPr>
        <w:ind w:firstLine="640"/>
        <w:rPr>
          <w:rFonts w:hint="eastAsia" w:ascii="仿宋_GB2312" w:hAnsi="仿宋_GB2312" w:eastAsia="仿宋_GB2312" w:cs="仿宋_GB2312"/>
          <w:szCs w:val="32"/>
        </w:rPr>
      </w:pPr>
    </w:p>
    <w:tbl>
      <w:tblPr>
        <w:tblStyle w:val="8"/>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lang w:val="en-US" w:eastAsia="zh-CN"/>
              </w:rPr>
              <w:t>蓝田县扶贫工作办公室</w:t>
            </w:r>
            <w:r>
              <w:rPr>
                <w:rFonts w:hint="eastAsia" w:ascii="仿宋_GB2312" w:hAnsi="仿宋_GB2312" w:eastAsia="仿宋_GB2312" w:cs="仿宋_GB2312"/>
                <w:szCs w:val="32"/>
              </w:rPr>
              <w:t>本级（机关）</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截止2019年底，本部门人员编制</w:t>
      </w:r>
      <w:r>
        <w:rPr>
          <w:rFonts w:hint="eastAsia" w:ascii="仿宋_GB2312" w:hAnsi="仿宋_GB2312" w:eastAsia="仿宋_GB2312" w:cs="仿宋_GB2312"/>
          <w:szCs w:val="32"/>
          <w:lang w:val="en-US" w:eastAsia="zh-CN"/>
        </w:rPr>
        <w:t>22</w:t>
      </w:r>
      <w:r>
        <w:rPr>
          <w:rFonts w:hint="eastAsia" w:ascii="仿宋_GB2312" w:hAnsi="仿宋_GB2312" w:eastAsia="仿宋_GB2312" w:cs="仿宋_GB2312"/>
          <w:szCs w:val="32"/>
        </w:rPr>
        <w:t>人，其中行政编制</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人、事业编制</w:t>
      </w:r>
      <w:r>
        <w:rPr>
          <w:rFonts w:hint="eastAsia" w:ascii="仿宋_GB2312" w:hAnsi="仿宋_GB2312" w:eastAsia="仿宋_GB2312" w:cs="仿宋_GB2312"/>
          <w:szCs w:val="32"/>
          <w:lang w:val="en-US" w:eastAsia="zh-CN"/>
        </w:rPr>
        <w:t>15</w:t>
      </w:r>
      <w:r>
        <w:rPr>
          <w:rFonts w:hint="eastAsia" w:ascii="仿宋_GB2312" w:hAnsi="仿宋_GB2312" w:eastAsia="仿宋_GB2312" w:cs="仿宋_GB2312"/>
          <w:szCs w:val="32"/>
        </w:rPr>
        <w:t>人</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蓝田县扶贫信息监测与项目管理服务中心，</w:t>
      </w:r>
      <w:r>
        <w:rPr>
          <w:rFonts w:hint="eastAsia" w:ascii="仿宋_GB2312" w:hAnsi="仿宋_GB2312" w:eastAsia="仿宋_GB2312" w:cs="仿宋_GB2312"/>
          <w:kern w:val="2"/>
          <w:sz w:val="32"/>
          <w:szCs w:val="32"/>
          <w:lang w:val="en-US" w:eastAsia="zh-CN" w:bidi="ar-SA"/>
        </w:rPr>
        <w:t>非独立预算单位</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；实有人员</w:t>
      </w:r>
      <w:r>
        <w:rPr>
          <w:rFonts w:hint="eastAsia" w:ascii="仿宋_GB2312" w:hAnsi="仿宋_GB2312" w:eastAsia="仿宋_GB2312" w:cs="仿宋_GB2312"/>
          <w:szCs w:val="32"/>
          <w:lang w:val="en-US" w:eastAsia="zh-CN"/>
        </w:rPr>
        <w:t>24</w:t>
      </w:r>
      <w:r>
        <w:rPr>
          <w:rFonts w:hint="eastAsia" w:ascii="仿宋_GB2312" w:hAnsi="仿宋_GB2312" w:eastAsia="仿宋_GB2312" w:cs="仿宋_GB2312"/>
          <w:szCs w:val="32"/>
        </w:rPr>
        <w:t>人，其中行政</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人、事业</w:t>
      </w:r>
      <w:r>
        <w:rPr>
          <w:rFonts w:hint="eastAsia" w:ascii="仿宋_GB2312" w:hAnsi="仿宋_GB2312" w:eastAsia="仿宋_GB2312" w:cs="仿宋_GB2312"/>
          <w:szCs w:val="32"/>
          <w:lang w:val="en-US" w:eastAsia="zh-CN"/>
        </w:rPr>
        <w:t>17</w:t>
      </w:r>
      <w:r>
        <w:rPr>
          <w:rFonts w:hint="eastAsia" w:ascii="仿宋_GB2312" w:hAnsi="仿宋_GB2312" w:eastAsia="仿宋_GB2312" w:cs="仿宋_GB2312"/>
          <w:szCs w:val="32"/>
        </w:rPr>
        <w:t>人。单位管理的离退休人员</w:t>
      </w:r>
      <w:r>
        <w:rPr>
          <w:rFonts w:hint="eastAsia" w:ascii="仿宋_GB2312" w:hAnsi="仿宋_GB2312" w:eastAsia="仿宋_GB2312" w:cs="仿宋_GB2312"/>
          <w:szCs w:val="32"/>
          <w:lang w:val="en-US" w:eastAsia="zh-CN"/>
        </w:rPr>
        <w:t>12</w:t>
      </w:r>
      <w:r>
        <w:rPr>
          <w:rFonts w:hint="eastAsia" w:ascii="仿宋_GB2312" w:hAnsi="仿宋_GB2312" w:eastAsia="仿宋_GB2312" w:cs="仿宋_GB2312"/>
          <w:szCs w:val="32"/>
        </w:rPr>
        <w:t>人。</w:t>
      </w:r>
    </w:p>
    <w:p>
      <w:pPr>
        <w:widowControl/>
        <w:jc w:val="center"/>
        <w:rPr>
          <w:rFonts w:hint="eastAsia" w:ascii="黑体" w:hAnsi="宋体" w:eastAsia="黑体"/>
          <w:color w:val="000000"/>
          <w:kern w:val="0"/>
          <w:sz w:val="44"/>
          <w:szCs w:val="44"/>
        </w:rPr>
      </w:pPr>
      <w:r>
        <w:drawing>
          <wp:inline distT="0" distB="0" distL="114300" distR="114300">
            <wp:extent cx="5356225" cy="2552065"/>
            <wp:effectExtent l="4445" t="4445" r="11430" b="1524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7"/>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方正仿宋简体" w:cs="宋体"/>
                <w:color w:val="000000"/>
                <w:sz w:val="24"/>
                <w:lang w:val="en-US" w:eastAsia="zh-CN"/>
              </w:rPr>
            </w:pPr>
            <w:r>
              <w:rPr>
                <w:rFonts w:hint="eastAsia" w:ascii="宋体" w:hAnsi="宋体" w:cs="宋体"/>
                <w:color w:val="000000"/>
                <w:sz w:val="15"/>
                <w:szCs w:val="15"/>
                <w:lang w:val="en-US" w:eastAsia="zh-CN"/>
              </w:rPr>
              <w:t>本部门2019年未有政府性基金支出</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7"/>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21.23</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6.08</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1267.15</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hint="default" w:ascii="宋体" w:hAnsi="宋体" w:eastAsia="宋体" w:cs="宋体"/>
                <w:b/>
                <w:color w:val="000000"/>
                <w:sz w:val="21"/>
                <w:szCs w:val="21"/>
                <w:lang w:val="en-US" w:eastAsia="zh-CN"/>
              </w:rPr>
            </w:pPr>
            <w:r>
              <w:rPr>
                <w:rFonts w:hint="eastAsia" w:ascii="宋体" w:hAnsi="宋体" w:eastAsia="宋体" w:cs="宋体"/>
                <w:color w:val="000000"/>
                <w:kern w:val="0"/>
                <w:sz w:val="21"/>
                <w:szCs w:val="21"/>
                <w:lang w:val="en-US" w:eastAsia="zh-CN"/>
              </w:rPr>
              <w:t>1294.47</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jc w:val="right"/>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 xml:space="preserve">   1294.47</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1294.47</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7"/>
        <w:tblW w:w="8867" w:type="dxa"/>
        <w:tblInd w:w="0" w:type="dxa"/>
        <w:tblLayout w:type="fixed"/>
        <w:tblCellMar>
          <w:top w:w="15" w:type="dxa"/>
          <w:left w:w="15" w:type="dxa"/>
          <w:bottom w:w="15" w:type="dxa"/>
          <w:right w:w="15" w:type="dxa"/>
        </w:tblCellMar>
      </w:tblPr>
      <w:tblGrid>
        <w:gridCol w:w="774"/>
        <w:gridCol w:w="1438"/>
        <w:gridCol w:w="987"/>
        <w:gridCol w:w="950"/>
        <w:gridCol w:w="700"/>
        <w:gridCol w:w="738"/>
        <w:gridCol w:w="912"/>
        <w:gridCol w:w="568"/>
        <w:gridCol w:w="990"/>
        <w:gridCol w:w="810"/>
      </w:tblGrid>
      <w:tr>
        <w:tblPrEx>
          <w:tblCellMar>
            <w:top w:w="15" w:type="dxa"/>
            <w:left w:w="15" w:type="dxa"/>
            <w:bottom w:w="15" w:type="dxa"/>
            <w:right w:w="15" w:type="dxa"/>
          </w:tblCellMar>
        </w:tblPrEx>
        <w:trPr>
          <w:trHeight w:val="439" w:hRule="atLeast"/>
        </w:trPr>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9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9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65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774"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43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98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91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w:t>
            </w:r>
            <w:r>
              <w:rPr>
                <w:rFonts w:hint="eastAsia" w:ascii="宋体" w:hAnsi="宋体" w:eastAsia="宋体" w:cs="宋体"/>
                <w:b/>
                <w:color w:val="000000"/>
                <w:sz w:val="21"/>
                <w:szCs w:val="21"/>
                <w:lang w:val="en-US" w:eastAsia="zh-CN"/>
              </w:rPr>
              <w:t>教</w:t>
            </w:r>
            <w:r>
              <w:rPr>
                <w:rFonts w:hint="eastAsia" w:ascii="宋体" w:hAnsi="宋体" w:eastAsia="宋体" w:cs="宋体"/>
                <w:b/>
                <w:color w:val="000000"/>
                <w:sz w:val="21"/>
                <w:szCs w:val="21"/>
              </w:rPr>
              <w:t>育收费</w:t>
            </w: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98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1294.47</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1294.47</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208</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社会保障和就业支出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21.23</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21.23</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20805</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行政事业单位离退休</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21.23</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21.23</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2080505</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 xml:space="preserve">  机关事业单位基本养老保险缴费支出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21.23</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21.23</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210</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18"/>
                <w:szCs w:val="18"/>
                <w:lang w:val="en-US" w:eastAsia="zh-CN"/>
              </w:rPr>
            </w:pPr>
            <w:r>
              <w:rPr>
                <w:rFonts w:hint="eastAsia" w:ascii="宋体" w:hAnsi="宋体" w:eastAsia="宋体" w:cs="宋体"/>
                <w:i w:val="0"/>
                <w:color w:val="000000"/>
                <w:kern w:val="0"/>
                <w:sz w:val="18"/>
                <w:szCs w:val="18"/>
                <w:u w:val="none"/>
                <w:lang w:val="en-US" w:eastAsia="zh-CN" w:bidi="ar"/>
              </w:rPr>
              <w:t>卫生健康支出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21011</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行政事业单位医疗</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2101101</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行政单位医疗</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2101103</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公务员医疗补助</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21099</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其他卫生健康支出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2109901</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其他卫生健康支出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农林水支出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扶贫</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2130501</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行政运行</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2130504</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农村基础设施建设</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158.51</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158.51</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2130505</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生产发展</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9.28</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9.28</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2130506</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社会发展</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58.56</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58.56</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7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2130599</w:t>
            </w:r>
          </w:p>
        </w:tc>
        <w:tc>
          <w:tcPr>
            <w:tcW w:w="14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其他扶贫支出</w:t>
            </w:r>
          </w:p>
        </w:tc>
        <w:tc>
          <w:tcPr>
            <w:tcW w:w="9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850.04</w:t>
            </w:r>
          </w:p>
        </w:tc>
        <w:tc>
          <w:tcPr>
            <w:tcW w:w="9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850.04</w:t>
            </w:r>
          </w:p>
        </w:tc>
        <w:tc>
          <w:tcPr>
            <w:tcW w:w="7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公开03表</w:t>
      </w:r>
    </w:p>
    <w:p>
      <w:pPr>
        <w:rPr>
          <w:rFonts w:ascii="宋体" w:hAnsi="宋体" w:eastAsia="宋体" w:cs="宋体"/>
          <w:b/>
          <w:bCs/>
          <w:sz w:val="48"/>
          <w:szCs w:val="48"/>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金额单位：万元</w:t>
      </w:r>
    </w:p>
    <w:tbl>
      <w:tblPr>
        <w:tblStyle w:val="7"/>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1,294.47</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218.07</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1,076.39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208</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社会保障和就业支出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20805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行政事业单位离退休</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2080505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机关事业单位基本养老保险缴费支出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21011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行政事业单位医疗</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2101101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行政单位医疗</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2101103</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公务员医疗补助</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其他卫生健康支出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2109901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农林水支出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1,076.39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扶贫</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1,076.39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行政运行</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2130504</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农村基础设施建设</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158.51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158.51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生产发展</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9.28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9.28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2130506</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社会发展</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58.56</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58.56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2130599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  其他扶贫支出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850.04</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850.04</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Pr>
        <w:ind w:firstLine="2891" w:firstLineChars="900"/>
        <w:jc w:val="both"/>
        <w:rPr>
          <w:rFonts w:ascii="宋体" w:hAnsi="宋体" w:eastAsia="宋体" w:cs="宋体"/>
          <w:b/>
          <w:bCs/>
          <w:szCs w:val="32"/>
        </w:rPr>
      </w:pPr>
      <w:r>
        <w:rPr>
          <w:rFonts w:hint="eastAsia" w:ascii="宋体" w:hAnsi="宋体" w:eastAsia="宋体" w:cs="宋体"/>
          <w:b/>
          <w:bCs/>
          <w:szCs w:val="32"/>
        </w:rPr>
        <w:t>财政拨款收入支出决算总表</w:t>
      </w:r>
    </w:p>
    <w:p>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金额单位：万元</w:t>
      </w:r>
    </w:p>
    <w:tbl>
      <w:tblPr>
        <w:tblStyle w:val="7"/>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21.23</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21.23</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6.08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6.08</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1267.15</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1267.15</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ind w:firstLine="6325" w:firstLineChars="3000"/>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金额单位：万元</w:t>
      </w:r>
    </w:p>
    <w:tbl>
      <w:tblPr>
        <w:tblStyle w:val="7"/>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
                <w:color w:val="000000"/>
                <w:kern w:val="0"/>
                <w:sz w:val="21"/>
                <w:szCs w:val="21"/>
                <w:lang w:val="en-US" w:eastAsia="zh-CN"/>
              </w:rPr>
            </w:pPr>
            <w:r>
              <w:rPr>
                <w:rFonts w:hint="eastAsia" w:ascii="宋体" w:hAnsi="宋体" w:eastAsia="宋体" w:cs="宋体"/>
                <w:color w:val="000000"/>
                <w:sz w:val="21"/>
                <w:szCs w:val="21"/>
                <w:lang w:val="en-US" w:eastAsia="zh-CN"/>
              </w:rPr>
              <w:t>1294.47</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1294.47</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7"/>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1,294.47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218.07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215.70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1,076.39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208</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20805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2080505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6.09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21011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5.62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2101101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2101103</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21099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2109901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农林水支出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188.39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1,076.39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扶贫</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1,267.15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188.39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1,076.39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190.76</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188.39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2130504</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农村基础设施建设</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158.51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158.51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生产发展</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9.28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9.28</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2130506</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社会发展</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58.56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58.56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2130599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 xml:space="preserve">  其他扶贫支出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850.04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850.04</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Pr>
        <w:jc w:val="both"/>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7"/>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18"/>
                <w:szCs w:val="18"/>
              </w:rPr>
            </w:pPr>
            <w:r>
              <w:rPr>
                <w:rFonts w:hint="eastAsia" w:ascii="宋体" w:hAnsi="宋体" w:eastAsia="宋体" w:cs="宋体"/>
                <w:i w:val="0"/>
                <w:color w:val="000000"/>
                <w:kern w:val="0"/>
                <w:sz w:val="18"/>
                <w:szCs w:val="18"/>
                <w:u w:val="none"/>
                <w:lang w:val="en-US" w:eastAsia="zh-CN" w:bidi="ar"/>
              </w:rPr>
              <w:t>218.07</w:t>
            </w:r>
          </w:p>
        </w:tc>
        <w:tc>
          <w:tcPr>
            <w:tcW w:w="1437" w:type="dxa"/>
            <w:tcBorders>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18"/>
                <w:szCs w:val="18"/>
              </w:rPr>
            </w:pPr>
            <w:r>
              <w:rPr>
                <w:rFonts w:hint="eastAsia" w:ascii="宋体" w:hAnsi="宋体" w:eastAsia="宋体" w:cs="宋体"/>
                <w:i w:val="0"/>
                <w:color w:val="000000"/>
                <w:kern w:val="0"/>
                <w:sz w:val="18"/>
                <w:szCs w:val="18"/>
                <w:u w:val="none"/>
                <w:lang w:val="en-US" w:eastAsia="zh-CN" w:bidi="ar"/>
              </w:rPr>
              <w:t>215.70</w:t>
            </w:r>
          </w:p>
        </w:tc>
        <w:tc>
          <w:tcPr>
            <w:tcW w:w="1363" w:type="dxa"/>
            <w:tcBorders>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214.81</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214.80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128.35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128.35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21.30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37.05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37.05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21.23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5.34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0.28</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1.26</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2.37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0.46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印刷费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0.39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0.39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30204</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手续费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0.03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0.03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30206</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0.01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0.01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邮电费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0.69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0.69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0.79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0.79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0.90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0.90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30305</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生活补助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0.84</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0.84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20" w:firstLineChars="10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30399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0.06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18"/>
                <w:szCs w:val="18"/>
              </w:rPr>
            </w:pPr>
            <w:r>
              <w:rPr>
                <w:rFonts w:hint="eastAsia" w:ascii="宋体" w:hAnsi="宋体" w:eastAsia="宋体" w:cs="宋体"/>
                <w:i w:val="0"/>
                <w:color w:val="000000"/>
                <w:kern w:val="0"/>
                <w:sz w:val="18"/>
                <w:szCs w:val="18"/>
                <w:u w:val="none"/>
                <w:lang w:val="en-US" w:eastAsia="zh-CN" w:bidi="ar"/>
              </w:rPr>
              <w:t>0.06</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18"/>
                <w:szCs w:val="18"/>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Pr>
        <w:ind w:firstLine="1606" w:firstLineChars="500"/>
        <w:jc w:val="both"/>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7"/>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0.2</w:t>
            </w:r>
          </w:p>
        </w:tc>
        <w:tc>
          <w:tcPr>
            <w:tcW w:w="1117"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p>
        </w:tc>
        <w:tc>
          <w:tcPr>
            <w:tcW w:w="878"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0.2</w:t>
            </w:r>
          </w:p>
        </w:tc>
        <w:tc>
          <w:tcPr>
            <w:tcW w:w="878"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宋体" w:hAnsi="宋体" w:eastAsia="宋体" w:cs="宋体"/>
                <w:i w:val="0"/>
                <w:color w:val="000000"/>
                <w:kern w:val="0"/>
                <w:sz w:val="18"/>
                <w:szCs w:val="18"/>
                <w:u w:val="none"/>
                <w:lang w:val="en-US" w:eastAsia="zh-CN" w:bidi="ar"/>
              </w:rPr>
            </w:pPr>
          </w:p>
        </w:tc>
        <w:tc>
          <w:tcPr>
            <w:tcW w:w="998"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p>
        </w:tc>
        <w:tc>
          <w:tcPr>
            <w:tcW w:w="1189"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p>
        </w:tc>
        <w:tc>
          <w:tcPr>
            <w:tcW w:w="772"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962"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0.05</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5.40</w:t>
            </w:r>
          </w:p>
        </w:tc>
        <w:tc>
          <w:tcPr>
            <w:tcW w:w="11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5.40</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p>
        </w:tc>
        <w:tc>
          <w:tcPr>
            <w:tcW w:w="11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5.40</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16.02</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bottom"/>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9.28</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ind w:firstLine="6957" w:firstLineChars="3300"/>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蓝田县扶贫工作办公室</w:t>
      </w:r>
      <w:r>
        <w:rPr>
          <w:rFonts w:hint="eastAsia" w:ascii="宋体" w:hAnsi="宋体" w:eastAsia="宋体" w:cs="宋体"/>
          <w:b/>
          <w:bCs/>
          <w:sz w:val="21"/>
          <w:szCs w:val="21"/>
        </w:rPr>
        <w:t xml:space="preserve">                               金额单位：万元</w:t>
      </w:r>
    </w:p>
    <w:tbl>
      <w:tblPr>
        <w:tblStyle w:val="7"/>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hint="default" w:ascii="仿宋_GB2312" w:hAnsi="仿宋" w:eastAsia="仿宋_GB2312"/>
          <w:szCs w:val="32"/>
          <w:lang w:val="en-US" w:eastAsia="zh-CN"/>
        </w:rPr>
      </w:pPr>
      <w:r>
        <w:rPr>
          <w:rFonts w:hint="eastAsia" w:ascii="仿宋_GB2312" w:hAnsi="仿宋" w:eastAsia="仿宋_GB2312"/>
          <w:szCs w:val="32"/>
        </w:rPr>
        <w:t>2019年度收入</w:t>
      </w:r>
      <w:r>
        <w:rPr>
          <w:rFonts w:hint="eastAsia" w:ascii="仿宋_GB2312" w:hAnsi="仿宋" w:eastAsia="仿宋_GB2312"/>
          <w:szCs w:val="32"/>
          <w:lang w:val="en-US" w:eastAsia="zh-CN"/>
        </w:rPr>
        <w:t>总计1294.47万元，其中一般公共预算拨款收入1294.47万元，2019年本部门决算收入较2018年减少了1944.11万元，减少60%。减少原因主要为2019年度扶贫专项项目资金直接下达至项目实施主管单位，由项目实施主管单位具体负责，扶贫办负责做好项目资金使用管理监督。</w:t>
      </w:r>
    </w:p>
    <w:p>
      <w:pPr>
        <w:widowControl/>
        <w:ind w:firstLine="640" w:firstLineChars="200"/>
        <w:jc w:val="left"/>
        <w:rPr>
          <w:rFonts w:hint="eastAsia" w:ascii="仿宋_GB2312" w:hAnsi="仿宋" w:eastAsia="仿宋_GB2312"/>
          <w:szCs w:val="32"/>
          <w:lang w:val="en-US" w:eastAsia="zh-CN"/>
        </w:rPr>
      </w:pPr>
      <w:r>
        <w:rPr>
          <w:rFonts w:hint="eastAsia" w:ascii="仿宋_GB2312" w:hAnsi="仿宋" w:eastAsia="仿宋_GB2312"/>
          <w:szCs w:val="32"/>
        </w:rPr>
        <w:t>2019度年支出</w:t>
      </w:r>
      <w:r>
        <w:rPr>
          <w:rFonts w:hint="eastAsia" w:ascii="仿宋_GB2312" w:hAnsi="仿宋" w:eastAsia="仿宋_GB2312"/>
          <w:szCs w:val="32"/>
          <w:lang w:val="en-US" w:eastAsia="zh-CN"/>
        </w:rPr>
        <w:t>总计1294.47万元，其中一般公共预算拨款支出1294.47万元，2019年本部门决算支出较2018年减少了1944.11万元，减少60%。减少原因主要为2019年度扶贫专项项目资金直接下达至项目实施主管单位，由项目实施主管单位具体负责，扶贫办负责做好项目资金使用管理监督。</w:t>
      </w:r>
    </w:p>
    <w:p>
      <w:pPr>
        <w:widowControl/>
        <w:ind w:firstLine="640" w:firstLineChars="200"/>
        <w:jc w:val="left"/>
        <w:rPr>
          <w:rFonts w:hint="eastAsia" w:ascii="仿宋_GB2312" w:hAnsi="仿宋" w:eastAsia="仿宋_GB2312"/>
          <w:szCs w:val="32"/>
          <w:lang w:val="en-US" w:eastAsia="zh-CN"/>
        </w:rPr>
      </w:pPr>
      <w:r>
        <w:drawing>
          <wp:inline distT="0" distB="0" distL="114300" distR="114300">
            <wp:extent cx="5356225" cy="2552065"/>
            <wp:effectExtent l="4445" t="4445" r="11430" b="1524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jc w:val="left"/>
        <w:rPr>
          <w:rFonts w:hint="default" w:ascii="仿宋_GB2312" w:hAnsi="仿宋" w:eastAsia="仿宋_GB2312"/>
          <w:szCs w:val="32"/>
          <w:lang w:val="en-US" w:eastAsia="zh-CN"/>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lang w:val="en-US" w:eastAsia="zh-CN"/>
        </w:rPr>
        <w:t>1294.47</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lang w:val="en-US" w:eastAsia="zh-CN"/>
        </w:rPr>
        <w:t>1294.47</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w:t>
      </w:r>
    </w:p>
    <w:p>
      <w:pPr>
        <w:widowControl/>
        <w:ind w:firstLine="640" w:firstLineChars="200"/>
        <w:jc w:val="left"/>
        <w:rPr>
          <w:rFonts w:hint="eastAsia" w:ascii="仿宋_GB2312" w:hAnsi="宋体" w:eastAsia="仿宋_GB2312" w:cs="仿宋_GB2312"/>
          <w:color w:val="000000"/>
          <w:kern w:val="0"/>
          <w:szCs w:val="32"/>
          <w:lang w:eastAsia="zh-CN"/>
        </w:rPr>
      </w:pPr>
      <w:r>
        <w:drawing>
          <wp:inline distT="0" distB="0" distL="114300" distR="114300">
            <wp:extent cx="4526915" cy="2779395"/>
            <wp:effectExtent l="4445" t="4445" r="21590"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lang w:val="en-US" w:eastAsia="zh-CN"/>
        </w:rPr>
        <w:t>1294.47</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lang w:val="en-US" w:eastAsia="zh-CN"/>
        </w:rPr>
        <w:t>218.07</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17</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lang w:val="en-US" w:eastAsia="zh-CN"/>
        </w:rPr>
        <w:t>主要是为保障机构正常运转、完成日常工作任务而发生的各项支出</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lang w:val="en-US" w:eastAsia="zh-CN"/>
        </w:rPr>
        <w:t>1076.39</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83</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，是为完成特定的工作任务或事业发展目标，在基本支出之外发生的支出。</w:t>
      </w:r>
    </w:p>
    <w:p>
      <w:pPr>
        <w:widowControl/>
        <w:ind w:firstLine="640" w:firstLineChars="200"/>
        <w:jc w:val="left"/>
        <w:rPr>
          <w:rFonts w:hint="eastAsia" w:eastAsia="仿宋_GB2312"/>
          <w:lang w:eastAsia="zh-CN"/>
        </w:rPr>
      </w:pPr>
      <w:r>
        <w:rPr>
          <w:sz w:val="32"/>
        </w:rPr>
        <w:pict>
          <v:shape id="_x0000_s1032" o:spid="_x0000_s1032" o:spt="202" type="#_x0000_t202" style="position:absolute;left:0pt;margin-left:124.85pt;margin-top:4.4pt;height:23.75pt;width:173.75pt;z-index:251665408;mso-width-relative:page;mso-height-relative:page;" fillcolor="#FFFFFF" filled="t" stroked="t" coordsize="21600,21600">
            <v:path/>
            <v:fill on="t" focussize="0,0"/>
            <v:stroke color="#000000"/>
            <v:imagedata o:title=""/>
            <o:lock v:ext="edit" aspectratio="f"/>
            <v:textbox>
              <w:txbxContent>
                <w:p>
                  <w:pPr>
                    <w:ind w:firstLine="420" w:firstLineChars="200"/>
                    <w:rPr>
                      <w:rFonts w:hint="eastAsia" w:ascii="华文中宋" w:hAnsi="华文中宋" w:eastAsia="华文中宋" w:cs="华文中宋"/>
                      <w:sz w:val="21"/>
                      <w:szCs w:val="21"/>
                      <w:lang w:val="en-US" w:eastAsia="zh-CN"/>
                    </w:rPr>
                  </w:pPr>
                  <w:r>
                    <w:rPr>
                      <w:rFonts w:hint="eastAsia" w:ascii="华文中宋" w:hAnsi="华文中宋" w:eastAsia="华文中宋" w:cs="华文中宋"/>
                      <w:sz w:val="21"/>
                      <w:szCs w:val="21"/>
                      <w:lang w:val="en-US" w:eastAsia="zh-CN"/>
                    </w:rPr>
                    <w:t>本年度支出决算情况说明</w:t>
                  </w:r>
                </w:p>
              </w:txbxContent>
            </v:textbox>
          </v:shape>
        </w:pict>
      </w:r>
      <w:r>
        <w:rPr>
          <w:sz w:val="32"/>
        </w:rPr>
        <w:pict>
          <v:line id="_x0000_s1031" o:spid="_x0000_s1031" o:spt="20" style="position:absolute;left:0pt;flip:x;margin-left:146.75pt;margin-top:140.75pt;height:6.2pt;width:39.2pt;z-index:251664384;mso-width-relative:page;mso-height-relative:page;" filled="f" stroked="t" coordsize="21600,21600">
            <v:path arrowok="t"/>
            <v:fill on="f" focussize="0,0"/>
            <v:stroke color="#000000" endarrow="open"/>
            <v:imagedata o:title=""/>
            <o:lock v:ext="edit" aspectratio="f"/>
          </v:line>
        </w:pict>
      </w:r>
      <w:r>
        <w:rPr>
          <w:rFonts w:hint="eastAsia" w:eastAsia="仿宋_GB2312"/>
          <w:lang w:eastAsia="zh-CN"/>
        </w:rPr>
        <w:drawing>
          <wp:inline distT="0" distB="0" distL="114300" distR="114300">
            <wp:extent cx="4175760" cy="2253615"/>
            <wp:effectExtent l="5080" t="4445" r="10160" b="889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sz w:val="32"/>
        </w:rPr>
        <w:pict>
          <v:line id="_x0000_s1027" o:spid="_x0000_s1027" o:spt="20" style="position:absolute;left:0pt;flip:y;margin-left:253.55pt;margin-top:61.35pt;height:0.5pt;width:18.1pt;z-index:251660288;mso-width-relative:page;mso-height-relative:page;" filled="f" stroked="t" coordsize="21600,21600">
            <v:path arrowok="t"/>
            <v:fill on="f" focussize="0,0"/>
            <v:stroke color="#000000" endarrow="open"/>
            <v:imagedata o:title=""/>
            <o:lock v:ext="edit" aspectratio="f"/>
          </v:line>
        </w:pict>
      </w:r>
      <w:r>
        <w:rPr>
          <w:sz w:val="32"/>
        </w:rPr>
        <w:pict>
          <v:line id="_x0000_s1029" o:spid="_x0000_s1029" o:spt="20" style="position:absolute;left:0pt;flip:x y;margin-left:155.55pt;margin-top:41.25pt;height:1.25pt;width:26.15pt;z-index:251662336;mso-width-relative:page;mso-height-relative:page;" filled="f" stroked="t" coordsize="21600,21600">
            <v:path arrowok="t"/>
            <v:fill on="f" focussize="0,0"/>
            <v:stroke color="#000000" endarrow="open"/>
            <v:imagedata o:title=""/>
            <o:lock v:ext="edit" aspectratio="f"/>
          </v:line>
        </w:pict>
      </w:r>
      <w:r>
        <w:rPr>
          <w:sz w:val="32"/>
        </w:rPr>
        <w:pict>
          <v:shape id="_x0000_s1028" o:spid="_x0000_s1028" o:spt="202" type="#_x0000_t202" style="position:absolute;left:0pt;margin-left:33.05pt;margin-top:29.45pt;height:20pt;width:119.85pt;z-index:251661312;mso-width-relative:page;mso-height-relative:page;" fillcolor="#FFFFFF" filled="t" stroked="t" coordsize="21600,21600">
            <v:path/>
            <v:fill on="t" focussize="0,0"/>
            <v:stroke color="#000000"/>
            <v:imagedata o:title=""/>
            <o:lock v:ext="edit" aspectratio="f"/>
            <v:textbox>
              <w:txbxContent>
                <w:p>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1076.39万元，占83%</w:t>
                  </w:r>
                </w:p>
              </w:txbxContent>
            </v:textbox>
          </v:shape>
        </w:pict>
      </w:r>
      <w:r>
        <w:rPr>
          <w:sz w:val="32"/>
        </w:rPr>
        <w:pict>
          <v:shape id="_x0000_s1030" o:spid="_x0000_s1030" o:spt="202" type="#_x0000_t202" style="position:absolute;left:0pt;margin-left:34.3pt;margin-top:130.7pt;height:23.2pt;width:108.65pt;z-index:251663360;mso-width-relative:page;mso-height-relative:page;" fillcolor="#FFFFFF" filled="t" stroked="t" coordsize="21600,21600">
            <v:path/>
            <v:fill on="t" focussize="0,0"/>
            <v:stroke color="#000000"/>
            <v:imagedata o:title=""/>
            <o:lock v:ext="edit" aspectratio="f"/>
            <v:textbox>
              <w:txbxContent>
                <w:p>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218.07万元，占17%</w:t>
                  </w:r>
                </w:p>
              </w:txbxContent>
            </v:textbox>
          </v:shape>
        </w:pict>
      </w:r>
      <w:r>
        <w:rPr>
          <w:sz w:val="32"/>
        </w:rPr>
        <w:pict>
          <v:shape id="_x0000_s1026" o:spid="_x0000_s1026" o:spt="202" type="#_x0000_t202" style="position:absolute;left:0pt;margin-left:271.65pt;margin-top:55.05pt;height:23.15pt;width:82.6pt;z-index:251659264;mso-width-relative:page;mso-height-relative:page;" fillcolor="#FFFFFF" filled="t" stroked="t" coordsize="21600,21600">
            <v:path/>
            <v:fill on="t" focussize="0,0"/>
            <v:stroke color="#000000"/>
            <v:imagedata o:title=""/>
            <o:lock v:ext="edit" aspectratio="f"/>
            <v:textbox>
              <w:txbxContent>
                <w:p>
                  <w:pPr>
                    <w:rPr>
                      <w:rFonts w:hint="default" w:eastAsia="方正仿宋简体"/>
                      <w:lang w:val="en-US" w:eastAsia="zh-CN"/>
                    </w:rPr>
                  </w:pPr>
                  <w:r>
                    <w:rPr>
                      <w:rFonts w:hint="eastAsia" w:ascii="仿宋" w:hAnsi="仿宋" w:eastAsia="仿宋" w:cs="仿宋"/>
                      <w:sz w:val="18"/>
                      <w:szCs w:val="18"/>
                      <w:lang w:val="en-US" w:eastAsia="zh-CN"/>
                    </w:rPr>
                    <w:t>1294.47万元</w:t>
                  </w:r>
                </w:p>
              </w:txbxContent>
            </v:textbox>
          </v:shape>
        </w:pic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ind w:firstLine="640" w:firstLineChars="200"/>
        <w:jc w:val="left"/>
        <w:rPr>
          <w:rFonts w:hint="default" w:ascii="仿宋_GB2312" w:hAnsi="仿宋" w:eastAsia="仿宋_GB2312"/>
          <w:szCs w:val="32"/>
          <w:lang w:val="en-US" w:eastAsia="zh-CN"/>
        </w:rPr>
      </w:pPr>
      <w:r>
        <w:rPr>
          <w:rFonts w:hint="eastAsia" w:ascii="仿宋_GB2312" w:hAnsi="仿宋" w:eastAsia="仿宋_GB2312"/>
          <w:szCs w:val="32"/>
        </w:rPr>
        <w:t>2019年度</w:t>
      </w:r>
      <w:r>
        <w:rPr>
          <w:rFonts w:hint="eastAsia" w:ascii="仿宋_GB2312" w:hAnsi="仿宋" w:eastAsia="仿宋_GB2312"/>
          <w:szCs w:val="32"/>
          <w:lang w:val="en-US" w:eastAsia="zh-CN"/>
        </w:rPr>
        <w:t>财政拨款收入总计1294.47万元，其中一般公共预算拨款收入1294.47万元，2019年本部门决算收入较2018年减少了1944.11万元，减少60%。减少原因主要为2019年度扶贫专项项目资金直接下达至项目实施主管单位，由项目实施主管单位具体负责，扶贫办负责做好项目资金使用管理监督。</w:t>
      </w:r>
    </w:p>
    <w:p>
      <w:pPr>
        <w:widowControl/>
        <w:ind w:firstLine="640" w:firstLineChars="200"/>
        <w:jc w:val="left"/>
        <w:rPr>
          <w:rFonts w:hint="eastAsia" w:ascii="仿宋_GB2312" w:hAnsi="仿宋" w:eastAsia="仿宋_GB2312"/>
          <w:szCs w:val="32"/>
          <w:lang w:val="en-US" w:eastAsia="zh-CN"/>
        </w:rPr>
      </w:pPr>
      <w:r>
        <w:rPr>
          <w:rFonts w:hint="eastAsia" w:ascii="仿宋_GB2312" w:hAnsi="仿宋" w:eastAsia="仿宋_GB2312"/>
          <w:szCs w:val="32"/>
        </w:rPr>
        <w:t>2019年度</w:t>
      </w:r>
      <w:r>
        <w:rPr>
          <w:rFonts w:hint="eastAsia" w:ascii="仿宋_GB2312" w:hAnsi="仿宋" w:eastAsia="仿宋_GB2312"/>
          <w:szCs w:val="32"/>
          <w:lang w:val="en-US" w:eastAsia="zh-CN"/>
        </w:rPr>
        <w:t>财政拨款</w:t>
      </w:r>
      <w:r>
        <w:rPr>
          <w:rFonts w:hint="eastAsia" w:ascii="仿宋_GB2312" w:hAnsi="仿宋" w:eastAsia="仿宋_GB2312"/>
          <w:szCs w:val="32"/>
        </w:rPr>
        <w:t>支出</w:t>
      </w:r>
      <w:r>
        <w:rPr>
          <w:rFonts w:hint="eastAsia" w:ascii="仿宋_GB2312" w:hAnsi="仿宋" w:eastAsia="仿宋_GB2312"/>
          <w:szCs w:val="32"/>
          <w:lang w:val="en-US" w:eastAsia="zh-CN"/>
        </w:rPr>
        <w:t>总计1294.47万元，其中一般公共预算拨款支出1294.47万元，2019年本部门决算支出较2018年减少了1944.11万元，减少60%。减少原因主要为2019年度扶贫专项项目资金直接下达至项目实施主管单位，由项目实施主管单位具体负责，扶贫办负责做好项目资金使用管理监督。</w:t>
      </w:r>
    </w:p>
    <w:p>
      <w:pPr>
        <w:widowControl/>
        <w:ind w:firstLine="640" w:firstLineChars="200"/>
        <w:jc w:val="left"/>
        <w:rPr>
          <w:rFonts w:hint="eastAsia" w:ascii="仿宋_GB2312" w:hAnsi="仿宋" w:eastAsia="仿宋_GB2312"/>
          <w:szCs w:val="32"/>
          <w:lang w:val="en-US" w:eastAsia="zh-CN"/>
        </w:rPr>
      </w:pPr>
      <w:r>
        <w:drawing>
          <wp:inline distT="0" distB="0" distL="114300" distR="114300">
            <wp:extent cx="5356225" cy="2552065"/>
            <wp:effectExtent l="4445" t="4445" r="11430" b="1524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hint="eastAsia" w:ascii="仿宋_GB2312" w:hAnsi="仿宋" w:eastAsia="仿宋_GB2312"/>
          <w:szCs w:val="32"/>
          <w:lang w:val="en-US" w:eastAsia="zh-CN"/>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1294.47</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1944.11</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60</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hAnsi="仿宋" w:eastAsia="仿宋_GB2312"/>
          <w:szCs w:val="32"/>
          <w:lang w:val="en-US" w:eastAsia="zh-CN"/>
        </w:rPr>
        <w:t>2019年度扶贫专项项目资金直接下达至项目实施主管单位，由项目实施主管单位具体负责，扶贫办负责做好项目资金使用管理监督。</w:t>
      </w:r>
    </w:p>
    <w:p>
      <w:pPr>
        <w:widowControl/>
        <w:ind w:firstLine="880" w:firstLineChars="200"/>
        <w:jc w:val="left"/>
        <w:rPr>
          <w:rFonts w:hint="eastAsia" w:ascii="仿宋_GB2312" w:hAnsi="仿宋" w:eastAsia="仿宋_GB2312"/>
          <w:szCs w:val="32"/>
          <w:lang w:val="en-US" w:eastAsia="zh-CN"/>
        </w:rPr>
      </w:pPr>
      <w:r>
        <w:rPr>
          <w:rFonts w:ascii="黑体" w:hAnsi="宋体" w:eastAsia="黑体"/>
          <w:color w:val="000000"/>
          <w:kern w:val="0"/>
          <w:sz w:val="44"/>
          <w:szCs w:val="44"/>
        </w:rPr>
        <w:drawing>
          <wp:inline distT="0" distB="0" distL="0" distR="0">
            <wp:extent cx="4293870" cy="2365375"/>
            <wp:effectExtent l="5080" t="4445" r="6350" b="1143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lang w:val="en-US" w:eastAsia="zh-CN"/>
        </w:rPr>
        <w:t>1939.32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1294.47</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67</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ind w:firstLine="643" w:firstLineChars="200"/>
        <w:jc w:val="left"/>
      </w:pPr>
      <w:r>
        <w:rPr>
          <w:rFonts w:ascii="仿宋_GB2312" w:hAnsi="宋体" w:eastAsia="仿宋_GB2312" w:cs="仿宋_GB2312"/>
          <w:b/>
          <w:color w:val="000000"/>
          <w:kern w:val="0"/>
          <w:szCs w:val="32"/>
        </w:rPr>
        <w:t xml:space="preserve">1.一般公共服务支出（类）财政事务（款）行政运行（项）。 </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val="en-US" w:eastAsia="zh-CN"/>
        </w:rPr>
        <w:t>2019</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lang w:val="en-US" w:eastAsia="zh-CN"/>
        </w:rPr>
        <w:t>139.32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218.07</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156</w:t>
      </w:r>
      <w:r>
        <w:rPr>
          <w:rFonts w:ascii="仿宋_GB2312" w:hAnsi="宋体" w:eastAsia="仿宋_GB2312" w:cs="仿宋_GB2312"/>
          <w:color w:val="000000"/>
          <w:kern w:val="0"/>
          <w:szCs w:val="32"/>
        </w:rPr>
        <w:t>%。决算数大于预算数的主要原因是</w:t>
      </w:r>
      <w:r>
        <w:rPr>
          <w:rFonts w:hint="eastAsia" w:ascii="仿宋_GB2312" w:hAnsi="宋体" w:eastAsia="仿宋_GB2312" w:cs="仿宋_GB2312"/>
          <w:color w:val="000000"/>
          <w:kern w:val="0"/>
          <w:szCs w:val="32"/>
          <w:lang w:val="en-US" w:eastAsia="zh-CN"/>
        </w:rPr>
        <w:t>人员经费增加</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lang w:val="en-US" w:eastAsia="zh-CN"/>
        </w:rPr>
        <w:t>未将事业人员基本工资列入年初财政预算</w:t>
      </w:r>
      <w:r>
        <w:rPr>
          <w:rFonts w:hint="eastAsia" w:ascii="仿宋_GB2312" w:hAnsi="宋体" w:eastAsia="仿宋_GB2312" w:cs="仿宋_GB2312"/>
          <w:color w:val="000000"/>
          <w:kern w:val="0"/>
          <w:szCs w:val="32"/>
        </w:rPr>
        <w:t>。</w:t>
      </w:r>
    </w:p>
    <w:p>
      <w:pPr>
        <w:widowControl/>
        <w:ind w:firstLine="643" w:firstLineChars="200"/>
        <w:jc w:val="left"/>
        <w:rPr>
          <w:rFonts w:hint="default"/>
          <w:lang w:val="en-US"/>
        </w:rPr>
      </w:pPr>
      <w:r>
        <w:rPr>
          <w:rFonts w:ascii="仿宋_GB2312" w:hAnsi="宋体" w:eastAsia="仿宋_GB2312" w:cs="仿宋_GB2312"/>
          <w:b/>
          <w:color w:val="000000"/>
          <w:kern w:val="0"/>
          <w:szCs w:val="32"/>
        </w:rPr>
        <w:t>2.</w:t>
      </w:r>
      <w:r>
        <w:rPr>
          <w:rFonts w:hint="eastAsia" w:ascii="仿宋_GB2312" w:hAnsi="宋体" w:eastAsia="仿宋_GB2312" w:cs="仿宋_GB2312"/>
          <w:b/>
          <w:color w:val="000000"/>
          <w:kern w:val="0"/>
          <w:szCs w:val="32"/>
          <w:lang w:val="en-US" w:eastAsia="zh-CN"/>
        </w:rPr>
        <w:t>扶贫项目支出。</w:t>
      </w:r>
      <w:r>
        <w:rPr>
          <w:rFonts w:hint="eastAsia" w:ascii="仿宋_GB2312" w:hAnsi="宋体" w:eastAsia="仿宋_GB2312" w:cs="仿宋_GB2312"/>
          <w:color w:val="000000"/>
          <w:kern w:val="0"/>
          <w:szCs w:val="32"/>
          <w:lang w:val="en-US" w:eastAsia="zh-CN"/>
        </w:rPr>
        <w:t>2019年项目支出决算为1076.39万元，其中农村基础设施建设158.51万元，生产发展项目资金9.28万元，社会发展项目资金58.56万元，其他扶贫支出项目资金850.04万元。 小于年初预算数1800万元，主要原因为2019年扶贫项目资金直接下达至各项目实施单位，对年初计划进行了调减。</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218.07</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lang w:val="en-US" w:eastAsia="zh-CN"/>
        </w:rPr>
        <w:t>215.7</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lang w:val="en-US" w:eastAsia="zh-CN"/>
        </w:rPr>
        <w:t>2.37</w:t>
      </w:r>
      <w:r>
        <w:rPr>
          <w:rFonts w:ascii="仿宋_GB2312" w:hAnsi="仿宋_GB2312" w:eastAsia="仿宋_GB2312" w:cs="仿宋_GB2312"/>
          <w:color w:val="000000"/>
          <w:kern w:val="0"/>
          <w:sz w:val="31"/>
          <w:szCs w:val="31"/>
        </w:rPr>
        <w:t>万元。</w:t>
      </w:r>
    </w:p>
    <w:p>
      <w:pPr>
        <w:widowControl/>
        <w:ind w:firstLine="643" w:firstLineChars="200"/>
        <w:jc w:val="left"/>
        <w:rPr>
          <w:rFonts w:hint="default" w:ascii="仿宋_GB2312" w:hAnsi="宋体" w:eastAsia="仿宋_GB2312" w:cs="仿宋_GB2312"/>
          <w:color w:val="000000"/>
          <w:kern w:val="0"/>
          <w:szCs w:val="32"/>
          <w:lang w:val="en-US" w:eastAsia="zh-CN"/>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lang w:val="en-US" w:eastAsia="zh-CN"/>
        </w:rPr>
        <w:t>支出215.7</w:t>
      </w:r>
      <w:r>
        <w:rPr>
          <w:rFonts w:ascii="仿宋_GB2312" w:hAnsi="宋体" w:eastAsia="仿宋_GB2312" w:cs="仿宋_GB2312"/>
          <w:color w:val="000000"/>
          <w:kern w:val="0"/>
          <w:szCs w:val="32"/>
        </w:rPr>
        <w:t>万元，主要包括基本工资</w:t>
      </w:r>
      <w:r>
        <w:rPr>
          <w:rFonts w:hint="eastAsia" w:ascii="仿宋_GB2312" w:hAnsi="宋体" w:eastAsia="仿宋_GB2312" w:cs="仿宋_GB2312"/>
          <w:color w:val="000000"/>
          <w:kern w:val="0"/>
          <w:szCs w:val="32"/>
          <w:lang w:val="en-US" w:eastAsia="zh-CN"/>
        </w:rPr>
        <w:t>128.35</w:t>
      </w:r>
      <w:r>
        <w:rPr>
          <w:rFonts w:hint="eastAsia"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lang w:val="en-US" w:eastAsia="zh-CN"/>
        </w:rPr>
        <w:t>奖金21.3万元，绩效工资37.05万元，养老保险缴费21.23万元，基本医疗保险缴费5.34万元，公务员医疗补助缴费0.28万元，其他社会保障缴费1.26万元。对个人和家庭的补助0.9万元。</w:t>
      </w:r>
    </w:p>
    <w:p>
      <w:pPr>
        <w:widowControl/>
        <w:ind w:firstLine="643" w:firstLineChars="200"/>
        <w:jc w:val="left"/>
        <w:rPr>
          <w:rFonts w:hint="eastAsia" w:ascii="仿宋_GB2312" w:hAnsi="宋体" w:eastAsia="仿宋_GB2312" w:cs="仿宋_GB2312"/>
          <w:color w:val="000000"/>
          <w:kern w:val="0"/>
          <w:szCs w:val="32"/>
        </w:rPr>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lang w:val="en-US" w:eastAsia="zh-CN"/>
        </w:rPr>
        <w:t>支出2.37</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lang w:val="en-US" w:eastAsia="zh-CN"/>
        </w:rPr>
        <w:t>办公费0.46万元，印刷费0.39万元，手续费0.03万元，电费0.01万元，邮电费0.69万元，其他交通费0.79万元</w:t>
      </w:r>
      <w:r>
        <w:rPr>
          <w:rFonts w:hint="eastAsia" w:ascii="仿宋_GB2312" w:hAnsi="宋体" w:eastAsia="仿宋_GB2312" w:cs="仿宋_GB2312"/>
          <w:color w:val="000000"/>
          <w:kern w:val="0"/>
          <w:szCs w:val="32"/>
        </w:rPr>
        <w:t>。</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hint="eastAsia" w:ascii="仿宋_GB2312" w:hAnsi="仿宋" w:eastAsia="仿宋_GB2312"/>
          <w:color w:val="000000" w:themeColor="text1"/>
          <w:szCs w:val="32"/>
          <w:highlight w:val="none"/>
        </w:rPr>
        <w:t>2019年度“三公”经费财政拨款支出预算为</w:t>
      </w:r>
      <w:r>
        <w:rPr>
          <w:rFonts w:hint="eastAsia" w:ascii="仿宋_GB2312" w:hAnsi="仿宋" w:eastAsia="仿宋_GB2312"/>
          <w:color w:val="000000" w:themeColor="text1"/>
          <w:szCs w:val="32"/>
          <w:highlight w:val="none"/>
          <w:lang w:val="en-US" w:eastAsia="zh-CN"/>
        </w:rPr>
        <w:t>0.2</w:t>
      </w:r>
      <w:r>
        <w:rPr>
          <w:rFonts w:hint="eastAsia" w:ascii="仿宋_GB2312" w:hAnsi="仿宋" w:eastAsia="仿宋_GB2312"/>
          <w:color w:val="000000" w:themeColor="text1"/>
          <w:szCs w:val="32"/>
          <w:highlight w:val="none"/>
        </w:rPr>
        <w:t>万元，支出决算为</w:t>
      </w:r>
      <w:r>
        <w:rPr>
          <w:rFonts w:hint="eastAsia" w:ascii="仿宋_GB2312" w:hAnsi="仿宋" w:eastAsia="仿宋_GB2312"/>
          <w:color w:val="000000" w:themeColor="text1"/>
          <w:szCs w:val="32"/>
          <w:highlight w:val="none"/>
          <w:lang w:val="en-US" w:eastAsia="zh-CN"/>
        </w:rPr>
        <w:t>5.4</w:t>
      </w:r>
      <w:r>
        <w:rPr>
          <w:rFonts w:hint="eastAsia" w:ascii="仿宋_GB2312" w:hAnsi="仿宋" w:eastAsia="仿宋_GB2312"/>
          <w:color w:val="000000" w:themeColor="text1"/>
          <w:szCs w:val="32"/>
          <w:highlight w:val="none"/>
        </w:rPr>
        <w:t>万元，完成预算的</w:t>
      </w:r>
      <w:r>
        <w:rPr>
          <w:rFonts w:hint="eastAsia" w:ascii="仿宋_GB2312" w:hAnsi="仿宋" w:eastAsia="仿宋_GB2312"/>
          <w:color w:val="000000" w:themeColor="text1"/>
          <w:szCs w:val="32"/>
          <w:highlight w:val="none"/>
          <w:lang w:val="en-US" w:eastAsia="zh-CN"/>
        </w:rPr>
        <w:t>2700</w:t>
      </w:r>
      <w:r>
        <w:rPr>
          <w:rFonts w:hint="eastAsia" w:ascii="仿宋_GB2312" w:hAnsi="仿宋" w:eastAsia="仿宋_GB2312"/>
          <w:color w:val="000000" w:themeColor="text1"/>
          <w:szCs w:val="32"/>
          <w:highlight w:val="none"/>
        </w:rPr>
        <w:t>%</w:t>
      </w:r>
      <w:r>
        <w:rPr>
          <w:rFonts w:hint="eastAsia" w:ascii="仿宋_GB2312" w:hAnsi="仿宋" w:eastAsia="仿宋_GB2312"/>
          <w:color w:val="000000" w:themeColor="text1"/>
          <w:szCs w:val="32"/>
          <w:highlight w:val="none"/>
          <w:lang w:eastAsia="zh-CN"/>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w:t>
      </w:r>
      <w:r>
        <w:rPr>
          <w:rFonts w:hint="eastAsia" w:ascii="仿宋_GB2312" w:hAnsi="宋体" w:eastAsia="仿宋_GB2312" w:cs="仿宋_GB2312"/>
          <w:color w:val="000000"/>
          <w:kern w:val="0"/>
          <w:szCs w:val="32"/>
          <w:lang w:val="en-US" w:eastAsia="zh-CN"/>
        </w:rPr>
        <w:t>5.2</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蓝田县脱贫攻坚领导小组办公室设在县扶贫办，县扶贫办承担全县脱贫攻坚工作任务，2019年度省市县各类扶贫督导检查较多，检查用车次数多，公务用车运行维护及交通费用增加。</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万元；公务用车购置</w:t>
      </w:r>
      <w:r>
        <w:rPr>
          <w:rFonts w:hint="eastAsia" w:ascii="仿宋_GB2312" w:hAnsi="宋体" w:eastAsia="仿宋_GB2312" w:cs="仿宋_GB2312"/>
          <w:color w:val="000000"/>
          <w:kern w:val="0"/>
          <w:szCs w:val="32"/>
        </w:rPr>
        <w:t>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5.4</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万元。具体情况如下：</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inline distT="0" distB="0" distL="114300" distR="114300">
            <wp:extent cx="5080000" cy="3810000"/>
            <wp:effectExtent l="4445" t="4445" r="20955" b="1460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2019年度因公出国（境）</w:t>
      </w:r>
      <w:r>
        <w:rPr>
          <w:rFonts w:hint="eastAsia" w:ascii="仿宋_GB2312" w:hAnsi="仿宋" w:eastAsia="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无变化</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2019年度本部门无因公出国（境），不存在该项支出</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w:t>
      </w:r>
      <w:r>
        <w:rPr>
          <w:rFonts w:hint="eastAsia" w:ascii="仿宋_GB2312" w:hAnsi="仿宋" w:eastAsia="仿宋_GB2312"/>
          <w:szCs w:val="32"/>
          <w:lang w:val="en-US" w:eastAsia="zh-CN"/>
        </w:rPr>
        <w:t>无购置车辆支出</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hint="default" w:ascii="仿宋_GB2312" w:hAnsi="宋体" w:eastAsia="仿宋_GB2312" w:cs="仿宋_GB2312"/>
          <w:color w:val="000000"/>
          <w:kern w:val="0"/>
          <w:szCs w:val="32"/>
          <w:lang w:val="en-US"/>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5.4</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100</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w:t>
      </w:r>
      <w:r>
        <w:rPr>
          <w:rFonts w:hint="eastAsia" w:ascii="仿宋_GB2312" w:hAnsi="宋体" w:eastAsia="仿宋_GB2312" w:cs="仿宋_GB2312"/>
          <w:color w:val="000000"/>
          <w:kern w:val="0"/>
          <w:szCs w:val="32"/>
          <w:lang w:val="en-US" w:eastAsia="zh-CN"/>
        </w:rPr>
        <w:t>5.4</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县扶贫办承担全县脱贫攻坚工作任务，2019年度省市县各类扶贫督导检查较多，检查用车次数多，公务用车运行维护及租车等交通费用增加，公车运行费用支出使用脱贫攻坚专项经费。</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-100</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0.2</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严格按八项规定缩减</w:t>
      </w:r>
      <w:r>
        <w:rPr>
          <w:rFonts w:hint="eastAsia" w:ascii="仿宋_GB2312" w:hAnsi="宋体" w:eastAsia="仿宋_GB2312" w:cs="仿宋_GB2312"/>
          <w:color w:val="000000"/>
          <w:kern w:val="0"/>
          <w:szCs w:val="32"/>
        </w:rPr>
        <w:t>。</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hint="default" w:ascii="仿宋_GB2312" w:hAnsi="宋体" w:eastAsia="仿宋_GB2312" w:cs="仿宋_GB2312"/>
          <w:color w:val="000000"/>
          <w:kern w:val="0"/>
          <w:szCs w:val="32"/>
          <w:lang w:val="en-US"/>
        </w:rPr>
      </w:pPr>
      <w:r>
        <w:rPr>
          <w:rFonts w:hint="eastAsia" w:ascii="仿宋_GB2312" w:hAnsi="仿宋" w:eastAsia="仿宋_GB2312"/>
          <w:szCs w:val="32"/>
          <w:highlight w:val="none"/>
        </w:rPr>
        <w:t>2019年度</w:t>
      </w:r>
      <w:r>
        <w:rPr>
          <w:rFonts w:hint="eastAsia" w:ascii="仿宋_GB2312" w:hAnsi="仿宋_GB2312" w:eastAsia="仿宋_GB2312" w:cs="仿宋_GB2312"/>
          <w:szCs w:val="32"/>
          <w:highlight w:val="none"/>
        </w:rPr>
        <w:t>培训费</w:t>
      </w:r>
      <w:r>
        <w:rPr>
          <w:rFonts w:ascii="仿宋_GB2312" w:hAnsi="宋体" w:eastAsia="仿宋_GB2312" w:cs="仿宋_GB2312"/>
          <w:color w:val="000000"/>
          <w:kern w:val="0"/>
          <w:szCs w:val="32"/>
          <w:highlight w:val="none"/>
        </w:rPr>
        <w:t>预算为</w:t>
      </w:r>
      <w:r>
        <w:rPr>
          <w:rFonts w:hint="eastAsia" w:ascii="仿宋_GB2312" w:hAnsi="宋体" w:eastAsia="仿宋_GB2312" w:cs="仿宋_GB2312"/>
          <w:color w:val="000000"/>
          <w:kern w:val="0"/>
          <w:szCs w:val="32"/>
          <w:highlight w:val="none"/>
          <w:lang w:val="en-US" w:eastAsia="zh-CN"/>
        </w:rPr>
        <w:t>0.05</w:t>
      </w:r>
      <w:r>
        <w:rPr>
          <w:rFonts w:ascii="仿宋_GB2312" w:hAnsi="宋体" w:eastAsia="仿宋_GB2312" w:cs="仿宋_GB2312"/>
          <w:color w:val="000000"/>
          <w:kern w:val="0"/>
          <w:szCs w:val="32"/>
          <w:highlight w:val="none"/>
        </w:rPr>
        <w:t>万元，支出决算为</w:t>
      </w:r>
      <w:r>
        <w:rPr>
          <w:rFonts w:hint="eastAsia" w:ascii="仿宋_GB2312" w:hAnsi="宋体" w:eastAsia="仿宋_GB2312" w:cs="仿宋_GB2312"/>
          <w:color w:val="000000"/>
          <w:kern w:val="0"/>
          <w:szCs w:val="32"/>
          <w:highlight w:val="none"/>
          <w:lang w:val="en-US" w:eastAsia="zh-CN"/>
        </w:rPr>
        <w:t>9.28</w:t>
      </w:r>
      <w:r>
        <w:rPr>
          <w:rFonts w:ascii="仿宋_GB2312" w:hAnsi="宋体" w:eastAsia="仿宋_GB2312" w:cs="仿宋_GB2312"/>
          <w:color w:val="000000"/>
          <w:kern w:val="0"/>
          <w:szCs w:val="32"/>
          <w:highlight w:val="none"/>
        </w:rPr>
        <w:t>万元，完成预算的</w:t>
      </w:r>
      <w:r>
        <w:rPr>
          <w:rFonts w:hint="eastAsia" w:ascii="仿宋_GB2312" w:hAnsi="宋体" w:eastAsia="仿宋_GB2312" w:cs="仿宋_GB2312"/>
          <w:color w:val="000000"/>
          <w:kern w:val="0"/>
          <w:szCs w:val="32"/>
          <w:highlight w:val="none"/>
          <w:lang w:val="en-US" w:eastAsia="zh-CN"/>
        </w:rPr>
        <w:t xml:space="preserve"> 18560 </w:t>
      </w:r>
      <w:r>
        <w:rPr>
          <w:rFonts w:ascii="仿宋_GB2312" w:hAnsi="宋体" w:eastAsia="仿宋_GB2312" w:cs="仿宋_GB2312"/>
          <w:color w:val="000000"/>
          <w:kern w:val="0"/>
          <w:szCs w:val="32"/>
          <w:highlight w:val="none"/>
        </w:rPr>
        <w:t>%</w:t>
      </w:r>
      <w:r>
        <w:rPr>
          <w:rFonts w:hint="eastAsia" w:ascii="仿宋_GB2312" w:hAnsi="宋体" w:eastAsia="仿宋_GB2312" w:cs="仿宋_GB2312"/>
          <w:color w:val="000000"/>
          <w:kern w:val="0"/>
          <w:szCs w:val="32"/>
          <w:highlight w:val="none"/>
        </w:rPr>
        <w:t>，</w:t>
      </w:r>
      <w:r>
        <w:rPr>
          <w:rFonts w:ascii="仿宋_GB2312" w:hAnsi="宋体" w:eastAsia="仿宋_GB2312" w:cs="仿宋_GB2312"/>
          <w:color w:val="000000"/>
          <w:kern w:val="0"/>
          <w:szCs w:val="32"/>
          <w:highlight w:val="none"/>
        </w:rPr>
        <w:t>决算数</w:t>
      </w:r>
      <w:r>
        <w:rPr>
          <w:rFonts w:hint="eastAsia" w:ascii="仿宋_GB2312" w:hAnsi="宋体" w:eastAsia="仿宋_GB2312" w:cs="仿宋_GB2312"/>
          <w:color w:val="000000"/>
          <w:kern w:val="0"/>
          <w:szCs w:val="32"/>
          <w:highlight w:val="none"/>
        </w:rPr>
        <w:t>较</w:t>
      </w:r>
      <w:r>
        <w:rPr>
          <w:rFonts w:ascii="仿宋_GB2312" w:hAnsi="宋体" w:eastAsia="仿宋_GB2312" w:cs="仿宋_GB2312"/>
          <w:color w:val="000000"/>
          <w:kern w:val="0"/>
          <w:szCs w:val="32"/>
          <w:highlight w:val="none"/>
        </w:rPr>
        <w:t>预算数</w:t>
      </w:r>
      <w:r>
        <w:rPr>
          <w:rFonts w:hint="eastAsia" w:ascii="仿宋_GB2312" w:hAnsi="宋体" w:eastAsia="仿宋_GB2312" w:cs="仿宋_GB2312"/>
          <w:color w:val="000000"/>
          <w:kern w:val="0"/>
          <w:szCs w:val="32"/>
          <w:highlight w:val="none"/>
        </w:rPr>
        <w:t>增加</w:t>
      </w:r>
      <w:r>
        <w:rPr>
          <w:rFonts w:hint="eastAsia" w:ascii="仿宋_GB2312" w:hAnsi="宋体" w:eastAsia="仿宋_GB2312" w:cs="仿宋_GB2312"/>
          <w:color w:val="000000"/>
          <w:kern w:val="0"/>
          <w:szCs w:val="32"/>
          <w:highlight w:val="none"/>
          <w:lang w:val="en-US" w:eastAsia="zh-CN"/>
        </w:rPr>
        <w:t>9.23</w:t>
      </w:r>
      <w:r>
        <w:rPr>
          <w:rFonts w:hint="eastAsia" w:ascii="仿宋_GB2312" w:hAnsi="宋体" w:eastAsia="仿宋_GB2312" w:cs="仿宋_GB2312"/>
          <w:color w:val="000000"/>
          <w:kern w:val="0"/>
          <w:szCs w:val="32"/>
          <w:highlight w:val="none"/>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扶贫办</w:t>
      </w:r>
      <w:r>
        <w:rPr>
          <w:rFonts w:hint="eastAsia" w:ascii="仿宋_GB2312" w:hAnsi="仿宋_GB2312" w:eastAsia="仿宋_GB2312" w:cs="仿宋_GB2312"/>
          <w:szCs w:val="32"/>
          <w:lang w:val="en-US" w:eastAsia="zh-CN"/>
        </w:rPr>
        <w:t>负责全县扶贫（脱贫攻坚）培训工作和驻村扶贫干部培训工作，扶贫培训支出增加，</w:t>
      </w:r>
      <w:r>
        <w:rPr>
          <w:rFonts w:hint="eastAsia" w:ascii="仿宋_GB2312" w:hAnsi="宋体" w:eastAsia="仿宋_GB2312" w:cs="仿宋_GB2312"/>
          <w:color w:val="000000"/>
          <w:kern w:val="0"/>
          <w:szCs w:val="32"/>
          <w:lang w:val="en-US" w:eastAsia="zh-CN"/>
        </w:rPr>
        <w:t>培训费支出使用脱贫攻坚专项经费。</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hint="default" w:ascii="仿宋_GB2312" w:hAnsi="宋体" w:eastAsia="仿宋_GB2312" w:cs="仿宋_GB2312"/>
          <w:color w:val="000000"/>
          <w:kern w:val="0"/>
          <w:szCs w:val="32"/>
          <w:lang w:val="en-US"/>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16.02</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1602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w:t>
      </w:r>
      <w:r>
        <w:rPr>
          <w:rFonts w:hint="eastAsia" w:ascii="仿宋_GB2312" w:hAnsi="宋体" w:eastAsia="仿宋_GB2312" w:cs="仿宋_GB2312"/>
          <w:color w:val="000000"/>
          <w:kern w:val="0"/>
          <w:szCs w:val="32"/>
          <w:lang w:val="en-US" w:eastAsia="zh-CN"/>
        </w:rPr>
        <w:t>15.02</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脱贫攻坚各项会议增加，会议费用增加。会议费用使用脱贫攻坚专项经费。</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本部门无政府性基金决算收支，并已公开空表</w:t>
      </w:r>
      <w:r>
        <w:rPr>
          <w:rFonts w:hint="eastAsia" w:ascii="仿宋_GB2312" w:hAnsi="仿宋_GB2312" w:eastAsia="仿宋_GB2312" w:cs="仿宋_GB2312"/>
          <w:szCs w:val="32"/>
          <w:lang w:eastAsia="zh-CN"/>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本部门无国有资本经营决算拨款收支</w:t>
      </w:r>
      <w:r>
        <w:rPr>
          <w:rFonts w:hint="eastAsia" w:ascii="仿宋_GB2312" w:hAnsi="仿宋_GB2312" w:eastAsia="仿宋_GB2312" w:cs="仿宋_GB2312"/>
          <w:szCs w:val="32"/>
          <w:lang w:eastAsia="zh-CN"/>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w:t>
      </w: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rPr>
        <w:t>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lang w:val="en-US" w:eastAsia="zh-CN"/>
        </w:rPr>
        <w:t>扶贫0</w:t>
      </w:r>
      <w:r>
        <w:rPr>
          <w:rFonts w:ascii="仿宋_GB2312" w:hAnsi="仿宋_GB2312" w:eastAsia="仿宋_GB2312" w:cs="仿宋_GB2312"/>
          <w:szCs w:val="32"/>
        </w:rPr>
        <w:t>个，二级项目</w:t>
      </w:r>
      <w:r>
        <w:rPr>
          <w:rFonts w:hint="eastAsia" w:ascii="仿宋_GB2312" w:hAnsi="仿宋_GB2312" w:eastAsia="仿宋_GB2312" w:cs="仿宋_GB2312"/>
          <w:szCs w:val="32"/>
          <w:lang w:val="en-US" w:eastAsia="zh-CN"/>
        </w:rPr>
        <w:t>1</w:t>
      </w:r>
      <w:r>
        <w:rPr>
          <w:rFonts w:ascii="仿宋_GB2312" w:hAnsi="仿宋_GB2312" w:eastAsia="仿宋_GB2312" w:cs="仿宋_GB2312"/>
          <w:szCs w:val="32"/>
        </w:rPr>
        <w:t>个，共涉及资金</w:t>
      </w:r>
      <w:r>
        <w:rPr>
          <w:rFonts w:hint="eastAsia" w:ascii="仿宋_GB2312" w:hAnsi="仿宋_GB2312" w:eastAsia="仿宋_GB2312" w:cs="仿宋_GB2312"/>
          <w:szCs w:val="32"/>
          <w:lang w:val="en-US" w:eastAsia="zh-CN"/>
        </w:rPr>
        <w:t>245.7</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lang w:val="en-US" w:eastAsia="zh-CN"/>
        </w:rPr>
        <w:t>22</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 xml:space="preserve"> 2019年</w:t>
      </w:r>
      <w:r>
        <w:rPr>
          <w:rFonts w:hint="eastAsia" w:ascii="仿宋_GB2312" w:hAnsi="仿宋" w:eastAsia="仿宋_GB2312"/>
          <w:szCs w:val="32"/>
        </w:rPr>
        <w:t>度</w:t>
      </w:r>
      <w:r>
        <w:rPr>
          <w:rFonts w:hint="eastAsia" w:ascii="仿宋_GB2312" w:hAnsi="仿宋" w:eastAsia="仿宋_GB2312"/>
          <w:szCs w:val="32"/>
          <w:lang w:val="en-US" w:eastAsia="zh-CN"/>
        </w:rPr>
        <w:t>无</w:t>
      </w:r>
      <w:r>
        <w:rPr>
          <w:rFonts w:hint="eastAsia" w:ascii="仿宋_GB2312" w:hAnsi="仿宋" w:eastAsia="仿宋_GB2312"/>
          <w:szCs w:val="32"/>
        </w:rPr>
        <w:t>政府性</w:t>
      </w:r>
      <w:r>
        <w:rPr>
          <w:rFonts w:hint="eastAsia" w:ascii="仿宋_GB2312" w:hAnsi="仿宋_GB2312" w:eastAsia="仿宋_GB2312" w:cs="仿宋_GB2312"/>
          <w:szCs w:val="32"/>
        </w:rPr>
        <w:t>基金预算项目</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lang w:val="en-US" w:eastAsia="zh-CN"/>
        </w:rPr>
        <w:t>1294.47</w:t>
      </w:r>
      <w:r>
        <w:rPr>
          <w:rFonts w:hint="eastAsia" w:ascii="仿宋_GB2312" w:hAnsi="仿宋_GB2312" w:eastAsia="仿宋_GB2312" w:cs="仿宋_GB2312"/>
          <w:szCs w:val="32"/>
        </w:rPr>
        <w:t>万元。</w:t>
      </w:r>
    </w:p>
    <w:p>
      <w:pPr>
        <w:widowControl/>
        <w:numPr>
          <w:ilvl w:val="0"/>
          <w:numId w:val="2"/>
        </w:numPr>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部门决算中项目绩效自评结果。</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项目绩效自评综述：根据年初设定的绩效目标，项目自评得分</w:t>
      </w:r>
      <w:r>
        <w:rPr>
          <w:rFonts w:hint="eastAsia" w:ascii="仿宋_GB2312" w:hAnsi="仿宋_GB2312" w:eastAsia="仿宋_GB2312" w:cs="仿宋_GB2312"/>
          <w:szCs w:val="32"/>
          <w:lang w:val="en-US" w:eastAsia="zh-CN"/>
        </w:rPr>
        <w:t>79</w:t>
      </w:r>
      <w:r>
        <w:rPr>
          <w:rFonts w:hint="eastAsia" w:ascii="仿宋_GB2312" w:hAnsi="仿宋_GB2312" w:eastAsia="仿宋_GB2312" w:cs="仿宋_GB2312"/>
          <w:szCs w:val="32"/>
        </w:rPr>
        <w:t>分。</w:t>
      </w:r>
      <w:r>
        <w:rPr>
          <w:rFonts w:ascii="仿宋_GB2312" w:hAnsi="仿宋_GB2312" w:eastAsia="仿宋_GB2312" w:cs="仿宋_GB2312"/>
          <w:color w:val="000000"/>
          <w:kern w:val="0"/>
          <w:sz w:val="31"/>
          <w:szCs w:val="31"/>
        </w:rPr>
        <w:t>项目全年预算数</w:t>
      </w:r>
      <w:r>
        <w:rPr>
          <w:rFonts w:hint="eastAsia" w:ascii="仿宋_GB2312" w:hAnsi="仿宋_GB2312" w:eastAsia="仿宋_GB2312" w:cs="仿宋_GB2312"/>
          <w:color w:val="000000"/>
          <w:kern w:val="0"/>
          <w:sz w:val="31"/>
          <w:szCs w:val="31"/>
          <w:lang w:val="en-US" w:eastAsia="zh-CN"/>
        </w:rPr>
        <w:t>1800</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1076.39</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59</w:t>
      </w:r>
      <w:r>
        <w:rPr>
          <w:rFonts w:ascii="仿宋_GB2312" w:hAnsi="仿宋_GB2312" w:eastAsia="仿宋_GB2312" w:cs="仿宋_GB2312"/>
          <w:color w:val="000000"/>
          <w:kern w:val="0"/>
          <w:sz w:val="31"/>
          <w:szCs w:val="31"/>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val="en-US" w:eastAsia="zh-CN"/>
        </w:rPr>
        <w:t>通过扶贫专项资金投入，不断提升蓝田县在脱贫攻坚工作成效。</w:t>
      </w:r>
    </w:p>
    <w:p>
      <w:pPr>
        <w:widowControl/>
        <w:ind w:firstLine="620" w:firstLineChars="200"/>
        <w:jc w:val="left"/>
        <w:rPr>
          <w:rFonts w:hint="default"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lang w:val="en-US" w:eastAsia="zh-CN"/>
        </w:rPr>
        <w:t>发现的问题及原因：发现部分实施单位项目工程进度慢，实施过程中因不可抗因素导致计划调减，或者调减至项目具体实施单位，对于调减剩余资金需再次重新安排，导致资金留滞，不能及时使用。</w:t>
      </w:r>
    </w:p>
    <w:p>
      <w:pPr>
        <w:widowControl/>
        <w:ind w:firstLine="620" w:firstLineChars="200"/>
        <w:jc w:val="left"/>
        <w:rPr>
          <w:rFonts w:hint="eastAsia"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lang w:val="en-US" w:eastAsia="zh-CN"/>
        </w:rPr>
        <w:t>下一步改进措施：实施项目提前做好评估，确保项目能按方案实施。</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lang w:val="en-US" w:eastAsia="zh-CN"/>
        </w:rPr>
        <w:t>77</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1939.32</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1294.47</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66</w:t>
      </w:r>
      <w:r>
        <w:rPr>
          <w:rFonts w:ascii="仿宋_GB2312" w:hAnsi="仿宋_GB2312" w:eastAsia="仿宋_GB2312" w:cs="仿宋_GB2312"/>
          <w:color w:val="000000"/>
          <w:kern w:val="0"/>
          <w:sz w:val="31"/>
          <w:szCs w:val="31"/>
        </w:rPr>
        <w:t>%。</w:t>
      </w:r>
    </w:p>
    <w:p>
      <w:pPr>
        <w:pStyle w:val="2"/>
        <w:pageBreakBefore w:val="0"/>
        <w:widowControl w:val="0"/>
        <w:kinsoku/>
        <w:overflowPunct/>
        <w:topLinePunct w:val="0"/>
        <w:autoSpaceDE/>
        <w:autoSpaceDN/>
        <w:bidi w:val="0"/>
        <w:adjustRightInd/>
        <w:snapToGrid/>
        <w:spacing w:before="0" w:beforeLines="0" w:after="0" w:afterLines="0" w:line="540" w:lineRule="exact"/>
        <w:ind w:firstLine="622" w:firstLineChars="200"/>
        <w:jc w:val="left"/>
        <w:textAlignment w:val="auto"/>
        <w:rPr>
          <w:rFonts w:hint="eastAsia" w:ascii="仿宋_GB2312" w:hAnsi="仿宋_GB2312" w:eastAsia="仿宋_GB2312" w:cs="仿宋_GB2312"/>
          <w:b w:val="0"/>
          <w:color w:val="000000"/>
          <w:kern w:val="0"/>
          <w:sz w:val="31"/>
          <w:szCs w:val="31"/>
          <w:lang w:val="en-US" w:eastAsia="zh-CN" w:bidi="ar-SA"/>
        </w:rPr>
      </w:pPr>
      <w:r>
        <w:rPr>
          <w:rFonts w:ascii="仿宋_GB2312" w:hAnsi="仿宋_GB2312" w:eastAsia="仿宋_GB2312" w:cs="仿宋_GB2312"/>
          <w:b/>
          <w:bCs/>
          <w:color w:val="000000"/>
          <w:kern w:val="0"/>
          <w:sz w:val="31"/>
          <w:szCs w:val="31"/>
          <w:lang w:val="en-US" w:eastAsia="zh-CN" w:bidi="ar-SA"/>
        </w:rPr>
        <w:t>主要产出和效果：</w:t>
      </w:r>
      <w:r>
        <w:rPr>
          <w:rFonts w:hint="eastAsia" w:ascii="仿宋_GB2312" w:hAnsi="仿宋_GB2312" w:eastAsia="仿宋_GB2312" w:cs="仿宋_GB2312"/>
          <w:b w:val="0"/>
          <w:color w:val="000000"/>
          <w:kern w:val="0"/>
          <w:sz w:val="31"/>
          <w:szCs w:val="31"/>
          <w:lang w:val="en-US" w:eastAsia="zh-CN" w:bidi="ar-SA"/>
        </w:rPr>
        <w:t>1、完成扶贫对象动态管理工作情况，对2019年未剩余未脱贫户共1664户2828人，继续加强帮扶。确定边缘户136户404人，脱贫监测户155户495人。人口自然增减做好系统信息更新。2、做好“两不愁三保障”排查工作情况。针对“两不愁三保障”排查存在问题，我县按照缺什么补什么的要求，分类施策，重点解决，全力推进落实。截至目前，已全面达标。3、做好扶贫对象基础信息采集核实更新和录入工作，确保数据真实准确。4、巩固脱贫成果工作情况。</w:t>
      </w:r>
    </w:p>
    <w:p>
      <w:pPr>
        <w:widowControl/>
        <w:jc w:val="left"/>
        <w:rPr>
          <w:rFonts w:hint="default"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5、健全防返贫监测工作机制。6、指导扶贫项目实施，对落实情况进行监督检查，加强对扶贫资金的使用管理和监督工作。7、统筹全县脱贫攻坚工作，完成脱贫攻坚领导小组日常工作任务。</w:t>
      </w:r>
    </w:p>
    <w:p>
      <w:pPr>
        <w:widowControl/>
        <w:ind w:firstLine="622" w:firstLineChars="200"/>
        <w:jc w:val="left"/>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bCs/>
          <w:color w:val="000000"/>
          <w:kern w:val="0"/>
          <w:sz w:val="31"/>
          <w:szCs w:val="31"/>
          <w:lang w:val="en-US" w:eastAsia="zh-CN" w:bidi="ar-SA"/>
        </w:rPr>
        <w:t>主要工作绩效</w:t>
      </w:r>
      <w:r>
        <w:rPr>
          <w:rFonts w:hint="eastAsia" w:ascii="仿宋_GB2312" w:hAnsi="仿宋_GB2312" w:eastAsia="仿宋_GB2312" w:cs="仿宋_GB2312"/>
          <w:b w:val="0"/>
          <w:color w:val="000000"/>
          <w:kern w:val="0"/>
          <w:sz w:val="31"/>
          <w:szCs w:val="31"/>
          <w:lang w:val="en-US" w:eastAsia="zh-CN" w:bidi="ar-SA"/>
        </w:rPr>
        <w:t>：1、全面贯彻中央和省市脱贫攻坚工作部署，强化各级扶贫方针政策落地。每周召开脱贫攻坚“调度会”制度，县委常委会、县政府常务会议、县脱贫攻坚领导小组会议研究脱贫攻坚35次、学习传达各级脱贫攻坚讲话要求49次。组织召开调度会、专题会、现场会、推进会180余场次。</w:t>
      </w:r>
    </w:p>
    <w:p>
      <w:pPr>
        <w:widowControl/>
        <w:ind w:firstLine="620" w:firstLineChars="200"/>
        <w:jc w:val="left"/>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2、中央专项巡视、中央2018年成效考核、全省2018年度成效考核反馈问题，除确需长期坚持事项以外，能立行立改的问题已全部整改到位，确保反馈问题全清零、整改任务全见底。</w:t>
      </w:r>
    </w:p>
    <w:p>
      <w:pPr>
        <w:widowControl/>
        <w:ind w:firstLine="620" w:firstLineChars="200"/>
        <w:jc w:val="left"/>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3、对标习近平总书记重庆解决“两不愁三保障”突出问题座谈会重要讲话精神，全面排查出建档立卡户“两不愁三保障”问题238户623人，聚焦存在问题，分类制定措施，确保问题解决落实。</w:t>
      </w:r>
    </w:p>
    <w:p>
      <w:pPr>
        <w:widowControl/>
        <w:ind w:firstLine="620" w:firstLineChars="200"/>
        <w:jc w:val="left"/>
        <w:rPr>
          <w:rFonts w:hint="default"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4、落实“八个一批”政策，根据各户情况，分类施策，一人一方案，一人一对策，确保脱贫路上不落一人。</w:t>
      </w:r>
    </w:p>
    <w:p>
      <w:pPr>
        <w:widowControl/>
        <w:ind w:firstLine="620" w:firstLineChars="200"/>
        <w:jc w:val="left"/>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5、安排我县财政专项扶贫资金1.5384亿元。进一步建立完善扶贫专项资金监督管理机制，加强财政专项扶贫资金专项检查，规范管理，强化监管。</w:t>
      </w:r>
    </w:p>
    <w:p>
      <w:pPr>
        <w:widowControl/>
        <w:ind w:firstLine="620" w:firstLineChars="200"/>
        <w:jc w:val="left"/>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6、全面调整优化驻村联户力量，市县4770名帮扶干部、132名第一书记、132支驻村工作队深入蓝田、开展帮扶。</w:t>
      </w:r>
    </w:p>
    <w:p>
      <w:pPr>
        <w:widowControl/>
        <w:ind w:firstLine="622" w:firstLineChars="200"/>
        <w:jc w:val="left"/>
        <w:rPr>
          <w:rFonts w:hint="eastAsia" w:ascii="仿宋_GB2312" w:hAnsi="仿宋_GB2312" w:eastAsia="仿宋_GB2312" w:cs="仿宋_GB2312"/>
          <w:b w:val="0"/>
          <w:color w:val="000000"/>
          <w:kern w:val="0"/>
          <w:sz w:val="31"/>
          <w:szCs w:val="31"/>
          <w:lang w:val="en-US" w:eastAsia="zh-CN" w:bidi="ar-SA"/>
        </w:rPr>
      </w:pPr>
      <w:r>
        <w:rPr>
          <w:rFonts w:ascii="仿宋_GB2312" w:hAnsi="仿宋_GB2312" w:eastAsia="仿宋_GB2312" w:cs="仿宋_GB2312"/>
          <w:b/>
          <w:bCs/>
          <w:color w:val="000000"/>
          <w:kern w:val="0"/>
          <w:sz w:val="31"/>
          <w:szCs w:val="31"/>
          <w:lang w:val="en-US" w:eastAsia="zh-CN" w:bidi="ar-SA"/>
        </w:rPr>
        <w:t>发现的问题及原因</w:t>
      </w:r>
      <w:r>
        <w:rPr>
          <w:rFonts w:ascii="仿宋_GB2312" w:hAnsi="仿宋_GB2312" w:eastAsia="仿宋_GB2312" w:cs="仿宋_GB2312"/>
          <w:b w:val="0"/>
          <w:color w:val="000000"/>
          <w:kern w:val="0"/>
          <w:sz w:val="31"/>
          <w:szCs w:val="31"/>
          <w:lang w:val="en-US" w:eastAsia="zh-CN" w:bidi="ar-SA"/>
        </w:rPr>
        <w:t>：</w:t>
      </w:r>
      <w:r>
        <w:rPr>
          <w:rFonts w:hint="eastAsia" w:ascii="仿宋_GB2312" w:hAnsi="仿宋_GB2312" w:eastAsia="仿宋_GB2312" w:cs="仿宋_GB2312"/>
          <w:b w:val="0"/>
          <w:color w:val="000000"/>
          <w:kern w:val="0"/>
          <w:sz w:val="31"/>
          <w:szCs w:val="31"/>
          <w:lang w:val="en-US" w:eastAsia="zh-CN" w:bidi="ar-SA"/>
        </w:rPr>
        <w:t xml:space="preserve"> 一是旧宅基地腾退，未做到全面腾退、应拆尽拆，并按照宜耕则耕、宜林则林、宜草则草的原则复垦复绿。二是农村集体经济产业收效不大，需加大技术指导和培训。</w:t>
      </w:r>
    </w:p>
    <w:p>
      <w:pPr>
        <w:spacing w:line="576" w:lineRule="exact"/>
        <w:ind w:firstLine="622" w:firstLineChars="200"/>
        <w:rPr>
          <w:rFonts w:hint="eastAsia" w:ascii="仿宋_GB2312" w:hAnsi="仿宋_GB2312" w:eastAsia="仿宋_GB2312" w:cs="仿宋_GB2312"/>
          <w:b w:val="0"/>
          <w:color w:val="000000"/>
          <w:kern w:val="0"/>
          <w:sz w:val="31"/>
          <w:szCs w:val="31"/>
          <w:lang w:val="en-US" w:eastAsia="zh-CN" w:bidi="ar-SA"/>
        </w:rPr>
      </w:pPr>
      <w:r>
        <w:rPr>
          <w:rFonts w:ascii="仿宋_GB2312" w:hAnsi="仿宋_GB2312" w:eastAsia="仿宋_GB2312" w:cs="仿宋_GB2312"/>
          <w:b/>
          <w:bCs/>
          <w:color w:val="000000"/>
          <w:kern w:val="0"/>
          <w:sz w:val="31"/>
          <w:szCs w:val="31"/>
          <w:lang w:val="en-US" w:eastAsia="zh-CN" w:bidi="ar-SA"/>
        </w:rPr>
        <w:t>下一步改进措施</w:t>
      </w:r>
      <w:r>
        <w:rPr>
          <w:rFonts w:ascii="仿宋_GB2312" w:hAnsi="仿宋_GB2312" w:eastAsia="仿宋_GB2312" w:cs="仿宋_GB2312"/>
          <w:b w:val="0"/>
          <w:color w:val="000000"/>
          <w:kern w:val="0"/>
          <w:sz w:val="31"/>
          <w:szCs w:val="31"/>
          <w:lang w:val="en-US" w:eastAsia="zh-CN" w:bidi="ar-SA"/>
        </w:rPr>
        <w:t>：</w:t>
      </w:r>
      <w:r>
        <w:rPr>
          <w:rFonts w:hint="eastAsia" w:ascii="仿宋_GB2312" w:hAnsi="仿宋_GB2312" w:eastAsia="仿宋_GB2312" w:cs="仿宋_GB2312"/>
          <w:b w:val="0"/>
          <w:color w:val="000000"/>
          <w:kern w:val="0"/>
          <w:sz w:val="31"/>
          <w:szCs w:val="31"/>
          <w:lang w:val="en-US" w:eastAsia="zh-CN" w:bidi="ar-SA"/>
        </w:rPr>
        <w:t>聚焦“四不摘”，盯紧“三落实”，强化“三保障”，以1664户2828人未脱贫户高质量脱贫、25485户92497人已脱贫人口巩固提升为目标，向贫困发起最后总攻，奋力夺取脱贫攻坚战的全面胜利。</w:t>
      </w:r>
    </w:p>
    <w:p>
      <w:pPr>
        <w:spacing w:line="576" w:lineRule="exact"/>
        <w:ind w:firstLine="620" w:firstLineChars="200"/>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1、持续深入学习贯彻落实习近平总书记关于扶贫工作重要论述，继续夯实“三级书记”职责，不断优化加强各级脱贫攻坚力量，扎实开展脱贫攻坚“回头看”，狠抓问题整改落实，促进脱贫攻坚提质增效。2、强化脱贫质量，狠抓巩固提升。聚焦1664户2828人贫困人口脱贫退出，按照“产业+就业+兜底保障”总体要求，制定落实“一户一策、一人一方案”，高质量完成年度减贫任务。完善防返贫监测机制，统筹解决边缘户、脱贫监测户、相对困难户和家庭发生重大变故“四类人群”生产生活问题。3、强化精准施策，狠抓政策落实。把产业、就业扶贫做为促进贫困人口增收重点，持续壮大村集体经济，制定出台危改、搬迁相关文件，加强易地扶贫移民搬迁后续帮扶，精准落实教育、健康、金融、兜底保障等政策。4、强化驻村帮扶，狠抓作风提升。严格落实“四个不摘”要求，不断整合优化帮扶队伍，分级分类实行精准培训，健全扶贫干部鼓励激励体系，加强脱贫攻坚督导力量，提升督导督查工作实效。</w:t>
      </w:r>
    </w:p>
    <w:p>
      <w:pPr>
        <w:spacing w:line="576" w:lineRule="exact"/>
        <w:rPr>
          <w:rFonts w:hint="eastAsia" w:ascii="仿宋_GB2312" w:hAnsi="仿宋_GB2312" w:eastAsia="仿宋_GB2312" w:cs="仿宋_GB2312"/>
          <w:b w:val="0"/>
          <w:color w:val="000000"/>
          <w:kern w:val="0"/>
          <w:sz w:val="31"/>
          <w:szCs w:val="31"/>
          <w:lang w:val="en-US" w:eastAsia="zh-CN" w:bidi="ar-SA"/>
        </w:rPr>
      </w:pPr>
      <w:r>
        <w:rPr>
          <w:rFonts w:hint="eastAsia" w:ascii="仿宋_GB2312" w:hAnsi="仿宋_GB2312" w:eastAsia="仿宋_GB2312" w:cs="仿宋_GB2312"/>
          <w:b w:val="0"/>
          <w:color w:val="000000"/>
          <w:kern w:val="0"/>
          <w:sz w:val="31"/>
          <w:szCs w:val="31"/>
          <w:lang w:val="en-US" w:eastAsia="zh-CN" w:bidi="ar-SA"/>
        </w:rPr>
        <w:t>5、财务人员要做好预算工作，提高年初预算准确率。</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object>
          <v:shape id="_x0000_i1025" o:spt="75" type="#_x0000_t75" style="height:609.05pt;width:425.25pt;" o:ole="t" filled="f" o:preferrelative="t" stroked="f" coordsize="21600,21600">
            <v:path/>
            <v:fill on="f" focussize="0,0"/>
            <v:stroke on="f"/>
            <v:imagedata r:id="rId12" o:title=""/>
            <o:lock v:ext="edit" aspectratio="f"/>
            <w10:wrap type="none"/>
            <w10:anchorlock/>
          </v:shape>
          <o:OLEObject Type="Embed" ProgID="Excel.Sheet.12" ShapeID="_x0000_i1025" DrawAspect="Content" ObjectID="_1468075725" r:id="rId11">
            <o:LockedField>false</o:LockedField>
          </o:OLEObject>
        </w:objec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p>
      <w:pPr>
        <w:widowControl/>
        <w:jc w:val="left"/>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r>
        <w:rPr>
          <w:rFonts w:hint="eastAsia" w:ascii="仿宋_GB2312" w:hAnsi="仿宋_GB2312" w:eastAsia="仿宋_GB2312" w:cs="仿宋_GB2312"/>
          <w:color w:val="000000"/>
          <w:kern w:val="0"/>
          <w:sz w:val="31"/>
          <w:szCs w:val="31"/>
        </w:rPr>
        <w:object>
          <v:shape id="_x0000_i1026" o:spt="75" type="#_x0000_t75" style="height:1321.95pt;width:702.55pt;" o:ole="t" filled="f" o:preferrelative="t" stroked="f" coordsize="21600,21600">
            <v:path/>
            <v:fill on="f" focussize="0,0"/>
            <v:stroke on="f"/>
            <v:imagedata r:id="rId14" o:title=""/>
            <o:lock v:ext="edit" aspectratio="f"/>
            <w10:wrap type="none"/>
            <w10:anchorlock/>
          </v:shape>
          <o:OLEObject Type="Embed" ProgID="Excel.Sheet.12" ShapeID="_x0000_i1026" DrawAspect="Content" ObjectID="_1468075726" r:id="rId13">
            <o:LockedField>false</o:LockedField>
          </o:OLEObject>
        </w:object>
      </w: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118.09</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190.76</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161</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w:t>
      </w:r>
      <w:r>
        <w:rPr>
          <w:rFonts w:hint="eastAsia" w:ascii="仿宋_GB2312" w:hAnsi="宋体" w:eastAsia="仿宋_GB2312" w:cs="仿宋_GB2312"/>
          <w:color w:val="000000"/>
          <w:kern w:val="0"/>
          <w:szCs w:val="32"/>
          <w:lang w:val="en-US" w:eastAsia="zh-CN"/>
        </w:rPr>
        <w:t>72.67</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未将事业人员基本工资列入年初财政预算</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本部门</w:t>
      </w:r>
      <w:r>
        <w:rPr>
          <w:rFonts w:hint="eastAsia" w:ascii="仿宋_GB2312" w:hAnsi="仿宋_GB2312" w:eastAsia="仿宋_GB2312" w:cs="仿宋_GB2312"/>
          <w:szCs w:val="32"/>
          <w:lang w:val="en-US" w:eastAsia="zh-CN"/>
        </w:rPr>
        <w:t>无</w:t>
      </w:r>
      <w:r>
        <w:rPr>
          <w:rFonts w:hint="eastAsia" w:ascii="仿宋_GB2312" w:hAnsi="仿宋_GB2312" w:eastAsia="仿宋_GB2312" w:cs="仿宋_GB2312"/>
          <w:szCs w:val="32"/>
        </w:rPr>
        <w:t>2019年度政府采购</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960" w:firstLineChars="30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w:t>
      </w: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rPr>
        <w:t>辆；</w:t>
      </w:r>
      <w:r>
        <w:rPr>
          <w:rFonts w:hint="eastAsia" w:ascii="仿宋_GB2312" w:hAnsi="仿宋_GB2312" w:eastAsia="仿宋_GB2312" w:cs="仿宋_GB2312"/>
          <w:szCs w:val="32"/>
          <w:lang w:val="en-US" w:eastAsia="zh-CN"/>
        </w:rPr>
        <w:t>未购置</w:t>
      </w:r>
      <w:r>
        <w:rPr>
          <w:rFonts w:hint="eastAsia" w:ascii="仿宋_GB2312" w:hAnsi="仿宋_GB2312" w:eastAsia="仿宋_GB2312" w:cs="仿宋_GB2312"/>
          <w:szCs w:val="32"/>
        </w:rPr>
        <w:t>单价50万元以上的通用设备</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未购置</w:t>
      </w:r>
      <w:r>
        <w:rPr>
          <w:rFonts w:hint="eastAsia" w:ascii="仿宋_GB2312" w:hAnsi="仿宋_GB2312" w:eastAsia="仿宋_GB2312" w:cs="仿宋_GB2312"/>
          <w:szCs w:val="32"/>
        </w:rPr>
        <w:t>单价100万元以上的专用设备。201</w:t>
      </w:r>
      <w:r>
        <w:rPr>
          <w:rFonts w:ascii="仿宋_GB2312" w:hAnsi="仿宋_GB2312" w:eastAsia="仿宋_GB2312" w:cs="仿宋_GB2312"/>
          <w:szCs w:val="32"/>
        </w:rPr>
        <w:t>9</w:t>
      </w:r>
      <w:r>
        <w:rPr>
          <w:rFonts w:hint="eastAsia" w:ascii="仿宋_GB2312" w:hAnsi="仿宋_GB2312" w:eastAsia="仿宋_GB2312" w:cs="仿宋_GB2312"/>
          <w:szCs w:val="32"/>
        </w:rPr>
        <w:t>年当年</w:t>
      </w:r>
      <w:r>
        <w:rPr>
          <w:rFonts w:hint="eastAsia" w:ascii="仿宋_GB2312" w:hAnsi="仿宋_GB2312" w:eastAsia="仿宋_GB2312" w:cs="仿宋_GB2312"/>
          <w:szCs w:val="32"/>
          <w:lang w:val="en-US" w:eastAsia="zh-CN"/>
        </w:rPr>
        <w:t>未</w:t>
      </w:r>
      <w:r>
        <w:rPr>
          <w:rFonts w:hint="eastAsia" w:ascii="仿宋_GB2312" w:hAnsi="仿宋_GB2312" w:eastAsia="仿宋_GB2312" w:cs="仿宋_GB2312"/>
          <w:szCs w:val="32"/>
        </w:rPr>
        <w:t>购置车辆</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购置单价50万元以上的通用设备</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购置单价100万元以上的专用设备。</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3"/>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abstractNum w:abstractNumId="2">
    <w:nsid w:val="5C5BA0CE"/>
    <w:multiLevelType w:val="singleLevel"/>
    <w:tmpl w:val="5C5BA0CE"/>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NlYjBkYjIxYWE5ZTI2NTY3ZTFmYzA0ZDdkMzFjYjMifQ=="/>
  </w:docVars>
  <w:rsids>
    <w:rsidRoot w:val="20E506C4"/>
    <w:rsid w:val="0022429D"/>
    <w:rsid w:val="00233469"/>
    <w:rsid w:val="002F4B10"/>
    <w:rsid w:val="00347F25"/>
    <w:rsid w:val="00394C38"/>
    <w:rsid w:val="00430FBC"/>
    <w:rsid w:val="00592FDC"/>
    <w:rsid w:val="005971FB"/>
    <w:rsid w:val="00803916"/>
    <w:rsid w:val="008E5206"/>
    <w:rsid w:val="00926DEC"/>
    <w:rsid w:val="00A61B68"/>
    <w:rsid w:val="00A77A2C"/>
    <w:rsid w:val="00AF5C24"/>
    <w:rsid w:val="00B72C81"/>
    <w:rsid w:val="00B91CFD"/>
    <w:rsid w:val="00BC4A55"/>
    <w:rsid w:val="00C61D66"/>
    <w:rsid w:val="00CC6DD1"/>
    <w:rsid w:val="00D82BDF"/>
    <w:rsid w:val="00F11EB9"/>
    <w:rsid w:val="017A1029"/>
    <w:rsid w:val="017F37BF"/>
    <w:rsid w:val="01C7304E"/>
    <w:rsid w:val="01FB02A7"/>
    <w:rsid w:val="020068C8"/>
    <w:rsid w:val="02750CA2"/>
    <w:rsid w:val="02957633"/>
    <w:rsid w:val="02A45DD7"/>
    <w:rsid w:val="036405D5"/>
    <w:rsid w:val="0375114F"/>
    <w:rsid w:val="03A73632"/>
    <w:rsid w:val="040A1B0F"/>
    <w:rsid w:val="043820A1"/>
    <w:rsid w:val="044F6EF4"/>
    <w:rsid w:val="04B03E24"/>
    <w:rsid w:val="058249EE"/>
    <w:rsid w:val="059519C6"/>
    <w:rsid w:val="0606503B"/>
    <w:rsid w:val="06D0696D"/>
    <w:rsid w:val="06D71FAE"/>
    <w:rsid w:val="07847BB7"/>
    <w:rsid w:val="0796506C"/>
    <w:rsid w:val="086C1E64"/>
    <w:rsid w:val="08B26ADB"/>
    <w:rsid w:val="0A723EFC"/>
    <w:rsid w:val="0A862D43"/>
    <w:rsid w:val="0B415A94"/>
    <w:rsid w:val="0B721425"/>
    <w:rsid w:val="0BA9415E"/>
    <w:rsid w:val="0DC075C8"/>
    <w:rsid w:val="0DF350D9"/>
    <w:rsid w:val="0DFB7C43"/>
    <w:rsid w:val="0E8A54CB"/>
    <w:rsid w:val="0E9A6BF8"/>
    <w:rsid w:val="0E9F58D4"/>
    <w:rsid w:val="0F1B5820"/>
    <w:rsid w:val="0F1D724C"/>
    <w:rsid w:val="0F3511D5"/>
    <w:rsid w:val="0F51791D"/>
    <w:rsid w:val="0F95487D"/>
    <w:rsid w:val="101B5120"/>
    <w:rsid w:val="10203A35"/>
    <w:rsid w:val="10A77CBA"/>
    <w:rsid w:val="10BC7571"/>
    <w:rsid w:val="10DF6267"/>
    <w:rsid w:val="11686592"/>
    <w:rsid w:val="12426FD9"/>
    <w:rsid w:val="142C3C05"/>
    <w:rsid w:val="14424C24"/>
    <w:rsid w:val="14A8715D"/>
    <w:rsid w:val="14B9575F"/>
    <w:rsid w:val="165F475B"/>
    <w:rsid w:val="168712BB"/>
    <w:rsid w:val="16AC7A7F"/>
    <w:rsid w:val="17B25D87"/>
    <w:rsid w:val="17F03053"/>
    <w:rsid w:val="199A445F"/>
    <w:rsid w:val="19B14239"/>
    <w:rsid w:val="19E675AA"/>
    <w:rsid w:val="1A433B1F"/>
    <w:rsid w:val="1AA542BD"/>
    <w:rsid w:val="1AA755BF"/>
    <w:rsid w:val="1AF22409"/>
    <w:rsid w:val="1B437F49"/>
    <w:rsid w:val="1B522C7C"/>
    <w:rsid w:val="1BB9184C"/>
    <w:rsid w:val="1BDF14B4"/>
    <w:rsid w:val="1BF7629F"/>
    <w:rsid w:val="1BFB5FF5"/>
    <w:rsid w:val="1C406319"/>
    <w:rsid w:val="1CBE2E15"/>
    <w:rsid w:val="1D127C57"/>
    <w:rsid w:val="1D23195A"/>
    <w:rsid w:val="1D8B0C78"/>
    <w:rsid w:val="1D90228C"/>
    <w:rsid w:val="1DF35501"/>
    <w:rsid w:val="1E0B3BD9"/>
    <w:rsid w:val="1F342954"/>
    <w:rsid w:val="1F6B22E9"/>
    <w:rsid w:val="1FC96AD2"/>
    <w:rsid w:val="1FCF65A8"/>
    <w:rsid w:val="1FDB0AF1"/>
    <w:rsid w:val="1FDF5A33"/>
    <w:rsid w:val="20B96E79"/>
    <w:rsid w:val="20E506C4"/>
    <w:rsid w:val="218153C6"/>
    <w:rsid w:val="21C37FB3"/>
    <w:rsid w:val="2252307A"/>
    <w:rsid w:val="22774737"/>
    <w:rsid w:val="22CF3917"/>
    <w:rsid w:val="22E3790E"/>
    <w:rsid w:val="23EF42B0"/>
    <w:rsid w:val="244E636A"/>
    <w:rsid w:val="24A31072"/>
    <w:rsid w:val="25032E98"/>
    <w:rsid w:val="252F213B"/>
    <w:rsid w:val="25551682"/>
    <w:rsid w:val="255F0635"/>
    <w:rsid w:val="258F0725"/>
    <w:rsid w:val="260B71C7"/>
    <w:rsid w:val="266A3F01"/>
    <w:rsid w:val="26C81F60"/>
    <w:rsid w:val="26DA6E70"/>
    <w:rsid w:val="28613A63"/>
    <w:rsid w:val="29191348"/>
    <w:rsid w:val="2976551E"/>
    <w:rsid w:val="2A594AFC"/>
    <w:rsid w:val="2B1C162E"/>
    <w:rsid w:val="2B89290E"/>
    <w:rsid w:val="2C3F3036"/>
    <w:rsid w:val="2C9E77E0"/>
    <w:rsid w:val="2CE671E1"/>
    <w:rsid w:val="2CF1268B"/>
    <w:rsid w:val="2CF554E4"/>
    <w:rsid w:val="2DB45722"/>
    <w:rsid w:val="2E6B3CBF"/>
    <w:rsid w:val="2E7F7AC1"/>
    <w:rsid w:val="30264D95"/>
    <w:rsid w:val="30DF4759"/>
    <w:rsid w:val="31020819"/>
    <w:rsid w:val="315C0C49"/>
    <w:rsid w:val="332126E8"/>
    <w:rsid w:val="33C6006E"/>
    <w:rsid w:val="33CF3A87"/>
    <w:rsid w:val="33DC5898"/>
    <w:rsid w:val="33F7775B"/>
    <w:rsid w:val="34C0049D"/>
    <w:rsid w:val="35224DF0"/>
    <w:rsid w:val="35252BDC"/>
    <w:rsid w:val="3535113A"/>
    <w:rsid w:val="354B3330"/>
    <w:rsid w:val="35630120"/>
    <w:rsid w:val="35AA0E04"/>
    <w:rsid w:val="35EF1BA8"/>
    <w:rsid w:val="3669223E"/>
    <w:rsid w:val="36CA1764"/>
    <w:rsid w:val="36CA5CA8"/>
    <w:rsid w:val="37113611"/>
    <w:rsid w:val="37A94A31"/>
    <w:rsid w:val="37DB36E0"/>
    <w:rsid w:val="385705D2"/>
    <w:rsid w:val="388058FC"/>
    <w:rsid w:val="38816C3C"/>
    <w:rsid w:val="38835836"/>
    <w:rsid w:val="39362DF6"/>
    <w:rsid w:val="39C00D62"/>
    <w:rsid w:val="3A110689"/>
    <w:rsid w:val="3A7671E1"/>
    <w:rsid w:val="3AA05295"/>
    <w:rsid w:val="3B8E2F41"/>
    <w:rsid w:val="3C35071B"/>
    <w:rsid w:val="3C505444"/>
    <w:rsid w:val="3CAA271F"/>
    <w:rsid w:val="3D226DB2"/>
    <w:rsid w:val="3D904069"/>
    <w:rsid w:val="3DD33CD1"/>
    <w:rsid w:val="3E031E38"/>
    <w:rsid w:val="3F4C202D"/>
    <w:rsid w:val="3F917848"/>
    <w:rsid w:val="3FCA23EC"/>
    <w:rsid w:val="400D6035"/>
    <w:rsid w:val="406175C0"/>
    <w:rsid w:val="414F7F55"/>
    <w:rsid w:val="41A70C77"/>
    <w:rsid w:val="41A81845"/>
    <w:rsid w:val="422941BF"/>
    <w:rsid w:val="42356957"/>
    <w:rsid w:val="424D60E4"/>
    <w:rsid w:val="425052F3"/>
    <w:rsid w:val="42FA4769"/>
    <w:rsid w:val="43242AAE"/>
    <w:rsid w:val="43BC1030"/>
    <w:rsid w:val="440927D8"/>
    <w:rsid w:val="44430361"/>
    <w:rsid w:val="45076181"/>
    <w:rsid w:val="45166F74"/>
    <w:rsid w:val="467A73EF"/>
    <w:rsid w:val="46FC446B"/>
    <w:rsid w:val="47964FBE"/>
    <w:rsid w:val="486D6F18"/>
    <w:rsid w:val="488F50E7"/>
    <w:rsid w:val="489C59C5"/>
    <w:rsid w:val="48AB2737"/>
    <w:rsid w:val="4A1752A2"/>
    <w:rsid w:val="4ABF4317"/>
    <w:rsid w:val="4AFF02FA"/>
    <w:rsid w:val="4B18398F"/>
    <w:rsid w:val="4BD36891"/>
    <w:rsid w:val="4C0F6BDB"/>
    <w:rsid w:val="4DB92E38"/>
    <w:rsid w:val="4E393B18"/>
    <w:rsid w:val="4E53787B"/>
    <w:rsid w:val="4EF1257D"/>
    <w:rsid w:val="4F214881"/>
    <w:rsid w:val="4FBF6130"/>
    <w:rsid w:val="5061480D"/>
    <w:rsid w:val="50660A45"/>
    <w:rsid w:val="50995BD4"/>
    <w:rsid w:val="50DD0443"/>
    <w:rsid w:val="51086281"/>
    <w:rsid w:val="511026C2"/>
    <w:rsid w:val="51F76101"/>
    <w:rsid w:val="52465601"/>
    <w:rsid w:val="52943AA3"/>
    <w:rsid w:val="52AC7AB3"/>
    <w:rsid w:val="537E34D7"/>
    <w:rsid w:val="53E95F80"/>
    <w:rsid w:val="54207C4C"/>
    <w:rsid w:val="54550590"/>
    <w:rsid w:val="553E485B"/>
    <w:rsid w:val="55861B60"/>
    <w:rsid w:val="564204C1"/>
    <w:rsid w:val="569274CC"/>
    <w:rsid w:val="56DE3407"/>
    <w:rsid w:val="570D1282"/>
    <w:rsid w:val="57775590"/>
    <w:rsid w:val="57A824FF"/>
    <w:rsid w:val="57C42156"/>
    <w:rsid w:val="58264644"/>
    <w:rsid w:val="583647E6"/>
    <w:rsid w:val="587C1866"/>
    <w:rsid w:val="58BA59AD"/>
    <w:rsid w:val="5921271F"/>
    <w:rsid w:val="593841B7"/>
    <w:rsid w:val="596D661C"/>
    <w:rsid w:val="59A27940"/>
    <w:rsid w:val="59BB4B0D"/>
    <w:rsid w:val="5A3F1380"/>
    <w:rsid w:val="5A5F3CF1"/>
    <w:rsid w:val="5A650C58"/>
    <w:rsid w:val="5A8A19FA"/>
    <w:rsid w:val="5B0E07F6"/>
    <w:rsid w:val="5C437696"/>
    <w:rsid w:val="5CB175E1"/>
    <w:rsid w:val="5D4440D8"/>
    <w:rsid w:val="5E192427"/>
    <w:rsid w:val="5E6B6806"/>
    <w:rsid w:val="5EF0008C"/>
    <w:rsid w:val="5F0F45FA"/>
    <w:rsid w:val="5F4D289D"/>
    <w:rsid w:val="5FB57D48"/>
    <w:rsid w:val="5FBF6563"/>
    <w:rsid w:val="61591464"/>
    <w:rsid w:val="615B1782"/>
    <w:rsid w:val="61CB2823"/>
    <w:rsid w:val="620613F8"/>
    <w:rsid w:val="621C21B3"/>
    <w:rsid w:val="628A008E"/>
    <w:rsid w:val="62C97BDE"/>
    <w:rsid w:val="62DC7651"/>
    <w:rsid w:val="633C5978"/>
    <w:rsid w:val="64047693"/>
    <w:rsid w:val="64172C14"/>
    <w:rsid w:val="64734B72"/>
    <w:rsid w:val="648C53FC"/>
    <w:rsid w:val="64AA515B"/>
    <w:rsid w:val="654440EC"/>
    <w:rsid w:val="65917582"/>
    <w:rsid w:val="65A0257E"/>
    <w:rsid w:val="65AF46DF"/>
    <w:rsid w:val="66206EE9"/>
    <w:rsid w:val="66AD7ADE"/>
    <w:rsid w:val="685F4AEE"/>
    <w:rsid w:val="68F82EF0"/>
    <w:rsid w:val="694F425A"/>
    <w:rsid w:val="69636CAA"/>
    <w:rsid w:val="69807A63"/>
    <w:rsid w:val="69A157A9"/>
    <w:rsid w:val="69CA674C"/>
    <w:rsid w:val="69D84C33"/>
    <w:rsid w:val="69E22DD0"/>
    <w:rsid w:val="6A5F5108"/>
    <w:rsid w:val="6A7B151C"/>
    <w:rsid w:val="6AFD6B8D"/>
    <w:rsid w:val="6B2C72CD"/>
    <w:rsid w:val="6B3B79EC"/>
    <w:rsid w:val="6C046BA9"/>
    <w:rsid w:val="6C163A84"/>
    <w:rsid w:val="6D0F15C6"/>
    <w:rsid w:val="6D492ED3"/>
    <w:rsid w:val="6D5965A2"/>
    <w:rsid w:val="6D6F4150"/>
    <w:rsid w:val="6DC83727"/>
    <w:rsid w:val="6E4701DF"/>
    <w:rsid w:val="6F094735"/>
    <w:rsid w:val="6F355277"/>
    <w:rsid w:val="6F9918A4"/>
    <w:rsid w:val="71E07250"/>
    <w:rsid w:val="71E8555E"/>
    <w:rsid w:val="72837FF6"/>
    <w:rsid w:val="72A574E9"/>
    <w:rsid w:val="72B24B6A"/>
    <w:rsid w:val="72CE1F8C"/>
    <w:rsid w:val="73077169"/>
    <w:rsid w:val="73250A26"/>
    <w:rsid w:val="73405348"/>
    <w:rsid w:val="73431FE5"/>
    <w:rsid w:val="74030630"/>
    <w:rsid w:val="741C49C4"/>
    <w:rsid w:val="743B4E94"/>
    <w:rsid w:val="74C07DFB"/>
    <w:rsid w:val="74EC246C"/>
    <w:rsid w:val="754B4886"/>
    <w:rsid w:val="75BA301B"/>
    <w:rsid w:val="75C02313"/>
    <w:rsid w:val="76051A7F"/>
    <w:rsid w:val="760F63B2"/>
    <w:rsid w:val="76472902"/>
    <w:rsid w:val="76733BE0"/>
    <w:rsid w:val="76DF3E7F"/>
    <w:rsid w:val="77130DCA"/>
    <w:rsid w:val="774F5B8F"/>
    <w:rsid w:val="77557C19"/>
    <w:rsid w:val="778B0394"/>
    <w:rsid w:val="77AD55D9"/>
    <w:rsid w:val="783658E8"/>
    <w:rsid w:val="78D85FA4"/>
    <w:rsid w:val="798D34B1"/>
    <w:rsid w:val="7A8E5DA9"/>
    <w:rsid w:val="7B534477"/>
    <w:rsid w:val="7B6D5E4A"/>
    <w:rsid w:val="7BA15421"/>
    <w:rsid w:val="7C8835A0"/>
    <w:rsid w:val="7CF415E8"/>
    <w:rsid w:val="7D31714F"/>
    <w:rsid w:val="7DB75D3F"/>
    <w:rsid w:val="7E5C340E"/>
    <w:rsid w:val="7F2E42C3"/>
    <w:rsid w:val="7F3D10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joinstyle="miter"/>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方正仿宋简体" w:cs="Times New Roman"/>
      <w:kern w:val="2"/>
      <w:sz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eastAsia="宋体"/>
      <w:sz w:val="21"/>
    </w:rPr>
  </w:style>
  <w:style w:type="paragraph" w:styleId="4">
    <w:name w:val="footer"/>
    <w:basedOn w:val="1"/>
    <w:link w:val="18"/>
    <w:autoRedefine/>
    <w:qFormat/>
    <w:uiPriority w:val="0"/>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11"/>
    <w:basedOn w:val="9"/>
    <w:autoRedefine/>
    <w:qFormat/>
    <w:uiPriority w:val="0"/>
    <w:rPr>
      <w:rFonts w:hint="eastAsia" w:ascii="宋体" w:hAnsi="宋体" w:eastAsia="宋体" w:cs="宋体"/>
      <w:b/>
      <w:color w:val="000000"/>
      <w:sz w:val="32"/>
      <w:szCs w:val="32"/>
      <w:u w:val="none"/>
    </w:rPr>
  </w:style>
  <w:style w:type="character" w:customStyle="1" w:styleId="11">
    <w:name w:val="font91"/>
    <w:basedOn w:val="9"/>
    <w:qFormat/>
    <w:uiPriority w:val="0"/>
    <w:rPr>
      <w:rFonts w:hint="eastAsia" w:ascii="宋体" w:hAnsi="宋体" w:eastAsia="宋体" w:cs="宋体"/>
      <w:color w:val="000000"/>
      <w:sz w:val="32"/>
      <w:szCs w:val="32"/>
      <w:u w:val="none"/>
    </w:rPr>
  </w:style>
  <w:style w:type="character" w:customStyle="1" w:styleId="12">
    <w:name w:val="font51"/>
    <w:basedOn w:val="9"/>
    <w:autoRedefine/>
    <w:qFormat/>
    <w:uiPriority w:val="0"/>
    <w:rPr>
      <w:rFonts w:hint="eastAsia" w:ascii="宋体" w:hAnsi="宋体" w:eastAsia="宋体" w:cs="宋体"/>
      <w:color w:val="000000"/>
      <w:sz w:val="20"/>
      <w:szCs w:val="20"/>
      <w:u w:val="none"/>
    </w:rPr>
  </w:style>
  <w:style w:type="character" w:customStyle="1" w:styleId="13">
    <w:name w:val="font101"/>
    <w:basedOn w:val="9"/>
    <w:autoRedefine/>
    <w:qFormat/>
    <w:uiPriority w:val="0"/>
    <w:rPr>
      <w:rFonts w:hint="eastAsia" w:ascii="宋体" w:hAnsi="宋体" w:eastAsia="宋体" w:cs="宋体"/>
      <w:color w:val="000000"/>
      <w:sz w:val="20"/>
      <w:szCs w:val="20"/>
      <w:u w:val="none"/>
    </w:rPr>
  </w:style>
  <w:style w:type="character" w:customStyle="1" w:styleId="14">
    <w:name w:val="font21"/>
    <w:basedOn w:val="9"/>
    <w:autoRedefine/>
    <w:qFormat/>
    <w:uiPriority w:val="0"/>
    <w:rPr>
      <w:rFonts w:hint="eastAsia" w:ascii="宋体" w:hAnsi="宋体" w:eastAsia="宋体" w:cs="宋体"/>
      <w:color w:val="000000"/>
      <w:sz w:val="18"/>
      <w:szCs w:val="18"/>
      <w:u w:val="none"/>
    </w:rPr>
  </w:style>
  <w:style w:type="character" w:customStyle="1" w:styleId="15">
    <w:name w:val="font112"/>
    <w:basedOn w:val="9"/>
    <w:qFormat/>
    <w:uiPriority w:val="0"/>
    <w:rPr>
      <w:rFonts w:hint="eastAsia" w:ascii="宋体" w:hAnsi="宋体" w:eastAsia="宋体" w:cs="宋体"/>
      <w:color w:val="000000"/>
      <w:sz w:val="20"/>
      <w:szCs w:val="20"/>
      <w:u w:val="none"/>
    </w:rPr>
  </w:style>
  <w:style w:type="character" w:customStyle="1" w:styleId="16">
    <w:name w:val="font61"/>
    <w:basedOn w:val="9"/>
    <w:autoRedefine/>
    <w:qFormat/>
    <w:uiPriority w:val="0"/>
    <w:rPr>
      <w:rFonts w:hint="eastAsia" w:ascii="宋体" w:hAnsi="宋体" w:eastAsia="宋体" w:cs="宋体"/>
      <w:color w:val="000000"/>
      <w:sz w:val="24"/>
      <w:szCs w:val="24"/>
      <w:u w:val="none"/>
    </w:rPr>
  </w:style>
  <w:style w:type="character" w:customStyle="1" w:styleId="17">
    <w:name w:val="页眉 Char"/>
    <w:basedOn w:val="9"/>
    <w:link w:val="5"/>
    <w:autoRedefine/>
    <w:qFormat/>
    <w:uiPriority w:val="0"/>
    <w:rPr>
      <w:rFonts w:ascii="Calibri" w:hAnsi="Calibri" w:eastAsia="方正仿宋简体"/>
      <w:kern w:val="2"/>
      <w:sz w:val="18"/>
      <w:szCs w:val="18"/>
    </w:rPr>
  </w:style>
  <w:style w:type="character" w:customStyle="1" w:styleId="18">
    <w:name w:val="页脚 Char"/>
    <w:basedOn w:val="9"/>
    <w:link w:val="4"/>
    <w:autoRedefine/>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emf"/><Relationship Id="rId13" Type="http://schemas.openxmlformats.org/officeDocument/2006/relationships/oleObject" Target="embeddings/oleObject2.bin"/><Relationship Id="rId12" Type="http://schemas.openxmlformats.org/officeDocument/2006/relationships/image" Target="media/image1.emf"/><Relationship Id="rId11" Type="http://schemas.openxmlformats.org/officeDocument/2006/relationships/oleObject" Target="embeddings/oleObject1.bin"/><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0XLS%20&#24037;&#20316;&#34920;.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3.xlsx"/></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zh-CN"/>
              <a:t>单位人员构成</a:t>
            </a:r>
            <a:endParaRPr alt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总人数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Sheet1!$B$2:$B$5</c15:sqref>
                  </c15:fullRef>
                </c:ext>
              </c:extLst>
              <c:f>Sheet1!$B$2:$B$4</c:f>
              <c:numCache>
                <c:formatCode>General</c:formatCode>
                <c:ptCount val="3"/>
                <c:pt idx="0">
                  <c:v>22</c:v>
                </c:pt>
                <c:pt idx="1">
                  <c:v>24</c:v>
                </c:pt>
              </c:numCache>
            </c:numRef>
          </c:val>
        </c:ser>
        <c:ser>
          <c:idx val="1"/>
          <c:order val="1"/>
          <c:tx>
            <c:strRef>
              <c:f>Sheet1!$C$1</c:f>
              <c:strCache>
                <c:ptCount val="1"/>
                <c:pt idx="0">
                  <c:v>行政人数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Sheet1!$C$2:$C$5</c15:sqref>
                  </c15:fullRef>
                </c:ext>
              </c:extLst>
              <c:f>Sheet1!$C$2:$C$4</c:f>
              <c:numCache>
                <c:formatCode>General</c:formatCode>
                <c:ptCount val="3"/>
                <c:pt idx="0">
                  <c:v>7</c:v>
                </c:pt>
                <c:pt idx="1">
                  <c:v>7</c:v>
                </c:pt>
              </c:numCache>
            </c:numRef>
          </c:val>
        </c:ser>
        <c:ser>
          <c:idx val="2"/>
          <c:order val="2"/>
          <c:tx>
            <c:strRef>
              <c:f>Sheet1!$D$1</c:f>
              <c:strCache>
                <c:ptCount val="1"/>
                <c:pt idx="0">
                  <c:v>事业人数</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Sheet1!$D$2:$D$5</c15:sqref>
                  </c15:fullRef>
                </c:ext>
              </c:extLst>
              <c:f>Sheet1!$D$2:$D$4</c:f>
              <c:numCache>
                <c:formatCode>General</c:formatCode>
                <c:ptCount val="3"/>
                <c:pt idx="0">
                  <c:v>15</c:v>
                </c:pt>
                <c:pt idx="1">
                  <c:v>17</c:v>
                </c:pt>
              </c:numCache>
            </c:numRef>
          </c:val>
        </c:ser>
        <c:dLbls>
          <c:showLegendKey val="0"/>
          <c:showVal val="1"/>
          <c:showCatName val="0"/>
          <c:showSerName val="0"/>
          <c:showPercent val="0"/>
          <c:showBubbleSize val="0"/>
        </c:dLbls>
        <c:gapWidth val="219"/>
        <c:overlap val="-27"/>
        <c:axId val="960915645"/>
        <c:axId val="467037477"/>
      </c:barChart>
      <c:catAx>
        <c:axId val="96091564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7037477"/>
        <c:crosses val="autoZero"/>
        <c:auto val="1"/>
        <c:lblAlgn val="ctr"/>
        <c:lblOffset val="100"/>
        <c:noMultiLvlLbl val="0"/>
      </c:catAx>
      <c:valAx>
        <c:axId val="46703747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091564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2019收入支出决算情况（万元）</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收入</c:v>
                </c:pt>
                <c:pt idx="1">
                  <c:v>支出</c:v>
                </c:pt>
              </c:strCache>
            </c:strRef>
          </c:cat>
          <c:val>
            <c:numRef>
              <c:extLst>
                <c:ext xmlns:c15="http://schemas.microsoft.com/office/drawing/2012/chart" uri="{02D57815-91ED-43cb-92C2-25804820EDAC}">
                  <c15:fullRef>
                    <c15:sqref>Sheet1!$B$2:$B$5</c15:sqref>
                  </c15:fullRef>
                </c:ext>
              </c:extLst>
              <c:f>Sheet1!$B$2:$B$4</c:f>
              <c:numCache>
                <c:formatCode>General</c:formatCode>
                <c:ptCount val="3"/>
                <c:pt idx="0">
                  <c:v>1294.47</c:v>
                </c:pt>
                <c:pt idx="1">
                  <c:v>1294.47</c:v>
                </c:pt>
              </c:numCache>
            </c:numRef>
          </c:val>
        </c:ser>
        <c:ser>
          <c:idx val="1"/>
          <c:order val="1"/>
          <c:tx>
            <c:strRef>
              <c:f>Sheet1!#REF!</c:f>
              <c:strCache>
                <c:ptCount val="1"/>
                <c:pt idx="0">
                  <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收入</c:v>
                </c:pt>
                <c:pt idx="1">
                  <c:v>支出</c:v>
                </c:pt>
              </c:strCache>
            </c:strRef>
          </c:cat>
        </c:ser>
        <c:ser>
          <c:idx val="2"/>
          <c:order val="2"/>
          <c:tx>
            <c:strRef>
              <c:f>Sheet1!#REF!</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收入</c:v>
                </c:pt>
                <c:pt idx="1">
                  <c:v>支出</c:v>
                </c:pt>
              </c:strCache>
            </c:strRef>
          </c:cat>
        </c:ser>
        <c:dLbls>
          <c:showLegendKey val="0"/>
          <c:showVal val="1"/>
          <c:showCatName val="0"/>
          <c:showSerName val="0"/>
          <c:showPercent val="0"/>
          <c:showBubbleSize val="0"/>
        </c:dLbls>
        <c:gapWidth val="219"/>
        <c:overlap val="-27"/>
        <c:axId val="960915645"/>
        <c:axId val="467037477"/>
      </c:barChart>
      <c:catAx>
        <c:axId val="96091564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7037477"/>
        <c:crosses val="autoZero"/>
        <c:auto val="1"/>
        <c:lblAlgn val="ctr"/>
        <c:lblOffset val="100"/>
        <c:noMultiLvlLbl val="0"/>
      </c:catAx>
      <c:valAx>
        <c:axId val="46703747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0915645"/>
        <c:crosses val="autoZero"/>
        <c:crossBetween val="between"/>
      </c:valAx>
      <c:spPr>
        <a:noFill/>
        <a:ln>
          <a:noFill/>
        </a:ln>
        <a:effectLst/>
      </c:spPr>
    </c:plotArea>
    <c:legend>
      <c:legendPos val="b"/>
      <c:legendEntry>
        <c:idx val="1"/>
        <c:delete val="1"/>
      </c:legendEntry>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本年度决算收入构成情况</a:t>
            </a:r>
          </a:p>
        </c:rich>
      </c:tx>
      <c:layout>
        <c:manualLayout>
          <c:xMode val="edge"/>
          <c:yMode val="edge"/>
          <c:x val="0.27625"/>
          <c:y val="0.0173611111111111"/>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00768100537067318"/>
                  <c:y val="-7.46825174739267e-8"/>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sz="900"/>
                      <a:t>1294.47</a:t>
                    </a:r>
                    <a:r>
                      <a:rPr altLang="en-US" sz="900"/>
                      <a:t>万元</a:t>
                    </a:r>
                    <a:endParaRPr sz="900"/>
                  </a:p>
                  <a:p>
                    <a:pPr defTabSz="914400">
                      <a:defRPr lang="zh-CN" sz="900" b="0" i="0" u="none" strike="noStrike" kern="1200" baseline="0">
                        <a:solidFill>
                          <a:schemeClr val="tx1">
                            <a:lumMod val="75000"/>
                            <a:lumOff val="25000"/>
                          </a:schemeClr>
                        </a:solidFill>
                        <a:latin typeface="+mn-lt"/>
                        <a:ea typeface="+mn-ea"/>
                        <a:cs typeface="+mn-cs"/>
                      </a:defRPr>
                    </a:pPr>
                    <a:r>
                      <a:rPr lang="en-US" altLang="zh-CN" sz="900"/>
                      <a:t>100</a:t>
                    </a:r>
                    <a:r>
                      <a:rPr sz="900"/>
                      <a:t>%</a:t>
                    </a:r>
                    <a:endParaRPr sz="900"/>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0729309695288425"/>
                  <c:y val="0.013888963571406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sz="900"/>
                      <a:t>1294.47</a:t>
                    </a:r>
                    <a:r>
                      <a:rPr altLang="en-US" sz="900"/>
                      <a:t>万元</a:t>
                    </a:r>
                    <a:endParaRPr sz="900"/>
                  </a:p>
                  <a:p>
                    <a:pPr defTabSz="914400">
                      <a:defRPr lang="zh-CN" sz="900" b="0" i="0" u="none" strike="noStrike" kern="1200" baseline="0">
                        <a:solidFill>
                          <a:schemeClr val="tx1">
                            <a:lumMod val="75000"/>
                            <a:lumOff val="25000"/>
                          </a:schemeClr>
                        </a:solidFill>
                        <a:latin typeface="+mn-lt"/>
                        <a:ea typeface="+mn-ea"/>
                        <a:cs typeface="+mn-cs"/>
                      </a:defRPr>
                    </a:pPr>
                    <a:endParaRPr sz="900"/>
                  </a:p>
                </c:rich>
              </c:tx>
              <c:dLblPos val="bestFit"/>
              <c:showLegendKey val="0"/>
              <c:showVal val="1"/>
              <c:showCatName val="0"/>
              <c:showSerName val="0"/>
              <c:showPercent val="1"/>
              <c:showBubbleSize val="0"/>
              <c:extLst>
                <c:ext xmlns:c15="http://schemas.microsoft.com/office/drawing/2012/chart" uri="{CE6537A1-D6FC-4f65-9D91-7224C49458BB}">
                  <c15:layout>
                    <c:manualLayout>
                      <c:w val="0.169379937754369"/>
                      <c:h val="0.165990990990991"/>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工作表.xls]Sheet1'!$A$1:$B$1</c:f>
              <c:strCache>
                <c:ptCount val="2"/>
                <c:pt idx="0">
                  <c:v>全年收入</c:v>
                </c:pt>
                <c:pt idx="1">
                  <c:v>财政拨款收入</c:v>
                </c:pt>
              </c:strCache>
            </c:strRef>
          </c:cat>
          <c:val>
            <c:numRef>
              <c:f>'[新建 XLS 工作表.xls]Sheet1'!$A$2:$B$2</c:f>
              <c:numCache>
                <c:formatCode>General</c:formatCode>
                <c:ptCount val="2"/>
                <c:pt idx="0">
                  <c:v>12742602</c:v>
                </c:pt>
                <c:pt idx="1">
                  <c:v>12742602</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b"/>
      <c:layout>
        <c:manualLayout>
          <c:xMode val="edge"/>
          <c:yMode val="edge"/>
          <c:x val="0.34713909504429"/>
          <c:y val="0.903603603603604"/>
          <c:w val="0.33109887479052"/>
          <c:h val="0.07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67396593673966"/>
          <c:y val="0.181827299167586"/>
          <c:w val="0.324116458410656"/>
          <c:h val="0.600560673572408"/>
        </c:manualLayout>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Sheet1!$A$2:$A$4</c:f>
              <c:strCache>
                <c:ptCount val="3"/>
                <c:pt idx="0">
                  <c:v>决算支出</c:v>
                </c:pt>
                <c:pt idx="1">
                  <c:v>基本支出</c:v>
                </c:pt>
                <c:pt idx="2">
                  <c:v>项目支出</c:v>
                </c:pt>
              </c:strCache>
            </c:strRef>
          </c:cat>
          <c:val>
            <c:numRef>
              <c:f>Sheet1!$B$2:$B$4</c:f>
              <c:numCache>
                <c:formatCode>General</c:formatCode>
                <c:ptCount val="3"/>
                <c:pt idx="0">
                  <c:v>1294.47</c:v>
                </c:pt>
                <c:pt idx="1">
                  <c:v>218.07</c:v>
                </c:pt>
                <c:pt idx="2">
                  <c:v>1076.39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2019财政拨款收入支出决算情况（万元）</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收入</c:v>
                </c:pt>
                <c:pt idx="1">
                  <c:v>支出</c:v>
                </c:pt>
              </c:strCache>
            </c:strRef>
          </c:cat>
          <c:val>
            <c:numRef>
              <c:extLst>
                <c:ext xmlns:c15="http://schemas.microsoft.com/office/drawing/2012/chart" uri="{02D57815-91ED-43cb-92C2-25804820EDAC}">
                  <c15:fullRef>
                    <c15:sqref>Sheet1!$B$2:$B$5</c15:sqref>
                  </c15:fullRef>
                </c:ext>
              </c:extLst>
              <c:f>Sheet1!$B$2:$B$4</c:f>
              <c:numCache>
                <c:formatCode>General</c:formatCode>
                <c:ptCount val="3"/>
                <c:pt idx="0">
                  <c:v>1294.47</c:v>
                </c:pt>
                <c:pt idx="1">
                  <c:v>1294.47</c:v>
                </c:pt>
              </c:numCache>
            </c:numRef>
          </c:val>
        </c:ser>
        <c:ser>
          <c:idx val="1"/>
          <c:order val="1"/>
          <c:tx>
            <c:strRef>
              <c:f>Sheet1!#REF!</c:f>
              <c:strCache>
                <c:ptCount val="1"/>
                <c:pt idx="0">
                  <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收入</c:v>
                </c:pt>
                <c:pt idx="1">
                  <c:v>支出</c:v>
                </c:pt>
              </c:strCache>
            </c:strRef>
          </c:cat>
        </c:ser>
        <c:ser>
          <c:idx val="2"/>
          <c:order val="2"/>
          <c:tx>
            <c:strRef>
              <c:f>Sheet1!#REF!</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收入</c:v>
                </c:pt>
                <c:pt idx="1">
                  <c:v>支出</c:v>
                </c:pt>
              </c:strCache>
            </c:strRef>
          </c:cat>
        </c:ser>
        <c:dLbls>
          <c:showLegendKey val="0"/>
          <c:showVal val="1"/>
          <c:showCatName val="0"/>
          <c:showSerName val="0"/>
          <c:showPercent val="0"/>
          <c:showBubbleSize val="0"/>
        </c:dLbls>
        <c:gapWidth val="219"/>
        <c:overlap val="-27"/>
        <c:axId val="960915645"/>
        <c:axId val="467037477"/>
      </c:barChart>
      <c:catAx>
        <c:axId val="96091564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7037477"/>
        <c:crosses val="autoZero"/>
        <c:auto val="1"/>
        <c:lblAlgn val="ctr"/>
        <c:lblOffset val="100"/>
        <c:noMultiLvlLbl val="0"/>
      </c:catAx>
      <c:valAx>
        <c:axId val="46703747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0915645"/>
        <c:crosses val="autoZero"/>
        <c:crossBetween val="between"/>
      </c:valAx>
      <c:spPr>
        <a:noFill/>
        <a:ln>
          <a:noFill/>
        </a:ln>
        <a:effectLst/>
      </c:spPr>
    </c:plotArea>
    <c:legend>
      <c:legendPos val="b"/>
      <c:legendEntry>
        <c:idx val="1"/>
        <c:delete val="1"/>
      </c:legendEntry>
      <c:legendEntry>
        <c:idx val="2"/>
        <c:delete val="1"/>
      </c:legendEntry>
      <c:layout>
        <c:manualLayout>
          <c:xMode val="edge"/>
          <c:yMode val="edge"/>
          <c:x val="0.356668642560759"/>
          <c:y val="0.91813884050758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cap="all" spc="120" normalizeH="0" baseline="0">
                <a:solidFill>
                  <a:schemeClr val="tx1">
                    <a:lumMod val="65000"/>
                    <a:lumOff val="35000"/>
                  </a:schemeClr>
                </a:solidFill>
                <a:latin typeface="+mn-lt"/>
                <a:ea typeface="+mn-ea"/>
                <a:cs typeface="+mn-cs"/>
              </a:defRPr>
            </a:pPr>
            <a:r>
              <a:rPr lang="zh-CN" altLang="en-US"/>
              <a:t>财政拨款收支决算总体情况（万元）</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2019年</c:v>
                </c:pt>
              </c:strCache>
            </c:strRef>
          </c:tx>
          <c:spPr>
            <a:solidFill>
              <a:schemeClr val="accent1">
                <a:lumMod val="75000"/>
              </a:schemeClr>
            </a:solidFill>
            <a:ln>
              <a:noFill/>
            </a:ln>
            <a:effectLst/>
          </c:spPr>
          <c:invertIfNegative val="0"/>
          <c:dLbls>
            <c:dLbl>
              <c:idx val="0"/>
              <c:layout/>
              <c:tx>
                <c:rich>
                  <a:bodyPr rot="0" spcFirstLastPara="1" vertOverflow="clip" horzOverflow="clip" vert="horz" wrap="square" lIns="38100" tIns="19050" rIns="38100" bIns="19050" anchor="ctr" anchorCtr="1">
                    <a:spAutoFit/>
                  </a:bodyPr>
                  <a:lstStyle/>
                  <a:p>
                    <a:pPr defTabSz="914400">
                      <a:defRPr lang="zh-CN" sz="800" b="0" i="0" u="none" strike="noStrike" kern="1200" baseline="0">
                        <a:solidFill>
                          <a:schemeClr val="tx1">
                            <a:lumMod val="50000"/>
                            <a:lumOff val="50000"/>
                          </a:schemeClr>
                        </a:solidFill>
                        <a:latin typeface="+mn-lt"/>
                        <a:ea typeface="+mn-ea"/>
                        <a:cs typeface="+mn-cs"/>
                      </a:defRPr>
                    </a:pPr>
                    <a:r>
                      <a:t>12</a:t>
                    </a:r>
                    <a:r>
                      <a:rPr lang="en-US" altLang="zh-CN"/>
                      <a:t>94</a:t>
                    </a:r>
                    <a:r>
                      <a:t>.47</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1" vertOverflow="clip" horzOverflow="clip" vert="horz" wrap="square" lIns="38100" tIns="19050" rIns="38100" bIns="19050" anchor="ctr" anchorCtr="1">
                    <a:spAutoFit/>
                  </a:bodyPr>
                  <a:lstStyle/>
                  <a:p>
                    <a:pPr defTabSz="914400">
                      <a:defRPr lang="zh-CN" sz="800" b="0" i="0" u="none" strike="noStrike" kern="1200" baseline="0">
                        <a:solidFill>
                          <a:schemeClr val="tx1">
                            <a:lumMod val="50000"/>
                            <a:lumOff val="50000"/>
                          </a:schemeClr>
                        </a:solidFill>
                        <a:latin typeface="+mn-lt"/>
                        <a:ea typeface="+mn-ea"/>
                        <a:cs typeface="+mn-cs"/>
                      </a:defRPr>
                    </a:pPr>
                    <a:r>
                      <a:t>12</a:t>
                    </a:r>
                    <a:r>
                      <a:rPr lang="en-US" altLang="zh-CN"/>
                      <a:t>94</a:t>
                    </a:r>
                    <a:r>
                      <a:t>.47</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clip" horzOverflow="clip" vert="horz" wrap="square" lIns="38100" tIns="19050" rIns="38100" bIns="19050" anchor="ctr" anchorCtr="1">
                <a:spAutoFit/>
              </a:bodyPr>
              <a:lstStyle/>
              <a:p>
                <a:pPr>
                  <a:defRPr lang="zh-CN" sz="8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Sheet1!$A$2:$A$3</c:f>
              <c:strCache>
                <c:ptCount val="2"/>
                <c:pt idx="0">
                  <c:v>收入情况</c:v>
                </c:pt>
                <c:pt idx="1">
                  <c:v>支出情况</c:v>
                </c:pt>
              </c:strCache>
            </c:strRef>
          </c:cat>
          <c:val>
            <c:numRef>
              <c:f>Sheet1!$B$2:$B$3</c:f>
              <c:numCache>
                <c:formatCode>General</c:formatCode>
                <c:ptCount val="2"/>
                <c:pt idx="0">
                  <c:v>1249.47</c:v>
                </c:pt>
                <c:pt idx="1">
                  <c:v>1249.47</c:v>
                </c:pt>
              </c:numCache>
            </c:numRef>
          </c:val>
        </c:ser>
        <c:ser>
          <c:idx val="1"/>
          <c:order val="1"/>
          <c:tx>
            <c:strRef>
              <c:f>Sheet1!$C$1</c:f>
              <c:strCache>
                <c:ptCount val="1"/>
                <c:pt idx="0">
                  <c:v>2018年</c:v>
                </c:pt>
              </c:strCache>
            </c:strRef>
          </c:tx>
          <c:spPr>
            <a:solidFill>
              <a:schemeClr val="accent2">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lang="zh-CN" sz="800" b="0" i="0" u="none" strike="noStrike" kern="1200" baseline="0">
                    <a:solidFill>
                      <a:schemeClr val="tx1">
                        <a:lumMod val="50000"/>
                        <a:lumOff val="50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Sheet1!$A$2:$A$3</c:f>
              <c:strCache>
                <c:ptCount val="2"/>
                <c:pt idx="0">
                  <c:v>收入情况</c:v>
                </c:pt>
                <c:pt idx="1">
                  <c:v>支出情况</c:v>
                </c:pt>
              </c:strCache>
            </c:strRef>
          </c:cat>
          <c:val>
            <c:numRef>
              <c:f>Sheet1!$C$2:$C$3</c:f>
              <c:numCache>
                <c:formatCode>General</c:formatCode>
                <c:ptCount val="2"/>
                <c:pt idx="0">
                  <c:v>3238.58</c:v>
                </c:pt>
                <c:pt idx="1">
                  <c:v>3238.58</c:v>
                </c:pt>
              </c:numCache>
            </c:numRef>
          </c:val>
        </c:ser>
        <c:dLbls>
          <c:showLegendKey val="0"/>
          <c:showVal val="0"/>
          <c:showCatName val="0"/>
          <c:showSerName val="0"/>
          <c:showPercent val="0"/>
          <c:showBubbleSize val="0"/>
        </c:dLbls>
        <c:gapWidth val="444"/>
        <c:overlap val="-90"/>
        <c:axId val="706688720"/>
        <c:axId val="706691280"/>
      </c:barChart>
      <c:catAx>
        <c:axId val="7066887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800" b="0" i="0" u="none" strike="noStrike" kern="1200" cap="all" spc="120" normalizeH="0" baseline="0">
                <a:solidFill>
                  <a:schemeClr val="tx1">
                    <a:lumMod val="65000"/>
                    <a:lumOff val="35000"/>
                  </a:schemeClr>
                </a:solidFill>
                <a:latin typeface="+mn-lt"/>
                <a:ea typeface="+mn-ea"/>
                <a:cs typeface="+mn-cs"/>
              </a:defRPr>
            </a:pPr>
          </a:p>
        </c:txPr>
        <c:crossAx val="706691280"/>
        <c:crosses val="autoZero"/>
        <c:auto val="1"/>
        <c:lblAlgn val="ctr"/>
        <c:lblOffset val="100"/>
        <c:noMultiLvlLbl val="0"/>
      </c:catAx>
      <c:valAx>
        <c:axId val="7066912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668872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a:t>
            </a:r>
            <a:r>
              <a:rPr altLang="en-US"/>
              <a:t>三公</a:t>
            </a:r>
            <a:r>
              <a:rPr lang="en-US" altLang="zh-CN"/>
              <a:t>”</a:t>
            </a:r>
            <a:r>
              <a:rPr altLang="en-US"/>
              <a:t>经费财政拨款支出决算情况表</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因公出国（境）费用</c:v>
                </c:pt>
              </c:strCache>
            </c:strRef>
          </c:tx>
          <c:spPr>
            <a:solidFill>
              <a:schemeClr val="accent1"/>
            </a:solidFill>
            <a:ln>
              <a:noFill/>
            </a:ln>
            <a:effectLst/>
          </c:spPr>
          <c:invertIfNegative val="0"/>
          <c:dLbls>
            <c:delete val="1"/>
          </c:dLbls>
          <c:cat>
            <c:numRef>
              <c:f>Sheet1!$A$2</c:f>
              <c:numCache>
                <c:formatCode>General</c:formatCode>
                <c:ptCount val="1"/>
              </c:numCache>
            </c:numRef>
          </c:cat>
          <c:val>
            <c:numRef>
              <c:f>Sheet1!$B$2</c:f>
              <c:numCache>
                <c:formatCode>General</c:formatCode>
                <c:ptCount val="1"/>
                <c:pt idx="0">
                  <c:v>0</c:v>
                </c:pt>
              </c:numCache>
            </c:numRef>
          </c:val>
        </c:ser>
        <c:ser>
          <c:idx val="1"/>
          <c:order val="1"/>
          <c:tx>
            <c:strRef>
              <c:f>Sheet1!$C$1</c:f>
              <c:strCache>
                <c:ptCount val="1"/>
                <c:pt idx="0">
                  <c:v>公务接待费</c:v>
                </c:pt>
              </c:strCache>
            </c:strRef>
          </c:tx>
          <c:spPr>
            <a:solidFill>
              <a:schemeClr val="accent2"/>
            </a:solidFill>
            <a:ln>
              <a:noFill/>
            </a:ln>
            <a:effectLst/>
          </c:spPr>
          <c:invertIfNegative val="0"/>
          <c:dLbls>
            <c:delete val="1"/>
          </c:dLbls>
          <c:cat>
            <c:numRef>
              <c:f>Sheet1!$A$2</c:f>
              <c:numCache>
                <c:formatCode>General</c:formatCode>
                <c:ptCount val="1"/>
              </c:numCache>
            </c:numRef>
          </c:cat>
          <c:val>
            <c:numRef>
              <c:f>Sheet1!$C$2</c:f>
              <c:numCache>
                <c:formatCode>General</c:formatCode>
                <c:ptCount val="1"/>
                <c:pt idx="0">
                  <c:v>0</c:v>
                </c:pt>
              </c:numCache>
            </c:numRef>
          </c:val>
        </c:ser>
        <c:ser>
          <c:idx val="2"/>
          <c:order val="2"/>
          <c:tx>
            <c:strRef>
              <c:f>Sheet1!$D$1</c:f>
              <c:strCache>
                <c:ptCount val="1"/>
                <c:pt idx="0">
                  <c:v>公车购置及运行维护费</c:v>
                </c:pt>
              </c:strCache>
            </c:strRef>
          </c:tx>
          <c:spPr>
            <a:solidFill>
              <a:schemeClr val="accent3"/>
            </a:solidFill>
            <a:ln>
              <a:noFill/>
            </a:ln>
            <a:effectLst/>
          </c:spPr>
          <c:invertIfNegative val="0"/>
          <c:dLbls>
            <c:delete val="1"/>
          </c:dLbls>
          <c:cat>
            <c:numRef>
              <c:f>Sheet1!$A$2</c:f>
              <c:numCache>
                <c:formatCode>General</c:formatCode>
                <c:ptCount val="1"/>
              </c:numCache>
            </c:numRef>
          </c:cat>
          <c:val>
            <c:numRef>
              <c:f>Sheet1!$D$2</c:f>
              <c:numCache>
                <c:formatCode>General</c:formatCode>
                <c:ptCount val="1"/>
                <c:pt idx="0">
                  <c:v>5.4</c:v>
                </c:pt>
              </c:numCache>
            </c:numRef>
          </c:val>
        </c:ser>
        <c:dLbls>
          <c:showLegendKey val="0"/>
          <c:showVal val="0"/>
          <c:showCatName val="0"/>
          <c:showSerName val="0"/>
          <c:showPercent val="0"/>
          <c:showBubbleSize val="0"/>
        </c:dLbls>
        <c:gapWidth val="219"/>
        <c:overlap val="-27"/>
        <c:axId val="157726941"/>
        <c:axId val="871910196"/>
      </c:barChart>
      <c:catAx>
        <c:axId val="15772694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1910196"/>
        <c:crosses val="autoZero"/>
        <c:auto val="1"/>
        <c:lblAlgn val="ctr"/>
        <c:lblOffset val="100"/>
        <c:noMultiLvlLbl val="0"/>
      </c:catAx>
      <c:valAx>
        <c:axId val="8719101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772694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2"/>
    <customShpInfo spid="_x0000_s1031"/>
    <customShpInfo spid="_x0000_s1027"/>
    <customShpInfo spid="_x0000_s1029"/>
    <customShpInfo spid="_x0000_s1028"/>
    <customShpInfo spid="_x0000_s103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33</Pages>
  <Words>8701</Words>
  <Characters>10444</Characters>
  <Lines>61</Lines>
  <Paragraphs>17</Paragraphs>
  <TotalTime>169</TotalTime>
  <ScaleCrop>false</ScaleCrop>
  <LinksUpToDate>false</LinksUpToDate>
  <CharactersWithSpaces>11151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果果</cp:lastModifiedBy>
  <cp:lastPrinted>2020-09-23T07:34:00Z</cp:lastPrinted>
  <dcterms:modified xsi:type="dcterms:W3CDTF">2024-01-16T01:21:09Z</dcterms:modified>
  <dc:title>蓝田县扶贫工作办公室2019年决算公开说明</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54334CF532AE4E63A239FF9FEBDA67AD</vt:lpwstr>
  </property>
</Properties>
</file>