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44"/>
          <w:szCs w:val="44"/>
        </w:rPr>
      </w:pPr>
      <w:r>
        <w:rPr>
          <w:rFonts w:hint="eastAsia" w:ascii="方正小标宋简体" w:eastAsia="方正小标宋简体"/>
          <w:sz w:val="44"/>
          <w:szCs w:val="44"/>
        </w:rPr>
        <w:t>蓝田县招商局</w:t>
      </w:r>
    </w:p>
    <w:p>
      <w:pPr>
        <w:jc w:val="center"/>
        <w:rPr>
          <w:rFonts w:hint="eastAsia" w:ascii="方正小标宋简体" w:eastAsia="方正小标宋简体"/>
          <w:sz w:val="44"/>
          <w:szCs w:val="44"/>
          <w:u w:val="single"/>
        </w:rPr>
      </w:pPr>
      <w:r>
        <w:rPr>
          <w:rFonts w:hint="eastAsia" w:ascii="方正小标宋简体" w:eastAsia="方正小标宋简体"/>
          <w:sz w:val="44"/>
          <w:szCs w:val="44"/>
        </w:rPr>
        <w:t>2020年度部门综合预算说明</w:t>
      </w:r>
    </w:p>
    <w:p>
      <w:pPr>
        <w:ind w:firstLine="640" w:firstLineChars="200"/>
        <w:rPr>
          <w:rFonts w:hint="eastAsia" w:ascii="仿宋_GB2312" w:eastAsia="仿宋_GB2312"/>
          <w:sz w:val="32"/>
          <w:szCs w:val="32"/>
        </w:rPr>
      </w:pPr>
    </w:p>
    <w:p>
      <w:pPr>
        <w:numPr>
          <w:ilvl w:val="0"/>
          <w:numId w:val="1"/>
        </w:numPr>
        <w:ind w:firstLine="640" w:firstLineChars="20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部门主要职责及机构设置</w:t>
      </w:r>
    </w:p>
    <w:p>
      <w:pPr>
        <w:ind w:firstLine="640" w:firstLineChars="200"/>
        <w:rPr>
          <w:rFonts w:hint="eastAsia" w:ascii="仿宋_GB2312" w:hAnsi="仿宋_GB2312" w:eastAsia="仿宋_GB2312" w:cs="仿宋_GB2312"/>
          <w:color w:val="3D3D3C"/>
          <w:sz w:val="32"/>
          <w:szCs w:val="32"/>
          <w:shd w:val="clear" w:color="auto" w:fill="FFFFFF"/>
        </w:rPr>
      </w:pPr>
      <w:r>
        <w:rPr>
          <w:rFonts w:hint="eastAsia" w:ascii="仿宋_GB2312" w:eastAsia="仿宋_GB2312"/>
          <w:sz w:val="32"/>
          <w:szCs w:val="32"/>
        </w:rPr>
        <w:t>（一）根据《蓝政办发〈关于印发蓝田县招商局职能配置内设机构和人员编制规定〉的通知》（蓝政办发〔2010〕75号），设置蓝田县招商局，为蓝田县人民政府部门。县招商局设1个职能科室，1个下属事业单位。</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(二)贯彻执行国家、省、市有关对外开放、招商引资工作的方针、政策和法律、法规；指导、管理和协调全县对外开放、招商引资、国内外经济技术协作工作。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(三)研究拟定全县招商引资中长期规划和发展战略，拟定全县招商引资和国内经济技术合作的方案、措施，并组织实施。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(四)负责对全县招商引资项目的组织、包装、论证、宣传、推介工作；建立全县招商引资项目库、人才库和信息库；负责编制全县投资指南和其它宣传资料，负责重点投资项目的跟踪落实。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(五)负责策划、组织各种招商引资活动；指导和推进全县利用外资和国内经济技术协作工作。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(六)负责推动我县与全国各地之间的区域经济技术协作；负责组织各类洽谈会和投资项目推介会；负责招商引资项目进展过程中重大问题的调解工作。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(七)负责全县有关外商投资企业的设立、外商投资项目的合同、章程及分支机构的审核批准工作；会同相关部门为内、外资投资企业办理相关审批手续。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(八)负责全县直接利用内、外资的管理、统计和考核工作，研究全县招商引资情况，定期做出综合统计分析；负责对招商引资中介人奖励兑现的审批工作。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（九）负责对外援助工作，监督管理多边、双边对我县的无偿援助和赠款，监督检查对外援助项目实施情况，监督管理援外经费和专项基金。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（十）负责国内区域经济技术合作，推动我县与全国各地区间的经济技术交流与合作。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（十一）为投资商提供投资咨询、跟踪服务。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（十二）完成县政府及上级主管部门交办的其他工作任务。 </w:t>
      </w:r>
    </w:p>
    <w:p>
      <w:pPr>
        <w:ind w:firstLine="640" w:firstLineChars="200"/>
        <w:rPr>
          <w:rFonts w:hint="eastAsia" w:ascii="仿宋_GB2312" w:eastAsia="仿宋_GB2312"/>
          <w:sz w:val="32"/>
          <w:szCs w:val="32"/>
        </w:rPr>
      </w:pPr>
      <w:r>
        <w:rPr>
          <w:rFonts w:hint="eastAsia" w:ascii="仿宋_GB2312" w:eastAsia="仿宋_GB2312"/>
          <w:sz w:val="32"/>
          <w:szCs w:val="32"/>
        </w:rPr>
        <w:t>二、2020年年度部门主要工作任务</w:t>
      </w:r>
    </w:p>
    <w:p>
      <w:pPr>
        <w:ind w:firstLine="640" w:firstLineChars="200"/>
        <w:rPr>
          <w:rFonts w:hint="eastAsia" w:ascii="仿宋_GB2312" w:eastAsia="仿宋_GB2312"/>
          <w:sz w:val="32"/>
          <w:szCs w:val="32"/>
        </w:rPr>
      </w:pPr>
      <w:r>
        <w:rPr>
          <w:rFonts w:hint="eastAsia" w:ascii="仿宋_GB2312" w:eastAsia="仿宋_GB2312"/>
          <w:sz w:val="32"/>
          <w:szCs w:val="32"/>
        </w:rPr>
        <w:t>（一）总体思路</w:t>
      </w:r>
    </w:p>
    <w:p>
      <w:pPr>
        <w:widowControl/>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我们将在县委、县政府的坚强领导下，持续把招商引资作为“一号工程”，紧盯目标不动摇、紧扣重点不松劲、攻坚克难不懈怠，以坚定的信心、百倍的干劲，质效并举、全力奋战，与各开发园区、县级有关部门一同扎实做好招商引资和项目落地各项工作，不断集聚发展新动能，努力做好以下五个方面的工作：</w:t>
      </w:r>
    </w:p>
    <w:p>
      <w:pPr>
        <w:widowControl/>
        <w:spacing w:line="560" w:lineRule="exact"/>
        <w:ind w:firstLine="643" w:firstLineChars="200"/>
        <w:rPr>
          <w:rFonts w:eastAsia="楷体_GB2312"/>
          <w:b/>
          <w:sz w:val="32"/>
          <w:szCs w:val="32"/>
        </w:rPr>
      </w:pPr>
      <w:r>
        <w:rPr>
          <w:rFonts w:hint="eastAsia" w:eastAsia="楷体_GB2312"/>
          <w:b/>
          <w:sz w:val="32"/>
          <w:szCs w:val="32"/>
        </w:rPr>
        <w:t>（一）</w:t>
      </w:r>
      <w:r>
        <w:rPr>
          <w:rFonts w:eastAsia="楷体_GB2312"/>
          <w:b/>
          <w:sz w:val="32"/>
          <w:szCs w:val="32"/>
        </w:rPr>
        <w:t>注重实效，</w:t>
      </w:r>
      <w:r>
        <w:rPr>
          <w:rFonts w:hint="eastAsia" w:eastAsia="楷体_GB2312"/>
          <w:b/>
          <w:sz w:val="32"/>
          <w:szCs w:val="32"/>
        </w:rPr>
        <w:t>实现</w:t>
      </w:r>
      <w:r>
        <w:rPr>
          <w:rFonts w:eastAsia="楷体_GB2312"/>
          <w:b/>
          <w:sz w:val="32"/>
          <w:szCs w:val="32"/>
        </w:rPr>
        <w:t>精准招商</w:t>
      </w:r>
      <w:r>
        <w:rPr>
          <w:rFonts w:hint="eastAsia" w:eastAsia="楷体_GB2312"/>
          <w:b/>
          <w:sz w:val="32"/>
          <w:szCs w:val="32"/>
        </w:rPr>
        <w:t>引资新突破</w:t>
      </w:r>
    </w:p>
    <w:p>
      <w:pPr>
        <w:widowControl/>
        <w:spacing w:line="560" w:lineRule="exact"/>
        <w:ind w:firstLine="640" w:firstLineChars="200"/>
        <w:rPr>
          <w:rFonts w:eastAsia="仿宋_GB2312"/>
          <w:sz w:val="32"/>
          <w:szCs w:val="32"/>
        </w:rPr>
      </w:pPr>
      <w:r>
        <w:rPr>
          <w:rFonts w:hint="eastAsia" w:eastAsia="仿宋_GB2312"/>
          <w:sz w:val="32"/>
          <w:szCs w:val="32"/>
        </w:rPr>
        <w:t>围绕“</w:t>
      </w:r>
      <w:r>
        <w:rPr>
          <w:rFonts w:eastAsia="仿宋_GB2312"/>
          <w:sz w:val="32"/>
          <w:szCs w:val="32"/>
        </w:rPr>
        <w:t>枢纽经济、门户经济、流动经济</w:t>
      </w:r>
      <w:r>
        <w:rPr>
          <w:rFonts w:hint="eastAsia" w:eastAsia="仿宋_GB2312"/>
          <w:sz w:val="32"/>
          <w:szCs w:val="32"/>
        </w:rPr>
        <w:t>”，</w:t>
      </w:r>
      <w:r>
        <w:rPr>
          <w:rFonts w:eastAsia="仿宋_GB2312"/>
          <w:sz w:val="32"/>
          <w:szCs w:val="32"/>
        </w:rPr>
        <w:t>聚焦新时代大西安经济发展的趋势，</w:t>
      </w:r>
      <w:r>
        <w:rPr>
          <w:rFonts w:hint="eastAsia" w:ascii="仿宋_GB2312" w:eastAsia="仿宋_GB2312"/>
          <w:color w:val="000000"/>
          <w:kern w:val="0"/>
          <w:sz w:val="32"/>
          <w:szCs w:val="32"/>
        </w:rPr>
        <w:t>坚持“走出去，请进来”招商战略，紧盯国家投资导向和市场资金流向，深化与央企、</w:t>
      </w:r>
      <w:r>
        <w:rPr>
          <w:rFonts w:hint="eastAsia" w:ascii="仿宋_GB2312" w:hAnsi="宋体" w:eastAsia="仿宋_GB2312"/>
          <w:color w:val="000000"/>
          <w:kern w:val="0"/>
          <w:sz w:val="32"/>
          <w:szCs w:val="32"/>
        </w:rPr>
        <w:t>500强企业、行业龙头和领军企业的</w:t>
      </w:r>
      <w:r>
        <w:rPr>
          <w:rFonts w:hint="eastAsia" w:ascii="仿宋_GB2312" w:eastAsia="仿宋_GB2312"/>
          <w:color w:val="000000"/>
          <w:kern w:val="0"/>
          <w:sz w:val="32"/>
          <w:szCs w:val="32"/>
        </w:rPr>
        <w:t>合作，高质量储备文旅康养、先进智造、现代农业等项目，引进一批大企业大项目。每年县委县政府主要领导带队外出招商不少于 8次，县级领导带队不少于 16次，各镇（街）街、管委会及相关部门外出招商不少于5次，</w:t>
      </w:r>
      <w:r>
        <w:rPr>
          <w:rFonts w:eastAsia="仿宋_GB2312"/>
          <w:sz w:val="32"/>
          <w:szCs w:val="32"/>
        </w:rPr>
        <w:t>不断加大招商引资宣传力度，多渠道、多角度、全方位展示</w:t>
      </w:r>
      <w:r>
        <w:rPr>
          <w:rFonts w:hint="eastAsia" w:eastAsia="仿宋_GB2312"/>
          <w:sz w:val="32"/>
          <w:szCs w:val="32"/>
        </w:rPr>
        <w:t>蓝田</w:t>
      </w:r>
      <w:r>
        <w:rPr>
          <w:rFonts w:eastAsia="仿宋_GB2312"/>
          <w:sz w:val="32"/>
          <w:szCs w:val="32"/>
        </w:rPr>
        <w:t>新形象，</w:t>
      </w:r>
      <w:r>
        <w:rPr>
          <w:rFonts w:hint="eastAsia" w:ascii="仿宋_GB2312" w:eastAsia="仿宋_GB2312"/>
          <w:color w:val="000000"/>
          <w:kern w:val="0"/>
          <w:sz w:val="32"/>
          <w:szCs w:val="32"/>
        </w:rPr>
        <w:t>并多渠道邀请客商来我县考察投资。</w:t>
      </w:r>
      <w:r>
        <w:rPr>
          <w:rFonts w:eastAsia="仿宋_GB2312"/>
          <w:sz w:val="32"/>
          <w:szCs w:val="32"/>
        </w:rPr>
        <w:t>为</w:t>
      </w:r>
      <w:r>
        <w:rPr>
          <w:rFonts w:hint="eastAsia" w:eastAsia="仿宋_GB2312"/>
          <w:sz w:val="32"/>
          <w:szCs w:val="32"/>
        </w:rPr>
        <w:t>全县</w:t>
      </w:r>
      <w:r>
        <w:rPr>
          <w:rFonts w:eastAsia="仿宋_GB2312"/>
          <w:sz w:val="32"/>
          <w:szCs w:val="32"/>
        </w:rPr>
        <w:t>聚集更多发展要素。</w:t>
      </w:r>
    </w:p>
    <w:p>
      <w:pPr>
        <w:widowControl/>
        <w:spacing w:line="560" w:lineRule="exact"/>
        <w:ind w:firstLine="643" w:firstLineChars="200"/>
        <w:rPr>
          <w:rFonts w:eastAsia="楷体_GB2312"/>
          <w:b/>
          <w:bCs/>
          <w:sz w:val="32"/>
          <w:szCs w:val="32"/>
        </w:rPr>
      </w:pPr>
      <w:r>
        <w:rPr>
          <w:rFonts w:hint="eastAsia" w:ascii="楷体_GB2312" w:hAnsi="楷体_GB2312" w:eastAsia="楷体_GB2312" w:cs="楷体_GB2312"/>
          <w:b/>
          <w:bCs/>
          <w:sz w:val="32"/>
          <w:szCs w:val="32"/>
        </w:rPr>
        <w:t>（二）</w:t>
      </w:r>
      <w:r>
        <w:rPr>
          <w:rFonts w:hint="eastAsia" w:ascii="楷体_GB2312" w:hAnsi="楷体_GB2312" w:eastAsia="楷体_GB2312" w:cs="楷体_GB2312"/>
          <w:b/>
          <w:bCs/>
          <w:color w:val="000000"/>
          <w:kern w:val="0"/>
          <w:sz w:val="32"/>
          <w:szCs w:val="32"/>
        </w:rPr>
        <w:t>拓展渠道</w:t>
      </w:r>
      <w:r>
        <w:rPr>
          <w:rFonts w:hint="eastAsia" w:ascii="楷体_GB2312" w:hAnsi="楷体_GB2312" w:eastAsia="楷体_GB2312" w:cs="楷体_GB2312"/>
          <w:b/>
          <w:bCs/>
          <w:sz w:val="32"/>
          <w:szCs w:val="32"/>
        </w:rPr>
        <w:t>，实现凝聚招商合力新突破</w:t>
      </w:r>
    </w:p>
    <w:p>
      <w:pPr>
        <w:widowControl/>
        <w:spacing w:line="560" w:lineRule="exact"/>
        <w:ind w:firstLine="640" w:firstLineChars="200"/>
        <w:rPr>
          <w:rFonts w:eastAsia="仿宋_GB2312"/>
          <w:sz w:val="32"/>
          <w:szCs w:val="32"/>
        </w:rPr>
      </w:pPr>
      <w:r>
        <w:rPr>
          <w:rFonts w:eastAsia="仿宋_GB2312"/>
          <w:sz w:val="32"/>
          <w:szCs w:val="32"/>
        </w:rPr>
        <w:t>密切关注国家和省级招商引资政策的调整变化，</w:t>
      </w:r>
      <w:r>
        <w:rPr>
          <w:rFonts w:hint="eastAsia" w:ascii="仿宋_GB2312" w:eastAsia="仿宋_GB2312"/>
          <w:color w:val="000000"/>
          <w:kern w:val="0"/>
          <w:sz w:val="32"/>
          <w:szCs w:val="32"/>
        </w:rPr>
        <w:t>以丝博会、陕粤港澳经济合作活动周、欧亚经济论坛、杨凌农高会等活动为契机，积极参加省市组织的各类投资促进活动，举办我县专场招商活动，推介项目，引进投资。积极开展产业链招商、以商招商、网络招商、园区共建、点对点招商等，</w:t>
      </w:r>
      <w:r>
        <w:rPr>
          <w:rFonts w:hint="eastAsia" w:ascii="仿宋_GB2312" w:hAnsi="宋体" w:eastAsia="仿宋_GB2312"/>
          <w:color w:val="000000"/>
          <w:kern w:val="0"/>
          <w:sz w:val="32"/>
          <w:szCs w:val="32"/>
        </w:rPr>
        <w:t>创新招商方式方法，拓展项目招引路径，</w:t>
      </w:r>
      <w:r>
        <w:rPr>
          <w:rFonts w:eastAsia="仿宋_GB2312"/>
          <w:sz w:val="32"/>
          <w:szCs w:val="32"/>
        </w:rPr>
        <w:t>不断提升招商引资质量和水平。</w:t>
      </w:r>
    </w:p>
    <w:p>
      <w:pPr>
        <w:widowControl/>
        <w:spacing w:line="560" w:lineRule="exact"/>
        <w:ind w:firstLine="643" w:firstLineChars="200"/>
        <w:rPr>
          <w:rFonts w:hint="eastAsia" w:ascii="楷体_GB2312" w:eastAsia="楷体_GB2312"/>
          <w:b/>
          <w:sz w:val="32"/>
          <w:szCs w:val="32"/>
        </w:rPr>
      </w:pPr>
      <w:r>
        <w:rPr>
          <w:rFonts w:hint="eastAsia" w:ascii="楷体_GB2312" w:eastAsia="楷体_GB2312"/>
          <w:b/>
          <w:sz w:val="32"/>
          <w:szCs w:val="32"/>
        </w:rPr>
        <w:t>（</w:t>
      </w:r>
      <w:r>
        <w:rPr>
          <w:rFonts w:hint="eastAsia" w:ascii="楷体_GB2312" w:hAnsi="楷体_GB2312" w:eastAsia="楷体_GB2312" w:cs="楷体_GB2312"/>
          <w:b/>
          <w:color w:val="000000"/>
          <w:kern w:val="0"/>
          <w:sz w:val="32"/>
          <w:szCs w:val="32"/>
        </w:rPr>
        <w:t>三）深入调研，实现体制机制创新新突破</w:t>
      </w:r>
    </w:p>
    <w:p>
      <w:pPr>
        <w:widowControl/>
        <w:spacing w:line="56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2020年，我们将由主要领导带队，深入各开发园区、全县重点招商区域以及重点招商引资企业开展调查研究，制定出台《蓝田县招商引资工作领导小组会议制度》、《蓝田县招商引资项目退出办法》；完善《蓝田县招商引资奖励办法》、《蓝田县招商引资工作考核办法》，加强对招商引资工作的研究和协调落实，在全县上下激发招商引资工作的积极性和主动性。</w:t>
      </w:r>
    </w:p>
    <w:p>
      <w:pPr>
        <w:widowControl/>
        <w:spacing w:line="56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（四）创新服务，实现投资环境提升新突破</w:t>
      </w:r>
    </w:p>
    <w:p>
      <w:pPr>
        <w:spacing w:line="560" w:lineRule="exact"/>
        <w:ind w:firstLine="640"/>
        <w:rPr>
          <w:rFonts w:hint="eastAsia" w:eastAsia="仿宋_GB2312"/>
          <w:b/>
          <w:bCs/>
          <w:sz w:val="32"/>
          <w:szCs w:val="32"/>
        </w:rPr>
      </w:pPr>
      <w:r>
        <w:rPr>
          <w:rFonts w:hint="eastAsia" w:ascii="仿宋_GB2312" w:eastAsia="仿宋_GB2312"/>
          <w:color w:val="000000"/>
          <w:kern w:val="0"/>
          <w:sz w:val="32"/>
          <w:szCs w:val="32"/>
        </w:rPr>
        <w:t>2020年，我们将深入开展“行政效能大提升，投资环境大整治”活动，不断优化投资服务环境。完善招商引资综合信息服务平台建设，建立企业家座谈会制度，构建企业诉求响应反馈机制，打通项目前期洽谈、中期建设、后期运营整体服务链条。</w:t>
      </w:r>
      <w:r>
        <w:rPr>
          <w:rFonts w:hint="eastAsia" w:ascii="仿宋_GB2312" w:hAnsi="仿宋_GB2312" w:eastAsia="仿宋_GB2312" w:cs="仿宋_GB2312"/>
          <w:bCs/>
          <w:color w:val="000000"/>
          <w:sz w:val="32"/>
          <w:szCs w:val="32"/>
          <w:shd w:val="clear" w:color="auto" w:fill="FFFFFF"/>
        </w:rPr>
        <w:t>主动深入项目一线，</w:t>
      </w:r>
      <w:r>
        <w:rPr>
          <w:rFonts w:hint="eastAsia" w:ascii="仿宋_GB2312" w:hAnsi="仿宋_GB2312" w:eastAsia="仿宋_GB2312" w:cs="仿宋_GB2312"/>
          <w:color w:val="000000"/>
          <w:sz w:val="32"/>
          <w:szCs w:val="32"/>
        </w:rPr>
        <w:t>对接企业，</w:t>
      </w:r>
      <w:r>
        <w:rPr>
          <w:rFonts w:hint="eastAsia" w:ascii="仿宋_GB2312" w:hAnsi="仿宋_GB2312" w:eastAsia="仿宋_GB2312" w:cs="仿宋_GB2312"/>
          <w:bCs/>
          <w:color w:val="000000"/>
          <w:sz w:val="32"/>
          <w:szCs w:val="32"/>
          <w:shd w:val="clear" w:color="auto" w:fill="FFFFFF"/>
        </w:rPr>
        <w:t>直面问题，细化分解项目推进工作任务和责任，</w:t>
      </w:r>
      <w:r>
        <w:rPr>
          <w:rFonts w:hint="eastAsia" w:ascii="仿宋_GB2312" w:hAnsi="仿宋_GB2312" w:eastAsia="仿宋_GB2312" w:cs="仿宋_GB2312"/>
          <w:color w:val="000000"/>
          <w:sz w:val="32"/>
          <w:szCs w:val="32"/>
        </w:rPr>
        <w:t>一对一专题研究解决，推动项目落地。以“我负责阳光雨露，你负责茁壮成长”的情怀，以“亲”的情感服务企业，从项目动迁、手续办理、开工建设到投产运营，采取专班负责，一对一对接，以最大的诚意为企业提供全程保障服务。</w:t>
      </w:r>
    </w:p>
    <w:p>
      <w:pPr>
        <w:spacing w:line="560" w:lineRule="exact"/>
        <w:ind w:firstLine="643" w:firstLineChars="200"/>
        <w:rPr>
          <w:rFonts w:eastAsia="楷体_GB2312"/>
          <w:b/>
          <w:bCs/>
          <w:color w:val="0D0D0D"/>
          <w:sz w:val="32"/>
          <w:szCs w:val="32"/>
        </w:rPr>
      </w:pPr>
      <w:r>
        <w:rPr>
          <w:rFonts w:hint="eastAsia" w:eastAsia="楷体_GB2312"/>
          <w:b/>
          <w:bCs/>
          <w:color w:val="0D0D0D"/>
          <w:sz w:val="32"/>
          <w:szCs w:val="32"/>
        </w:rPr>
        <w:t>（五）</w:t>
      </w:r>
      <w:r>
        <w:rPr>
          <w:rFonts w:eastAsia="楷体_GB2312"/>
          <w:b/>
          <w:bCs/>
          <w:color w:val="0D0D0D"/>
          <w:sz w:val="32"/>
          <w:szCs w:val="32"/>
        </w:rPr>
        <w:t>夯实责任，</w:t>
      </w:r>
      <w:r>
        <w:rPr>
          <w:rFonts w:hint="eastAsia" w:eastAsia="楷体_GB2312"/>
          <w:b/>
          <w:bCs/>
          <w:color w:val="0D0D0D"/>
          <w:sz w:val="32"/>
          <w:szCs w:val="32"/>
        </w:rPr>
        <w:t>实现</w:t>
      </w:r>
      <w:r>
        <w:rPr>
          <w:rFonts w:eastAsia="楷体_GB2312"/>
          <w:b/>
          <w:bCs/>
          <w:color w:val="0D0D0D"/>
          <w:sz w:val="32"/>
          <w:szCs w:val="32"/>
        </w:rPr>
        <w:t>招商项目落地</w:t>
      </w:r>
      <w:r>
        <w:rPr>
          <w:rFonts w:hint="eastAsia" w:eastAsia="楷体_GB2312"/>
          <w:b/>
          <w:bCs/>
          <w:color w:val="0D0D0D"/>
          <w:sz w:val="32"/>
          <w:szCs w:val="32"/>
        </w:rPr>
        <w:t>新突破</w:t>
      </w:r>
    </w:p>
    <w:p>
      <w:pPr>
        <w:tabs>
          <w:tab w:val="left" w:pos="7040"/>
        </w:tabs>
        <w:spacing w:line="560" w:lineRule="exact"/>
        <w:ind w:firstLine="640" w:firstLineChars="200"/>
        <w:rPr>
          <w:rFonts w:eastAsia="仿宋_GB2312"/>
          <w:sz w:val="32"/>
          <w:szCs w:val="32"/>
        </w:rPr>
      </w:pPr>
      <w:r>
        <w:rPr>
          <w:rFonts w:eastAsia="仿宋_GB2312"/>
          <w:sz w:val="32"/>
          <w:szCs w:val="32"/>
        </w:rPr>
        <w:t>对照年度、季度、月度目标任务，运用好“通报、督查、考核、约谈、激励”五项机制，加大对重大项目的跟踪服务，</w:t>
      </w:r>
      <w:r>
        <w:rPr>
          <w:rFonts w:hint="eastAsia" w:ascii="仿宋_GB2312" w:hAnsi="仿宋_GB2312" w:eastAsia="仿宋_GB2312" w:cs="仿宋_GB2312"/>
          <w:bCs/>
          <w:color w:val="000000"/>
          <w:sz w:val="32"/>
          <w:szCs w:val="32"/>
          <w:shd w:val="clear" w:color="auto" w:fill="FFFFFF"/>
        </w:rPr>
        <w:t>对已签约项目，由专人负责</w:t>
      </w:r>
      <w:r>
        <w:rPr>
          <w:rFonts w:hint="eastAsia" w:ascii="仿宋_GB2312" w:hAnsi="仿宋_GB2312" w:eastAsia="仿宋_GB2312" w:cs="仿宋_GB2312"/>
          <w:sz w:val="32"/>
          <w:szCs w:val="32"/>
        </w:rPr>
        <w:t>做好项目注册、立项、固定资产投资加库、企业完税票据、项目建设影像资料收集等相关工作。</w:t>
      </w:r>
      <w:r>
        <w:rPr>
          <w:rFonts w:hint="eastAsia" w:ascii="仿宋_GB2312" w:hAnsi="仿宋_GB2312" w:eastAsia="仿宋_GB2312" w:cs="仿宋_GB2312"/>
          <w:bCs/>
          <w:color w:val="000000"/>
          <w:sz w:val="32"/>
          <w:szCs w:val="32"/>
          <w:shd w:val="clear" w:color="auto" w:fill="FFFFFF"/>
        </w:rPr>
        <w:t>落实项目进展情况周报制度，</w:t>
      </w:r>
      <w:r>
        <w:rPr>
          <w:rFonts w:eastAsia="仿宋_GB2312"/>
          <w:sz w:val="32"/>
          <w:szCs w:val="32"/>
        </w:rPr>
        <w:t>加快重点项目落地速度，推动招商项目“</w:t>
      </w:r>
      <w:r>
        <w:rPr>
          <w:rFonts w:hint="eastAsia" w:eastAsia="仿宋_GB2312"/>
          <w:sz w:val="32"/>
          <w:szCs w:val="32"/>
        </w:rPr>
        <w:t>开工注册率、</w:t>
      </w:r>
      <w:r>
        <w:rPr>
          <w:rFonts w:eastAsia="仿宋_GB2312"/>
          <w:sz w:val="32"/>
          <w:szCs w:val="32"/>
        </w:rPr>
        <w:t>资金到位率</w:t>
      </w:r>
      <w:r>
        <w:rPr>
          <w:rFonts w:hint="eastAsia" w:eastAsia="仿宋_GB2312"/>
          <w:sz w:val="32"/>
          <w:szCs w:val="32"/>
        </w:rPr>
        <w:t>、竣工投产率</w:t>
      </w:r>
      <w:r>
        <w:rPr>
          <w:rFonts w:eastAsia="仿宋_GB2312"/>
          <w:sz w:val="32"/>
          <w:szCs w:val="32"/>
        </w:rPr>
        <w:t>”持续提升</w:t>
      </w:r>
      <w:r>
        <w:rPr>
          <w:rFonts w:hint="eastAsia" w:ascii="仿宋_GB2312" w:hAnsi="仿宋_GB2312" w:eastAsia="仿宋_GB2312" w:cs="仿宋_GB2312"/>
          <w:bCs/>
          <w:color w:val="000000"/>
          <w:sz w:val="32"/>
          <w:szCs w:val="32"/>
          <w:shd w:val="clear" w:color="auto" w:fill="FFFFFF"/>
        </w:rPr>
        <w:t>，跑出项目落地建设的蓝田速度</w:t>
      </w:r>
      <w:r>
        <w:rPr>
          <w:rFonts w:hint="eastAsia" w:eastAsia="仿宋_GB2312"/>
          <w:sz w:val="32"/>
          <w:szCs w:val="32"/>
        </w:rPr>
        <w:t>，为全县经济社会高质量发展做出更大的贡献。</w:t>
      </w:r>
    </w:p>
    <w:p>
      <w:pPr>
        <w:ind w:firstLine="640" w:firstLineChars="200"/>
        <w:rPr>
          <w:rFonts w:hint="eastAsia" w:ascii="仿宋_GB2312" w:eastAsia="仿宋_GB2312"/>
          <w:sz w:val="32"/>
          <w:szCs w:val="32"/>
        </w:rPr>
      </w:pPr>
      <w:r>
        <w:rPr>
          <w:rFonts w:hint="eastAsia" w:ascii="仿宋_GB2312" w:eastAsia="仿宋_GB2312"/>
          <w:sz w:val="32"/>
          <w:szCs w:val="32"/>
        </w:rPr>
        <w:t>三、部门预算单位构成</w:t>
      </w:r>
    </w:p>
    <w:p>
      <w:pPr>
        <w:ind w:firstLine="640" w:firstLineChars="200"/>
        <w:rPr>
          <w:rFonts w:hint="eastAsia" w:ascii="仿宋_GB2312" w:eastAsia="仿宋_GB2312"/>
          <w:sz w:val="32"/>
          <w:szCs w:val="32"/>
        </w:rPr>
      </w:pPr>
      <w:r>
        <w:rPr>
          <w:rFonts w:hint="eastAsia" w:ascii="仿宋_GB2312" w:eastAsia="仿宋_GB2312"/>
          <w:sz w:val="32"/>
          <w:szCs w:val="32"/>
        </w:rPr>
        <w:t>从预算单位构成看，蓝田县招商局的部门预算包括部门本级。</w:t>
      </w:r>
    </w:p>
    <w:p>
      <w:pPr>
        <w:ind w:firstLine="640" w:firstLineChars="200"/>
        <w:rPr>
          <w:rFonts w:hint="eastAsia" w:ascii="仿宋_GB2312" w:eastAsia="仿宋_GB2312"/>
          <w:sz w:val="32"/>
          <w:szCs w:val="32"/>
        </w:rPr>
      </w:pPr>
      <w:r>
        <w:rPr>
          <w:rFonts w:hint="eastAsia" w:ascii="仿宋_GB2312" w:eastAsia="仿宋_GB2312"/>
          <w:sz w:val="32"/>
          <w:szCs w:val="32"/>
        </w:rPr>
        <w:t>纳入本部门2020年部门预算编制单位共有1个，招商局内设办公室、招商一科、招商二科、计划统计科、项目促进科共5个科室。</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9"/>
        <w:gridCol w:w="6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619" w:type="dxa"/>
          </w:tcPr>
          <w:p>
            <w:pPr>
              <w:tabs>
                <w:tab w:val="left" w:pos="7380"/>
              </w:tabs>
              <w:autoSpaceDE w:val="0"/>
              <w:autoSpaceDN w:val="0"/>
              <w:adjustRightInd w:val="0"/>
              <w:snapToGrid w:val="0"/>
              <w:spacing w:line="360" w:lineRule="auto"/>
              <w:jc w:val="center"/>
              <w:rPr>
                <w:rFonts w:ascii="宋体"/>
                <w:sz w:val="32"/>
                <w:szCs w:val="32"/>
              </w:rPr>
            </w:pPr>
            <w:r>
              <w:rPr>
                <w:rFonts w:hint="eastAsia" w:ascii="宋体" w:hAnsi="宋体"/>
                <w:sz w:val="32"/>
                <w:szCs w:val="32"/>
              </w:rPr>
              <w:t>序号</w:t>
            </w:r>
          </w:p>
        </w:tc>
        <w:tc>
          <w:tcPr>
            <w:tcW w:w="6497" w:type="dxa"/>
          </w:tcPr>
          <w:p>
            <w:pPr>
              <w:tabs>
                <w:tab w:val="left" w:pos="1545"/>
              </w:tabs>
              <w:autoSpaceDE w:val="0"/>
              <w:autoSpaceDN w:val="0"/>
              <w:adjustRightInd w:val="0"/>
              <w:snapToGrid w:val="0"/>
              <w:spacing w:line="360" w:lineRule="auto"/>
              <w:jc w:val="center"/>
              <w:rPr>
                <w:rFonts w:ascii="宋体"/>
                <w:sz w:val="32"/>
                <w:szCs w:val="32"/>
              </w:rPr>
            </w:pPr>
            <w:r>
              <w:rPr>
                <w:rFonts w:hint="eastAsia" w:ascii="宋体" w:hAnsi="宋体"/>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2619" w:type="dxa"/>
          </w:tcPr>
          <w:p>
            <w:pPr>
              <w:tabs>
                <w:tab w:val="center" w:pos="1116"/>
              </w:tabs>
              <w:autoSpaceDE w:val="0"/>
              <w:autoSpaceDN w:val="0"/>
              <w:adjustRightInd w:val="0"/>
              <w:snapToGrid w:val="0"/>
              <w:spacing w:line="360" w:lineRule="auto"/>
              <w:jc w:val="center"/>
              <w:rPr>
                <w:rFonts w:ascii="宋体" w:hAnsi="宋体"/>
                <w:sz w:val="32"/>
                <w:szCs w:val="32"/>
              </w:rPr>
            </w:pPr>
            <w:r>
              <w:rPr>
                <w:rFonts w:ascii="宋体" w:hAnsi="宋体"/>
                <w:sz w:val="32"/>
                <w:szCs w:val="32"/>
              </w:rPr>
              <w:t>1</w:t>
            </w:r>
          </w:p>
        </w:tc>
        <w:tc>
          <w:tcPr>
            <w:tcW w:w="6497" w:type="dxa"/>
            <w:vAlign w:val="center"/>
          </w:tcPr>
          <w:p>
            <w:pPr>
              <w:tabs>
                <w:tab w:val="left" w:pos="7380"/>
              </w:tabs>
              <w:autoSpaceDE w:val="0"/>
              <w:autoSpaceDN w:val="0"/>
              <w:adjustRightInd w:val="0"/>
              <w:snapToGrid w:val="0"/>
              <w:spacing w:line="360" w:lineRule="auto"/>
              <w:jc w:val="center"/>
              <w:rPr>
                <w:rFonts w:ascii="宋体"/>
                <w:sz w:val="32"/>
                <w:szCs w:val="32"/>
              </w:rPr>
            </w:pPr>
            <w:r>
              <w:rPr>
                <w:rFonts w:hint="eastAsia" w:ascii="宋体" w:hAnsi="宋体"/>
                <w:sz w:val="32"/>
                <w:szCs w:val="32"/>
              </w:rPr>
              <w:t>蓝田县招商局机关</w:t>
            </w:r>
          </w:p>
        </w:tc>
      </w:tr>
    </w:tbl>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r>
        <w:rPr>
          <w:rFonts w:hint="eastAsia" w:ascii="仿宋_GB2312" w:eastAsia="仿宋_GB2312"/>
          <w:sz w:val="32"/>
          <w:szCs w:val="32"/>
        </w:rPr>
        <w:t>四、部门人员情况说明</w:t>
      </w:r>
    </w:p>
    <w:p>
      <w:pPr>
        <w:ind w:firstLine="640" w:firstLineChars="200"/>
        <w:rPr>
          <w:rFonts w:hint="eastAsia" w:ascii="仿宋_GB2312" w:eastAsia="仿宋_GB2312"/>
          <w:sz w:val="32"/>
          <w:szCs w:val="32"/>
        </w:rPr>
      </w:pPr>
      <w:r>
        <w:rPr>
          <w:rFonts w:hint="eastAsia" w:ascii="仿宋_GB2312" w:eastAsia="仿宋_GB2312"/>
          <w:sz w:val="32"/>
          <w:szCs w:val="32"/>
        </w:rPr>
        <w:t>截至2019年底，本部门人员事业编制4人，实有事业人员11人，退休1人。</w:t>
      </w:r>
    </w:p>
    <w:p>
      <w:pPr>
        <w:jc w:val="center"/>
        <w:rPr>
          <w:rFonts w:ascii="仿宋_GB2312" w:eastAsia="仿宋_GB2312"/>
          <w:sz w:val="32"/>
          <w:szCs w:val="32"/>
        </w:rPr>
      </w:pPr>
      <w:r>
        <w:drawing>
          <wp:inline distT="0" distB="0" distL="0" distR="0">
            <wp:extent cx="4572000" cy="2743200"/>
            <wp:effectExtent l="4445" t="4445" r="14605" b="14605"/>
            <wp:docPr id="1" name="图表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ind w:firstLine="640" w:firstLineChars="200"/>
        <w:rPr>
          <w:rFonts w:hint="eastAsia" w:ascii="仿宋_GB2312" w:eastAsia="仿宋_GB2312"/>
          <w:sz w:val="32"/>
          <w:szCs w:val="32"/>
        </w:rPr>
      </w:pPr>
      <w:r>
        <w:rPr>
          <w:rFonts w:hint="eastAsia" w:ascii="仿宋_GB2312" w:eastAsia="仿宋_GB2312"/>
          <w:sz w:val="32"/>
          <w:szCs w:val="32"/>
        </w:rPr>
        <w:t>五、2020年部门预算收支说明</w:t>
      </w:r>
    </w:p>
    <w:p>
      <w:pPr>
        <w:numPr>
          <w:ilvl w:val="0"/>
          <w:numId w:val="2"/>
        </w:numPr>
        <w:pBdr>
          <w:bottom w:val="single" w:color="FFFFFF" w:sz="4" w:space="31"/>
        </w:pBdr>
        <w:tabs>
          <w:tab w:val="left" w:pos="7380"/>
        </w:tabs>
        <w:autoSpaceDE w:val="0"/>
        <w:autoSpaceDN w:val="0"/>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收支预算总体情况：2020年部门预算收入88.936038万元，较2019年159.7546万元减少了70.818562万元，比上年减少了44%；2020年部门预算支出88.936038万元，较2019年159.7546万元较少了70.818562万元，比上年预算支出较少了44%。主要原因是：人员减少，减少了事业绩效增量，机关及下属事业单位养老保险及医疗保险。</w:t>
      </w:r>
    </w:p>
    <w:p>
      <w:pPr>
        <w:pBdr>
          <w:bottom w:val="single" w:color="FFFFFF" w:sz="4" w:space="31"/>
        </w:pBdr>
        <w:tabs>
          <w:tab w:val="left" w:pos="7380"/>
        </w:tabs>
        <w:autoSpaceDE w:val="0"/>
        <w:autoSpaceDN w:val="0"/>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1、工资福利支出85.2208万元。</w:t>
      </w:r>
    </w:p>
    <w:p>
      <w:pPr>
        <w:pBdr>
          <w:bottom w:val="single" w:color="FFFFFF" w:sz="4" w:space="31"/>
        </w:pBdr>
        <w:tabs>
          <w:tab w:val="left" w:pos="7380"/>
        </w:tabs>
        <w:autoSpaceDE w:val="0"/>
        <w:autoSpaceDN w:val="0"/>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2、公用经费3.715288万元。</w:t>
      </w:r>
    </w:p>
    <w:p>
      <w:pPr>
        <w:pBdr>
          <w:bottom w:val="single" w:color="FFFFFF" w:sz="4" w:space="31"/>
        </w:pBdr>
        <w:tabs>
          <w:tab w:val="left" w:pos="7380"/>
        </w:tabs>
        <w:autoSpaceDE w:val="0"/>
        <w:autoSpaceDN w:val="0"/>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3、养老保险11.65万元。</w:t>
      </w:r>
    </w:p>
    <w:p>
      <w:pPr>
        <w:pBdr>
          <w:bottom w:val="single" w:color="FFFFFF" w:sz="4" w:space="31"/>
        </w:pBdr>
        <w:tabs>
          <w:tab w:val="left" w:pos="7380"/>
        </w:tabs>
        <w:autoSpaceDE w:val="0"/>
        <w:autoSpaceDN w:val="0"/>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4、医疗保险：3.2552万元</w:t>
      </w:r>
    </w:p>
    <w:p>
      <w:pPr>
        <w:pBdr>
          <w:bottom w:val="single" w:color="FFFFFF" w:sz="4" w:space="31"/>
        </w:pBdr>
        <w:tabs>
          <w:tab w:val="left" w:pos="7380"/>
        </w:tabs>
        <w:autoSpaceDE w:val="0"/>
        <w:autoSpaceDN w:val="0"/>
        <w:adjustRightInd w:val="0"/>
        <w:snapToGrid w:val="0"/>
        <w:spacing w:line="360" w:lineRule="auto"/>
        <w:ind w:firstLine="320" w:firstLineChars="100"/>
        <w:rPr>
          <w:rFonts w:hint="eastAsia" w:ascii="仿宋_GB2312" w:eastAsia="仿宋_GB2312"/>
          <w:sz w:val="32"/>
          <w:szCs w:val="32"/>
        </w:rPr>
      </w:pPr>
      <w:r>
        <w:rPr>
          <w:rFonts w:hint="eastAsia" w:ascii="仿宋_GB2312" w:eastAsia="仿宋_GB2312"/>
          <w:sz w:val="32"/>
          <w:szCs w:val="32"/>
        </w:rPr>
        <w:t>（二）财政拨款收支情况：2020年部门预算收入88.936038万元，部门预算支出88.936038万元。其中一般公共预算收入88.936038万元；2020年本部门预算收入较上年减少了70.818562万元，主要原因是：人员减少，减少了事业绩效增量，机关及下属事业单位养老保险及医疗保险。</w:t>
      </w:r>
    </w:p>
    <w:p>
      <w:pPr>
        <w:pBdr>
          <w:bottom w:val="single" w:color="FFFFFF" w:sz="4" w:space="31"/>
        </w:pBdr>
        <w:tabs>
          <w:tab w:val="left" w:pos="7380"/>
        </w:tabs>
        <w:autoSpaceDE w:val="0"/>
        <w:autoSpaceDN w:val="0"/>
        <w:adjustRightInd w:val="0"/>
        <w:snapToGrid w:val="0"/>
        <w:spacing w:line="360" w:lineRule="auto"/>
        <w:ind w:firstLine="320" w:firstLineChars="100"/>
        <w:rPr>
          <w:rFonts w:hint="eastAsia" w:ascii="仿宋_GB2312" w:eastAsia="仿宋_GB2312"/>
          <w:sz w:val="32"/>
          <w:szCs w:val="32"/>
        </w:rPr>
      </w:pPr>
      <w:r>
        <w:rPr>
          <w:rFonts w:hint="eastAsia" w:ascii="仿宋_GB2312" w:eastAsia="仿宋_GB2312"/>
          <w:sz w:val="32"/>
          <w:szCs w:val="32"/>
        </w:rPr>
        <w:t>（三）一般公共预算拨款支出明细情况</w:t>
      </w:r>
    </w:p>
    <w:p>
      <w:pPr>
        <w:pBdr>
          <w:bottom w:val="single" w:color="FFFFFF" w:sz="4" w:space="31"/>
        </w:pBdr>
        <w:tabs>
          <w:tab w:val="left" w:pos="7380"/>
        </w:tabs>
        <w:autoSpaceDE w:val="0"/>
        <w:autoSpaceDN w:val="0"/>
        <w:adjustRightInd w:val="0"/>
        <w:snapToGrid w:val="0"/>
        <w:spacing w:line="360" w:lineRule="auto"/>
        <w:ind w:firstLine="320" w:firstLineChars="100"/>
        <w:rPr>
          <w:rFonts w:hint="eastAsia" w:ascii="仿宋_GB2312" w:eastAsia="仿宋_GB2312"/>
          <w:sz w:val="32"/>
          <w:szCs w:val="32"/>
        </w:rPr>
      </w:pPr>
      <w:r>
        <w:rPr>
          <w:rFonts w:hint="eastAsia" w:ascii="仿宋_GB2312" w:eastAsia="仿宋_GB2312"/>
          <w:sz w:val="32"/>
          <w:szCs w:val="32"/>
        </w:rPr>
        <w:t>1、一般公共预算当年拨款规模变化情况</w:t>
      </w:r>
    </w:p>
    <w:p>
      <w:pPr>
        <w:pBdr>
          <w:bottom w:val="single" w:color="FFFFFF" w:sz="4" w:space="31"/>
        </w:pBdr>
        <w:tabs>
          <w:tab w:val="left" w:pos="7380"/>
        </w:tabs>
        <w:autoSpaceDE w:val="0"/>
        <w:autoSpaceDN w:val="0"/>
        <w:adjustRightInd w:val="0"/>
        <w:snapToGrid w:val="0"/>
        <w:spacing w:line="360" w:lineRule="auto"/>
        <w:ind w:firstLine="320" w:firstLineChars="100"/>
        <w:rPr>
          <w:rFonts w:hint="eastAsia" w:ascii="仿宋_GB2312" w:eastAsia="仿宋_GB2312"/>
          <w:sz w:val="32"/>
          <w:szCs w:val="32"/>
        </w:rPr>
      </w:pPr>
      <w:r>
        <w:rPr>
          <w:rFonts w:hint="eastAsia" w:ascii="仿宋_GB2312" w:eastAsia="仿宋_GB2312"/>
          <w:sz w:val="32"/>
          <w:szCs w:val="32"/>
        </w:rPr>
        <w:t>部门2020年一般公共预算拨款收入88.936038万元，2019年一般公共预算拨款收入159.7546万元减少了70.818562万元，比上年减少了44%。2020年一般公共预算拨款支出88.936038万元，2019年一般公共预算拨款支出159.7546万元，比上年减少了44%。较少主要原因为：（1）单位减少7名人员；（2）人员工资调整。</w:t>
      </w:r>
    </w:p>
    <w:p>
      <w:pPr>
        <w:ind w:firstLine="640" w:firstLineChars="200"/>
        <w:rPr>
          <w:rFonts w:hint="eastAsia" w:ascii="仿宋_GB2312" w:eastAsia="仿宋_GB2312"/>
          <w:sz w:val="32"/>
          <w:szCs w:val="32"/>
        </w:rPr>
      </w:pPr>
      <w:r>
        <w:rPr>
          <w:rFonts w:hint="eastAsia" w:ascii="仿宋_GB2312" w:eastAsia="仿宋_GB2312"/>
          <w:sz w:val="32"/>
          <w:szCs w:val="32"/>
        </w:rPr>
        <w:t>2、支出按功能科目分类的明细情况</w:t>
      </w:r>
    </w:p>
    <w:p>
      <w:pPr>
        <w:ind w:firstLine="640" w:firstLineChars="200"/>
        <w:rPr>
          <w:rFonts w:hint="eastAsia" w:ascii="仿宋_GB2312" w:eastAsia="仿宋_GB2312"/>
          <w:sz w:val="32"/>
          <w:szCs w:val="32"/>
        </w:rPr>
      </w:pPr>
      <w:r>
        <w:rPr>
          <w:rFonts w:hint="eastAsia" w:ascii="仿宋_GB2312" w:eastAsia="仿宋_GB2312"/>
          <w:sz w:val="32"/>
          <w:szCs w:val="32"/>
        </w:rPr>
        <w:t>本部门2020年一般公共预算支出88.936038万元</w:t>
      </w:r>
    </w:p>
    <w:p>
      <w:pPr>
        <w:ind w:firstLine="640" w:firstLineChars="200"/>
        <w:rPr>
          <w:rFonts w:hint="eastAsia" w:ascii="仿宋_GB2312" w:eastAsia="仿宋_GB2312"/>
          <w:sz w:val="32"/>
          <w:szCs w:val="32"/>
        </w:rPr>
      </w:pPr>
      <w:r>
        <w:rPr>
          <w:rFonts w:hint="eastAsia" w:ascii="仿宋_GB2312" w:eastAsia="仿宋_GB2312"/>
          <w:sz w:val="32"/>
          <w:szCs w:val="32"/>
        </w:rPr>
        <w:t>事业运行（2010650）2020年88.936038万元，2019年159.7546万元，比上年减少了44%，主要原因为人员减少、工资调整。</w:t>
      </w:r>
    </w:p>
    <w:p>
      <w:pPr>
        <w:ind w:firstLine="640" w:firstLineChars="200"/>
        <w:rPr>
          <w:rFonts w:hint="eastAsia" w:ascii="仿宋_GB2312" w:eastAsia="仿宋_GB2312"/>
          <w:sz w:val="32"/>
          <w:szCs w:val="32"/>
        </w:rPr>
      </w:pPr>
      <w:r>
        <w:rPr>
          <w:rFonts w:hint="eastAsia" w:ascii="仿宋_GB2312" w:eastAsia="仿宋_GB2312"/>
          <w:sz w:val="32"/>
          <w:szCs w:val="32"/>
        </w:rPr>
        <w:t>机关事业单位基本养老保险缴费支出（2080505）11.65万元，</w:t>
      </w:r>
    </w:p>
    <w:p>
      <w:pPr>
        <w:ind w:firstLine="640" w:firstLineChars="200"/>
        <w:rPr>
          <w:rFonts w:hint="eastAsia" w:ascii="仿宋_GB2312" w:eastAsia="仿宋_GB2312"/>
          <w:sz w:val="32"/>
          <w:szCs w:val="32"/>
        </w:rPr>
      </w:pPr>
      <w:r>
        <w:rPr>
          <w:rFonts w:hint="eastAsia" w:ascii="仿宋_GB2312" w:eastAsia="仿宋_GB2312"/>
          <w:sz w:val="32"/>
          <w:szCs w:val="32"/>
        </w:rPr>
        <w:t>3、支出按经济科目分类的明细情况</w:t>
      </w:r>
    </w:p>
    <w:p>
      <w:pPr>
        <w:ind w:firstLine="640" w:firstLineChars="200"/>
        <w:rPr>
          <w:rFonts w:hint="eastAsia" w:ascii="仿宋_GB2312" w:eastAsia="仿宋_GB2312"/>
          <w:sz w:val="32"/>
          <w:szCs w:val="32"/>
        </w:rPr>
      </w:pPr>
      <w:r>
        <w:rPr>
          <w:rFonts w:hint="eastAsia" w:ascii="仿宋_GB2312" w:eastAsia="仿宋_GB2312"/>
          <w:sz w:val="32"/>
          <w:szCs w:val="32"/>
        </w:rPr>
        <w:t>（1）按照部门预算支出经济分类的类级科目</w:t>
      </w:r>
    </w:p>
    <w:p>
      <w:pPr>
        <w:ind w:firstLine="640" w:firstLineChars="200"/>
        <w:rPr>
          <w:rFonts w:hint="eastAsia" w:ascii="仿宋_GB2312" w:eastAsia="仿宋_GB2312"/>
          <w:sz w:val="32"/>
          <w:szCs w:val="32"/>
        </w:rPr>
      </w:pPr>
      <w:r>
        <w:rPr>
          <w:rFonts w:hint="eastAsia" w:ascii="仿宋_GB2312" w:eastAsia="仿宋_GB2312"/>
          <w:sz w:val="32"/>
          <w:szCs w:val="32"/>
        </w:rPr>
        <w:t>2020年本部门一般公共预算支出88.936038万元，其中：</w:t>
      </w:r>
    </w:p>
    <w:p>
      <w:pPr>
        <w:ind w:firstLine="640" w:firstLineChars="200"/>
        <w:rPr>
          <w:rFonts w:hint="eastAsia" w:ascii="仿宋_GB2312" w:eastAsia="仿宋_GB2312"/>
          <w:sz w:val="32"/>
          <w:szCs w:val="32"/>
        </w:rPr>
      </w:pPr>
      <w:r>
        <w:rPr>
          <w:rFonts w:hint="eastAsia" w:ascii="仿宋_GB2312" w:eastAsia="仿宋_GB2312"/>
          <w:sz w:val="32"/>
          <w:szCs w:val="32"/>
        </w:rPr>
        <w:t>工资福利支出: 2020年工资福利支出85.2208万元，2019年工资福利支出148.87万元，比上年减少了43%。减少原因主要是2020年人员减少。商品服务支出：2020年商品服务支出3.715238万元,2019年商品服务支出10.89万元，比上年减少了66%。减少原因主要是人员减少。</w:t>
      </w:r>
    </w:p>
    <w:p>
      <w:pPr>
        <w:ind w:firstLine="640" w:firstLineChars="200"/>
        <w:rPr>
          <w:rFonts w:hint="eastAsia" w:ascii="仿宋_GB2312" w:eastAsia="仿宋_GB2312"/>
          <w:sz w:val="32"/>
          <w:szCs w:val="32"/>
        </w:rPr>
      </w:pPr>
      <w:r>
        <w:rPr>
          <w:rFonts w:hint="eastAsia" w:ascii="仿宋_GB2312" w:eastAsia="仿宋_GB2312"/>
          <w:sz w:val="32"/>
          <w:szCs w:val="32"/>
        </w:rPr>
        <w:t>（2）按照政府预算支出经济分类的类级科目分</w:t>
      </w:r>
    </w:p>
    <w:p>
      <w:pPr>
        <w:ind w:firstLine="640" w:firstLineChars="200"/>
        <w:rPr>
          <w:rFonts w:hint="eastAsia" w:ascii="仿宋_GB2312" w:eastAsia="仿宋_GB2312"/>
          <w:sz w:val="32"/>
          <w:szCs w:val="32"/>
        </w:rPr>
      </w:pPr>
      <w:r>
        <w:rPr>
          <w:rFonts w:hint="eastAsia" w:ascii="仿宋_GB2312" w:eastAsia="仿宋_GB2312"/>
          <w:sz w:val="32"/>
          <w:szCs w:val="32"/>
        </w:rPr>
        <w:t>2020年本部门一般公共预算支出88.936038万元，其中：</w:t>
      </w:r>
    </w:p>
    <w:p>
      <w:pPr>
        <w:ind w:firstLine="640" w:firstLineChars="200"/>
        <w:rPr>
          <w:rFonts w:hint="eastAsia" w:ascii="仿宋_GB2312" w:eastAsia="仿宋_GB2312"/>
          <w:sz w:val="32"/>
          <w:szCs w:val="32"/>
        </w:rPr>
      </w:pPr>
      <w:r>
        <w:rPr>
          <w:rFonts w:hint="eastAsia" w:ascii="仿宋_GB2312" w:eastAsia="仿宋_GB2312"/>
          <w:sz w:val="32"/>
          <w:szCs w:val="32"/>
        </w:rPr>
        <w:t>事业工资福利支出2020年85.2208万元，较上年减少了63.6492万元，比上年减少了43%。减少原因主要是人员减少。</w:t>
      </w:r>
    </w:p>
    <w:p>
      <w:pPr>
        <w:ind w:firstLine="640" w:firstLineChars="200"/>
        <w:rPr>
          <w:rFonts w:hint="eastAsia" w:ascii="仿宋_GB2312" w:eastAsia="仿宋_GB2312"/>
          <w:sz w:val="32"/>
          <w:szCs w:val="32"/>
        </w:rPr>
      </w:pPr>
      <w:r>
        <w:rPr>
          <w:rFonts w:hint="eastAsia" w:ascii="仿宋_GB2312" w:eastAsia="仿宋_GB2312"/>
          <w:sz w:val="32"/>
          <w:szCs w:val="32"/>
        </w:rPr>
        <w:t>商品和服务支出3.715238万元，较上年减少了7.174762万元，比上年减少了66%。减少原因主要人员减少，公用经费相应减少。</w:t>
      </w:r>
    </w:p>
    <w:p>
      <w:pPr>
        <w:ind w:firstLine="640" w:firstLineChars="200"/>
        <w:rPr>
          <w:rFonts w:hint="eastAsia" w:ascii="仿宋_GB2312" w:eastAsia="仿宋_GB2312"/>
          <w:sz w:val="32"/>
          <w:szCs w:val="32"/>
          <w:u w:val="single"/>
        </w:rPr>
      </w:pPr>
      <w:r>
        <w:rPr>
          <w:rFonts w:hint="eastAsia" w:ascii="仿宋_GB2312" w:eastAsia="仿宋_GB2312"/>
          <w:sz w:val="32"/>
          <w:szCs w:val="32"/>
        </w:rPr>
        <w:t>（四）本部门无政府性基金预算收支，并已公开空表。</w:t>
      </w:r>
    </w:p>
    <w:p>
      <w:pPr>
        <w:ind w:firstLine="640" w:firstLineChars="200"/>
        <w:rPr>
          <w:rFonts w:hint="eastAsia" w:ascii="仿宋_GB2312" w:eastAsia="仿宋_GB2312"/>
          <w:sz w:val="32"/>
          <w:szCs w:val="32"/>
        </w:rPr>
      </w:pPr>
      <w:r>
        <w:rPr>
          <w:rFonts w:hint="eastAsia" w:ascii="仿宋_GB2312" w:eastAsia="仿宋_GB2312"/>
          <w:sz w:val="32"/>
          <w:szCs w:val="32"/>
        </w:rPr>
        <w:t>（五）国有资本经营预算拨款收支情况</w:t>
      </w:r>
    </w:p>
    <w:p>
      <w:pPr>
        <w:ind w:firstLine="640" w:firstLineChars="200"/>
        <w:rPr>
          <w:rFonts w:hint="eastAsia" w:ascii="仿宋_GB2312" w:eastAsia="仿宋_GB2312"/>
          <w:sz w:val="32"/>
          <w:szCs w:val="32"/>
          <w:highlight w:val="yellow"/>
        </w:rPr>
      </w:pPr>
      <w:r>
        <w:rPr>
          <w:rFonts w:hint="eastAsia" w:ascii="仿宋_GB2312" w:eastAsia="仿宋_GB2312"/>
          <w:sz w:val="32"/>
          <w:szCs w:val="32"/>
        </w:rPr>
        <w:t>本部门无国有资本经营预算拨款收支。</w:t>
      </w:r>
    </w:p>
    <w:p>
      <w:pPr>
        <w:ind w:firstLine="640" w:firstLineChars="200"/>
        <w:rPr>
          <w:rFonts w:hint="eastAsia" w:ascii="宋体" w:hAnsi="宋体" w:cs="宋体"/>
          <w:sz w:val="28"/>
          <w:szCs w:val="28"/>
        </w:rPr>
      </w:pPr>
      <w:r>
        <w:rPr>
          <w:rFonts w:hint="eastAsia" w:ascii="仿宋_GB2312" w:eastAsia="仿宋_GB2312"/>
          <w:sz w:val="32"/>
          <w:szCs w:val="32"/>
        </w:rPr>
        <w:t>六、部门三公经费预算及增减变化情况说明</w:t>
      </w:r>
    </w:p>
    <w:p>
      <w:pPr>
        <w:ind w:firstLine="960" w:firstLineChars="300"/>
        <w:rPr>
          <w:rFonts w:hint="eastAsia" w:ascii="仿宋_GB2312" w:eastAsia="仿宋_GB2312"/>
          <w:sz w:val="32"/>
          <w:szCs w:val="32"/>
        </w:rPr>
      </w:pPr>
      <w:r>
        <w:rPr>
          <w:rFonts w:hint="eastAsia" w:ascii="宋体" w:hAnsi="宋体" w:cs="宋体"/>
          <w:color w:val="000000"/>
          <w:sz w:val="32"/>
          <w:szCs w:val="32"/>
        </w:rPr>
        <w:t>2</w:t>
      </w:r>
      <w:r>
        <w:rPr>
          <w:rFonts w:hint="eastAsia" w:ascii="仿宋_GB2312" w:eastAsia="仿宋_GB2312"/>
          <w:sz w:val="32"/>
          <w:szCs w:val="32"/>
        </w:rPr>
        <w:t>020年本部门一般公共预算“三公”经费预算支出0万元，较上年无增减变化，主要原因是我单位结合</w:t>
      </w:r>
      <w:r>
        <w:rPr>
          <w:rFonts w:hint="eastAsia" w:ascii="仿宋_GB2312" w:eastAsia="仿宋_GB2312"/>
          <w:sz w:val="32"/>
          <w:szCs w:val="32"/>
          <w:lang w:val="en-US" w:eastAsia="zh-CN"/>
        </w:rPr>
        <w:t>中央</w:t>
      </w:r>
      <w:r>
        <w:rPr>
          <w:rFonts w:hint="eastAsia" w:ascii="仿宋_GB2312" w:eastAsia="仿宋_GB2312"/>
          <w:sz w:val="32"/>
          <w:szCs w:val="32"/>
        </w:rPr>
        <w:t>八项规定，切实厉行节约，严格控制“三公”经费，会议费及培训费，其中：因公出国（境）经费0万元，较上年无增减变化；公务接待费0万元，较上年无增减变化，主要原因是厉行节约，严格控制“三公”经费；公务用车运行维护费0万元，较上年无增减变化，主要原因是我单位实行公车改革，无公务用车；公务用车购置费0万元，较上年无增减变化，主要原因是我单位实行公车改革。会议费0元，较上年无增减变化，2020年为厉行节约原则，未安排该项预算。培训费0元，较上年无增减变化，2020年为厉行节约原则，未安排该项预算。</w:t>
      </w:r>
    </w:p>
    <w:p>
      <w:pPr>
        <w:ind w:firstLine="640" w:firstLineChars="200"/>
        <w:rPr>
          <w:rFonts w:hint="eastAsia" w:ascii="仿宋_GB2312" w:eastAsia="仿宋_GB2312"/>
          <w:sz w:val="32"/>
          <w:szCs w:val="32"/>
        </w:rPr>
      </w:pPr>
      <w:r>
        <w:rPr>
          <w:rFonts w:hint="eastAsia" w:ascii="仿宋_GB2312" w:eastAsia="仿宋_GB2312"/>
          <w:sz w:val="32"/>
          <w:szCs w:val="32"/>
        </w:rPr>
        <w:t>七、部门国有资产占有使用及资产购置情况说明</w:t>
      </w:r>
    </w:p>
    <w:p>
      <w:pPr>
        <w:ind w:firstLine="640" w:firstLineChars="200"/>
        <w:rPr>
          <w:rFonts w:hint="eastAsia" w:ascii="仿宋_GB2312" w:eastAsia="仿宋_GB2312"/>
          <w:sz w:val="32"/>
          <w:szCs w:val="32"/>
        </w:rPr>
      </w:pPr>
      <w:r>
        <w:rPr>
          <w:rFonts w:hint="eastAsia" w:ascii="仿宋_GB2312" w:eastAsia="仿宋_GB2312"/>
          <w:sz w:val="32"/>
          <w:szCs w:val="32"/>
        </w:rPr>
        <w:t>截至2019年末，本部门所属预算单位共有车辆0辆；单价50万元以上的通用设备0台（套）；单价100万元以上的通用设备0台（套）。2019年当年购置车辆0辆；公车保有量为0。安排购置单价50万元以上的设备0台（套）；安排购置单价100万元以上的通用设备0台（套）。</w:t>
      </w:r>
    </w:p>
    <w:p>
      <w:pPr>
        <w:ind w:firstLine="320" w:firstLineChars="100"/>
        <w:rPr>
          <w:rFonts w:hint="eastAsia" w:ascii="仿宋_GB2312" w:eastAsia="仿宋_GB2312"/>
          <w:sz w:val="32"/>
          <w:szCs w:val="32"/>
        </w:rPr>
      </w:pPr>
      <w:r>
        <w:rPr>
          <w:rFonts w:hint="eastAsia" w:ascii="仿宋_GB2312" w:eastAsia="仿宋_GB2312"/>
          <w:sz w:val="32"/>
          <w:szCs w:val="32"/>
        </w:rPr>
        <w:t>八、本部门无政府采购情况</w:t>
      </w:r>
    </w:p>
    <w:p>
      <w:pPr>
        <w:ind w:firstLine="320" w:firstLineChars="100"/>
        <w:rPr>
          <w:rFonts w:hint="eastAsia" w:ascii="仿宋_GB2312" w:eastAsia="仿宋_GB2312"/>
          <w:sz w:val="32"/>
          <w:szCs w:val="32"/>
        </w:rPr>
      </w:pPr>
      <w:r>
        <w:rPr>
          <w:rFonts w:hint="eastAsia" w:ascii="仿宋_GB2312" w:eastAsia="仿宋_GB2312"/>
          <w:sz w:val="32"/>
          <w:szCs w:val="32"/>
        </w:rPr>
        <w:t>九、部门预算绩效目标说明</w:t>
      </w:r>
    </w:p>
    <w:p>
      <w:pPr>
        <w:ind w:firstLine="640" w:firstLineChars="200"/>
        <w:rPr>
          <w:rFonts w:hint="eastAsia" w:ascii="仿宋_GB2312" w:eastAsia="仿宋_GB2312"/>
          <w:sz w:val="32"/>
          <w:szCs w:val="32"/>
        </w:rPr>
      </w:pPr>
      <w:r>
        <w:rPr>
          <w:rFonts w:hint="eastAsia" w:ascii="仿宋_GB2312" w:eastAsia="仿宋_GB2312"/>
          <w:sz w:val="32"/>
          <w:szCs w:val="32"/>
        </w:rPr>
        <w:t>20120年本部门实现了绩效目标管理全覆盖 ，涉及一般公共预算当年拨款88.936038万元，政府性基金预算当年拨款0万元。2020年部门整体支出绩效目标表附后。</w:t>
      </w:r>
    </w:p>
    <w:p>
      <w:pPr>
        <w:ind w:firstLine="640" w:firstLineChars="200"/>
        <w:rPr>
          <w:rFonts w:hint="eastAsia" w:ascii="仿宋_GB2312" w:eastAsia="仿宋_GB2312"/>
          <w:sz w:val="32"/>
          <w:szCs w:val="32"/>
        </w:rPr>
      </w:pPr>
      <w:r>
        <w:rPr>
          <w:rFonts w:hint="eastAsia" w:ascii="仿宋_GB2312" w:eastAsia="仿宋_GB2312"/>
          <w:sz w:val="32"/>
          <w:szCs w:val="32"/>
        </w:rPr>
        <w:t>十、事业运行经费安排情况</w:t>
      </w:r>
    </w:p>
    <w:p>
      <w:pPr>
        <w:ind w:firstLine="640" w:firstLineChars="200"/>
        <w:rPr>
          <w:rFonts w:hint="eastAsia" w:ascii="仿宋_GB2312" w:eastAsia="仿宋_GB2312"/>
          <w:sz w:val="32"/>
          <w:szCs w:val="32"/>
        </w:rPr>
      </w:pPr>
      <w:r>
        <w:rPr>
          <w:rFonts w:hint="eastAsia" w:ascii="仿宋_GB2312" w:eastAsia="仿宋_GB2312"/>
          <w:sz w:val="32"/>
          <w:szCs w:val="32"/>
        </w:rPr>
        <w:t>本部门2020年预算事业运行经费支出3.715238万元， 2019年预算机关运行经费支出10.89万元，比上年减少了66%。减少原因主要人员减少，公用经费相应减少。</w:t>
      </w:r>
    </w:p>
    <w:p>
      <w:pPr>
        <w:ind w:firstLine="640" w:firstLineChars="200"/>
        <w:rPr>
          <w:rFonts w:hint="eastAsia" w:ascii="仿宋_GB2312" w:eastAsia="仿宋_GB2312"/>
          <w:sz w:val="32"/>
          <w:szCs w:val="32"/>
        </w:rPr>
      </w:pPr>
      <w:r>
        <w:rPr>
          <w:rFonts w:hint="eastAsia" w:ascii="仿宋_GB2312" w:eastAsia="仿宋_GB2312"/>
          <w:sz w:val="32"/>
          <w:szCs w:val="32"/>
        </w:rPr>
        <w:t>（八）本部门2020年无政府采购预算，并已公开空表。</w:t>
      </w:r>
    </w:p>
    <w:p>
      <w:pPr>
        <w:ind w:firstLine="640" w:firstLineChars="200"/>
        <w:rPr>
          <w:rFonts w:hint="eastAsia" w:ascii="仿宋_GB2312" w:eastAsia="仿宋_GB2312"/>
          <w:sz w:val="32"/>
          <w:szCs w:val="32"/>
        </w:rPr>
      </w:pPr>
      <w:r>
        <w:rPr>
          <w:rFonts w:hint="eastAsia" w:ascii="仿宋_GB2312" w:eastAsia="仿宋_GB2312"/>
          <w:sz w:val="32"/>
          <w:szCs w:val="32"/>
        </w:rPr>
        <w:t>十一、专业名词解释</w:t>
      </w:r>
    </w:p>
    <w:p>
      <w:pPr>
        <w:ind w:firstLine="640" w:firstLineChars="200"/>
        <w:rPr>
          <w:rFonts w:hint="eastAsia" w:ascii="仿宋_GB2312" w:eastAsia="仿宋_GB2312"/>
          <w:sz w:val="32"/>
          <w:szCs w:val="32"/>
        </w:rPr>
      </w:pPr>
      <w:r>
        <w:rPr>
          <w:rFonts w:hint="eastAsia" w:ascii="仿宋_GB2312" w:eastAsia="仿宋_GB2312"/>
          <w:sz w:val="32"/>
          <w:szCs w:val="32"/>
        </w:rPr>
        <w:t>1、事业运行经费：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仿宋_GB2312" w:eastAsia="仿宋_GB2312"/>
          <w:sz w:val="32"/>
          <w:szCs w:val="32"/>
        </w:rPr>
      </w:pPr>
      <w:r>
        <w:rPr>
          <w:rFonts w:hint="eastAsia" w:ascii="仿宋_GB2312" w:eastAsia="仿宋_GB2312"/>
          <w:sz w:val="32"/>
          <w:szCs w:val="32"/>
        </w:rPr>
        <w:t>2、基本支出：指为保障机构正常运转、完成日常工作任务而发生的各项支出。</w:t>
      </w:r>
    </w:p>
    <w:p>
      <w:pPr>
        <w:ind w:firstLine="640" w:firstLineChars="200"/>
        <w:rPr>
          <w:rFonts w:hint="eastAsia" w:ascii="仿宋_GB2312" w:eastAsia="仿宋_GB2312"/>
          <w:sz w:val="32"/>
          <w:szCs w:val="32"/>
        </w:rPr>
      </w:pPr>
      <w:r>
        <w:rPr>
          <w:rFonts w:hint="eastAsia" w:ascii="仿宋_GB2312" w:eastAsia="仿宋_GB2312"/>
          <w:sz w:val="32"/>
          <w:szCs w:val="32"/>
        </w:rPr>
        <w:t>3、项目支出：指单位为完成特定的行政工作任务或事业发展目标所发生的各项支出。</w:t>
      </w:r>
    </w:p>
    <w:p>
      <w:pPr>
        <w:ind w:firstLine="640" w:firstLineChars="200"/>
        <w:rPr>
          <w:rFonts w:hint="eastAsia" w:ascii="仿宋_GB2312" w:eastAsia="仿宋_GB2312"/>
          <w:sz w:val="32"/>
          <w:szCs w:val="32"/>
        </w:rPr>
      </w:pPr>
      <w:r>
        <w:rPr>
          <w:rFonts w:hint="eastAsia" w:ascii="仿宋_GB2312" w:eastAsia="仿宋_GB2312"/>
          <w:sz w:val="32"/>
          <w:szCs w:val="32"/>
        </w:rPr>
        <w:t>4、“三公”经费：指部门使用一般公共预算财政拨款安排的因公出国（境）费、公务用车购置及运行费和公务接待费支出。</w:t>
      </w:r>
    </w:p>
    <w:p>
      <w:pPr>
        <w:ind w:firstLine="640" w:firstLineChars="200"/>
        <w:rPr>
          <w:rFonts w:hint="eastAsia" w:ascii="仿宋_GB2312" w:eastAsia="仿宋_GB2312"/>
          <w:sz w:val="32"/>
          <w:szCs w:val="32"/>
        </w:rPr>
      </w:pPr>
      <w:r>
        <w:rPr>
          <w:rFonts w:hint="eastAsia" w:ascii="仿宋_GB2312" w:eastAsia="仿宋_GB2312"/>
          <w:sz w:val="32"/>
          <w:szCs w:val="32"/>
        </w:rPr>
        <w:t>九、部门预算表</w:t>
      </w:r>
    </w:p>
    <w:p>
      <w:pPr>
        <w:ind w:firstLine="640" w:firstLineChars="200"/>
        <w:rPr>
          <w:rFonts w:hint="eastAsia" w:ascii="仿宋_GB2312" w:eastAsia="仿宋_GB2312"/>
          <w:sz w:val="32"/>
          <w:szCs w:val="32"/>
          <w:u w:val="single"/>
        </w:rPr>
      </w:pPr>
      <w:bookmarkStart w:id="0" w:name="_GoBack"/>
      <w:bookmarkEnd w:id="0"/>
    </w:p>
    <w:p>
      <w:pPr>
        <w:ind w:firstLine="640" w:firstLineChars="200"/>
        <w:jc w:val="center"/>
        <w:rPr>
          <w:rFonts w:hint="eastAsia" w:ascii="仿宋_GB2312" w:eastAsia="仿宋_GB2312"/>
          <w:sz w:val="32"/>
          <w:szCs w:val="32"/>
        </w:rPr>
      </w:pPr>
    </w:p>
    <w:p>
      <w:pPr>
        <w:ind w:firstLine="5440" w:firstLineChars="1700"/>
        <w:rPr>
          <w:rFonts w:hint="eastAsia" w:ascii="仿宋_GB2312" w:eastAsia="仿宋_GB2312"/>
          <w:sz w:val="32"/>
          <w:szCs w:val="32"/>
        </w:rPr>
      </w:pPr>
      <w:r>
        <w:rPr>
          <w:rFonts w:hint="eastAsia" w:ascii="仿宋_GB2312" w:eastAsia="仿宋_GB2312"/>
          <w:sz w:val="32"/>
          <w:szCs w:val="32"/>
        </w:rPr>
        <w:t>蓝田县招商局</w:t>
      </w:r>
    </w:p>
    <w:p>
      <w:pPr>
        <w:ind w:firstLine="640" w:firstLineChars="200"/>
        <w:jc w:val="center"/>
        <w:rPr>
          <w:rFonts w:hint="eastAsia" w:ascii="仿宋_GB2312" w:eastAsia="仿宋_GB2312"/>
          <w:sz w:val="32"/>
          <w:szCs w:val="32"/>
        </w:rPr>
      </w:pPr>
      <w:r>
        <w:rPr>
          <w:rFonts w:hint="eastAsia" w:ascii="仿宋_GB2312" w:eastAsia="仿宋_GB2312"/>
          <w:sz w:val="32"/>
          <w:szCs w:val="32"/>
        </w:rPr>
        <w:t xml:space="preserve">                   2020年2月20日</w:t>
      </w:r>
    </w:p>
    <w:p/>
    <w:sectPr>
      <w:headerReference r:id="rId3" w:type="default"/>
      <w:footerReference r:id="rId4" w:type="default"/>
      <w:pgSz w:w="11906" w:h="16838"/>
      <w:pgMar w:top="1985"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2049" o:spid="_x0000_s2049"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4DDE6"/>
    <w:multiLevelType w:val="singleLevel"/>
    <w:tmpl w:val="8234DDE6"/>
    <w:lvl w:ilvl="0" w:tentative="0">
      <w:start w:val="1"/>
      <w:numFmt w:val="chineseCounting"/>
      <w:suff w:val="nothing"/>
      <w:lvlText w:val="%1、"/>
      <w:lvlJc w:val="left"/>
      <w:rPr>
        <w:rFonts w:hint="eastAsia"/>
      </w:rPr>
    </w:lvl>
  </w:abstractNum>
  <w:abstractNum w:abstractNumId="1">
    <w:nsid w:val="24419B0A"/>
    <w:multiLevelType w:val="singleLevel"/>
    <w:tmpl w:val="24419B0A"/>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VhYjFmODgzYzM0NjExZTlhNzM0OTM0ZWZkMGMwZWYifQ=="/>
  </w:docVars>
  <w:rsids>
    <w:rsidRoot w:val="00B734AE"/>
    <w:rsid w:val="004A6364"/>
    <w:rsid w:val="004B0F45"/>
    <w:rsid w:val="00B734AE"/>
    <w:rsid w:val="011667F1"/>
    <w:rsid w:val="01C241D4"/>
    <w:rsid w:val="028C25DA"/>
    <w:rsid w:val="029C58C6"/>
    <w:rsid w:val="03833B7A"/>
    <w:rsid w:val="05AA2866"/>
    <w:rsid w:val="07FC0D58"/>
    <w:rsid w:val="09781EEF"/>
    <w:rsid w:val="0A222D74"/>
    <w:rsid w:val="11507E85"/>
    <w:rsid w:val="12166499"/>
    <w:rsid w:val="14487B84"/>
    <w:rsid w:val="14931F31"/>
    <w:rsid w:val="14BE3325"/>
    <w:rsid w:val="14C022BB"/>
    <w:rsid w:val="15F722DD"/>
    <w:rsid w:val="18B00244"/>
    <w:rsid w:val="1A1F5E4C"/>
    <w:rsid w:val="1CA55D1B"/>
    <w:rsid w:val="1D8D4B9A"/>
    <w:rsid w:val="1DE279C1"/>
    <w:rsid w:val="1ECF2D7E"/>
    <w:rsid w:val="1F6868C5"/>
    <w:rsid w:val="1F7B33AB"/>
    <w:rsid w:val="1FF92DAF"/>
    <w:rsid w:val="203E708E"/>
    <w:rsid w:val="222F6C38"/>
    <w:rsid w:val="24936685"/>
    <w:rsid w:val="26C53ACD"/>
    <w:rsid w:val="282936B2"/>
    <w:rsid w:val="2B20538D"/>
    <w:rsid w:val="2EBD7664"/>
    <w:rsid w:val="304E36CD"/>
    <w:rsid w:val="32266363"/>
    <w:rsid w:val="33523153"/>
    <w:rsid w:val="36A12FAA"/>
    <w:rsid w:val="36E20073"/>
    <w:rsid w:val="36E952CD"/>
    <w:rsid w:val="381A03F9"/>
    <w:rsid w:val="38C826EA"/>
    <w:rsid w:val="38D85A94"/>
    <w:rsid w:val="39176330"/>
    <w:rsid w:val="3B321DFA"/>
    <w:rsid w:val="3B864161"/>
    <w:rsid w:val="3BEA2C0C"/>
    <w:rsid w:val="3C164D17"/>
    <w:rsid w:val="3D654EBD"/>
    <w:rsid w:val="3ED06AE3"/>
    <w:rsid w:val="43744250"/>
    <w:rsid w:val="46452E72"/>
    <w:rsid w:val="46CE36BF"/>
    <w:rsid w:val="46DE3BA5"/>
    <w:rsid w:val="46F73575"/>
    <w:rsid w:val="472D49F0"/>
    <w:rsid w:val="47D0608E"/>
    <w:rsid w:val="4A283931"/>
    <w:rsid w:val="4AE83BBC"/>
    <w:rsid w:val="4B7C101F"/>
    <w:rsid w:val="4CEE4458"/>
    <w:rsid w:val="4E1C29B7"/>
    <w:rsid w:val="4F964712"/>
    <w:rsid w:val="536309AC"/>
    <w:rsid w:val="53C629D0"/>
    <w:rsid w:val="55C47D8E"/>
    <w:rsid w:val="55F40089"/>
    <w:rsid w:val="560B6987"/>
    <w:rsid w:val="56D55783"/>
    <w:rsid w:val="59DA53DD"/>
    <w:rsid w:val="59DE51C8"/>
    <w:rsid w:val="5F5912D8"/>
    <w:rsid w:val="5FA45A8E"/>
    <w:rsid w:val="64BF5134"/>
    <w:rsid w:val="6628090D"/>
    <w:rsid w:val="677D6D23"/>
    <w:rsid w:val="6B5D6CDE"/>
    <w:rsid w:val="6B67509C"/>
    <w:rsid w:val="6E64799C"/>
    <w:rsid w:val="6EA137D1"/>
    <w:rsid w:val="6F737DC0"/>
    <w:rsid w:val="6FAE32A5"/>
    <w:rsid w:val="703076F5"/>
    <w:rsid w:val="70620952"/>
    <w:rsid w:val="729514E3"/>
    <w:rsid w:val="74A718EE"/>
    <w:rsid w:val="761960BC"/>
    <w:rsid w:val="77726976"/>
    <w:rsid w:val="77BF63EF"/>
    <w:rsid w:val="7A5E4042"/>
    <w:rsid w:val="7C316F8A"/>
    <w:rsid w:val="7C9F0C0D"/>
    <w:rsid w:val="7CA2547B"/>
    <w:rsid w:val="7D3B074C"/>
    <w:rsid w:val="7F720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Administrator\&#26700;&#38754;\&#32534;&#21046;&#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4F81BD"/>
            </a:solidFill>
            <a:ln w="12700" cap="flat" cmpd="sng" algn="ctr">
              <a:solidFill>
                <a:srgbClr val="385D8A">
                  <a:shade val="50000"/>
                </a:srgbClr>
              </a:solidFill>
              <a:prstDash val="solid"/>
              <a:miter lim="800000"/>
            </a:ln>
            <a:effectLst/>
            <a:sp3d>
              <a:extrusionClr>
                <a:srgbClr val="FFFFFF"/>
              </a:extrusionClr>
              <a:contourClr>
                <a:srgbClr val="FFFFFF"/>
              </a:contourClr>
            </a:sp3d>
          </c:spPr>
          <c:invertIfNegative val="0"/>
          <c:dPt>
            <c:idx val="0"/>
            <c:invertIfNegative val="0"/>
            <c:bubble3D val="0"/>
            <c:spPr>
              <a:solidFill>
                <a:srgbClr val="FF0000"/>
              </a:solidFill>
              <a:ln w="12700" cap="flat" cmpd="sng" algn="ctr">
                <a:solidFill>
                  <a:srgbClr val="385D8A">
                    <a:shade val="50000"/>
                  </a:srgbClr>
                </a:solidFill>
                <a:prstDash val="solid"/>
                <a:miter lim="800000"/>
              </a:ln>
              <a:effectLst/>
              <a:sp3d>
                <a:extrusionClr>
                  <a:srgbClr val="FFFFFF"/>
                </a:extrusionClr>
                <a:contourClr>
                  <a:srgbClr val="FFFFFF"/>
                </a:contourClr>
              </a:sp3d>
            </c:spPr>
          </c:dPt>
          <c:dPt>
            <c:idx val="1"/>
            <c:invertIfNegative val="0"/>
            <c:bubble3D val="0"/>
            <c:spPr>
              <a:solidFill>
                <a:srgbClr val="FFC000"/>
              </a:solidFill>
              <a:ln w="12700" cap="flat" cmpd="sng" algn="ctr">
                <a:solidFill>
                  <a:srgbClr val="385D8A">
                    <a:shade val="50000"/>
                  </a:srgbClr>
                </a:solidFill>
                <a:prstDash val="solid"/>
                <a:miter lim="800000"/>
              </a:ln>
              <a:effectLst/>
              <a:sp3d>
                <a:extrusionClr>
                  <a:srgbClr val="FFFFFF"/>
                </a:extrusionClr>
                <a:contourClr>
                  <a:srgbClr val="FFFFFF"/>
                </a:contourClr>
              </a:sp3d>
            </c:spPr>
          </c:dPt>
          <c:dLbls>
            <c:delete val="1"/>
          </c:dLbls>
          <c:cat>
            <c:strRef>
              <c:f>[编制表.xls]Sheet1!$A$1:$C$1</c:f>
              <c:strCache>
                <c:ptCount val="3"/>
                <c:pt idx="0">
                  <c:v>中心编制人数</c:v>
                </c:pt>
                <c:pt idx="1">
                  <c:v>实有人数</c:v>
                </c:pt>
                <c:pt idx="2">
                  <c:v>总计</c:v>
                </c:pt>
              </c:strCache>
            </c:strRef>
          </c:cat>
          <c:val>
            <c:numRef>
              <c:f>[编制表.xls]Sheet1!$A$2:$C$2</c:f>
              <c:numCache>
                <c:formatCode>General</c:formatCode>
                <c:ptCount val="3"/>
                <c:pt idx="0">
                  <c:v>4</c:v>
                </c:pt>
                <c:pt idx="1">
                  <c:v>11</c:v>
                </c:pt>
                <c:pt idx="2">
                  <c:v>11</c:v>
                </c:pt>
              </c:numCache>
            </c:numRef>
          </c:val>
        </c:ser>
        <c:dLbls>
          <c:showLegendKey val="0"/>
          <c:showVal val="0"/>
          <c:showCatName val="0"/>
          <c:showSerName val="0"/>
          <c:showPercent val="0"/>
          <c:showBubbleSize val="0"/>
        </c:dLbls>
        <c:gapWidth val="219"/>
        <c:overlap val="-27"/>
        <c:axId val="403972096"/>
        <c:axId val="403973632"/>
      </c:barChart>
      <c:catAx>
        <c:axId val="403972096"/>
        <c:scaling>
          <c:orientation val="minMax"/>
        </c:scaling>
        <c:delete val="0"/>
        <c:axPos val="b"/>
        <c:majorTickMark val="none"/>
        <c:minorTickMark val="none"/>
        <c:tickLblPos val="nextTo"/>
        <c:spPr>
          <a:noFill/>
          <a:ln w="9525" cap="flat" cmpd="sng" algn="ctr">
            <a:solidFill>
              <a:srgbClr val="D9D9D9">
                <a:lumMod val="15000"/>
                <a:lumOff val="85000"/>
              </a:srgbClr>
            </a:solidFill>
            <a:prstDash val="solid"/>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403973632"/>
        <c:crosses val="autoZero"/>
        <c:auto val="1"/>
        <c:lblAlgn val="ctr"/>
        <c:lblOffset val="100"/>
        <c:noMultiLvlLbl val="0"/>
      </c:catAx>
      <c:valAx>
        <c:axId val="403973632"/>
        <c:scaling>
          <c:orientation val="minMax"/>
        </c:scaling>
        <c:delete val="0"/>
        <c:axPos val="l"/>
        <c:majorGridlines>
          <c:spPr>
            <a:ln w="9525" cap="flat" cmpd="sng" algn="ctr">
              <a:solidFill>
                <a:srgbClr val="D9D9D9">
                  <a:lumMod val="15000"/>
                  <a:lumOff val="85000"/>
                </a:srgb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rgbClr val="595959">
                        <a:lumMod val="65000"/>
                        <a:lumOff val="35000"/>
                      </a:srgbClr>
                    </a:solidFill>
                    <a:latin typeface="+mn-lt"/>
                    <a:ea typeface="+mn-ea"/>
                    <a:cs typeface="+mn-cs"/>
                  </a:defRPr>
                </a:pPr>
                <a:r>
                  <a:t>单位：人</a:t>
                </a:r>
                <a:endParaRPr sz="1000" b="0" i="0" u="none" strike="noStrike" baseline="0">
                  <a:solidFill>
                    <a:srgbClr val="595959">
                      <a:alpha val="100000"/>
                    </a:srgbClr>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403972096"/>
        <c:crosses val="autoZero"/>
        <c:crossBetween val="between"/>
      </c:valAx>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legend>
    <c:plotVisOnly val="1"/>
    <c:dispBlanksAs val="gap"/>
    <c:showDLblsOverMax val="0"/>
  </c:chart>
  <c:spPr>
    <a:solidFill>
      <a:srgbClr val="FFFFFF"/>
    </a:solidFill>
    <a:ln w="9525" cap="flat" cmpd="sng" algn="ctr">
      <a:solidFill>
        <a:srgbClr val="FFFFFF"/>
      </a:solidFill>
      <a:prstDash val="solid"/>
      <a:round/>
    </a:ln>
    <a:effectLst/>
  </c:spPr>
  <c:txPr>
    <a:bodyPr wrap="square"/>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10</Pages>
  <Words>671</Words>
  <Characters>3829</Characters>
  <Lines>31</Lines>
  <Paragraphs>8</Paragraphs>
  <TotalTime>5</TotalTime>
  <ScaleCrop>false</ScaleCrop>
  <LinksUpToDate>false</LinksUpToDate>
  <CharactersWithSpaces>4492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2022-03-11T03:51:00Z</dcterms:created>
  <dc:creator>Administrator</dc:creator>
  <cp:lastModifiedBy>byx</cp:lastModifiedBy>
  <dcterms:modified xsi:type="dcterms:W3CDTF">2024-01-19T06:58:08Z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F1B556A5F8BE4057845A766C7F2F4E36_12</vt:lpwstr>
  </property>
</Properties>
</file>