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蓝田县投资合作服务中心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2023年度政府信息公开工作年度报告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年，蓝田县投资合作服务中心认真贯彻落实《中华人民共和国政府信息公开条例》《国务院办公厅关于做好政府网站年度报表发布工作的通知》等文件规定及要求，切实加大公开力度，进一步规范公开内容，突出公开重点，严格公开程序，不断健全政务公开机制，坚持做好政府信息公开日常工作。2023年度完成政府网站公开蓝田县投资合作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务中心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内设机构、机构职能、联系方式、领导信息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2023年蓝田特色项目、蓝田县招商引资优惠政策，蓝田县投资合作服务中心2023年部门决算公开。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85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2070"/>
        <w:gridCol w:w="1935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0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本年</w:t>
            </w:r>
            <w:r>
              <w:rPr>
                <w:rStyle w:val="7"/>
                <w:rFonts w:hAnsi="宋体"/>
                <w:sz w:val="24"/>
                <w:szCs w:val="24"/>
                <w:lang w:val="en-US" w:eastAsia="zh-CN" w:bidi="ar"/>
              </w:rPr>
              <w:t>制发件数</w:t>
            </w:r>
          </w:p>
        </w:tc>
        <w:tc>
          <w:tcPr>
            <w:tcW w:w="1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本年废止件数</w:t>
            </w:r>
          </w:p>
        </w:tc>
        <w:tc>
          <w:tcPr>
            <w:tcW w:w="20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现行有效件</w:t>
            </w:r>
            <w:r>
              <w:rPr>
                <w:rStyle w:val="7"/>
                <w:rFonts w:hAnsi="宋体"/>
                <w:sz w:val="24"/>
                <w:szCs w:val="24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规章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行政规范性文件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行政许可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601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行政事业性收费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9017" w:type="dxa"/>
        <w:tblInd w:w="9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55"/>
        <w:gridCol w:w="3226"/>
        <w:gridCol w:w="600"/>
        <w:gridCol w:w="741"/>
        <w:gridCol w:w="713"/>
        <w:gridCol w:w="765"/>
        <w:gridCol w:w="762"/>
        <w:gridCol w:w="349"/>
        <w:gridCol w:w="45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36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381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36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自然人</w:t>
            </w:r>
          </w:p>
        </w:tc>
        <w:tc>
          <w:tcPr>
            <w:tcW w:w="333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45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636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45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3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3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408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8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（三）不予公开</w:t>
            </w: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8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3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91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464"/>
        <w:gridCol w:w="465"/>
        <w:gridCol w:w="456"/>
        <w:gridCol w:w="456"/>
        <w:gridCol w:w="799"/>
        <w:gridCol w:w="721"/>
        <w:gridCol w:w="705"/>
        <w:gridCol w:w="720"/>
        <w:gridCol w:w="420"/>
        <w:gridCol w:w="750"/>
        <w:gridCol w:w="735"/>
        <w:gridCol w:w="780"/>
        <w:gridCol w:w="780"/>
        <w:gridCol w:w="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0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6890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4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464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46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456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45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336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352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46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42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4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（一）存在的主要问题：政务信息公开内容不够全面、细致；个别内容更新不够及时。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（二）改进措施：进一步加大政务信息公开力度，依法全面公开我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中心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相关政务信息；不断增强政务公开责任意识，有效提升公开信息质量。进一步健全和完善政府信息公开工作机制，加强各科室间的配合，及时清理和更新工作信息，严格按照规定的内容、程序、形式和时限公开。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六、其他需要报告的事项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0"/>
        <w:textAlignment w:val="auto"/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年度本机关未收取信息处理费。发出收费通知的件数和总金额以及实际收取的总金额均为0。</w:t>
      </w:r>
    </w:p>
    <w:sectPr>
      <w:pgSz w:w="11906" w:h="16838"/>
      <w:pgMar w:top="2098" w:right="1474" w:bottom="1417" w:left="1588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xYzMxYTBiYTQzYmJmZGI3NGE4NmNjNjBlOWI2MzEifQ=="/>
  </w:docVars>
  <w:rsids>
    <w:rsidRoot w:val="7F3362C2"/>
    <w:rsid w:val="03376644"/>
    <w:rsid w:val="049A15CE"/>
    <w:rsid w:val="19770D05"/>
    <w:rsid w:val="30E636DD"/>
    <w:rsid w:val="36CC7811"/>
    <w:rsid w:val="4B8B1960"/>
    <w:rsid w:val="58C23073"/>
    <w:rsid w:val="5B0B25C8"/>
    <w:rsid w:val="5D44519E"/>
    <w:rsid w:val="64693149"/>
    <w:rsid w:val="727367B7"/>
    <w:rsid w:val="7F33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0"/>
      <w:sz w:val="32"/>
      <w:szCs w:val="18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11"/>
    <w:basedOn w:val="4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7">
    <w:name w:val="font21"/>
    <w:basedOn w:val="4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2023-12-29T03:06:00Z</dcterms:created>
  <dc:creator>byx</dc:creator>
  <cp:lastModifiedBy>lithromantic</cp:lastModifiedBy>
  <cp:lastPrinted>2024-01-26T03:55:02Z</cp:lastPrinted>
  <dcterms:modified xsi:type="dcterms:W3CDTF">2024-01-26T03:56:34Z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B2DB5AE930244A888821354B5F6866F6_11</vt:lpwstr>
  </property>
</Properties>
</file>