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华胥镇2019预算公开说明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一、部门主要职责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、宣传法律政策，促进村民自治。贯彻执行法律法规，落实党和国家的方针、政策，坚持依法行政，不断加强社会主义新农村的建设。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、推进街办民主政治建设，加强基层党组织和基层政权建设，讨论决定街办经济和社会发展的重大事项。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eastAsia="zh-CN"/>
        </w:rPr>
        <w:t>、发展农村经济，增加农民收入。组织指导农业和农村经济结构调整，加强农业综合生产能力建设；健全农业社会化服务体系，完善农业支持保障体系，推进农业现代化；支持保护农民兴办各种经济组织，组织引导农村富余劳动力向非农产业和城镇转移，增加农民收入，不断提高人民生活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加强社会管理，创建良好环境。规范农村集体经济管理，推进政务、村务公开；抓好人口和计划生育工作，保障妇女儿童合法权益；加强安全生产和公共安全，组织抢险救灾、优抚救助，及时上报和处置重大社情、疫情、险情，保护人民群众的生命财产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val="en-US" w:eastAsia="zh-CN"/>
        </w:rPr>
        <w:t>、发展公益事业，提供公共服务。搞好镇村公共设施建设和小城镇建设，开展社会保障服务；发展科教文卫事业，提供经济发展和社会进步的信息服务，促进精神文明建设。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val="en-US" w:eastAsia="zh-CN"/>
        </w:rPr>
        <w:t>、加强综合治理，维护社会稳定。调解民事纠纷，化解社会矛盾，接待上访群众，处理群体突发事件，保证社会公正，保障人民群众合法权益，维护社会稳定。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val="en-US" w:eastAsia="zh-CN"/>
        </w:rPr>
        <w:t>、执行街道人民代表大会的决议和上级国家行政机关的决定和命令，发布决定和命令。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val="en-US" w:eastAsia="zh-CN"/>
        </w:rPr>
        <w:t>、执行本行政区域内的经济和社会发展规划、预算。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val="en-US" w:eastAsia="zh-CN"/>
        </w:rPr>
        <w:t>、负责本行政区域内的经济和社会发展统计工作。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val="en-US" w:eastAsia="zh-CN"/>
        </w:rPr>
        <w:t>、办理上级人民政府交办的其它事项。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二、2019年年度部门工作任务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坚持党建引领，强化基层组织建设。全面推进基层党建规范化建设，将党的建设融入到脱贫攻坚、项目建设、“三项革命”、河长路长网格长制、社会稳定、全域旅游等重点工作中；进一步规范村“两委”工作体系，认真贯彻落实《村组干部考核管理办法》、《党员管理教育制度》等村级党建制度，大力开展以整顿工作纪律、整顿工作作风、整顿考核秩序为主要内容的“三项整顿”活动，坚持月督查、季考核制度，强化对村党支部的考核、监督，深入推进服务型党组织建设，培育党建示范点3个；严格落实基层工作责任，切实维护群众利益，坚持不懈地抓好基层治理工作，重点完成村“两委会”换届、农村新型社区建设和基层组织建设工作。强化基层党组织的领导核心作用，突出抓好软弱涣散村党组织整顿工作，加强对基层治理工作的领导，努力形成齐抓共管的基层治理格局，不断提升街道基层治理工作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继续完成脱贫攻坚目标任务。继续完善扶贫档案资料整理工作，完成危房改造，加大自主产业户发展规模，落实小额信贷扶贫措施，完成省定贫困村及重点帮扶村扶贫项目建设。抓好连心帮扶及固定扶贫日帮扶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加大安全生产和综治维稳排查力度。大力开展安全生产排查、平安创建和社会应急工作，不断加强安全生产排查频次和范围，加大村、社区平安创建红袖章巡逻。明确村、社区信访维稳工作程序，变上访为下访，坚持每周村情民意排查化解，不断调解各类纠纷，把问题解决在村组。坚决杜绝赴京、到省、进市非正常访，集体访和重大安全事故、社会治安案件的发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rPr>
        <w:t>主要经济指标及重点项目完成情况。2018年力争实现固定资产完成147000万元，引进内资3500万元，争取资金400万元，社会消费品零售总额完成291800万元，限上企业零售总额18533万元。重点抓好蓝田县食用菌精准扶贫产业基地、盛兴华庭、蓝田县城西商贸综合市场、西街二组安置综合楼建设、西街五组商住小区和大寨六组安置楼建设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各项社会事业有序开展。切实抓好治污减霾、环境整治工作，继续推进农村垃圾、污水、厕所改革，建立农村垃圾治理清运机制。认真落实民政低保工作、残疾人救助、医疗救助、廉租住房等各项民生政策。严防较大事故发生，常态化抓好防汛抗旱、森林防火工作，确保人民群众生命财产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三、部门预算单位构成</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从预算单位构成看，蓝关街道办事处的部门预算包括部门本级（机关）预算</w:t>
      </w:r>
      <w:r>
        <w:rPr>
          <w:rFonts w:hint="eastAsia" w:ascii="仿宋_GB2312" w:hAnsi="仿宋_GB2312" w:eastAsia="仿宋_GB2312" w:cs="仿宋_GB2312"/>
          <w:sz w:val="32"/>
          <w:szCs w:val="32"/>
          <w:lang w:eastAsia="zh-CN"/>
        </w:rPr>
        <w:t>，无下属单位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内设机构有</w:t>
      </w:r>
      <w:r>
        <w:rPr>
          <w:rFonts w:hint="eastAsia" w:ascii="仿宋_GB2312" w:hAnsi="仿宋_GB2312" w:eastAsia="仿宋_GB2312" w:cs="仿宋_GB2312"/>
          <w:sz w:val="32"/>
          <w:szCs w:val="32"/>
          <w:lang w:val="en-US" w:eastAsia="zh-CN"/>
        </w:rPr>
        <w:t>8个</w:t>
      </w:r>
      <w:r>
        <w:rPr>
          <w:rFonts w:hint="eastAsia" w:ascii="仿宋_GB2312" w:hAnsi="仿宋_GB2312" w:eastAsia="仿宋_GB2312" w:cs="仿宋_GB2312"/>
          <w:sz w:val="32"/>
          <w:szCs w:val="32"/>
          <w:lang w:eastAsia="zh-CN"/>
        </w:rPr>
        <w:t>：党政办公室、经济发展办公室、社会事务管理办公室、维护稳定办公室、宣传科教文卫办公室、经济综合服务站、公共事业服务站、市场监管所。</w:t>
      </w:r>
    </w:p>
    <w:tbl>
      <w:tblPr>
        <w:tblStyle w:val="4"/>
        <w:tblW w:w="67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序号</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党政办公室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经济发展办公室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社会事务管理办公室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维护稳定办公室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宣传科教文卫办公室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经济综合服务站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公共事业服务站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4"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w:t>
            </w:r>
          </w:p>
        </w:tc>
        <w:tc>
          <w:tcPr>
            <w:tcW w:w="5700" w:type="dxa"/>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市场监管所</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四、部门人员情况说明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截止201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年底，本部门人员编制</w:t>
      </w:r>
      <w:r>
        <w:rPr>
          <w:rFonts w:hint="eastAsia" w:ascii="仿宋_GB2312" w:hAnsi="仿宋_GB2312" w:eastAsia="仿宋_GB2312" w:cs="仿宋_GB2312"/>
          <w:sz w:val="32"/>
          <w:szCs w:val="32"/>
          <w:lang w:val="en-US" w:eastAsia="zh-CN"/>
        </w:rPr>
        <w:t>91</w:t>
      </w:r>
      <w:r>
        <w:rPr>
          <w:rFonts w:hint="eastAsia" w:ascii="仿宋_GB2312" w:hAnsi="仿宋_GB2312" w:eastAsia="仿宋_GB2312" w:cs="仿宋_GB2312"/>
          <w:sz w:val="32"/>
          <w:szCs w:val="32"/>
        </w:rPr>
        <w:t>人，其中行政编制</w:t>
      </w: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人，事业编制（参照公务员管理）</w:t>
      </w:r>
      <w:r>
        <w:rPr>
          <w:rFonts w:hint="eastAsia" w:ascii="仿宋_GB2312" w:hAnsi="仿宋_GB2312" w:eastAsia="仿宋_GB2312" w:cs="仿宋_GB2312"/>
          <w:sz w:val="32"/>
          <w:szCs w:val="32"/>
          <w:lang w:val="en-US" w:eastAsia="zh-CN"/>
        </w:rPr>
        <w:t>38</w:t>
      </w:r>
      <w:r>
        <w:rPr>
          <w:rFonts w:hint="eastAsia" w:ascii="仿宋_GB2312" w:hAnsi="仿宋_GB2312" w:eastAsia="仿宋_GB2312" w:cs="仿宋_GB2312"/>
          <w:sz w:val="32"/>
          <w:szCs w:val="32"/>
        </w:rPr>
        <w:t>人，实际人员</w:t>
      </w:r>
      <w:r>
        <w:rPr>
          <w:rFonts w:hint="eastAsia" w:ascii="仿宋_GB2312" w:hAnsi="仿宋_GB2312" w:eastAsia="仿宋_GB2312" w:cs="仿宋_GB2312"/>
          <w:sz w:val="32"/>
          <w:szCs w:val="32"/>
          <w:lang w:val="en-US" w:eastAsia="zh-CN"/>
        </w:rPr>
        <w:t>61</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.行政实有31人，事业实有30人。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59264" behindDoc="0" locked="0" layoutInCell="1" allowOverlap="1">
            <wp:simplePos x="0" y="0"/>
            <wp:positionH relativeFrom="column">
              <wp:posOffset>161925</wp:posOffset>
            </wp:positionH>
            <wp:positionV relativeFrom="paragraph">
              <wp:posOffset>6350</wp:posOffset>
            </wp:positionV>
            <wp:extent cx="5356225" cy="2552065"/>
            <wp:effectExtent l="4445" t="4445" r="11430" b="1524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五、国有资产占有使用及资产购置情况说明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年底，本部门所属预算单位共有车辆2辆，无单价</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万元以上的设备，2018年本部门无车辆购置安排及单价</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万元以上的设备购置。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六、部门预算绩效目标说明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年本部门还未全面展开绩效目标管理。以后工作中本部门将严格执行绩效管理制度，实现绩效目标管理全覆盖。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年部门收支预算安排情况的说明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年部门预算收入</w:t>
      </w:r>
      <w:r>
        <w:rPr>
          <w:rFonts w:hint="eastAsia" w:ascii="仿宋_GB2312" w:hAnsi="仿宋_GB2312" w:eastAsia="仿宋_GB2312" w:cs="仿宋_GB2312"/>
          <w:sz w:val="32"/>
          <w:szCs w:val="32"/>
          <w:lang w:val="en-US" w:eastAsia="zh-CN"/>
        </w:rPr>
        <w:t>8681221.6</w:t>
      </w:r>
      <w:r>
        <w:rPr>
          <w:rFonts w:hint="eastAsia" w:ascii="仿宋_GB2312" w:hAnsi="仿宋_GB2312" w:eastAsia="仿宋_GB2312" w:cs="仿宋_GB2312"/>
          <w:sz w:val="32"/>
          <w:szCs w:val="32"/>
        </w:rPr>
        <w:t>元较201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了</w:t>
      </w:r>
      <w:r>
        <w:rPr>
          <w:rFonts w:hint="eastAsia" w:ascii="仿宋_GB2312" w:hAnsi="仿宋_GB2312" w:eastAsia="仿宋_GB2312" w:cs="仿宋_GB2312"/>
          <w:sz w:val="32"/>
          <w:szCs w:val="32"/>
          <w:lang w:val="en-US" w:eastAsia="zh-CN"/>
        </w:rPr>
        <w:t>244516</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年部门预算支出</w:t>
      </w:r>
      <w:r>
        <w:rPr>
          <w:rFonts w:hint="eastAsia" w:ascii="仿宋_GB2312" w:hAnsi="仿宋_GB2312" w:eastAsia="仿宋_GB2312" w:cs="仿宋_GB2312"/>
          <w:sz w:val="32"/>
          <w:szCs w:val="32"/>
          <w:lang w:val="en-US" w:eastAsia="zh-CN"/>
        </w:rPr>
        <w:t>8631221</w:t>
      </w:r>
      <w:r>
        <w:rPr>
          <w:rFonts w:hint="eastAsia" w:ascii="仿宋_GB2312" w:hAnsi="仿宋_GB2312" w:eastAsia="仿宋_GB2312" w:cs="仿宋_GB2312"/>
          <w:sz w:val="32"/>
          <w:szCs w:val="32"/>
        </w:rPr>
        <w:t>元较201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了</w:t>
      </w:r>
      <w:r>
        <w:rPr>
          <w:rFonts w:hint="eastAsia" w:ascii="仿宋_GB2312" w:hAnsi="仿宋_GB2312" w:eastAsia="仿宋_GB2312" w:cs="仿宋_GB2312"/>
          <w:sz w:val="32"/>
          <w:szCs w:val="32"/>
          <w:lang w:val="en-US" w:eastAsia="zh-CN"/>
        </w:rPr>
        <w:t>952516</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304790" cy="2819400"/>
            <wp:effectExtent l="4445" t="4445" r="571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年部门预算收入</w:t>
      </w:r>
      <w:r>
        <w:rPr>
          <w:rFonts w:hint="eastAsia" w:ascii="仿宋_GB2312" w:hAnsi="仿宋_GB2312" w:eastAsia="仿宋_GB2312" w:cs="仿宋_GB2312"/>
          <w:sz w:val="32"/>
          <w:szCs w:val="32"/>
          <w:lang w:val="en-US" w:eastAsia="zh-CN"/>
        </w:rPr>
        <w:t>8681221.62</w:t>
      </w:r>
      <w:r>
        <w:rPr>
          <w:rFonts w:hint="eastAsia" w:ascii="仿宋_GB2312" w:hAnsi="仿宋_GB2312" w:eastAsia="仿宋_GB2312" w:cs="仿宋_GB2312"/>
          <w:sz w:val="32"/>
          <w:szCs w:val="32"/>
        </w:rPr>
        <w:t>元，部门预算支出</w:t>
      </w:r>
      <w:r>
        <w:rPr>
          <w:rFonts w:hint="eastAsia" w:ascii="仿宋_GB2312" w:hAnsi="仿宋_GB2312" w:eastAsia="仿宋_GB2312" w:cs="仿宋_GB2312"/>
          <w:sz w:val="32"/>
          <w:szCs w:val="32"/>
          <w:lang w:val="en-US" w:eastAsia="zh-CN"/>
        </w:rPr>
        <w:t>8631221.6</w:t>
      </w:r>
      <w:r>
        <w:rPr>
          <w:rFonts w:hint="eastAsia" w:ascii="仿宋_GB2312" w:hAnsi="仿宋_GB2312" w:eastAsia="仿宋_GB2312" w:cs="仿宋_GB2312"/>
          <w:sz w:val="32"/>
          <w:szCs w:val="32"/>
        </w:rPr>
        <w:t>元，具体内容为：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1、工资福利支出</w:t>
      </w:r>
      <w:r>
        <w:rPr>
          <w:rFonts w:hint="eastAsia" w:ascii="仿宋_GB2312" w:hAnsi="仿宋_GB2312" w:eastAsia="仿宋_GB2312" w:cs="仿宋_GB2312"/>
          <w:sz w:val="32"/>
          <w:szCs w:val="32"/>
          <w:lang w:val="en-US" w:eastAsia="zh-CN"/>
        </w:rPr>
        <w:t>5303101</w:t>
      </w:r>
      <w:r>
        <w:rPr>
          <w:rFonts w:hint="eastAsia" w:ascii="仿宋_GB2312" w:hAnsi="仿宋_GB2312" w:eastAsia="仿宋_GB2312" w:cs="仿宋_GB2312"/>
          <w:sz w:val="32"/>
          <w:szCs w:val="32"/>
        </w:rPr>
        <w:t>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2、商品和服务支出</w:t>
      </w:r>
      <w:r>
        <w:rPr>
          <w:rFonts w:hint="eastAsia" w:ascii="仿宋_GB2312" w:hAnsi="仿宋_GB2312" w:eastAsia="仿宋_GB2312" w:cs="仿宋_GB2312"/>
          <w:sz w:val="32"/>
          <w:szCs w:val="32"/>
          <w:lang w:val="en-US" w:eastAsia="zh-CN"/>
        </w:rPr>
        <w:t>1196280</w:t>
      </w:r>
      <w:r>
        <w:rPr>
          <w:rFonts w:hint="eastAsia" w:ascii="仿宋_GB2312" w:hAnsi="仿宋_GB2312" w:eastAsia="仿宋_GB2312" w:cs="仿宋_GB2312"/>
          <w:sz w:val="32"/>
          <w:szCs w:val="32"/>
        </w:rPr>
        <w:t>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3、对个人和家庭补助支出</w:t>
      </w:r>
      <w:r>
        <w:rPr>
          <w:rFonts w:hint="eastAsia" w:ascii="仿宋_GB2312" w:hAnsi="仿宋_GB2312" w:eastAsia="仿宋_GB2312" w:cs="仿宋_GB2312"/>
          <w:sz w:val="32"/>
          <w:szCs w:val="32"/>
          <w:lang w:val="en-US" w:eastAsia="zh-CN"/>
        </w:rPr>
        <w:t>2181840</w:t>
      </w:r>
      <w:r>
        <w:rPr>
          <w:rFonts w:hint="eastAsia" w:ascii="仿宋_GB2312" w:hAnsi="仿宋_GB2312" w:eastAsia="仿宋_GB2312" w:cs="仿宋_GB2312"/>
          <w:sz w:val="32"/>
          <w:szCs w:val="32"/>
        </w:rPr>
        <w:t>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269865" cy="3198495"/>
            <wp:effectExtent l="4445" t="4445" r="21590" b="1651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hint="eastAsia" w:ascii="仿宋_GB2312" w:hAnsi="仿宋_GB2312" w:eastAsia="仿宋_GB2312" w:cs="仿宋_GB2312"/>
          <w:sz w:val="32"/>
          <w:szCs w:val="32"/>
        </w:rPr>
        <w:t>（三）一般公共预算支出明细情况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1、一般公共预算当年拨款规模变化情况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部门一般公共预算拨款收入</w:t>
      </w:r>
      <w:r>
        <w:rPr>
          <w:rFonts w:hint="eastAsia"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25598287</w:t>
      </w:r>
      <w:r>
        <w:rPr>
          <w:rFonts w:hint="eastAsia" w:ascii="仿宋_GB2312" w:hAnsi="仿宋_GB2312" w:eastAsia="仿宋_GB2312" w:cs="仿宋_GB2312"/>
          <w:sz w:val="32"/>
          <w:szCs w:val="32"/>
        </w:rPr>
        <w:t>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年一般公共预算拨款收入</w:t>
      </w:r>
      <w:r>
        <w:rPr>
          <w:rFonts w:hint="eastAsia" w:ascii="仿宋_GB2312" w:hAnsi="仿宋_GB2312" w:eastAsia="仿宋_GB2312" w:cs="仿宋_GB2312"/>
          <w:sz w:val="32"/>
          <w:szCs w:val="32"/>
          <w:lang w:val="en-US" w:eastAsia="zh-CN"/>
        </w:rPr>
        <w:t>8681221</w:t>
      </w:r>
      <w:r>
        <w:rPr>
          <w:rFonts w:hint="eastAsia" w:ascii="仿宋_GB2312" w:hAnsi="仿宋_GB2312" w:eastAsia="仿宋_GB2312" w:cs="仿宋_GB2312"/>
          <w:sz w:val="32"/>
          <w:szCs w:val="32"/>
        </w:rPr>
        <w:t>元，比上年增加了</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年一般公共预算拨款支出</w:t>
      </w:r>
      <w:r>
        <w:rPr>
          <w:rFonts w:hint="eastAsia" w:ascii="仿宋_GB2312" w:hAnsi="仿宋_GB2312" w:eastAsia="仿宋_GB2312" w:cs="仿宋_GB2312"/>
          <w:sz w:val="32"/>
          <w:szCs w:val="32"/>
          <w:lang w:val="en-US" w:eastAsia="zh-CN"/>
        </w:rPr>
        <w:t>25598287</w:t>
      </w:r>
      <w:r>
        <w:rPr>
          <w:rFonts w:hint="eastAsia" w:ascii="仿宋_GB2312" w:hAnsi="仿宋_GB2312" w:eastAsia="仿宋_GB2312" w:cs="仿宋_GB2312"/>
          <w:sz w:val="32"/>
          <w:szCs w:val="32"/>
        </w:rPr>
        <w:t>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年一般公共预算拨款支出</w:t>
      </w:r>
      <w:r>
        <w:rPr>
          <w:rFonts w:hint="eastAsia" w:ascii="仿宋_GB2312" w:hAnsi="仿宋_GB2312" w:eastAsia="仿宋_GB2312" w:cs="仿宋_GB2312"/>
          <w:sz w:val="32"/>
          <w:szCs w:val="32"/>
          <w:lang w:val="en-US" w:eastAsia="zh-CN"/>
        </w:rPr>
        <w:t>8681221</w:t>
      </w:r>
      <w:r>
        <w:rPr>
          <w:rFonts w:hint="eastAsia" w:ascii="仿宋_GB2312" w:hAnsi="仿宋_GB2312" w:eastAsia="仿宋_GB2312" w:cs="仿宋_GB2312"/>
          <w:sz w:val="32"/>
          <w:szCs w:val="32"/>
        </w:rPr>
        <w:t>元，比上年增加了</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%，主要原因为工资调整。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2、支出按功能科目分类的明细情况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按照部门支出功能分类，全部为一般公共服务支出财政事务行政运行（2010601），201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年一般公共预算拨款支出</w:t>
      </w:r>
      <w:r>
        <w:rPr>
          <w:rFonts w:hint="eastAsia" w:ascii="仿宋_GB2312" w:hAnsi="仿宋_GB2312" w:eastAsia="仿宋_GB2312" w:cs="仿宋_GB2312"/>
          <w:sz w:val="32"/>
          <w:szCs w:val="32"/>
          <w:lang w:val="en-US" w:eastAsia="zh-CN"/>
        </w:rPr>
        <w:t>5131516</w:t>
      </w:r>
      <w:r>
        <w:rPr>
          <w:rFonts w:hint="eastAsia" w:ascii="仿宋_GB2312" w:hAnsi="仿宋_GB2312" w:eastAsia="仿宋_GB2312" w:cs="仿宋_GB2312"/>
          <w:sz w:val="32"/>
          <w:szCs w:val="32"/>
        </w:rPr>
        <w:t>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年一般公共预算拨款支出</w:t>
      </w:r>
      <w:r>
        <w:rPr>
          <w:rFonts w:hint="eastAsia" w:ascii="仿宋_GB2312" w:hAnsi="仿宋_GB2312" w:eastAsia="仿宋_GB2312" w:cs="仿宋_GB2312"/>
          <w:sz w:val="32"/>
          <w:szCs w:val="32"/>
          <w:lang w:val="en-US" w:eastAsia="zh-CN"/>
        </w:rPr>
        <w:t>8681221</w:t>
      </w:r>
      <w:r>
        <w:rPr>
          <w:rFonts w:hint="eastAsia" w:ascii="仿宋_GB2312" w:hAnsi="仿宋_GB2312" w:eastAsia="仿宋_GB2312" w:cs="仿宋_GB2312"/>
          <w:sz w:val="32"/>
          <w:szCs w:val="32"/>
        </w:rPr>
        <w:t>元，比上年增加了</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%，主要原因为工资调整</w:t>
      </w:r>
      <w:r>
        <w:rPr>
          <w:rFonts w:hint="eastAsia" w:ascii="仿宋_GB2312" w:hAnsi="仿宋_GB2312" w:eastAsia="仿宋_GB2312" w:cs="仿宋_GB2312"/>
          <w:sz w:val="32"/>
          <w:szCs w:val="32"/>
          <w:lang w:eastAsia="zh-CN"/>
        </w:rPr>
        <w:t>及将车补纳入预算</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3、支出按经济科目分类的明细情况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按照部门支出经济科目分类的类级科目，201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年工资福利支出</w:t>
      </w:r>
      <w:r>
        <w:rPr>
          <w:rFonts w:hint="eastAsia" w:ascii="仿宋_GB2312" w:hAnsi="仿宋_GB2312" w:eastAsia="仿宋_GB2312" w:cs="仿宋_GB2312"/>
          <w:sz w:val="32"/>
          <w:szCs w:val="32"/>
          <w:lang w:val="en-US" w:eastAsia="zh-CN"/>
        </w:rPr>
        <w:t>5303101元，</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年商品服务支出</w:t>
      </w:r>
      <w:r>
        <w:rPr>
          <w:rFonts w:hint="eastAsia" w:ascii="仿宋_GB2312" w:hAnsi="仿宋_GB2312" w:eastAsia="仿宋_GB2312" w:cs="仿宋_GB2312"/>
          <w:sz w:val="32"/>
          <w:szCs w:val="32"/>
          <w:lang w:val="en-US" w:eastAsia="zh-CN"/>
        </w:rPr>
        <w:t>1196280</w:t>
      </w:r>
      <w:r>
        <w:rPr>
          <w:rFonts w:hint="eastAsia" w:ascii="仿宋_GB2312" w:hAnsi="仿宋_GB2312" w:eastAsia="仿宋_GB2312" w:cs="仿宋_GB2312"/>
          <w:sz w:val="32"/>
          <w:szCs w:val="32"/>
        </w:rPr>
        <w:t>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年对个人和家庭补助支出</w:t>
      </w:r>
      <w:r>
        <w:rPr>
          <w:rFonts w:hint="eastAsia" w:ascii="仿宋_GB2312" w:hAnsi="仿宋_GB2312" w:eastAsia="仿宋_GB2312" w:cs="仿宋_GB2312"/>
          <w:sz w:val="32"/>
          <w:szCs w:val="32"/>
          <w:lang w:val="en-US" w:eastAsia="zh-CN"/>
        </w:rPr>
        <w:t>2181840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）本部门无政府性基金预算收支，并已公开空表。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）本部门无国有资本经营预算拨款支出。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）部门三公经费预算及增减变化情况说明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会议费201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年预算</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rPr>
        <w:t>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年预算</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rPr>
        <w:t>元；培训费201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年预算</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rPr>
        <w:t>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年预算</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公务用车维护费用</w:t>
      </w:r>
      <w:r>
        <w:rPr>
          <w:rFonts w:hint="eastAsia" w:ascii="仿宋_GB2312" w:hAnsi="仿宋_GB2312" w:eastAsia="仿宋_GB2312" w:cs="仿宋_GB2312"/>
          <w:sz w:val="32"/>
          <w:szCs w:val="32"/>
          <w:lang w:val="en-US" w:eastAsia="zh-CN"/>
        </w:rPr>
        <w:t>2018年预算30000元，2019年预算30000万元，</w:t>
      </w:r>
      <w:r>
        <w:rPr>
          <w:rFonts w:hint="eastAsia" w:ascii="仿宋_GB2312" w:hAnsi="仿宋_GB2312" w:eastAsia="仿宋_GB2312" w:cs="仿宋_GB2312"/>
          <w:sz w:val="32"/>
          <w:szCs w:val="32"/>
        </w:rPr>
        <w:t>我单位结合</w:t>
      </w:r>
      <w:r>
        <w:rPr>
          <w:rFonts w:hint="eastAsia" w:ascii="仿宋_GB2312" w:hAnsi="仿宋_GB2312" w:eastAsia="仿宋_GB2312" w:cs="仿宋_GB2312"/>
          <w:sz w:val="32"/>
          <w:szCs w:val="32"/>
          <w:lang w:val="en-US" w:eastAsia="zh-CN"/>
        </w:rPr>
        <w:t>中央</w:t>
      </w:r>
      <w:bookmarkStart w:id="0" w:name="_GoBack"/>
      <w:bookmarkEnd w:id="0"/>
      <w:r>
        <w:rPr>
          <w:rFonts w:hint="eastAsia" w:ascii="仿宋_GB2312" w:hAnsi="仿宋_GB2312" w:eastAsia="仿宋_GB2312" w:cs="仿宋_GB2312"/>
          <w:sz w:val="32"/>
          <w:szCs w:val="32"/>
        </w:rPr>
        <w:t>八项规定、“四风”规定，严格控制“三公”经费，切实厉行节约</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）本部门201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年预算公用经费支出</w:t>
      </w:r>
      <w:r>
        <w:rPr>
          <w:rFonts w:hint="eastAsia" w:ascii="仿宋_GB2312" w:hAnsi="仿宋_GB2312" w:eastAsia="仿宋_GB2312" w:cs="仿宋_GB2312"/>
          <w:sz w:val="32"/>
          <w:szCs w:val="32"/>
          <w:lang w:val="en-US" w:eastAsia="zh-CN"/>
        </w:rPr>
        <w:t>488000</w:t>
      </w:r>
      <w:r>
        <w:rPr>
          <w:rFonts w:hint="eastAsia" w:ascii="仿宋_GB2312" w:hAnsi="仿宋_GB2312" w:eastAsia="仿宋_GB2312" w:cs="仿宋_GB2312"/>
          <w:sz w:val="32"/>
          <w:szCs w:val="32"/>
        </w:rPr>
        <w:t>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年预算公用经费支出</w:t>
      </w:r>
      <w:r>
        <w:rPr>
          <w:rFonts w:hint="eastAsia" w:ascii="仿宋_GB2312" w:hAnsi="仿宋_GB2312" w:eastAsia="仿宋_GB2312" w:cs="仿宋_GB2312"/>
          <w:sz w:val="32"/>
          <w:szCs w:val="32"/>
          <w:lang w:val="en-US" w:eastAsia="zh-CN"/>
        </w:rPr>
        <w:t>488000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无增减</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）本部门201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年无政府采购预算，并已公开空表。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八、机关运行经费安排情况。</w:t>
      </w: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年公用经费</w:t>
      </w:r>
      <w:r>
        <w:rPr>
          <w:rFonts w:hint="eastAsia" w:ascii="仿宋_GB2312" w:hAnsi="仿宋_GB2312" w:eastAsia="仿宋_GB2312" w:cs="仿宋_GB2312"/>
          <w:sz w:val="32"/>
          <w:szCs w:val="32"/>
          <w:lang w:val="en-US" w:eastAsia="zh-CN"/>
        </w:rPr>
        <w:t>8681221</w:t>
      </w:r>
      <w:r>
        <w:rPr>
          <w:rFonts w:hint="eastAsia" w:ascii="仿宋_GB2312" w:hAnsi="仿宋_GB2312" w:eastAsia="仿宋_GB2312" w:cs="仿宋_GB2312"/>
          <w:sz w:val="32"/>
          <w:szCs w:val="32"/>
        </w:rPr>
        <w:t>元，201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年公用经费</w:t>
      </w:r>
      <w:r>
        <w:rPr>
          <w:rFonts w:hint="eastAsia" w:ascii="仿宋_GB2312" w:hAnsi="仿宋_GB2312" w:eastAsia="仿宋_GB2312" w:cs="仿宋_GB2312"/>
          <w:sz w:val="32"/>
          <w:szCs w:val="32"/>
          <w:lang w:val="en-US" w:eastAsia="zh-CN"/>
        </w:rPr>
        <w:t>5131516</w:t>
      </w:r>
      <w:r>
        <w:rPr>
          <w:rFonts w:hint="eastAsia" w:ascii="仿宋_GB2312" w:hAnsi="仿宋_GB2312" w:eastAsia="仿宋_GB2312" w:cs="仿宋_GB2312"/>
          <w:sz w:val="32"/>
          <w:szCs w:val="32"/>
        </w:rPr>
        <w:t>元，增加原因公务交通补贴从人员经费调整到公用经费中。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九、专业名词解释。</w:t>
      </w:r>
      <w:r>
        <w:rPr>
          <w:rFonts w:hint="eastAsia" w:ascii="仿宋_GB2312" w:hAnsi="仿宋_GB2312" w:eastAsia="仿宋_GB2312" w:cs="仿宋_GB2312"/>
          <w:sz w:val="32"/>
          <w:szCs w:val="32"/>
        </w:rPr>
        <w:t xml:space="preserve"> 1、基本支出：指为保障机构正常运转、完成日常工作任务而发生的各项支出。 2、项目支出：指单位为完成特定的行政工作任务或事业发展目标所发生的各项支出。 3、“三公”经费：指部门使用一般公共预算财政拨款安排的因公出国（境）费、公务用车购置及运行费和公务接待费支出。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十、部门预算表。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21C265FD"/>
    <w:rsid w:val="038B0187"/>
    <w:rsid w:val="0E671DCD"/>
    <w:rsid w:val="0E97306E"/>
    <w:rsid w:val="0F8C77F8"/>
    <w:rsid w:val="11857183"/>
    <w:rsid w:val="139544F6"/>
    <w:rsid w:val="14CE03B4"/>
    <w:rsid w:val="21C265FD"/>
    <w:rsid w:val="25FD788E"/>
    <w:rsid w:val="274A4B55"/>
    <w:rsid w:val="2FE11C8F"/>
    <w:rsid w:val="362E69FC"/>
    <w:rsid w:val="3B130740"/>
    <w:rsid w:val="3DA57CB3"/>
    <w:rsid w:val="45036621"/>
    <w:rsid w:val="45384130"/>
    <w:rsid w:val="4DC23B4C"/>
    <w:rsid w:val="50924C56"/>
    <w:rsid w:val="512661CA"/>
    <w:rsid w:val="584D5595"/>
    <w:rsid w:val="5C7D1946"/>
    <w:rsid w:val="68C0568B"/>
    <w:rsid w:val="6AE222FF"/>
    <w:rsid w:val="6CD16148"/>
    <w:rsid w:val="6D535020"/>
    <w:rsid w:val="6ED269D0"/>
    <w:rsid w:val="703B0ECC"/>
    <w:rsid w:val="7BC10B2F"/>
    <w:rsid w:val="7DAF7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75" w:beforeAutospacing="0" w:after="75" w:afterAutospacing="0"/>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0XLS%20&#24037;&#20316;&#34920;.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0XLS%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495080023710729"/>
          <c:y val="0.0510077133615327"/>
          <c:w val="0.920853586247777"/>
          <c:h val="0.712714605623289"/>
        </c:manualLayout>
      </c:layout>
      <c:barChart>
        <c:barDir val="col"/>
        <c:grouping val="clustered"/>
        <c:varyColors val="0"/>
        <c:ser>
          <c:idx val="0"/>
          <c:order val="0"/>
          <c:tx>
            <c:strRef>
              <c:f>Sheet1!$B$1</c:f>
              <c:strCache>
                <c:ptCount val="1"/>
                <c:pt idx="0">
                  <c:v>总人数</c:v>
                </c:pt>
              </c:strCache>
            </c:strRef>
          </c:tx>
          <c:spPr>
            <a:solidFill>
              <a:schemeClr val="accent1"/>
            </a:solidFill>
            <a:ln>
              <a:noFill/>
            </a:ln>
            <a:effectLst/>
          </c:spPr>
          <c:invertIfNegative val="0"/>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91</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manualLayout>
                  <c:x val="0"/>
                  <c:y val="0.0322916148295596"/>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61</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Sheet1!$B$2:$B$5</c15:sqref>
                  </c15:fullRef>
                </c:ext>
              </c:extLst>
              <c:f>Sheet1!$B$2:$B$4</c:f>
              <c:numCache>
                <c:formatCode>General</c:formatCode>
                <c:ptCount val="3"/>
                <c:pt idx="0">
                  <c:v>70</c:v>
                </c:pt>
                <c:pt idx="1">
                  <c:v>76</c:v>
                </c:pt>
              </c:numCache>
            </c:numRef>
          </c:val>
        </c:ser>
        <c:ser>
          <c:idx val="1"/>
          <c:order val="1"/>
          <c:tx>
            <c:strRef>
              <c:f>Sheet1!$C$1</c:f>
              <c:strCache>
                <c:ptCount val="1"/>
                <c:pt idx="0">
                  <c:v>行政人数</c:v>
                </c:pt>
              </c:strCache>
            </c:strRef>
          </c:tx>
          <c:spPr>
            <a:solidFill>
              <a:schemeClr val="accent2"/>
            </a:solidFill>
            <a:ln>
              <a:noFill/>
            </a:ln>
            <a:effectLst/>
          </c:spPr>
          <c:invertIfNegative val="0"/>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53</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31</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Sheet1!$C$2:$C$5</c15:sqref>
                  </c15:fullRef>
                </c:ext>
              </c:extLst>
              <c:f>Sheet1!$C$2:$C$4</c:f>
              <c:numCache>
                <c:formatCode>General</c:formatCode>
                <c:ptCount val="3"/>
                <c:pt idx="0">
                  <c:v>40</c:v>
                </c:pt>
                <c:pt idx="1">
                  <c:v>41</c:v>
                </c:pt>
              </c:numCache>
            </c:numRef>
          </c:val>
        </c:ser>
        <c:ser>
          <c:idx val="2"/>
          <c:order val="2"/>
          <c:tx>
            <c:strRef>
              <c:f>Sheet1!$D$1</c:f>
              <c:strCache>
                <c:ptCount val="1"/>
                <c:pt idx="0">
                  <c:v>实有人数</c:v>
                </c:pt>
              </c:strCache>
            </c:strRef>
          </c:tx>
          <c:spPr>
            <a:solidFill>
              <a:schemeClr val="accent3"/>
            </a:solidFill>
            <a:ln>
              <a:noFill/>
            </a:ln>
            <a:effectLst/>
          </c:spPr>
          <c:invertIfNegative val="0"/>
          <c:dLbls>
            <c:dLbl>
              <c:idx val="0"/>
              <c:layout>
                <c:manualLayout>
                  <c:x val="-0.014226437462952"/>
                  <c:y val="0"/>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3</a:t>
                    </a:r>
                    <a:r>
                      <a:rPr lang="en-US" altLang="zh-CN"/>
                      <a:t>8</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533491404860699"/>
                  <c:y val="0.0111968151281413"/>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30</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15:layout>
                    <c:manualLayout>
                      <c:w val="0.0580912863070539"/>
                      <c:h val="0.047524259766111"/>
                    </c:manualLayout>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Sheet1!$D$2:$D$5</c15:sqref>
                  </c15:fullRef>
                </c:ext>
              </c:extLst>
              <c:f>Sheet1!$D$2:$D$4</c:f>
              <c:numCache>
                <c:formatCode>General</c:formatCode>
                <c:ptCount val="3"/>
                <c:pt idx="0">
                  <c:v>30</c:v>
                </c:pt>
                <c:pt idx="1">
                  <c:v>35</c:v>
                </c:pt>
              </c:numCache>
            </c:numRef>
          </c:val>
        </c:ser>
        <c:dLbls>
          <c:showLegendKey val="0"/>
          <c:showVal val="1"/>
          <c:showCatName val="0"/>
          <c:showSerName val="0"/>
          <c:showPercent val="0"/>
          <c:showBubbleSize val="0"/>
        </c:dLbls>
        <c:gapWidth val="75"/>
        <c:overlap val="0"/>
        <c:axId val="960915645"/>
        <c:axId val="467037477"/>
      </c:barChart>
      <c:catAx>
        <c:axId val="96091564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67037477"/>
        <c:crosses val="autoZero"/>
        <c:auto val="1"/>
        <c:lblAlgn val="ctr"/>
        <c:lblOffset val="100"/>
        <c:noMultiLvlLbl val="0"/>
      </c:catAx>
      <c:valAx>
        <c:axId val="467037477"/>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60915645"/>
        <c:crosses val="autoZero"/>
        <c:crossBetween val="between"/>
      </c:valAx>
      <c:spPr>
        <a:noFill/>
        <a:ln>
          <a:noFill/>
        </a:ln>
        <a:effectLst/>
      </c:spPr>
    </c:plotArea>
    <c:legend>
      <c:legendPos val="b"/>
      <c:layout>
        <c:manualLayout>
          <c:xMode val="edge"/>
          <c:yMode val="edge"/>
          <c:x val="0.337344398340249"/>
          <c:y val="0.89474993779547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本年度预算收入构成情况</a:t>
            </a:r>
          </a:p>
        </c:rich>
      </c:tx>
      <c:layout>
        <c:manualLayout>
          <c:xMode val="edge"/>
          <c:yMode val="edge"/>
          <c:x val="0.27625"/>
          <c:y val="0.0173611111111111"/>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0.00768100537067318"/>
                  <c:y val="-7.46825174739267e-8"/>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8681221</a:t>
                    </a:r>
                    <a:endParaRPr lang="en-US" altLang="zh-CN"/>
                  </a:p>
                  <a:p>
                    <a:pPr defTabSz="914400">
                      <a:defRPr lang="zh-CN" sz="900" b="0" i="0" u="none" strike="noStrike" kern="1200" baseline="0">
                        <a:solidFill>
                          <a:schemeClr val="tx1">
                            <a:lumMod val="75000"/>
                            <a:lumOff val="25000"/>
                          </a:schemeClr>
                        </a:solidFill>
                        <a:latin typeface="+mn-lt"/>
                        <a:ea typeface="+mn-ea"/>
                        <a:cs typeface="+mn-cs"/>
                      </a:defRPr>
                    </a:pPr>
                    <a:r>
                      <a:t>50%</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101659722222163"/>
                  <c:y val="0.0138889635714065"/>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8681221</a:t>
                    </a:r>
                    <a:r>
                      <a:t> 50%</a:t>
                    </a:r>
                  </a:p>
                </c:rich>
              </c:tx>
              <c:dLblPos val="bestFit"/>
              <c:showLegendKey val="0"/>
              <c:showVal val="1"/>
              <c:showCatName val="0"/>
              <c:showSerName val="0"/>
              <c:showPercent val="1"/>
              <c:showBubbleSize val="0"/>
              <c:extLst>
                <c:ext xmlns:c15="http://schemas.microsoft.com/office/drawing/2012/chart" uri="{CE6537A1-D6FC-4f65-9D91-7224C49458BB}">
                  <c15:layout>
                    <c:manualLayout>
                      <c:w val="0.124027777777778"/>
                      <c:h val="0.165972222222222"/>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工作表.xls]Sheet1'!$A$1:$B$1</c:f>
              <c:strCache>
                <c:ptCount val="2"/>
                <c:pt idx="0">
                  <c:v>全年收入</c:v>
                </c:pt>
                <c:pt idx="1">
                  <c:v>财政拨款收入</c:v>
                </c:pt>
              </c:strCache>
            </c:strRef>
          </c:cat>
          <c:val>
            <c:numRef>
              <c:f>'[新建 XLS 工作表.xls]Sheet1'!$A$2:$B$2</c:f>
              <c:numCache>
                <c:formatCode>General</c:formatCode>
                <c:ptCount val="2"/>
                <c:pt idx="0">
                  <c:v>12742602</c:v>
                </c:pt>
                <c:pt idx="1">
                  <c:v>12742602</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本年度支出构成情况</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'[新建 XLS 工作表.xls]Sheet1'!$A$6:$D$6</c:f>
              <c:strCache>
                <c:ptCount val="4"/>
                <c:pt idx="0">
                  <c:v>本年支出合计</c:v>
                </c:pt>
                <c:pt idx="1">
                  <c:v>工资福利支出</c:v>
                </c:pt>
                <c:pt idx="2">
                  <c:v>商品和服务支出</c:v>
                </c:pt>
                <c:pt idx="3">
                  <c:v>对个人和家庭补助</c:v>
                </c:pt>
              </c:strCache>
            </c:strRef>
          </c:cat>
          <c:val>
            <c:numRef>
              <c:f>'[新建 XLS 工作表.xls]Sheet1'!$A$7:$D$7</c:f>
              <c:numCache>
                <c:formatCode>General</c:formatCode>
                <c:ptCount val="4"/>
                <c:pt idx="0">
                  <c:v>12742602</c:v>
                </c:pt>
                <c:pt idx="1">
                  <c:v>7581769</c:v>
                </c:pt>
                <c:pt idx="2">
                  <c:v>2518600</c:v>
                </c:pt>
                <c:pt idx="3">
                  <c:v>2642233</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55</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2018-07-28T08:51:00Z</dcterms:created>
  <dc:creator>Administrator</dc:creator>
  <cp:lastModifiedBy>byx</cp:lastModifiedBy>
  <cp:lastPrinted>2018-07-28T09:32:00Z</cp:lastPrinted>
  <dcterms:modified xsi:type="dcterms:W3CDTF">2024-01-31T08:46:23Z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4FFF4D002FE548A7AF55432C1F6EEE82_12</vt:lpwstr>
  </property>
</Properties>
</file>