
<file path=[Content_Types].xml><?xml version="1.0" encoding="utf-8"?>
<Types xmlns="http://schemas.openxmlformats.org/package/2006/content-types">
  <Default Extension="xlsx" ContentType="application/vnd.openxmlformats-officedocument.spreadsheetml.shee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kern w:val="1"/>
          <w:sz w:val="48"/>
          <w:szCs w:val="48"/>
        </w:rPr>
      </w:pPr>
      <w:bookmarkStart w:id="0" w:name="_GoBack"/>
      <w:bookmarkEnd w:id="0"/>
    </w:p>
    <w:p>
      <w:pPr>
        <w:spacing w:line="560" w:lineRule="exact"/>
        <w:jc w:val="center"/>
        <w:rPr>
          <w:rFonts w:ascii="宋体" w:hAnsi="宋体"/>
          <w:b/>
          <w:kern w:val="1"/>
          <w:sz w:val="44"/>
          <w:szCs w:val="44"/>
        </w:rPr>
      </w:pPr>
      <w:r>
        <w:rPr>
          <w:rFonts w:hint="eastAsia" w:ascii="宋体" w:hAnsi="宋体"/>
          <w:b/>
          <w:kern w:val="1"/>
          <w:sz w:val="44"/>
          <w:szCs w:val="44"/>
        </w:rPr>
        <w:t>蓝田县</w:t>
      </w:r>
      <w:r>
        <w:rPr>
          <w:rFonts w:ascii="宋体" w:hAnsi="宋体"/>
          <w:b/>
          <w:kern w:val="1"/>
          <w:sz w:val="44"/>
          <w:szCs w:val="44"/>
        </w:rPr>
        <w:t>司法局</w:t>
      </w:r>
    </w:p>
    <w:p>
      <w:pPr>
        <w:spacing w:line="560" w:lineRule="exact"/>
        <w:jc w:val="center"/>
        <w:rPr>
          <w:rFonts w:ascii="宋体" w:hAnsi="宋体"/>
          <w:b/>
          <w:kern w:val="1"/>
          <w:sz w:val="44"/>
          <w:szCs w:val="44"/>
        </w:rPr>
      </w:pPr>
      <w:r>
        <w:rPr>
          <w:rFonts w:ascii="宋体" w:hAnsi="宋体"/>
          <w:b/>
          <w:kern w:val="1"/>
          <w:sz w:val="44"/>
          <w:szCs w:val="44"/>
        </w:rPr>
        <w:t>201</w:t>
      </w:r>
      <w:r>
        <w:rPr>
          <w:rFonts w:hint="eastAsia" w:ascii="宋体" w:hAnsi="宋体"/>
          <w:b/>
          <w:kern w:val="1"/>
          <w:sz w:val="44"/>
          <w:szCs w:val="44"/>
        </w:rPr>
        <w:t>9</w:t>
      </w:r>
      <w:r>
        <w:rPr>
          <w:rFonts w:ascii="宋体" w:hAnsi="宋体"/>
          <w:b/>
          <w:kern w:val="1"/>
          <w:sz w:val="44"/>
          <w:szCs w:val="44"/>
        </w:rPr>
        <w:t>年</w:t>
      </w:r>
      <w:r>
        <w:rPr>
          <w:rFonts w:hint="eastAsia" w:ascii="宋体" w:hAnsi="宋体"/>
          <w:b/>
          <w:kern w:val="1"/>
          <w:sz w:val="44"/>
          <w:szCs w:val="44"/>
        </w:rPr>
        <w:t>部门综合预算说明</w:t>
      </w:r>
    </w:p>
    <w:p>
      <w:pPr>
        <w:spacing w:line="360" w:lineRule="auto"/>
        <w:ind w:firstLine="640" w:firstLineChars="200"/>
        <w:rPr>
          <w:rFonts w:ascii="新宋体" w:hAnsi="新宋体" w:eastAsia="新宋体"/>
          <w:sz w:val="32"/>
          <w:szCs w:val="32"/>
        </w:rPr>
      </w:pPr>
      <w:r>
        <w:rPr>
          <w:rFonts w:hint="eastAsia" w:ascii="新宋体" w:hAnsi="新宋体" w:eastAsia="新宋体"/>
          <w:sz w:val="32"/>
          <w:szCs w:val="32"/>
        </w:rPr>
        <w:t>根据《蓝田县预决算公开实施方案》的要求，现将蓝田县司法局2019年度财政预算情况公开如下：</w:t>
      </w:r>
    </w:p>
    <w:p>
      <w:pPr>
        <w:spacing w:line="360" w:lineRule="auto"/>
        <w:ind w:firstLine="640" w:firstLineChars="200"/>
        <w:rPr>
          <w:rFonts w:ascii="新宋体" w:hAnsi="新宋体" w:eastAsia="新宋体"/>
          <w:sz w:val="32"/>
          <w:szCs w:val="32"/>
        </w:rPr>
      </w:pPr>
      <w:r>
        <w:rPr>
          <w:rFonts w:ascii="新宋体" w:hAnsi="新宋体" w:eastAsia="新宋体"/>
          <w:sz w:val="32"/>
          <w:szCs w:val="32"/>
        </w:rPr>
        <w:t>一、部门主要职责</w:t>
      </w:r>
      <w:r>
        <w:rPr>
          <w:rFonts w:hint="eastAsia" w:ascii="新宋体" w:hAnsi="新宋体" w:eastAsia="新宋体"/>
          <w:sz w:val="32"/>
          <w:szCs w:val="32"/>
        </w:rPr>
        <w:t>及机构设置</w:t>
      </w:r>
    </w:p>
    <w:p>
      <w:pPr>
        <w:spacing w:line="360" w:lineRule="auto"/>
        <w:ind w:firstLine="640" w:firstLineChars="200"/>
        <w:rPr>
          <w:rFonts w:ascii="新宋体" w:hAnsi="新宋体" w:eastAsia="新宋体"/>
          <w:sz w:val="32"/>
          <w:szCs w:val="32"/>
        </w:rPr>
      </w:pPr>
      <w:r>
        <w:rPr>
          <w:rFonts w:hint="eastAsia" w:ascii="新宋体" w:hAnsi="新宋体" w:eastAsia="新宋体"/>
          <w:sz w:val="32"/>
          <w:szCs w:val="32"/>
        </w:rPr>
        <w:t>（一）部门主要职责</w:t>
      </w:r>
    </w:p>
    <w:p>
      <w:pPr>
        <w:spacing w:line="360" w:lineRule="auto"/>
        <w:ind w:firstLine="640" w:firstLineChars="200"/>
        <w:rPr>
          <w:rFonts w:ascii="新宋体" w:hAnsi="新宋体" w:eastAsia="新宋体"/>
          <w:sz w:val="32"/>
          <w:szCs w:val="32"/>
        </w:rPr>
      </w:pPr>
      <w:r>
        <w:rPr>
          <w:rFonts w:ascii="新宋体" w:hAnsi="新宋体" w:eastAsia="新宋体"/>
          <w:sz w:val="32"/>
          <w:szCs w:val="32"/>
        </w:rPr>
        <w:t>1、贯彻执行国家有关司法行政工作的法律法规和方针政策，编制全县司法行政工作规划和年度工作计划，指导全县司法行政工作，参与社会治安综合治理工作。</w:t>
      </w:r>
    </w:p>
    <w:p>
      <w:pPr>
        <w:spacing w:line="360" w:lineRule="auto"/>
        <w:ind w:firstLine="640" w:firstLineChars="200"/>
        <w:rPr>
          <w:rFonts w:ascii="新宋体" w:hAnsi="新宋体" w:eastAsia="新宋体"/>
          <w:sz w:val="32"/>
          <w:szCs w:val="32"/>
        </w:rPr>
      </w:pPr>
      <w:r>
        <w:rPr>
          <w:rFonts w:ascii="新宋体" w:hAnsi="新宋体" w:eastAsia="新宋体"/>
          <w:sz w:val="32"/>
          <w:szCs w:val="32"/>
        </w:rPr>
        <w:t>2、负责全县法制宣传，普及法律常识和依法治县工作，制定规划并组织实施，指导各镇、各行业和基层依法治理工作。</w:t>
      </w:r>
    </w:p>
    <w:p>
      <w:pPr>
        <w:spacing w:line="360" w:lineRule="auto"/>
        <w:ind w:firstLine="640" w:firstLineChars="200"/>
        <w:rPr>
          <w:rFonts w:ascii="新宋体" w:hAnsi="新宋体" w:eastAsia="新宋体"/>
          <w:sz w:val="32"/>
          <w:szCs w:val="32"/>
        </w:rPr>
      </w:pPr>
      <w:r>
        <w:rPr>
          <w:rFonts w:ascii="新宋体" w:hAnsi="新宋体" w:eastAsia="新宋体"/>
          <w:sz w:val="32"/>
          <w:szCs w:val="32"/>
        </w:rPr>
        <w:t>3、负责指导、监督全县的律师工作、公证工作、法律服务工作和法律援助工作，统一监管社会法律服务机构和法律服务市场秩序。</w:t>
      </w:r>
    </w:p>
    <w:p>
      <w:pPr>
        <w:spacing w:line="360" w:lineRule="auto"/>
        <w:ind w:firstLine="640" w:firstLineChars="200"/>
        <w:rPr>
          <w:rFonts w:ascii="新宋体" w:hAnsi="新宋体" w:eastAsia="新宋体"/>
          <w:sz w:val="32"/>
          <w:szCs w:val="32"/>
        </w:rPr>
      </w:pPr>
      <w:r>
        <w:rPr>
          <w:rFonts w:ascii="新宋体" w:hAnsi="新宋体" w:eastAsia="新宋体"/>
          <w:sz w:val="32"/>
          <w:szCs w:val="32"/>
        </w:rPr>
        <w:t>4、负责协调管理全县刑释解教人员的安置帮教工作。</w:t>
      </w:r>
    </w:p>
    <w:p>
      <w:pPr>
        <w:spacing w:line="360" w:lineRule="auto"/>
        <w:ind w:firstLine="640" w:firstLineChars="200"/>
        <w:rPr>
          <w:rFonts w:ascii="新宋体" w:hAnsi="新宋体" w:eastAsia="新宋体"/>
          <w:sz w:val="32"/>
          <w:szCs w:val="32"/>
        </w:rPr>
      </w:pPr>
      <w:r>
        <w:rPr>
          <w:rFonts w:ascii="新宋体" w:hAnsi="新宋体" w:eastAsia="新宋体"/>
          <w:sz w:val="32"/>
          <w:szCs w:val="32"/>
        </w:rPr>
        <w:t>5、负责管理指导全县基层司法所、人民调解和社区矫正工作。</w:t>
      </w:r>
    </w:p>
    <w:p>
      <w:pPr>
        <w:spacing w:line="360" w:lineRule="auto"/>
        <w:ind w:firstLine="640" w:firstLineChars="200"/>
        <w:rPr>
          <w:rFonts w:ascii="新宋体" w:hAnsi="新宋体" w:eastAsia="新宋体"/>
          <w:sz w:val="32"/>
          <w:szCs w:val="32"/>
        </w:rPr>
      </w:pPr>
      <w:r>
        <w:rPr>
          <w:rFonts w:ascii="新宋体" w:hAnsi="新宋体" w:eastAsia="新宋体"/>
          <w:sz w:val="32"/>
          <w:szCs w:val="32"/>
        </w:rPr>
        <w:t>6、管理指导和监督面向社会的司法鉴定工作。</w:t>
      </w:r>
    </w:p>
    <w:p>
      <w:pPr>
        <w:spacing w:line="360" w:lineRule="auto"/>
        <w:ind w:firstLine="640" w:firstLineChars="200"/>
        <w:rPr>
          <w:rFonts w:ascii="新宋体" w:hAnsi="新宋体" w:eastAsia="新宋体"/>
          <w:sz w:val="32"/>
          <w:szCs w:val="32"/>
        </w:rPr>
      </w:pPr>
      <w:r>
        <w:rPr>
          <w:rFonts w:ascii="新宋体" w:hAnsi="新宋体" w:eastAsia="新宋体"/>
          <w:sz w:val="32"/>
          <w:szCs w:val="32"/>
        </w:rPr>
        <w:t>7、管理指导全县司法行政系统的队伍建设和思想政治工作。</w:t>
      </w:r>
    </w:p>
    <w:p>
      <w:pPr>
        <w:spacing w:line="360" w:lineRule="auto"/>
        <w:ind w:firstLine="640" w:firstLineChars="200"/>
        <w:rPr>
          <w:rFonts w:ascii="新宋体" w:hAnsi="新宋体" w:eastAsia="新宋体"/>
          <w:sz w:val="32"/>
          <w:szCs w:val="32"/>
        </w:rPr>
      </w:pPr>
      <w:r>
        <w:rPr>
          <w:rFonts w:ascii="新宋体" w:hAnsi="新宋体" w:eastAsia="新宋体"/>
          <w:sz w:val="32"/>
          <w:szCs w:val="32"/>
        </w:rPr>
        <w:t>8、负责全县司法行政执法监督检查和行政复议、应诉工作，指导全县法学理论研究工作，指导全县律师协会、公证协会、人民调解协会及企、事业律法顾问协会工作。</w:t>
      </w:r>
    </w:p>
    <w:p>
      <w:pPr>
        <w:spacing w:line="360" w:lineRule="auto"/>
        <w:ind w:firstLine="640" w:firstLineChars="200"/>
        <w:rPr>
          <w:rFonts w:ascii="新宋体" w:hAnsi="新宋体" w:eastAsia="新宋体"/>
          <w:sz w:val="32"/>
          <w:szCs w:val="32"/>
        </w:rPr>
      </w:pPr>
      <w:r>
        <w:rPr>
          <w:rFonts w:ascii="新宋体" w:hAnsi="新宋体" w:eastAsia="新宋体"/>
          <w:sz w:val="32"/>
          <w:szCs w:val="32"/>
        </w:rPr>
        <w:t>9、组织实施法学教育，负责全县政法干部、普法骨干和法律服务人员的法律业务培训工作。</w:t>
      </w:r>
    </w:p>
    <w:p>
      <w:pPr>
        <w:spacing w:line="360" w:lineRule="auto"/>
        <w:ind w:firstLine="640" w:firstLineChars="200"/>
        <w:rPr>
          <w:rFonts w:ascii="新宋体" w:hAnsi="新宋体" w:eastAsia="新宋体"/>
          <w:sz w:val="32"/>
          <w:szCs w:val="32"/>
        </w:rPr>
      </w:pPr>
      <w:r>
        <w:rPr>
          <w:rFonts w:ascii="新宋体" w:hAnsi="新宋体" w:eastAsia="新宋体"/>
          <w:sz w:val="32"/>
          <w:szCs w:val="32"/>
        </w:rPr>
        <w:t>10、负责仲裁机构登记前的审核工作。</w:t>
      </w:r>
    </w:p>
    <w:p>
      <w:pPr>
        <w:spacing w:line="360" w:lineRule="auto"/>
        <w:ind w:firstLine="640" w:firstLineChars="200"/>
        <w:rPr>
          <w:rFonts w:ascii="新宋体" w:hAnsi="新宋体" w:eastAsia="新宋体"/>
          <w:sz w:val="32"/>
          <w:szCs w:val="32"/>
        </w:rPr>
      </w:pPr>
      <w:r>
        <w:rPr>
          <w:rFonts w:ascii="新宋体" w:hAnsi="新宋体" w:eastAsia="新宋体"/>
          <w:sz w:val="32"/>
          <w:szCs w:val="32"/>
        </w:rPr>
        <w:t>11、承办县政府交办的其他事项。</w:t>
      </w:r>
    </w:p>
    <w:p>
      <w:pPr>
        <w:spacing w:line="360" w:lineRule="auto"/>
        <w:ind w:firstLine="640" w:firstLineChars="200"/>
        <w:rPr>
          <w:rFonts w:ascii="新宋体" w:hAnsi="新宋体" w:eastAsia="新宋体"/>
          <w:sz w:val="32"/>
          <w:szCs w:val="32"/>
        </w:rPr>
      </w:pPr>
      <w:r>
        <w:rPr>
          <w:rFonts w:hint="eastAsia" w:ascii="新宋体" w:hAnsi="新宋体" w:eastAsia="新宋体"/>
          <w:sz w:val="32"/>
          <w:szCs w:val="32"/>
        </w:rPr>
        <w:t>（二）机构设置情况（部门决算单位构成）序号单位名称单位性质：1、蓝田县司法局，行政单位；2、蓝田县公证处，财政补助事业单位。蓝田县司法局下辖22个司法所，局机关编制办公室、基层科、法制宣传科、社区矫正科、公证律师管理科和法律援助中心6个科室。</w:t>
      </w:r>
    </w:p>
    <w:p>
      <w:pPr>
        <w:spacing w:line="360" w:lineRule="auto"/>
        <w:ind w:firstLine="640" w:firstLineChars="200"/>
        <w:rPr>
          <w:rFonts w:ascii="新宋体" w:hAnsi="新宋体" w:eastAsia="新宋体"/>
          <w:sz w:val="32"/>
          <w:szCs w:val="32"/>
        </w:rPr>
      </w:pPr>
      <w:r>
        <w:rPr>
          <w:rFonts w:ascii="新宋体" w:hAnsi="新宋体" w:eastAsia="新宋体"/>
          <w:sz w:val="32"/>
          <w:szCs w:val="32"/>
        </w:rPr>
        <w:t>二、201</w:t>
      </w:r>
      <w:r>
        <w:rPr>
          <w:rFonts w:hint="eastAsia" w:ascii="新宋体" w:hAnsi="新宋体" w:eastAsia="新宋体"/>
          <w:sz w:val="32"/>
          <w:szCs w:val="32"/>
        </w:rPr>
        <w:t>9</w:t>
      </w:r>
      <w:r>
        <w:rPr>
          <w:rFonts w:ascii="新宋体" w:hAnsi="新宋体" w:eastAsia="新宋体"/>
          <w:sz w:val="32"/>
          <w:szCs w:val="32"/>
        </w:rPr>
        <w:t>年年度部门工作任务：</w:t>
      </w:r>
    </w:p>
    <w:p>
      <w:pPr>
        <w:spacing w:line="360" w:lineRule="auto"/>
        <w:ind w:firstLine="640" w:firstLineChars="200"/>
        <w:rPr>
          <w:rFonts w:ascii="新宋体" w:hAnsi="新宋体" w:eastAsia="新宋体"/>
          <w:sz w:val="32"/>
          <w:szCs w:val="32"/>
        </w:rPr>
      </w:pPr>
      <w:r>
        <w:rPr>
          <w:rFonts w:ascii="新宋体" w:hAnsi="新宋体" w:eastAsia="新宋体"/>
          <w:sz w:val="32"/>
          <w:szCs w:val="32"/>
        </w:rPr>
        <w:t>（一）提升法治宣传职能，营造全民守法氛围</w:t>
      </w:r>
    </w:p>
    <w:p>
      <w:pPr>
        <w:spacing w:line="360" w:lineRule="auto"/>
        <w:ind w:firstLine="640" w:firstLineChars="200"/>
        <w:rPr>
          <w:rFonts w:ascii="新宋体" w:hAnsi="新宋体" w:eastAsia="新宋体"/>
          <w:sz w:val="32"/>
          <w:szCs w:val="32"/>
        </w:rPr>
      </w:pPr>
      <w:r>
        <w:rPr>
          <w:rFonts w:ascii="新宋体" w:hAnsi="新宋体" w:eastAsia="新宋体"/>
          <w:sz w:val="32"/>
          <w:szCs w:val="32"/>
        </w:rPr>
        <w:t>1.结合“3.15”、 “三下乡”、“12.4”</w:t>
      </w:r>
      <w:r>
        <w:rPr>
          <w:rFonts w:hint="eastAsia" w:ascii="新宋体" w:hAnsi="新宋体" w:eastAsia="新宋体"/>
          <w:sz w:val="32"/>
          <w:szCs w:val="32"/>
        </w:rPr>
        <w:t>、</w:t>
      </w:r>
      <w:r>
        <w:rPr>
          <w:rFonts w:ascii="新宋体" w:hAnsi="新宋体" w:eastAsia="新宋体"/>
          <w:sz w:val="32"/>
          <w:szCs w:val="32"/>
        </w:rPr>
        <w:t>古庙会等节点广泛开展形式多样、内容丰富的法治宣传教育活动，扩大“法律六进”覆盖面，为经济社会和谐稳定发展营造良好的法治氛围和法治环境。</w:t>
      </w:r>
    </w:p>
    <w:p>
      <w:pPr>
        <w:spacing w:line="360" w:lineRule="auto"/>
        <w:ind w:firstLine="640" w:firstLineChars="200"/>
        <w:rPr>
          <w:rFonts w:ascii="新宋体" w:hAnsi="新宋体" w:eastAsia="新宋体"/>
          <w:sz w:val="32"/>
          <w:szCs w:val="32"/>
        </w:rPr>
      </w:pPr>
      <w:r>
        <w:rPr>
          <w:rFonts w:ascii="新宋体" w:hAnsi="新宋体" w:eastAsia="新宋体"/>
          <w:sz w:val="32"/>
          <w:szCs w:val="32"/>
        </w:rPr>
        <w:t>2.加强普法宣传队伍和法治文化阵地建设。加强“七五”普法讲师团人员，优化普法讲师团结构。</w:t>
      </w:r>
    </w:p>
    <w:p>
      <w:pPr>
        <w:spacing w:line="360" w:lineRule="auto"/>
        <w:ind w:firstLine="640" w:firstLineChars="200"/>
        <w:rPr>
          <w:rFonts w:ascii="新宋体" w:hAnsi="新宋体" w:eastAsia="新宋体"/>
          <w:sz w:val="32"/>
          <w:szCs w:val="32"/>
        </w:rPr>
      </w:pPr>
      <w:r>
        <w:rPr>
          <w:rFonts w:ascii="新宋体" w:hAnsi="新宋体" w:eastAsia="新宋体"/>
          <w:sz w:val="32"/>
          <w:szCs w:val="32"/>
        </w:rPr>
        <w:t>3.创新法治宣传教育方式和方法。加强“互联网+法治宣传教育”工作建设。</w:t>
      </w:r>
    </w:p>
    <w:p>
      <w:pPr>
        <w:spacing w:line="360" w:lineRule="auto"/>
        <w:ind w:firstLine="640" w:firstLineChars="200"/>
        <w:rPr>
          <w:rFonts w:ascii="新宋体" w:hAnsi="新宋体" w:eastAsia="新宋体"/>
          <w:sz w:val="32"/>
          <w:szCs w:val="32"/>
        </w:rPr>
      </w:pPr>
      <w:r>
        <w:rPr>
          <w:rFonts w:ascii="新宋体" w:hAnsi="新宋体" w:eastAsia="新宋体"/>
          <w:sz w:val="32"/>
          <w:szCs w:val="32"/>
        </w:rPr>
        <w:t>（二）优化法律服务职能，服务经济社会发展大局</w:t>
      </w:r>
    </w:p>
    <w:p>
      <w:pPr>
        <w:spacing w:line="360" w:lineRule="auto"/>
        <w:ind w:firstLine="640" w:firstLineChars="200"/>
        <w:rPr>
          <w:rFonts w:ascii="新宋体" w:hAnsi="新宋体" w:eastAsia="新宋体"/>
          <w:sz w:val="32"/>
          <w:szCs w:val="32"/>
        </w:rPr>
      </w:pPr>
      <w:r>
        <w:rPr>
          <w:rFonts w:ascii="新宋体" w:hAnsi="新宋体" w:eastAsia="新宋体"/>
          <w:sz w:val="32"/>
          <w:szCs w:val="32"/>
        </w:rPr>
        <w:t>1.积极应用12348公共法律服务平台。</w:t>
      </w:r>
    </w:p>
    <w:p>
      <w:pPr>
        <w:spacing w:line="360" w:lineRule="auto"/>
        <w:ind w:firstLine="640" w:firstLineChars="200"/>
        <w:rPr>
          <w:rFonts w:ascii="新宋体" w:hAnsi="新宋体" w:eastAsia="新宋体"/>
          <w:sz w:val="32"/>
          <w:szCs w:val="32"/>
        </w:rPr>
      </w:pPr>
      <w:r>
        <w:rPr>
          <w:rFonts w:ascii="新宋体" w:hAnsi="新宋体" w:eastAsia="新宋体"/>
          <w:sz w:val="32"/>
          <w:szCs w:val="32"/>
        </w:rPr>
        <w:t>2.不断拓展法律服务领域。</w:t>
      </w:r>
    </w:p>
    <w:p>
      <w:pPr>
        <w:spacing w:line="360" w:lineRule="auto"/>
        <w:ind w:firstLine="640" w:firstLineChars="200"/>
        <w:rPr>
          <w:rFonts w:ascii="新宋体" w:hAnsi="新宋体" w:eastAsia="新宋体"/>
          <w:sz w:val="32"/>
          <w:szCs w:val="32"/>
        </w:rPr>
      </w:pPr>
      <w:r>
        <w:rPr>
          <w:rFonts w:ascii="新宋体" w:hAnsi="新宋体" w:eastAsia="新宋体"/>
          <w:sz w:val="32"/>
          <w:szCs w:val="32"/>
        </w:rPr>
        <w:t>3、全力配合，做好“大棚房”整治工作。</w:t>
      </w:r>
    </w:p>
    <w:p>
      <w:pPr>
        <w:spacing w:line="360" w:lineRule="auto"/>
        <w:ind w:firstLine="640" w:firstLineChars="200"/>
        <w:rPr>
          <w:rFonts w:ascii="新宋体" w:hAnsi="新宋体" w:eastAsia="新宋体"/>
          <w:sz w:val="32"/>
          <w:szCs w:val="32"/>
        </w:rPr>
      </w:pPr>
      <w:r>
        <w:rPr>
          <w:rFonts w:ascii="新宋体" w:hAnsi="新宋体" w:eastAsia="新宋体"/>
          <w:sz w:val="32"/>
          <w:szCs w:val="32"/>
        </w:rPr>
        <w:t>（三）强化法律保障职能，倾力维护社会稳定</w:t>
      </w:r>
    </w:p>
    <w:p>
      <w:pPr>
        <w:spacing w:line="360" w:lineRule="auto"/>
        <w:ind w:firstLine="640" w:firstLineChars="200"/>
        <w:rPr>
          <w:rFonts w:ascii="新宋体" w:hAnsi="新宋体" w:eastAsia="新宋体"/>
          <w:sz w:val="32"/>
          <w:szCs w:val="32"/>
        </w:rPr>
      </w:pPr>
      <w:r>
        <w:rPr>
          <w:rFonts w:ascii="新宋体" w:hAnsi="新宋体" w:eastAsia="新宋体"/>
          <w:sz w:val="32"/>
          <w:szCs w:val="32"/>
        </w:rPr>
        <w:t>1.严格规范刑罚执行工作，推进监狱和社区矫正机构刑罚执行一体化建设。</w:t>
      </w:r>
    </w:p>
    <w:p>
      <w:pPr>
        <w:spacing w:line="360" w:lineRule="auto"/>
        <w:ind w:firstLine="640" w:firstLineChars="200"/>
        <w:rPr>
          <w:rFonts w:ascii="新宋体" w:hAnsi="新宋体" w:eastAsia="新宋体"/>
          <w:sz w:val="32"/>
          <w:szCs w:val="32"/>
        </w:rPr>
      </w:pPr>
      <w:r>
        <w:rPr>
          <w:rFonts w:ascii="新宋体" w:hAnsi="新宋体" w:eastAsia="新宋体"/>
          <w:sz w:val="32"/>
          <w:szCs w:val="32"/>
        </w:rPr>
        <w:t>2.继续加强行业性、专业性人民调解组织建设，完善矛盾纠纷多元化解机制。</w:t>
      </w:r>
    </w:p>
    <w:p>
      <w:pPr>
        <w:spacing w:line="360" w:lineRule="auto"/>
        <w:ind w:firstLine="640" w:firstLineChars="200"/>
        <w:rPr>
          <w:rFonts w:ascii="新宋体" w:hAnsi="新宋体" w:eastAsia="新宋体"/>
          <w:sz w:val="32"/>
          <w:szCs w:val="32"/>
        </w:rPr>
      </w:pPr>
      <w:r>
        <w:rPr>
          <w:rFonts w:ascii="新宋体" w:hAnsi="新宋体" w:eastAsia="新宋体"/>
          <w:sz w:val="32"/>
          <w:szCs w:val="32"/>
        </w:rPr>
        <w:t>3.全面开展扫黑除恶线索摸排工作。</w:t>
      </w:r>
    </w:p>
    <w:p>
      <w:pPr>
        <w:spacing w:line="360" w:lineRule="auto"/>
        <w:ind w:firstLine="640" w:firstLineChars="200"/>
        <w:rPr>
          <w:rFonts w:ascii="新宋体" w:hAnsi="新宋体" w:eastAsia="新宋体"/>
          <w:sz w:val="32"/>
          <w:szCs w:val="32"/>
        </w:rPr>
      </w:pPr>
      <w:r>
        <w:rPr>
          <w:rFonts w:ascii="新宋体" w:hAnsi="新宋体" w:eastAsia="新宋体"/>
          <w:sz w:val="32"/>
          <w:szCs w:val="32"/>
        </w:rPr>
        <w:t>一是全面开展宣传教育，通过张贴扫黑除恶公告、悬挂扫黑除恶横幅标语，让老百姓了解什么是“黑”、什么是“恶”；</w:t>
      </w:r>
    </w:p>
    <w:p>
      <w:pPr>
        <w:spacing w:line="360" w:lineRule="auto"/>
        <w:ind w:firstLine="640" w:firstLineChars="200"/>
        <w:rPr>
          <w:rFonts w:ascii="新宋体" w:hAnsi="新宋体" w:eastAsia="新宋体"/>
          <w:sz w:val="32"/>
          <w:szCs w:val="32"/>
        </w:rPr>
      </w:pPr>
      <w:r>
        <w:rPr>
          <w:rFonts w:ascii="新宋体" w:hAnsi="新宋体" w:eastAsia="新宋体"/>
          <w:sz w:val="32"/>
          <w:szCs w:val="32"/>
        </w:rPr>
        <w:t>二是加大走访排查力度，悬挂举报箱，规范建立台账，做好线索收集、登记、上报。</w:t>
      </w:r>
    </w:p>
    <w:p>
      <w:pPr>
        <w:spacing w:line="360" w:lineRule="auto"/>
        <w:ind w:firstLine="640" w:firstLineChars="200"/>
        <w:rPr>
          <w:rFonts w:ascii="新宋体" w:hAnsi="新宋体" w:eastAsia="新宋体"/>
          <w:sz w:val="32"/>
          <w:szCs w:val="32"/>
        </w:rPr>
      </w:pPr>
      <w:r>
        <w:rPr>
          <w:rFonts w:ascii="新宋体" w:hAnsi="新宋体" w:eastAsia="新宋体"/>
          <w:sz w:val="32"/>
          <w:szCs w:val="32"/>
        </w:rPr>
        <w:t>三是召开社区矫正人员及安置帮教人员集中教育会，做好教育工作并告诫此两类特殊群体积极举报黑恶线索。</w:t>
      </w:r>
    </w:p>
    <w:p>
      <w:pPr>
        <w:spacing w:line="360" w:lineRule="auto"/>
        <w:ind w:firstLine="640" w:firstLineChars="200"/>
        <w:rPr>
          <w:rFonts w:ascii="新宋体" w:hAnsi="新宋体" w:eastAsia="新宋体"/>
          <w:sz w:val="32"/>
          <w:szCs w:val="32"/>
        </w:rPr>
      </w:pPr>
      <w:r>
        <w:rPr>
          <w:rFonts w:ascii="新宋体" w:hAnsi="新宋体" w:eastAsia="新宋体"/>
          <w:sz w:val="32"/>
          <w:szCs w:val="32"/>
        </w:rPr>
        <w:t>（四）深化司法行政改革，突出补齐短板成效</w:t>
      </w:r>
    </w:p>
    <w:p>
      <w:pPr>
        <w:spacing w:line="360" w:lineRule="auto"/>
        <w:ind w:firstLine="640" w:firstLineChars="200"/>
        <w:rPr>
          <w:rFonts w:ascii="新宋体" w:hAnsi="新宋体" w:eastAsia="新宋体"/>
          <w:sz w:val="32"/>
          <w:szCs w:val="32"/>
        </w:rPr>
      </w:pPr>
      <w:r>
        <w:rPr>
          <w:rFonts w:ascii="新宋体" w:hAnsi="新宋体" w:eastAsia="新宋体"/>
          <w:sz w:val="32"/>
          <w:szCs w:val="32"/>
        </w:rPr>
        <w:t>1.加强律师行业党的建设。</w:t>
      </w:r>
    </w:p>
    <w:p>
      <w:pPr>
        <w:spacing w:line="360" w:lineRule="auto"/>
        <w:ind w:firstLine="640" w:firstLineChars="200"/>
        <w:rPr>
          <w:rFonts w:ascii="新宋体" w:hAnsi="新宋体" w:eastAsia="新宋体"/>
          <w:sz w:val="32"/>
          <w:szCs w:val="32"/>
        </w:rPr>
      </w:pPr>
      <w:r>
        <w:rPr>
          <w:rFonts w:ascii="新宋体" w:hAnsi="新宋体" w:eastAsia="新宋体"/>
          <w:sz w:val="32"/>
          <w:szCs w:val="32"/>
        </w:rPr>
        <w:t>2.推动公证改革发展。</w:t>
      </w:r>
    </w:p>
    <w:p>
      <w:pPr>
        <w:spacing w:line="360" w:lineRule="auto"/>
        <w:ind w:firstLine="640" w:firstLineChars="200"/>
        <w:rPr>
          <w:rFonts w:ascii="新宋体" w:hAnsi="新宋体" w:eastAsia="新宋体"/>
          <w:sz w:val="32"/>
          <w:szCs w:val="32"/>
        </w:rPr>
      </w:pPr>
      <w:r>
        <w:rPr>
          <w:rFonts w:ascii="新宋体" w:hAnsi="新宋体" w:eastAsia="新宋体"/>
          <w:sz w:val="32"/>
          <w:szCs w:val="32"/>
        </w:rPr>
        <w:t>（五）夯实基层基础，确保司法行政各项任务全面落实</w:t>
      </w:r>
    </w:p>
    <w:p>
      <w:pPr>
        <w:spacing w:line="360" w:lineRule="auto"/>
        <w:ind w:firstLine="640" w:firstLineChars="200"/>
        <w:rPr>
          <w:rFonts w:ascii="新宋体" w:hAnsi="新宋体" w:eastAsia="新宋体"/>
          <w:sz w:val="32"/>
          <w:szCs w:val="32"/>
        </w:rPr>
      </w:pPr>
      <w:r>
        <w:rPr>
          <w:rFonts w:ascii="新宋体" w:hAnsi="新宋体" w:eastAsia="新宋体"/>
          <w:sz w:val="32"/>
          <w:szCs w:val="32"/>
        </w:rPr>
        <w:t>1.建立基层公共法律服务项目清单。</w:t>
      </w:r>
    </w:p>
    <w:p>
      <w:pPr>
        <w:spacing w:line="360" w:lineRule="auto"/>
        <w:ind w:firstLine="640" w:firstLineChars="200"/>
        <w:rPr>
          <w:rFonts w:ascii="新宋体" w:hAnsi="新宋体" w:eastAsia="新宋体"/>
          <w:sz w:val="32"/>
          <w:szCs w:val="32"/>
        </w:rPr>
      </w:pPr>
      <w:r>
        <w:rPr>
          <w:rFonts w:ascii="新宋体" w:hAnsi="新宋体" w:eastAsia="新宋体"/>
          <w:sz w:val="32"/>
          <w:szCs w:val="32"/>
        </w:rPr>
        <w:t>2.完善基层公共法律服务规范。</w:t>
      </w:r>
    </w:p>
    <w:p>
      <w:pPr>
        <w:spacing w:line="360" w:lineRule="auto"/>
        <w:ind w:firstLine="640" w:firstLineChars="200"/>
        <w:rPr>
          <w:rFonts w:ascii="新宋体" w:hAnsi="新宋体" w:eastAsia="新宋体"/>
          <w:sz w:val="32"/>
          <w:szCs w:val="32"/>
        </w:rPr>
      </w:pPr>
      <w:r>
        <w:rPr>
          <w:rFonts w:ascii="新宋体" w:hAnsi="新宋体" w:eastAsia="新宋体"/>
          <w:sz w:val="32"/>
          <w:szCs w:val="32"/>
        </w:rPr>
        <w:t>3.充实基层公共法律服务人员力量。</w:t>
      </w:r>
    </w:p>
    <w:p>
      <w:pPr>
        <w:spacing w:line="360" w:lineRule="auto"/>
        <w:ind w:firstLine="640" w:firstLineChars="200"/>
        <w:rPr>
          <w:rFonts w:ascii="新宋体" w:hAnsi="新宋体" w:eastAsia="新宋体"/>
          <w:sz w:val="32"/>
          <w:szCs w:val="32"/>
        </w:rPr>
      </w:pPr>
      <w:r>
        <w:rPr>
          <w:rFonts w:ascii="新宋体" w:hAnsi="新宋体" w:eastAsia="新宋体"/>
          <w:sz w:val="32"/>
          <w:szCs w:val="32"/>
        </w:rPr>
        <w:t>4.加强教育培训。</w:t>
      </w:r>
    </w:p>
    <w:p>
      <w:pPr>
        <w:spacing w:line="360" w:lineRule="auto"/>
        <w:ind w:firstLine="640" w:firstLineChars="200"/>
        <w:rPr>
          <w:rFonts w:ascii="新宋体" w:hAnsi="新宋体" w:eastAsia="新宋体"/>
          <w:sz w:val="32"/>
          <w:szCs w:val="32"/>
        </w:rPr>
      </w:pPr>
      <w:r>
        <w:rPr>
          <w:rFonts w:ascii="新宋体" w:hAnsi="新宋体" w:eastAsia="新宋体"/>
          <w:sz w:val="32"/>
          <w:szCs w:val="32"/>
        </w:rPr>
        <w:t>（六）加强思想政治教育，全面提升队伍素质</w:t>
      </w:r>
    </w:p>
    <w:p>
      <w:pPr>
        <w:spacing w:line="360" w:lineRule="auto"/>
        <w:ind w:firstLine="640" w:firstLineChars="200"/>
        <w:rPr>
          <w:rFonts w:ascii="新宋体" w:hAnsi="新宋体" w:eastAsia="新宋体"/>
          <w:sz w:val="32"/>
          <w:szCs w:val="32"/>
        </w:rPr>
      </w:pPr>
      <w:r>
        <w:rPr>
          <w:rFonts w:ascii="新宋体" w:hAnsi="新宋体" w:eastAsia="新宋体"/>
          <w:sz w:val="32"/>
          <w:szCs w:val="32"/>
        </w:rPr>
        <w:t>1.加强思想政治教育。</w:t>
      </w:r>
    </w:p>
    <w:p>
      <w:pPr>
        <w:spacing w:line="360" w:lineRule="auto"/>
        <w:ind w:firstLine="640" w:firstLineChars="200"/>
        <w:rPr>
          <w:rFonts w:ascii="新宋体" w:hAnsi="新宋体" w:eastAsia="新宋体"/>
          <w:sz w:val="32"/>
          <w:szCs w:val="32"/>
        </w:rPr>
      </w:pPr>
      <w:r>
        <w:rPr>
          <w:rFonts w:ascii="新宋体" w:hAnsi="新宋体" w:eastAsia="新宋体"/>
          <w:sz w:val="32"/>
          <w:szCs w:val="32"/>
        </w:rPr>
        <w:t>2.认真落实“三会一课”、民主生活会等制度，深化社会主义核心价值观、法治理念和道德教育，严守党的政治纪律和政治规矩，严格落实重大事项请示报告制度，持续整改发现的问题，巩固扩大整改成果。</w:t>
      </w:r>
    </w:p>
    <w:p>
      <w:pPr>
        <w:spacing w:line="360" w:lineRule="auto"/>
        <w:ind w:firstLine="640" w:firstLineChars="200"/>
        <w:rPr>
          <w:rFonts w:ascii="新宋体" w:hAnsi="新宋体" w:eastAsia="新宋体"/>
          <w:sz w:val="32"/>
          <w:szCs w:val="32"/>
        </w:rPr>
      </w:pPr>
      <w:r>
        <w:rPr>
          <w:rFonts w:ascii="新宋体" w:hAnsi="新宋体" w:eastAsia="新宋体"/>
          <w:sz w:val="32"/>
          <w:szCs w:val="32"/>
        </w:rPr>
        <w:t>3.落实全面从严治党主体责任。</w:t>
      </w:r>
    </w:p>
    <w:p>
      <w:pPr>
        <w:spacing w:line="360" w:lineRule="auto"/>
        <w:ind w:firstLine="640" w:firstLineChars="200"/>
        <w:rPr>
          <w:rFonts w:ascii="新宋体" w:hAnsi="新宋体" w:eastAsia="新宋体"/>
          <w:sz w:val="32"/>
          <w:szCs w:val="32"/>
        </w:rPr>
      </w:pPr>
      <w:r>
        <w:rPr>
          <w:rFonts w:ascii="新宋体" w:hAnsi="新宋体" w:eastAsia="新宋体"/>
          <w:sz w:val="32"/>
          <w:szCs w:val="32"/>
        </w:rPr>
        <w:t>4.加强作风建设</w:t>
      </w:r>
    </w:p>
    <w:p>
      <w:pPr>
        <w:spacing w:line="360" w:lineRule="auto"/>
        <w:ind w:firstLine="640" w:firstLineChars="200"/>
        <w:rPr>
          <w:rFonts w:ascii="新宋体" w:hAnsi="新宋体" w:eastAsia="新宋体"/>
          <w:sz w:val="32"/>
          <w:szCs w:val="32"/>
        </w:rPr>
      </w:pPr>
      <w:r>
        <w:rPr>
          <w:rFonts w:ascii="新宋体" w:hAnsi="新宋体" w:eastAsia="新宋体"/>
          <w:sz w:val="32"/>
          <w:szCs w:val="32"/>
        </w:rPr>
        <w:t>三、部门预算单位构成</w:t>
      </w:r>
    </w:p>
    <w:p>
      <w:pPr>
        <w:spacing w:line="360" w:lineRule="auto"/>
        <w:ind w:firstLine="640" w:firstLineChars="200"/>
        <w:rPr>
          <w:rFonts w:ascii="新宋体" w:hAnsi="新宋体" w:eastAsia="新宋体"/>
          <w:sz w:val="32"/>
          <w:szCs w:val="32"/>
        </w:rPr>
      </w:pPr>
      <w:r>
        <w:rPr>
          <w:rFonts w:ascii="新宋体" w:hAnsi="新宋体" w:eastAsia="新宋体"/>
          <w:sz w:val="32"/>
          <w:szCs w:val="32"/>
        </w:rPr>
        <w:t>从预算单位构成看，本部门的部门预算包括</w:t>
      </w:r>
      <w:r>
        <w:rPr>
          <w:rFonts w:hint="eastAsia" w:ascii="新宋体" w:hAnsi="新宋体" w:eastAsia="新宋体"/>
          <w:sz w:val="32"/>
          <w:szCs w:val="32"/>
        </w:rPr>
        <w:t>司法</w:t>
      </w:r>
      <w:r>
        <w:rPr>
          <w:rFonts w:ascii="新宋体" w:hAnsi="新宋体" w:eastAsia="新宋体"/>
          <w:sz w:val="32"/>
          <w:szCs w:val="32"/>
        </w:rPr>
        <w:t>局机关下属二级预算单位</w:t>
      </w:r>
      <w:r>
        <w:rPr>
          <w:rFonts w:hint="eastAsia" w:ascii="新宋体" w:hAnsi="新宋体" w:eastAsia="新宋体"/>
          <w:sz w:val="32"/>
          <w:szCs w:val="32"/>
        </w:rPr>
        <w:t>蓝田县公证处</w:t>
      </w:r>
      <w:r>
        <w:rPr>
          <w:rFonts w:ascii="新宋体" w:hAnsi="新宋体" w:eastAsia="新宋体"/>
          <w:sz w:val="32"/>
          <w:szCs w:val="32"/>
        </w:rPr>
        <w:t>。</w:t>
      </w:r>
      <w:r>
        <w:rPr>
          <w:rFonts w:hint="eastAsia" w:ascii="新宋体" w:hAnsi="新宋体" w:eastAsia="新宋体"/>
          <w:sz w:val="32"/>
          <w:szCs w:val="32"/>
        </w:rPr>
        <w:t>由于公证处属于自收自支的事业单位，故年初无预算，预算公开无法体现公证处的收入情况。</w:t>
      </w:r>
    </w:p>
    <w:p>
      <w:pPr>
        <w:spacing w:line="360" w:lineRule="auto"/>
        <w:ind w:firstLine="640" w:firstLineChars="200"/>
        <w:rPr>
          <w:rFonts w:ascii="新宋体" w:hAnsi="新宋体" w:eastAsia="新宋体"/>
          <w:sz w:val="32"/>
          <w:szCs w:val="32"/>
        </w:rPr>
      </w:pPr>
    </w:p>
    <w:tbl>
      <w:tblPr>
        <w:tblStyle w:val="10"/>
        <w:tblW w:w="9234" w:type="dxa"/>
        <w:jc w:val="center"/>
        <w:tblLayout w:type="autofit"/>
        <w:tblCellMar>
          <w:top w:w="0" w:type="dxa"/>
          <w:left w:w="0" w:type="dxa"/>
          <w:bottom w:w="0" w:type="dxa"/>
          <w:right w:w="0" w:type="dxa"/>
        </w:tblCellMar>
      </w:tblPr>
      <w:tblGrid>
        <w:gridCol w:w="993"/>
        <w:gridCol w:w="3260"/>
        <w:gridCol w:w="4981"/>
      </w:tblGrid>
      <w:tr>
        <w:tblPrEx>
          <w:tblCellMar>
            <w:top w:w="0" w:type="dxa"/>
            <w:left w:w="0" w:type="dxa"/>
            <w:bottom w:w="0" w:type="dxa"/>
            <w:right w:w="0" w:type="dxa"/>
          </w:tblCellMar>
        </w:tblPrEx>
        <w:trPr>
          <w:trHeight w:val="669" w:hRule="atLeast"/>
          <w:jc w:val="center"/>
        </w:trPr>
        <w:tc>
          <w:tcPr>
            <w:tcW w:w="993" w:type="dxa"/>
            <w:tcBorders>
              <w:top w:val="single" w:color="000000" w:sz="8" w:space="0"/>
              <w:left w:val="single" w:color="000000" w:sz="8" w:space="0"/>
              <w:bottom w:val="single" w:color="000000" w:sz="8" w:space="0"/>
              <w:right w:val="single" w:color="000000" w:sz="8" w:space="0"/>
            </w:tcBorders>
            <w:vAlign w:val="center"/>
          </w:tcPr>
          <w:p>
            <w:pPr>
              <w:spacing w:line="360" w:lineRule="auto"/>
              <w:rPr>
                <w:rFonts w:ascii="新宋体" w:hAnsi="新宋体" w:eastAsia="新宋体"/>
                <w:sz w:val="32"/>
                <w:szCs w:val="32"/>
              </w:rPr>
            </w:pPr>
            <w:r>
              <w:rPr>
                <w:rFonts w:ascii="新宋体" w:hAnsi="新宋体" w:eastAsia="新宋体"/>
                <w:sz w:val="32"/>
                <w:szCs w:val="32"/>
              </w:rPr>
              <w:t>序号</w:t>
            </w:r>
          </w:p>
        </w:tc>
        <w:tc>
          <w:tcPr>
            <w:tcW w:w="3260" w:type="dxa"/>
            <w:tcBorders>
              <w:top w:val="single" w:color="000000" w:sz="8" w:space="0"/>
              <w:left w:val="single" w:color="000000" w:sz="8" w:space="0"/>
              <w:bottom w:val="single" w:color="000000" w:sz="8" w:space="0"/>
              <w:right w:val="single" w:color="auto" w:sz="4" w:space="0"/>
            </w:tcBorders>
            <w:vAlign w:val="center"/>
          </w:tcPr>
          <w:p>
            <w:pPr>
              <w:spacing w:line="360" w:lineRule="auto"/>
              <w:ind w:firstLine="640" w:firstLineChars="200"/>
              <w:rPr>
                <w:rFonts w:ascii="新宋体" w:hAnsi="新宋体" w:eastAsia="新宋体"/>
                <w:sz w:val="32"/>
                <w:szCs w:val="32"/>
              </w:rPr>
            </w:pPr>
            <w:r>
              <w:rPr>
                <w:rFonts w:ascii="新宋体" w:hAnsi="新宋体" w:eastAsia="新宋体"/>
                <w:sz w:val="32"/>
                <w:szCs w:val="32"/>
              </w:rPr>
              <w:t>单位名称</w:t>
            </w:r>
          </w:p>
        </w:tc>
        <w:tc>
          <w:tcPr>
            <w:tcW w:w="4981" w:type="dxa"/>
            <w:tcBorders>
              <w:top w:val="single" w:color="000000" w:sz="8" w:space="0"/>
              <w:left w:val="single" w:color="auto" w:sz="4" w:space="0"/>
              <w:bottom w:val="single" w:color="000000" w:sz="8" w:space="0"/>
              <w:right w:val="single" w:color="000000" w:sz="8" w:space="0"/>
            </w:tcBorders>
            <w:vAlign w:val="center"/>
          </w:tcPr>
          <w:p>
            <w:pPr>
              <w:spacing w:line="360" w:lineRule="auto"/>
              <w:ind w:firstLine="640" w:firstLineChars="200"/>
              <w:rPr>
                <w:rFonts w:ascii="新宋体" w:hAnsi="新宋体" w:eastAsia="新宋体"/>
                <w:sz w:val="32"/>
                <w:szCs w:val="32"/>
              </w:rPr>
            </w:pPr>
            <w:r>
              <w:rPr>
                <w:rFonts w:hint="eastAsia" w:ascii="新宋体" w:hAnsi="新宋体" w:eastAsia="新宋体"/>
                <w:sz w:val="32"/>
                <w:szCs w:val="32"/>
              </w:rPr>
              <w:t>内设机构</w:t>
            </w:r>
          </w:p>
        </w:tc>
      </w:tr>
      <w:tr>
        <w:tblPrEx>
          <w:tblCellMar>
            <w:top w:w="0" w:type="dxa"/>
            <w:left w:w="0" w:type="dxa"/>
            <w:bottom w:w="0" w:type="dxa"/>
            <w:right w:w="0" w:type="dxa"/>
          </w:tblCellMar>
        </w:tblPrEx>
        <w:trPr>
          <w:trHeight w:val="669" w:hRule="atLeast"/>
          <w:jc w:val="center"/>
        </w:trPr>
        <w:tc>
          <w:tcPr>
            <w:tcW w:w="993" w:type="dxa"/>
            <w:tcBorders>
              <w:top w:val="single" w:color="000000" w:sz="8" w:space="0"/>
              <w:left w:val="single" w:color="000000" w:sz="8" w:space="0"/>
              <w:bottom w:val="single" w:color="000000" w:sz="8" w:space="0"/>
              <w:right w:val="single" w:color="000000" w:sz="8" w:space="0"/>
            </w:tcBorders>
            <w:vAlign w:val="center"/>
          </w:tcPr>
          <w:p>
            <w:pPr>
              <w:spacing w:line="360" w:lineRule="auto"/>
              <w:ind w:firstLine="640" w:firstLineChars="200"/>
              <w:rPr>
                <w:rFonts w:ascii="新宋体" w:hAnsi="新宋体" w:eastAsia="新宋体"/>
                <w:sz w:val="32"/>
                <w:szCs w:val="32"/>
              </w:rPr>
            </w:pPr>
            <w:r>
              <w:rPr>
                <w:rFonts w:ascii="新宋体" w:hAnsi="新宋体" w:eastAsia="新宋体"/>
                <w:sz w:val="32"/>
                <w:szCs w:val="32"/>
              </w:rPr>
              <w:t>1</w:t>
            </w:r>
          </w:p>
        </w:tc>
        <w:tc>
          <w:tcPr>
            <w:tcW w:w="3260" w:type="dxa"/>
            <w:tcBorders>
              <w:top w:val="single" w:color="000000" w:sz="8" w:space="0"/>
              <w:left w:val="single" w:color="000000" w:sz="8" w:space="0"/>
              <w:bottom w:val="single" w:color="000000" w:sz="8" w:space="0"/>
              <w:right w:val="single" w:color="auto" w:sz="4" w:space="0"/>
            </w:tcBorders>
            <w:vAlign w:val="center"/>
          </w:tcPr>
          <w:p>
            <w:pPr>
              <w:spacing w:line="360" w:lineRule="auto"/>
              <w:ind w:firstLine="640" w:firstLineChars="200"/>
              <w:rPr>
                <w:rFonts w:ascii="新宋体" w:hAnsi="新宋体" w:eastAsia="新宋体"/>
                <w:sz w:val="32"/>
                <w:szCs w:val="32"/>
              </w:rPr>
            </w:pPr>
            <w:r>
              <w:rPr>
                <w:rFonts w:ascii="新宋体" w:hAnsi="新宋体" w:eastAsia="新宋体"/>
                <w:sz w:val="32"/>
                <w:szCs w:val="32"/>
              </w:rPr>
              <w:t>蓝田县</w:t>
            </w:r>
            <w:r>
              <w:rPr>
                <w:rFonts w:hint="eastAsia" w:ascii="新宋体" w:hAnsi="新宋体" w:eastAsia="新宋体"/>
                <w:sz w:val="32"/>
                <w:szCs w:val="32"/>
              </w:rPr>
              <w:t>司法</w:t>
            </w:r>
            <w:r>
              <w:rPr>
                <w:rFonts w:ascii="新宋体" w:hAnsi="新宋体" w:eastAsia="新宋体"/>
                <w:sz w:val="32"/>
                <w:szCs w:val="32"/>
              </w:rPr>
              <w:t>局</w:t>
            </w:r>
          </w:p>
          <w:p>
            <w:pPr>
              <w:spacing w:line="360" w:lineRule="auto"/>
              <w:ind w:firstLine="640" w:firstLineChars="200"/>
              <w:rPr>
                <w:rFonts w:ascii="新宋体" w:hAnsi="新宋体" w:eastAsia="新宋体"/>
                <w:sz w:val="32"/>
                <w:szCs w:val="32"/>
              </w:rPr>
            </w:pPr>
            <w:r>
              <w:rPr>
                <w:rFonts w:ascii="新宋体" w:hAnsi="新宋体" w:eastAsia="新宋体"/>
                <w:sz w:val="32"/>
                <w:szCs w:val="32"/>
              </w:rPr>
              <w:t>部门本级（机关）</w:t>
            </w:r>
          </w:p>
        </w:tc>
        <w:tc>
          <w:tcPr>
            <w:tcW w:w="4981" w:type="dxa"/>
            <w:tcBorders>
              <w:top w:val="single" w:color="000000" w:sz="8" w:space="0"/>
              <w:left w:val="single" w:color="auto" w:sz="4" w:space="0"/>
              <w:bottom w:val="single" w:color="000000" w:sz="8" w:space="0"/>
              <w:right w:val="single" w:color="000000" w:sz="8" w:space="0"/>
            </w:tcBorders>
            <w:vAlign w:val="center"/>
          </w:tcPr>
          <w:p>
            <w:pPr>
              <w:spacing w:line="360" w:lineRule="auto"/>
              <w:ind w:firstLine="640" w:firstLineChars="200"/>
              <w:rPr>
                <w:rFonts w:ascii="新宋体" w:hAnsi="新宋体" w:eastAsia="新宋体"/>
                <w:sz w:val="32"/>
                <w:szCs w:val="32"/>
              </w:rPr>
            </w:pPr>
            <w:r>
              <w:rPr>
                <w:rFonts w:hint="eastAsia" w:ascii="新宋体" w:hAnsi="新宋体" w:eastAsia="新宋体"/>
                <w:sz w:val="32"/>
                <w:szCs w:val="32"/>
              </w:rPr>
              <w:t>办公室、基层科、法制宣传科、社区矫正科、公证律师管理科、法律援助中心</w:t>
            </w:r>
          </w:p>
        </w:tc>
      </w:tr>
      <w:tr>
        <w:tblPrEx>
          <w:tblCellMar>
            <w:top w:w="0" w:type="dxa"/>
            <w:left w:w="0" w:type="dxa"/>
            <w:bottom w:w="0" w:type="dxa"/>
            <w:right w:w="0" w:type="dxa"/>
          </w:tblCellMar>
        </w:tblPrEx>
        <w:trPr>
          <w:trHeight w:val="211" w:hRule="atLeast"/>
          <w:jc w:val="center"/>
        </w:trPr>
        <w:tc>
          <w:tcPr>
            <w:tcW w:w="993" w:type="dxa"/>
            <w:tcBorders>
              <w:top w:val="single" w:color="000000" w:sz="8" w:space="0"/>
              <w:left w:val="single" w:color="000000" w:sz="8" w:space="0"/>
              <w:bottom w:val="single" w:color="000000" w:sz="8" w:space="0"/>
              <w:right w:val="single" w:color="000000" w:sz="8" w:space="0"/>
            </w:tcBorders>
            <w:vAlign w:val="center"/>
          </w:tcPr>
          <w:p>
            <w:pPr>
              <w:spacing w:line="360" w:lineRule="auto"/>
              <w:ind w:firstLine="640" w:firstLineChars="200"/>
              <w:rPr>
                <w:rFonts w:ascii="新宋体" w:hAnsi="新宋体" w:eastAsia="新宋体"/>
                <w:sz w:val="32"/>
                <w:szCs w:val="32"/>
              </w:rPr>
            </w:pPr>
            <w:r>
              <w:rPr>
                <w:rFonts w:ascii="新宋体" w:hAnsi="新宋体" w:eastAsia="新宋体"/>
                <w:sz w:val="32"/>
                <w:szCs w:val="32"/>
              </w:rPr>
              <w:t>2</w:t>
            </w:r>
          </w:p>
        </w:tc>
        <w:tc>
          <w:tcPr>
            <w:tcW w:w="3260" w:type="dxa"/>
            <w:tcBorders>
              <w:top w:val="single" w:color="000000" w:sz="8" w:space="0"/>
              <w:left w:val="single" w:color="000000" w:sz="8" w:space="0"/>
              <w:bottom w:val="single" w:color="000000" w:sz="8" w:space="0"/>
              <w:right w:val="single" w:color="auto" w:sz="4" w:space="0"/>
            </w:tcBorders>
            <w:vAlign w:val="center"/>
          </w:tcPr>
          <w:p>
            <w:pPr>
              <w:spacing w:line="360" w:lineRule="auto"/>
              <w:ind w:firstLine="640" w:firstLineChars="200"/>
              <w:rPr>
                <w:rFonts w:ascii="新宋体" w:hAnsi="新宋体" w:eastAsia="新宋体"/>
                <w:sz w:val="32"/>
                <w:szCs w:val="32"/>
              </w:rPr>
            </w:pPr>
            <w:r>
              <w:rPr>
                <w:rFonts w:ascii="新宋体" w:hAnsi="新宋体" w:eastAsia="新宋体"/>
                <w:sz w:val="32"/>
                <w:szCs w:val="32"/>
              </w:rPr>
              <w:t>蓝田县公证处</w:t>
            </w:r>
          </w:p>
        </w:tc>
        <w:tc>
          <w:tcPr>
            <w:tcW w:w="4981" w:type="dxa"/>
            <w:tcBorders>
              <w:top w:val="single" w:color="000000" w:sz="8" w:space="0"/>
              <w:left w:val="single" w:color="auto" w:sz="4" w:space="0"/>
              <w:bottom w:val="single" w:color="000000" w:sz="8" w:space="0"/>
              <w:right w:val="single" w:color="000000" w:sz="8" w:space="0"/>
            </w:tcBorders>
            <w:vAlign w:val="center"/>
          </w:tcPr>
          <w:p>
            <w:pPr>
              <w:spacing w:line="360" w:lineRule="auto"/>
              <w:ind w:firstLine="640" w:firstLineChars="200"/>
              <w:rPr>
                <w:rFonts w:ascii="新宋体" w:hAnsi="新宋体" w:eastAsia="新宋体"/>
                <w:sz w:val="32"/>
                <w:szCs w:val="32"/>
              </w:rPr>
            </w:pPr>
          </w:p>
        </w:tc>
      </w:tr>
    </w:tbl>
    <w:p>
      <w:pPr>
        <w:spacing w:line="360" w:lineRule="auto"/>
        <w:ind w:firstLine="640" w:firstLineChars="200"/>
        <w:rPr>
          <w:rFonts w:ascii="新宋体" w:hAnsi="新宋体" w:eastAsia="新宋体"/>
          <w:sz w:val="32"/>
          <w:szCs w:val="32"/>
        </w:rPr>
      </w:pPr>
      <w:r>
        <w:rPr>
          <w:rFonts w:ascii="新宋体" w:hAnsi="新宋体" w:eastAsia="新宋体"/>
          <w:sz w:val="32"/>
          <w:szCs w:val="32"/>
        </w:rPr>
        <w:t>四、部门人员情况说明</w:t>
      </w:r>
    </w:p>
    <w:p>
      <w:pPr>
        <w:spacing w:line="360" w:lineRule="auto"/>
        <w:ind w:firstLine="640" w:firstLineChars="200"/>
        <w:rPr>
          <w:rFonts w:ascii="新宋体" w:hAnsi="新宋体" w:eastAsia="新宋体"/>
          <w:sz w:val="32"/>
          <w:szCs w:val="32"/>
          <w:highlight w:val="green"/>
        </w:rPr>
      </w:pPr>
      <w:r>
        <w:rPr>
          <w:rFonts w:ascii="新宋体" w:hAnsi="新宋体" w:eastAsia="新宋体"/>
          <w:sz w:val="32"/>
          <w:szCs w:val="32"/>
        </w:rPr>
        <w:t>截止201</w:t>
      </w:r>
      <w:r>
        <w:rPr>
          <w:rFonts w:hint="eastAsia" w:ascii="新宋体" w:hAnsi="新宋体" w:eastAsia="新宋体"/>
          <w:sz w:val="32"/>
          <w:szCs w:val="32"/>
        </w:rPr>
        <w:t>8</w:t>
      </w:r>
      <w:r>
        <w:rPr>
          <w:rFonts w:ascii="新宋体" w:hAnsi="新宋体" w:eastAsia="新宋体"/>
          <w:sz w:val="32"/>
          <w:szCs w:val="32"/>
        </w:rPr>
        <w:t>年底，本部门人员编制</w:t>
      </w:r>
      <w:r>
        <w:rPr>
          <w:rFonts w:hint="eastAsia" w:ascii="新宋体" w:hAnsi="新宋体" w:eastAsia="新宋体"/>
          <w:sz w:val="32"/>
          <w:szCs w:val="32"/>
        </w:rPr>
        <w:t>85</w:t>
      </w:r>
      <w:r>
        <w:rPr>
          <w:rFonts w:ascii="新宋体" w:hAnsi="新宋体" w:eastAsia="新宋体"/>
          <w:sz w:val="32"/>
          <w:szCs w:val="32"/>
        </w:rPr>
        <w:t>人，其中行政编制</w:t>
      </w:r>
      <w:r>
        <w:rPr>
          <w:rFonts w:hint="eastAsia" w:ascii="新宋体" w:hAnsi="新宋体" w:eastAsia="新宋体"/>
          <w:sz w:val="32"/>
          <w:szCs w:val="32"/>
        </w:rPr>
        <w:t>80</w:t>
      </w:r>
      <w:r>
        <w:rPr>
          <w:rFonts w:ascii="新宋体" w:hAnsi="新宋体" w:eastAsia="新宋体"/>
          <w:sz w:val="32"/>
          <w:szCs w:val="32"/>
        </w:rPr>
        <w:t>人</w:t>
      </w:r>
      <w:r>
        <w:rPr>
          <w:rFonts w:hint="eastAsia" w:ascii="新宋体" w:hAnsi="新宋体" w:eastAsia="新宋体"/>
          <w:sz w:val="32"/>
          <w:szCs w:val="32"/>
        </w:rPr>
        <w:t>，事业人员5人</w:t>
      </w:r>
      <w:r>
        <w:rPr>
          <w:rFonts w:ascii="新宋体" w:hAnsi="新宋体" w:eastAsia="新宋体"/>
          <w:sz w:val="32"/>
          <w:szCs w:val="32"/>
        </w:rPr>
        <w:t>；实有人员</w:t>
      </w:r>
      <w:r>
        <w:rPr>
          <w:rFonts w:hint="eastAsia" w:ascii="新宋体" w:hAnsi="新宋体" w:eastAsia="新宋体"/>
          <w:sz w:val="32"/>
          <w:szCs w:val="32"/>
        </w:rPr>
        <w:t>86</w:t>
      </w:r>
      <w:r>
        <w:rPr>
          <w:rFonts w:ascii="新宋体" w:hAnsi="新宋体" w:eastAsia="新宋体"/>
          <w:sz w:val="32"/>
          <w:szCs w:val="32"/>
        </w:rPr>
        <w:t>人，其中行政</w:t>
      </w:r>
      <w:r>
        <w:rPr>
          <w:rFonts w:hint="eastAsia" w:ascii="新宋体" w:hAnsi="新宋体" w:eastAsia="新宋体"/>
          <w:sz w:val="32"/>
          <w:szCs w:val="32"/>
        </w:rPr>
        <w:t>22</w:t>
      </w:r>
      <w:r>
        <w:rPr>
          <w:rFonts w:ascii="新宋体" w:hAnsi="新宋体" w:eastAsia="新宋体"/>
          <w:sz w:val="32"/>
          <w:szCs w:val="32"/>
        </w:rPr>
        <w:t>人、事业</w:t>
      </w:r>
      <w:r>
        <w:rPr>
          <w:rFonts w:hint="eastAsia" w:ascii="新宋体" w:hAnsi="新宋体" w:eastAsia="新宋体"/>
          <w:sz w:val="32"/>
          <w:szCs w:val="32"/>
        </w:rPr>
        <w:t>64</w:t>
      </w:r>
      <w:r>
        <w:rPr>
          <w:rFonts w:ascii="新宋体" w:hAnsi="新宋体" w:eastAsia="新宋体"/>
          <w:sz w:val="32"/>
          <w:szCs w:val="32"/>
        </w:rPr>
        <w:t>人。单位管理的离退休人员</w:t>
      </w:r>
      <w:r>
        <w:rPr>
          <w:rFonts w:hint="eastAsia" w:ascii="新宋体" w:hAnsi="新宋体" w:eastAsia="新宋体"/>
          <w:sz w:val="32"/>
          <w:szCs w:val="32"/>
        </w:rPr>
        <w:t>22</w:t>
      </w:r>
      <w:r>
        <w:rPr>
          <w:rFonts w:ascii="新宋体" w:hAnsi="新宋体" w:eastAsia="新宋体"/>
          <w:sz w:val="32"/>
          <w:szCs w:val="32"/>
        </w:rPr>
        <w:t>人。遗属补助人员</w:t>
      </w:r>
      <w:r>
        <w:rPr>
          <w:rFonts w:hint="eastAsia" w:ascii="新宋体" w:hAnsi="新宋体" w:eastAsia="新宋体"/>
          <w:sz w:val="32"/>
          <w:szCs w:val="32"/>
        </w:rPr>
        <w:t>7</w:t>
      </w:r>
      <w:r>
        <w:rPr>
          <w:rFonts w:ascii="新宋体" w:hAnsi="新宋体" w:eastAsia="新宋体"/>
          <w:sz w:val="32"/>
          <w:szCs w:val="32"/>
        </w:rPr>
        <w:t>人</w:t>
      </w:r>
      <w:r>
        <w:rPr>
          <w:rFonts w:hint="eastAsia" w:ascii="新宋体" w:hAnsi="新宋体" w:eastAsia="新宋体"/>
          <w:sz w:val="32"/>
          <w:szCs w:val="32"/>
        </w:rPr>
        <w:t>。</w:t>
      </w:r>
    </w:p>
    <w:p>
      <w:pPr>
        <w:spacing w:line="360" w:lineRule="auto"/>
        <w:ind w:firstLine="640" w:firstLineChars="200"/>
        <w:rPr>
          <w:rFonts w:ascii="新宋体" w:hAnsi="新宋体" w:eastAsia="新宋体"/>
          <w:sz w:val="32"/>
          <w:szCs w:val="32"/>
          <w:highlight w:val="green"/>
        </w:rPr>
      </w:pPr>
    </w:p>
    <w:p>
      <w:pPr>
        <w:spacing w:line="360" w:lineRule="auto"/>
        <w:ind w:firstLine="640" w:firstLineChars="200"/>
        <w:rPr>
          <w:rFonts w:ascii="新宋体" w:hAnsi="新宋体" w:eastAsia="新宋体"/>
          <w:sz w:val="32"/>
          <w:szCs w:val="32"/>
        </w:rPr>
      </w:pPr>
      <w:r>
        <w:rPr>
          <w:rFonts w:ascii="新宋体" w:hAnsi="新宋体" w:eastAsia="新宋体"/>
          <w:sz w:val="32"/>
          <w:szCs w:val="32"/>
          <w:lang w:val="en-US"/>
        </w:rPr>
        <w:drawing>
          <wp:inline distT="0" distB="0" distL="0" distR="0">
            <wp:extent cx="4914900" cy="1885950"/>
            <wp:effectExtent l="0" t="0" r="0" b="0"/>
            <wp:docPr id="1" name="对象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p>
    <w:p>
      <w:pPr>
        <w:spacing w:line="360" w:lineRule="auto"/>
        <w:rPr>
          <w:rFonts w:ascii="新宋体" w:hAnsi="新宋体" w:eastAsia="新宋体"/>
          <w:sz w:val="32"/>
          <w:szCs w:val="32"/>
        </w:rPr>
      </w:pPr>
    </w:p>
    <w:p>
      <w:pPr>
        <w:spacing w:line="360" w:lineRule="auto"/>
        <w:rPr>
          <w:rFonts w:ascii="新宋体" w:hAnsi="新宋体" w:eastAsia="新宋体"/>
          <w:sz w:val="32"/>
          <w:szCs w:val="32"/>
        </w:rPr>
      </w:pPr>
    </w:p>
    <w:tbl>
      <w:tblPr>
        <w:tblStyle w:val="10"/>
        <w:tblW w:w="8690" w:type="dxa"/>
        <w:tblInd w:w="10" w:type="dxa"/>
        <w:tblLayout w:type="autofit"/>
        <w:tblCellMar>
          <w:top w:w="0" w:type="dxa"/>
          <w:left w:w="0" w:type="dxa"/>
          <w:bottom w:w="0" w:type="dxa"/>
          <w:right w:w="0" w:type="dxa"/>
        </w:tblCellMar>
      </w:tblPr>
      <w:tblGrid>
        <w:gridCol w:w="1460"/>
        <w:gridCol w:w="3076"/>
        <w:gridCol w:w="1744"/>
        <w:gridCol w:w="2410"/>
      </w:tblGrid>
      <w:tr>
        <w:tblPrEx>
          <w:tblCellMar>
            <w:top w:w="0" w:type="dxa"/>
            <w:left w:w="0" w:type="dxa"/>
            <w:bottom w:w="0" w:type="dxa"/>
            <w:right w:w="0" w:type="dxa"/>
          </w:tblCellMar>
        </w:tblPrEx>
        <w:tc>
          <w:tcPr>
            <w:tcW w:w="1460" w:type="dxa"/>
            <w:tcBorders>
              <w:top w:val="single" w:color="000000" w:sz="8" w:space="0"/>
              <w:left w:val="single" w:color="000000" w:sz="8" w:space="0"/>
              <w:bottom w:val="single" w:color="000000" w:sz="8" w:space="0"/>
              <w:right w:val="single" w:color="000000" w:sz="8" w:space="0"/>
            </w:tcBorders>
          </w:tcPr>
          <w:p>
            <w:pPr>
              <w:spacing w:line="360" w:lineRule="auto"/>
              <w:ind w:firstLine="640" w:firstLineChars="200"/>
              <w:rPr>
                <w:rFonts w:ascii="新宋体" w:hAnsi="新宋体" w:eastAsia="新宋体"/>
                <w:sz w:val="32"/>
                <w:szCs w:val="32"/>
              </w:rPr>
            </w:pPr>
            <w:r>
              <w:rPr>
                <w:rFonts w:ascii="新宋体" w:hAnsi="新宋体" w:eastAsia="新宋体"/>
                <w:sz w:val="32"/>
                <w:szCs w:val="32"/>
              </w:rPr>
              <w:t>序号</w:t>
            </w:r>
          </w:p>
        </w:tc>
        <w:tc>
          <w:tcPr>
            <w:tcW w:w="3076" w:type="dxa"/>
            <w:tcBorders>
              <w:top w:val="single" w:color="000000" w:sz="8" w:space="0"/>
              <w:left w:val="single" w:color="000000" w:sz="8" w:space="0"/>
              <w:bottom w:val="single" w:color="000000" w:sz="8" w:space="0"/>
              <w:right w:val="single" w:color="000000" w:sz="8" w:space="0"/>
            </w:tcBorders>
          </w:tcPr>
          <w:p>
            <w:pPr>
              <w:spacing w:line="360" w:lineRule="auto"/>
              <w:ind w:firstLine="640" w:firstLineChars="200"/>
              <w:rPr>
                <w:rFonts w:ascii="新宋体" w:hAnsi="新宋体" w:eastAsia="新宋体"/>
                <w:sz w:val="32"/>
                <w:szCs w:val="32"/>
              </w:rPr>
            </w:pPr>
            <w:r>
              <w:rPr>
                <w:rFonts w:ascii="新宋体" w:hAnsi="新宋体" w:eastAsia="新宋体"/>
                <w:sz w:val="32"/>
                <w:szCs w:val="32"/>
              </w:rPr>
              <w:t>单位名称</w:t>
            </w:r>
          </w:p>
        </w:tc>
        <w:tc>
          <w:tcPr>
            <w:tcW w:w="1744" w:type="dxa"/>
            <w:tcBorders>
              <w:top w:val="single" w:color="000000" w:sz="8" w:space="0"/>
              <w:left w:val="single" w:color="000000" w:sz="8" w:space="0"/>
              <w:bottom w:val="single" w:color="000000" w:sz="8" w:space="0"/>
              <w:right w:val="single" w:color="000000" w:sz="8" w:space="0"/>
            </w:tcBorders>
          </w:tcPr>
          <w:p>
            <w:pPr>
              <w:spacing w:line="360" w:lineRule="auto"/>
              <w:ind w:firstLine="160" w:firstLineChars="50"/>
              <w:rPr>
                <w:rFonts w:ascii="新宋体" w:hAnsi="新宋体" w:eastAsia="新宋体"/>
                <w:sz w:val="32"/>
                <w:szCs w:val="32"/>
              </w:rPr>
            </w:pPr>
            <w:r>
              <w:rPr>
                <w:rFonts w:ascii="新宋体" w:hAnsi="新宋体" w:eastAsia="新宋体"/>
                <w:sz w:val="32"/>
                <w:szCs w:val="32"/>
              </w:rPr>
              <w:t>编制人数</w:t>
            </w:r>
          </w:p>
        </w:tc>
        <w:tc>
          <w:tcPr>
            <w:tcW w:w="2410" w:type="dxa"/>
            <w:tcBorders>
              <w:top w:val="single" w:color="000000" w:sz="8" w:space="0"/>
              <w:left w:val="single" w:color="000000" w:sz="8" w:space="0"/>
              <w:bottom w:val="single" w:color="000000" w:sz="8" w:space="0"/>
              <w:right w:val="single" w:color="000000" w:sz="8" w:space="0"/>
            </w:tcBorders>
          </w:tcPr>
          <w:p>
            <w:pPr>
              <w:spacing w:line="360" w:lineRule="auto"/>
              <w:ind w:firstLine="480" w:firstLineChars="150"/>
              <w:rPr>
                <w:rFonts w:ascii="新宋体" w:hAnsi="新宋体" w:eastAsia="新宋体"/>
                <w:sz w:val="32"/>
                <w:szCs w:val="32"/>
              </w:rPr>
            </w:pPr>
            <w:r>
              <w:rPr>
                <w:rFonts w:ascii="新宋体" w:hAnsi="新宋体" w:eastAsia="新宋体"/>
                <w:sz w:val="32"/>
                <w:szCs w:val="32"/>
              </w:rPr>
              <w:t>实有人数</w:t>
            </w:r>
          </w:p>
        </w:tc>
      </w:tr>
      <w:tr>
        <w:tblPrEx>
          <w:tblCellMar>
            <w:top w:w="0" w:type="dxa"/>
            <w:left w:w="0" w:type="dxa"/>
            <w:bottom w:w="0" w:type="dxa"/>
            <w:right w:w="0" w:type="dxa"/>
          </w:tblCellMar>
        </w:tblPrEx>
        <w:tc>
          <w:tcPr>
            <w:tcW w:w="1460" w:type="dxa"/>
            <w:tcBorders>
              <w:top w:val="single" w:color="000000" w:sz="8" w:space="0"/>
              <w:left w:val="single" w:color="000000" w:sz="8" w:space="0"/>
              <w:bottom w:val="single" w:color="000000" w:sz="8" w:space="0"/>
              <w:right w:val="single" w:color="000000" w:sz="8" w:space="0"/>
            </w:tcBorders>
          </w:tcPr>
          <w:p>
            <w:pPr>
              <w:spacing w:line="360" w:lineRule="auto"/>
              <w:ind w:firstLine="640" w:firstLineChars="200"/>
              <w:rPr>
                <w:rFonts w:ascii="新宋体" w:hAnsi="新宋体" w:eastAsia="新宋体"/>
                <w:sz w:val="32"/>
                <w:szCs w:val="32"/>
              </w:rPr>
            </w:pPr>
            <w:r>
              <w:rPr>
                <w:rFonts w:ascii="新宋体" w:hAnsi="新宋体" w:eastAsia="新宋体"/>
                <w:sz w:val="32"/>
                <w:szCs w:val="32"/>
              </w:rPr>
              <w:t>1</w:t>
            </w:r>
          </w:p>
        </w:tc>
        <w:tc>
          <w:tcPr>
            <w:tcW w:w="3076" w:type="dxa"/>
            <w:tcBorders>
              <w:top w:val="single" w:color="000000" w:sz="8" w:space="0"/>
              <w:left w:val="single" w:color="000000" w:sz="8" w:space="0"/>
              <w:bottom w:val="single" w:color="000000" w:sz="8" w:space="0"/>
              <w:right w:val="single" w:color="000000" w:sz="8" w:space="0"/>
            </w:tcBorders>
          </w:tcPr>
          <w:p>
            <w:pPr>
              <w:spacing w:line="360" w:lineRule="auto"/>
              <w:ind w:firstLine="320" w:firstLineChars="100"/>
              <w:rPr>
                <w:rFonts w:ascii="新宋体" w:hAnsi="新宋体" w:eastAsia="新宋体"/>
                <w:sz w:val="32"/>
                <w:szCs w:val="32"/>
              </w:rPr>
            </w:pPr>
            <w:r>
              <w:rPr>
                <w:rFonts w:ascii="新宋体" w:hAnsi="新宋体" w:eastAsia="新宋体"/>
                <w:sz w:val="32"/>
                <w:szCs w:val="32"/>
              </w:rPr>
              <w:t>蓝田县</w:t>
            </w:r>
            <w:r>
              <w:rPr>
                <w:rFonts w:hint="eastAsia" w:ascii="新宋体" w:hAnsi="新宋体" w:eastAsia="新宋体"/>
                <w:sz w:val="32"/>
                <w:szCs w:val="32"/>
              </w:rPr>
              <w:t>司法局</w:t>
            </w:r>
            <w:r>
              <w:rPr>
                <w:rFonts w:ascii="新宋体" w:hAnsi="新宋体" w:eastAsia="新宋体"/>
                <w:sz w:val="32"/>
                <w:szCs w:val="32"/>
              </w:rPr>
              <w:t>本级</w:t>
            </w:r>
          </w:p>
        </w:tc>
        <w:tc>
          <w:tcPr>
            <w:tcW w:w="1744" w:type="dxa"/>
            <w:tcBorders>
              <w:top w:val="single" w:color="000000" w:sz="8" w:space="0"/>
              <w:left w:val="single" w:color="000000" w:sz="8" w:space="0"/>
              <w:bottom w:val="single" w:color="000000" w:sz="8" w:space="0"/>
              <w:right w:val="single" w:color="000000" w:sz="8" w:space="0"/>
            </w:tcBorders>
          </w:tcPr>
          <w:p>
            <w:pPr>
              <w:spacing w:line="360" w:lineRule="auto"/>
              <w:ind w:firstLine="320" w:firstLineChars="100"/>
              <w:rPr>
                <w:rFonts w:ascii="新宋体" w:hAnsi="新宋体" w:eastAsia="新宋体"/>
                <w:sz w:val="32"/>
                <w:szCs w:val="32"/>
              </w:rPr>
            </w:pPr>
            <w:r>
              <w:rPr>
                <w:rFonts w:ascii="新宋体" w:hAnsi="新宋体" w:eastAsia="新宋体"/>
                <w:sz w:val="32"/>
                <w:szCs w:val="32"/>
              </w:rPr>
              <w:t>行政</w:t>
            </w:r>
            <w:r>
              <w:rPr>
                <w:rFonts w:hint="eastAsia" w:ascii="新宋体" w:hAnsi="新宋体" w:eastAsia="新宋体"/>
                <w:sz w:val="32"/>
                <w:szCs w:val="32"/>
              </w:rPr>
              <w:t>80</w:t>
            </w:r>
          </w:p>
        </w:tc>
        <w:tc>
          <w:tcPr>
            <w:tcW w:w="2410" w:type="dxa"/>
            <w:tcBorders>
              <w:top w:val="single" w:color="000000" w:sz="8" w:space="0"/>
              <w:left w:val="single" w:color="000000" w:sz="8" w:space="0"/>
              <w:bottom w:val="single" w:color="000000" w:sz="8" w:space="0"/>
              <w:right w:val="single" w:color="000000" w:sz="8" w:space="0"/>
            </w:tcBorders>
          </w:tcPr>
          <w:p>
            <w:pPr>
              <w:spacing w:line="360" w:lineRule="auto"/>
              <w:ind w:firstLine="800" w:firstLineChars="250"/>
              <w:rPr>
                <w:rFonts w:ascii="新宋体" w:hAnsi="新宋体" w:eastAsia="新宋体"/>
                <w:sz w:val="32"/>
                <w:szCs w:val="32"/>
              </w:rPr>
            </w:pPr>
            <w:r>
              <w:rPr>
                <w:rFonts w:hint="eastAsia" w:ascii="新宋体" w:hAnsi="新宋体" w:eastAsia="新宋体"/>
                <w:sz w:val="32"/>
                <w:szCs w:val="32"/>
              </w:rPr>
              <w:t>83</w:t>
            </w:r>
          </w:p>
        </w:tc>
      </w:tr>
      <w:tr>
        <w:tblPrEx>
          <w:tblCellMar>
            <w:top w:w="0" w:type="dxa"/>
            <w:left w:w="0" w:type="dxa"/>
            <w:bottom w:w="0" w:type="dxa"/>
            <w:right w:w="0" w:type="dxa"/>
          </w:tblCellMar>
        </w:tblPrEx>
        <w:tc>
          <w:tcPr>
            <w:tcW w:w="1460" w:type="dxa"/>
            <w:tcBorders>
              <w:top w:val="single" w:color="000000" w:sz="8" w:space="0"/>
              <w:left w:val="single" w:color="000000" w:sz="8" w:space="0"/>
              <w:bottom w:val="single" w:color="000000" w:sz="8" w:space="0"/>
              <w:right w:val="single" w:color="000000" w:sz="8" w:space="0"/>
            </w:tcBorders>
          </w:tcPr>
          <w:p>
            <w:pPr>
              <w:spacing w:line="360" w:lineRule="auto"/>
              <w:ind w:firstLine="640" w:firstLineChars="200"/>
              <w:rPr>
                <w:rFonts w:ascii="新宋体" w:hAnsi="新宋体" w:eastAsia="新宋体"/>
                <w:sz w:val="32"/>
                <w:szCs w:val="32"/>
              </w:rPr>
            </w:pPr>
            <w:r>
              <w:rPr>
                <w:rFonts w:ascii="新宋体" w:hAnsi="新宋体" w:eastAsia="新宋体"/>
                <w:sz w:val="32"/>
                <w:szCs w:val="32"/>
              </w:rPr>
              <w:t>2</w:t>
            </w:r>
          </w:p>
        </w:tc>
        <w:tc>
          <w:tcPr>
            <w:tcW w:w="3076" w:type="dxa"/>
            <w:tcBorders>
              <w:top w:val="single" w:color="000000" w:sz="8" w:space="0"/>
              <w:left w:val="single" w:color="000000" w:sz="8" w:space="0"/>
              <w:bottom w:val="single" w:color="000000" w:sz="8" w:space="0"/>
              <w:right w:val="single" w:color="000000" w:sz="8" w:space="0"/>
            </w:tcBorders>
          </w:tcPr>
          <w:p>
            <w:pPr>
              <w:spacing w:line="360" w:lineRule="auto"/>
              <w:ind w:firstLine="640" w:firstLineChars="200"/>
              <w:rPr>
                <w:rFonts w:ascii="新宋体" w:hAnsi="新宋体" w:eastAsia="新宋体"/>
                <w:sz w:val="32"/>
                <w:szCs w:val="32"/>
              </w:rPr>
            </w:pPr>
            <w:r>
              <w:rPr>
                <w:rFonts w:ascii="新宋体" w:hAnsi="新宋体" w:eastAsia="新宋体"/>
                <w:sz w:val="32"/>
                <w:szCs w:val="32"/>
              </w:rPr>
              <w:t>蓝田县</w:t>
            </w:r>
            <w:r>
              <w:rPr>
                <w:rFonts w:hint="eastAsia" w:ascii="新宋体" w:hAnsi="新宋体" w:eastAsia="新宋体"/>
                <w:sz w:val="32"/>
                <w:szCs w:val="32"/>
              </w:rPr>
              <w:t>公证处</w:t>
            </w:r>
          </w:p>
        </w:tc>
        <w:tc>
          <w:tcPr>
            <w:tcW w:w="1744" w:type="dxa"/>
            <w:tcBorders>
              <w:top w:val="single" w:color="000000" w:sz="8" w:space="0"/>
              <w:left w:val="single" w:color="000000" w:sz="8" w:space="0"/>
              <w:bottom w:val="single" w:color="000000" w:sz="8" w:space="0"/>
              <w:right w:val="single" w:color="000000" w:sz="8" w:space="0"/>
            </w:tcBorders>
          </w:tcPr>
          <w:p>
            <w:pPr>
              <w:spacing w:line="360" w:lineRule="auto"/>
              <w:ind w:firstLine="320" w:firstLineChars="100"/>
              <w:rPr>
                <w:rFonts w:ascii="新宋体" w:hAnsi="新宋体" w:eastAsia="新宋体"/>
                <w:sz w:val="32"/>
                <w:szCs w:val="32"/>
              </w:rPr>
            </w:pPr>
            <w:r>
              <w:rPr>
                <w:rFonts w:ascii="新宋体" w:hAnsi="新宋体" w:eastAsia="新宋体"/>
                <w:sz w:val="32"/>
                <w:szCs w:val="32"/>
              </w:rPr>
              <w:t>事业5</w:t>
            </w:r>
          </w:p>
        </w:tc>
        <w:tc>
          <w:tcPr>
            <w:tcW w:w="2410" w:type="dxa"/>
            <w:tcBorders>
              <w:top w:val="single" w:color="000000" w:sz="8" w:space="0"/>
              <w:left w:val="single" w:color="000000" w:sz="8" w:space="0"/>
              <w:bottom w:val="single" w:color="000000" w:sz="8" w:space="0"/>
              <w:right w:val="single" w:color="000000" w:sz="8" w:space="0"/>
            </w:tcBorders>
          </w:tcPr>
          <w:p>
            <w:pPr>
              <w:spacing w:line="360" w:lineRule="auto"/>
              <w:ind w:firstLine="960" w:firstLineChars="300"/>
              <w:rPr>
                <w:rFonts w:ascii="新宋体" w:hAnsi="新宋体" w:eastAsia="新宋体"/>
                <w:sz w:val="32"/>
                <w:szCs w:val="32"/>
              </w:rPr>
            </w:pPr>
            <w:r>
              <w:rPr>
                <w:rFonts w:ascii="新宋体" w:hAnsi="新宋体" w:eastAsia="新宋体"/>
                <w:sz w:val="32"/>
                <w:szCs w:val="32"/>
              </w:rPr>
              <w:t>3</w:t>
            </w:r>
          </w:p>
        </w:tc>
      </w:tr>
    </w:tbl>
    <w:p>
      <w:pPr>
        <w:spacing w:line="360" w:lineRule="auto"/>
        <w:ind w:firstLine="640" w:firstLineChars="200"/>
        <w:rPr>
          <w:rFonts w:ascii="新宋体" w:hAnsi="新宋体" w:eastAsia="新宋体"/>
          <w:sz w:val="32"/>
          <w:szCs w:val="32"/>
        </w:rPr>
      </w:pPr>
      <w:r>
        <w:rPr>
          <w:rFonts w:ascii="新宋体" w:hAnsi="新宋体" w:eastAsia="新宋体"/>
          <w:sz w:val="32"/>
          <w:szCs w:val="32"/>
        </w:rPr>
        <w:t>五、部门国有资产占有使用情况说明</w:t>
      </w:r>
    </w:p>
    <w:p>
      <w:pPr>
        <w:adjustRightInd w:val="0"/>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截止2018年底，本部门所属预算单位共有车辆11辆，单价20万元以上的设备0台（套）。2019年部门预算安排购置车辆0辆；安排购置单价20万元以上的设备0台（套）。</w:t>
      </w:r>
    </w:p>
    <w:p>
      <w:pPr>
        <w:spacing w:line="360" w:lineRule="auto"/>
        <w:ind w:firstLine="640" w:firstLineChars="200"/>
        <w:rPr>
          <w:rFonts w:ascii="新宋体" w:hAnsi="新宋体" w:eastAsia="新宋体"/>
          <w:sz w:val="32"/>
          <w:szCs w:val="32"/>
        </w:rPr>
      </w:pPr>
      <w:r>
        <w:rPr>
          <w:rFonts w:ascii="新宋体" w:hAnsi="新宋体" w:eastAsia="新宋体"/>
          <w:sz w:val="32"/>
          <w:szCs w:val="32"/>
        </w:rPr>
        <w:t>六、部门预算绩效目标说明</w:t>
      </w:r>
    </w:p>
    <w:p>
      <w:pPr>
        <w:spacing w:line="360" w:lineRule="auto"/>
        <w:ind w:firstLine="640" w:firstLineChars="200"/>
        <w:rPr>
          <w:rFonts w:ascii="新宋体" w:hAnsi="新宋体" w:eastAsia="新宋体"/>
          <w:sz w:val="32"/>
          <w:szCs w:val="32"/>
        </w:rPr>
      </w:pPr>
      <w:r>
        <w:rPr>
          <w:rFonts w:ascii="新宋体" w:hAnsi="新宋体" w:eastAsia="新宋体"/>
          <w:sz w:val="32"/>
          <w:szCs w:val="32"/>
        </w:rPr>
        <w:t>201</w:t>
      </w:r>
      <w:r>
        <w:rPr>
          <w:rFonts w:hint="eastAsia" w:ascii="新宋体" w:hAnsi="新宋体" w:eastAsia="新宋体"/>
          <w:sz w:val="32"/>
          <w:szCs w:val="32"/>
        </w:rPr>
        <w:t>9</w:t>
      </w:r>
      <w:r>
        <w:rPr>
          <w:rFonts w:ascii="新宋体" w:hAnsi="新宋体" w:eastAsia="新宋体"/>
          <w:sz w:val="32"/>
          <w:szCs w:val="32"/>
        </w:rPr>
        <w:t>年本部门实现了绩效目标管理全覆盖，涉及一般公共预算当年拨款</w:t>
      </w:r>
      <w:r>
        <w:rPr>
          <w:rFonts w:hint="eastAsia" w:ascii="新宋体" w:hAnsi="新宋体" w:eastAsia="新宋体"/>
          <w:sz w:val="32"/>
          <w:szCs w:val="32"/>
        </w:rPr>
        <w:t>6976752.00</w:t>
      </w:r>
      <w:r>
        <w:rPr>
          <w:rFonts w:ascii="新宋体" w:hAnsi="新宋体" w:eastAsia="新宋体"/>
          <w:sz w:val="32"/>
          <w:szCs w:val="32"/>
        </w:rPr>
        <w:t>元，当年无政府性基金预算拨款。</w:t>
      </w:r>
    </w:p>
    <w:p>
      <w:pPr>
        <w:spacing w:line="360" w:lineRule="auto"/>
        <w:ind w:firstLine="640" w:firstLineChars="200"/>
        <w:rPr>
          <w:rFonts w:ascii="新宋体" w:hAnsi="新宋体" w:eastAsia="新宋体"/>
          <w:sz w:val="32"/>
          <w:szCs w:val="32"/>
        </w:rPr>
      </w:pPr>
      <w:r>
        <w:rPr>
          <w:rFonts w:ascii="新宋体" w:hAnsi="新宋体" w:eastAsia="新宋体"/>
          <w:sz w:val="32"/>
          <w:szCs w:val="32"/>
        </w:rPr>
        <w:t>七、201</w:t>
      </w:r>
      <w:r>
        <w:rPr>
          <w:rFonts w:hint="eastAsia" w:ascii="新宋体" w:hAnsi="新宋体" w:eastAsia="新宋体"/>
          <w:sz w:val="32"/>
          <w:szCs w:val="32"/>
        </w:rPr>
        <w:t>9</w:t>
      </w:r>
      <w:r>
        <w:rPr>
          <w:rFonts w:ascii="新宋体" w:hAnsi="新宋体" w:eastAsia="新宋体"/>
          <w:sz w:val="32"/>
          <w:szCs w:val="32"/>
        </w:rPr>
        <w:t>年部门预算收支说明</w:t>
      </w:r>
    </w:p>
    <w:p>
      <w:pPr>
        <w:spacing w:line="360" w:lineRule="auto"/>
        <w:ind w:firstLine="640" w:firstLineChars="200"/>
        <w:rPr>
          <w:rFonts w:ascii="新宋体" w:hAnsi="新宋体" w:eastAsia="新宋体"/>
          <w:sz w:val="32"/>
          <w:szCs w:val="32"/>
        </w:rPr>
      </w:pPr>
      <w:r>
        <w:rPr>
          <w:rFonts w:ascii="新宋体" w:hAnsi="新宋体" w:eastAsia="新宋体"/>
          <w:sz w:val="32"/>
          <w:szCs w:val="32"/>
        </w:rPr>
        <w:t>（一）收支预算总体情况</w:t>
      </w:r>
    </w:p>
    <w:p>
      <w:pPr>
        <w:spacing w:line="360" w:lineRule="auto"/>
        <w:ind w:firstLine="640" w:firstLineChars="200"/>
        <w:rPr>
          <w:rFonts w:ascii="新宋体" w:hAnsi="新宋体" w:eastAsia="新宋体"/>
          <w:sz w:val="32"/>
          <w:szCs w:val="32"/>
        </w:rPr>
      </w:pPr>
      <w:r>
        <w:rPr>
          <w:rFonts w:hint="eastAsia" w:ascii="宋体" w:hAnsi="宋体"/>
          <w:color w:val="2B2B2B"/>
          <w:sz w:val="32"/>
          <w:szCs w:val="32"/>
          <w:shd w:val="clear" w:color="auto" w:fill="FFFFFF"/>
        </w:rPr>
        <w:t>2019年本部门预算收入</w:t>
      </w:r>
      <w:r>
        <w:rPr>
          <w:rFonts w:hint="eastAsia" w:ascii="宋体" w:hAnsi="宋体"/>
          <w:sz w:val="32"/>
          <w:szCs w:val="32"/>
        </w:rPr>
        <w:t>6976752.00</w:t>
      </w:r>
      <w:r>
        <w:rPr>
          <w:rFonts w:hint="eastAsia" w:ascii="宋体" w:hAnsi="宋体"/>
          <w:color w:val="2B2B2B"/>
          <w:sz w:val="32"/>
          <w:szCs w:val="32"/>
          <w:shd w:val="clear" w:color="auto" w:fill="FFFFFF"/>
        </w:rPr>
        <w:t>元，其中一般公共预算拨款收入</w:t>
      </w:r>
      <w:r>
        <w:rPr>
          <w:rFonts w:hint="eastAsia" w:ascii="宋体" w:hAnsi="宋体"/>
          <w:sz w:val="32"/>
          <w:szCs w:val="32"/>
        </w:rPr>
        <w:t>6976752.00</w:t>
      </w:r>
      <w:r>
        <w:rPr>
          <w:rFonts w:hint="eastAsia" w:ascii="宋体" w:hAnsi="宋体"/>
          <w:color w:val="2B2B2B"/>
          <w:sz w:val="32"/>
          <w:szCs w:val="32"/>
          <w:shd w:val="clear" w:color="auto" w:fill="FFFFFF"/>
        </w:rPr>
        <w:t>元、政府性基金拨款收入0万元。</w:t>
      </w:r>
      <w:r>
        <w:rPr>
          <w:rFonts w:hint="eastAsia" w:ascii="新宋体" w:hAnsi="新宋体" w:eastAsia="新宋体"/>
          <w:sz w:val="32"/>
          <w:szCs w:val="32"/>
        </w:rPr>
        <w:t>2019年度</w:t>
      </w:r>
      <w:r>
        <w:rPr>
          <w:rFonts w:ascii="新宋体" w:hAnsi="新宋体" w:eastAsia="新宋体"/>
          <w:sz w:val="32"/>
          <w:szCs w:val="32"/>
        </w:rPr>
        <w:t>年本部门预算收</w:t>
      </w:r>
      <w:r>
        <w:rPr>
          <w:rFonts w:hint="eastAsia" w:ascii="新宋体" w:hAnsi="新宋体" w:eastAsia="新宋体"/>
          <w:sz w:val="32"/>
          <w:szCs w:val="32"/>
        </w:rPr>
        <w:t>入</w:t>
      </w:r>
      <w:r>
        <w:rPr>
          <w:rFonts w:ascii="新宋体" w:hAnsi="新宋体" w:eastAsia="新宋体"/>
          <w:sz w:val="32"/>
          <w:szCs w:val="32"/>
        </w:rPr>
        <w:t>比201</w:t>
      </w:r>
      <w:r>
        <w:rPr>
          <w:rFonts w:hint="eastAsia" w:ascii="新宋体" w:hAnsi="新宋体" w:eastAsia="新宋体"/>
          <w:sz w:val="32"/>
          <w:szCs w:val="32"/>
        </w:rPr>
        <w:t>8</w:t>
      </w:r>
      <w:r>
        <w:rPr>
          <w:rFonts w:ascii="新宋体" w:hAnsi="新宋体" w:eastAsia="新宋体"/>
          <w:sz w:val="32"/>
          <w:szCs w:val="32"/>
        </w:rPr>
        <w:t>年</w:t>
      </w:r>
      <w:r>
        <w:rPr>
          <w:rFonts w:hint="eastAsia" w:ascii="新宋体" w:hAnsi="新宋体" w:eastAsia="新宋体"/>
          <w:sz w:val="32"/>
          <w:szCs w:val="32"/>
        </w:rPr>
        <w:t>增加840845.50</w:t>
      </w:r>
      <w:r>
        <w:rPr>
          <w:rFonts w:ascii="新宋体" w:hAnsi="新宋体" w:eastAsia="新宋体"/>
          <w:sz w:val="32"/>
          <w:szCs w:val="32"/>
        </w:rPr>
        <w:t>元，</w:t>
      </w:r>
      <w:r>
        <w:rPr>
          <w:rFonts w:hint="eastAsia" w:ascii="新宋体" w:hAnsi="新宋体" w:eastAsia="新宋体"/>
          <w:sz w:val="32"/>
          <w:szCs w:val="32"/>
        </w:rPr>
        <w:t>增加12</w:t>
      </w:r>
      <w:r>
        <w:rPr>
          <w:rFonts w:ascii="新宋体" w:hAnsi="新宋体" w:eastAsia="新宋体"/>
          <w:sz w:val="32"/>
          <w:szCs w:val="32"/>
        </w:rPr>
        <w:t>%，</w:t>
      </w:r>
      <w:r>
        <w:rPr>
          <w:rFonts w:hint="eastAsia" w:ascii="新宋体" w:hAnsi="新宋体" w:eastAsia="新宋体"/>
          <w:sz w:val="32"/>
          <w:szCs w:val="32"/>
        </w:rPr>
        <w:t>增加主要原因：一是因社保缴费改革增加单位承担的社保缴费979448.00元，二是增加了事业单位职业年金缴费22480.00元。工资、公用经费等其它预算收入与上年相比减少161082.50元；</w:t>
      </w:r>
    </w:p>
    <w:p>
      <w:pPr>
        <w:spacing w:line="360" w:lineRule="auto"/>
        <w:ind w:firstLine="640" w:firstLineChars="200"/>
        <w:rPr>
          <w:rFonts w:ascii="新宋体" w:hAnsi="新宋体" w:eastAsia="新宋体"/>
          <w:sz w:val="32"/>
          <w:szCs w:val="32"/>
        </w:rPr>
      </w:pPr>
      <w:r>
        <w:rPr>
          <w:rFonts w:hint="eastAsia" w:ascii="新宋体" w:hAnsi="新宋体" w:eastAsia="新宋体"/>
          <w:sz w:val="32"/>
          <w:szCs w:val="32"/>
        </w:rPr>
        <w:t>2019年度</w:t>
      </w:r>
      <w:r>
        <w:rPr>
          <w:rFonts w:ascii="新宋体" w:hAnsi="新宋体" w:eastAsia="新宋体"/>
          <w:sz w:val="32"/>
          <w:szCs w:val="32"/>
        </w:rPr>
        <w:t>年本部门预算</w:t>
      </w:r>
      <w:r>
        <w:rPr>
          <w:rFonts w:hint="eastAsia" w:ascii="新宋体" w:hAnsi="新宋体" w:eastAsia="新宋体"/>
          <w:sz w:val="32"/>
          <w:szCs w:val="32"/>
        </w:rPr>
        <w:t>支出6976752.00</w:t>
      </w:r>
      <w:r>
        <w:rPr>
          <w:rFonts w:ascii="新宋体" w:hAnsi="新宋体" w:eastAsia="新宋体"/>
          <w:sz w:val="32"/>
          <w:szCs w:val="32"/>
        </w:rPr>
        <w:t>元，</w:t>
      </w:r>
      <w:r>
        <w:rPr>
          <w:rFonts w:hint="eastAsia" w:ascii="新宋体" w:hAnsi="新宋体" w:eastAsia="新宋体"/>
          <w:sz w:val="32"/>
          <w:szCs w:val="32"/>
        </w:rPr>
        <w:t>其中一般公共预算拨款支出6976752.00元、政府性基金拨款支出0万元。2019年度年本部门预算支出</w:t>
      </w:r>
      <w:r>
        <w:rPr>
          <w:rFonts w:ascii="新宋体" w:hAnsi="新宋体" w:eastAsia="新宋体"/>
          <w:sz w:val="32"/>
          <w:szCs w:val="32"/>
        </w:rPr>
        <w:t>比201</w:t>
      </w:r>
      <w:r>
        <w:rPr>
          <w:rFonts w:hint="eastAsia" w:ascii="新宋体" w:hAnsi="新宋体" w:eastAsia="新宋体"/>
          <w:sz w:val="32"/>
          <w:szCs w:val="32"/>
        </w:rPr>
        <w:t>8</w:t>
      </w:r>
      <w:r>
        <w:rPr>
          <w:rFonts w:ascii="新宋体" w:hAnsi="新宋体" w:eastAsia="新宋体"/>
          <w:sz w:val="32"/>
          <w:szCs w:val="32"/>
        </w:rPr>
        <w:t>年</w:t>
      </w:r>
      <w:r>
        <w:rPr>
          <w:rFonts w:hint="eastAsia" w:ascii="新宋体" w:hAnsi="新宋体" w:eastAsia="新宋体"/>
          <w:sz w:val="32"/>
          <w:szCs w:val="32"/>
        </w:rPr>
        <w:t>增加840845.50</w:t>
      </w:r>
      <w:r>
        <w:rPr>
          <w:rFonts w:ascii="新宋体" w:hAnsi="新宋体" w:eastAsia="新宋体"/>
          <w:sz w:val="32"/>
          <w:szCs w:val="32"/>
        </w:rPr>
        <w:t>元，</w:t>
      </w:r>
      <w:r>
        <w:rPr>
          <w:rFonts w:hint="eastAsia" w:ascii="新宋体" w:hAnsi="新宋体" w:eastAsia="新宋体"/>
          <w:sz w:val="32"/>
          <w:szCs w:val="32"/>
        </w:rPr>
        <w:t>增加12</w:t>
      </w:r>
      <w:r>
        <w:rPr>
          <w:rFonts w:ascii="新宋体" w:hAnsi="新宋体" w:eastAsia="新宋体"/>
          <w:sz w:val="32"/>
          <w:szCs w:val="32"/>
        </w:rPr>
        <w:t>%，</w:t>
      </w:r>
      <w:r>
        <w:rPr>
          <w:rFonts w:hint="eastAsia" w:ascii="新宋体" w:hAnsi="新宋体" w:eastAsia="新宋体"/>
          <w:sz w:val="32"/>
          <w:szCs w:val="32"/>
        </w:rPr>
        <w:t>增加主要原因：一是因社保缴费改革增加单位承担的社保缴费979448.00元，二是增加了事业单位职业年金缴费22480.00元。工资、公用经费等其它预算收入与上年相比减少161082.50元。</w:t>
      </w:r>
    </w:p>
    <w:p>
      <w:pPr>
        <w:spacing w:line="360" w:lineRule="auto"/>
        <w:ind w:firstLine="640" w:firstLineChars="200"/>
        <w:rPr>
          <w:rFonts w:ascii="新宋体" w:hAnsi="新宋体" w:eastAsia="新宋体"/>
          <w:sz w:val="32"/>
          <w:szCs w:val="32"/>
        </w:rPr>
      </w:pPr>
      <w:r>
        <w:rPr>
          <w:rFonts w:ascii="新宋体" w:hAnsi="新宋体" w:eastAsia="新宋体"/>
          <w:sz w:val="32"/>
          <w:szCs w:val="32"/>
        </w:rPr>
        <w:t>（二）财政拨款收支情况。</w:t>
      </w:r>
    </w:p>
    <w:p>
      <w:pPr>
        <w:spacing w:line="360" w:lineRule="auto"/>
        <w:ind w:firstLine="640" w:firstLineChars="200"/>
        <w:rPr>
          <w:rFonts w:ascii="新宋体" w:hAnsi="新宋体" w:eastAsia="新宋体"/>
          <w:sz w:val="32"/>
          <w:szCs w:val="32"/>
        </w:rPr>
      </w:pPr>
      <w:r>
        <w:rPr>
          <w:rFonts w:hint="eastAsia" w:ascii="宋体" w:hAnsi="宋体"/>
          <w:color w:val="2B2B2B"/>
          <w:sz w:val="32"/>
          <w:szCs w:val="32"/>
          <w:shd w:val="clear" w:color="auto" w:fill="FFFFFF"/>
        </w:rPr>
        <w:t>2019年本部门财政拨款收入</w:t>
      </w:r>
      <w:r>
        <w:rPr>
          <w:rFonts w:hint="eastAsia" w:ascii="宋体" w:hAnsi="宋体"/>
          <w:sz w:val="32"/>
          <w:szCs w:val="32"/>
        </w:rPr>
        <w:t>6976752.00</w:t>
      </w:r>
      <w:r>
        <w:rPr>
          <w:rFonts w:hint="eastAsia" w:ascii="宋体" w:hAnsi="宋体"/>
          <w:color w:val="2B2B2B"/>
          <w:sz w:val="32"/>
          <w:szCs w:val="32"/>
          <w:shd w:val="clear" w:color="auto" w:fill="FFFFFF"/>
        </w:rPr>
        <w:t>万元，其中一般公共预算拨款收入</w:t>
      </w:r>
      <w:r>
        <w:rPr>
          <w:rFonts w:hint="eastAsia" w:ascii="宋体" w:hAnsi="宋体"/>
          <w:sz w:val="32"/>
          <w:szCs w:val="32"/>
        </w:rPr>
        <w:t>6976752.00</w:t>
      </w:r>
      <w:r>
        <w:rPr>
          <w:rFonts w:hint="eastAsia" w:ascii="宋体" w:hAnsi="宋体"/>
          <w:color w:val="2B2B2B"/>
          <w:sz w:val="32"/>
          <w:szCs w:val="32"/>
          <w:shd w:val="clear" w:color="auto" w:fill="FFFFFF"/>
        </w:rPr>
        <w:t>元、政府性基金拨款收入0万元。</w:t>
      </w:r>
      <w:r>
        <w:rPr>
          <w:rFonts w:hint="eastAsia" w:ascii="新宋体" w:hAnsi="新宋体" w:eastAsia="新宋体"/>
          <w:sz w:val="32"/>
          <w:szCs w:val="32"/>
        </w:rPr>
        <w:t>2019年度</w:t>
      </w:r>
      <w:r>
        <w:rPr>
          <w:rFonts w:ascii="新宋体" w:hAnsi="新宋体" w:eastAsia="新宋体"/>
          <w:sz w:val="32"/>
          <w:szCs w:val="32"/>
        </w:rPr>
        <w:t>年本部门</w:t>
      </w:r>
      <w:r>
        <w:rPr>
          <w:rFonts w:hint="eastAsia" w:ascii="新宋体" w:hAnsi="新宋体" w:eastAsia="新宋体"/>
          <w:sz w:val="32"/>
          <w:szCs w:val="32"/>
        </w:rPr>
        <w:t>财政拨款收入</w:t>
      </w:r>
      <w:r>
        <w:rPr>
          <w:rFonts w:ascii="新宋体" w:hAnsi="新宋体" w:eastAsia="新宋体"/>
          <w:sz w:val="32"/>
          <w:szCs w:val="32"/>
        </w:rPr>
        <w:t>比201</w:t>
      </w:r>
      <w:r>
        <w:rPr>
          <w:rFonts w:hint="eastAsia" w:ascii="新宋体" w:hAnsi="新宋体" w:eastAsia="新宋体"/>
          <w:sz w:val="32"/>
          <w:szCs w:val="32"/>
        </w:rPr>
        <w:t>8</w:t>
      </w:r>
      <w:r>
        <w:rPr>
          <w:rFonts w:ascii="新宋体" w:hAnsi="新宋体" w:eastAsia="新宋体"/>
          <w:sz w:val="32"/>
          <w:szCs w:val="32"/>
        </w:rPr>
        <w:t>年</w:t>
      </w:r>
      <w:r>
        <w:rPr>
          <w:rFonts w:hint="eastAsia" w:ascii="新宋体" w:hAnsi="新宋体" w:eastAsia="新宋体"/>
          <w:sz w:val="32"/>
          <w:szCs w:val="32"/>
        </w:rPr>
        <w:t>增加840845.50</w:t>
      </w:r>
      <w:r>
        <w:rPr>
          <w:rFonts w:ascii="新宋体" w:hAnsi="新宋体" w:eastAsia="新宋体"/>
          <w:sz w:val="32"/>
          <w:szCs w:val="32"/>
        </w:rPr>
        <w:t>元，</w:t>
      </w:r>
      <w:r>
        <w:rPr>
          <w:rFonts w:hint="eastAsia" w:ascii="新宋体" w:hAnsi="新宋体" w:eastAsia="新宋体"/>
          <w:sz w:val="32"/>
          <w:szCs w:val="32"/>
        </w:rPr>
        <w:t>增加12</w:t>
      </w:r>
      <w:r>
        <w:rPr>
          <w:rFonts w:ascii="新宋体" w:hAnsi="新宋体" w:eastAsia="新宋体"/>
          <w:sz w:val="32"/>
          <w:szCs w:val="32"/>
        </w:rPr>
        <w:t>%，</w:t>
      </w:r>
      <w:r>
        <w:rPr>
          <w:rFonts w:hint="eastAsia" w:ascii="新宋体" w:hAnsi="新宋体" w:eastAsia="新宋体"/>
          <w:sz w:val="32"/>
          <w:szCs w:val="32"/>
        </w:rPr>
        <w:t>增加主要原因：增加主要原因：一是因社保缴费改革增加单位承担的社保缴费979448.00元，二是增加了事业单位职业年金缴费22480.00元。工资、公用经费等其它预算收入与上年相比减少161082.50元；</w:t>
      </w:r>
    </w:p>
    <w:p>
      <w:pPr>
        <w:spacing w:line="360" w:lineRule="auto"/>
        <w:ind w:firstLine="640" w:firstLineChars="200"/>
        <w:rPr>
          <w:rFonts w:ascii="新宋体" w:hAnsi="新宋体" w:eastAsia="新宋体"/>
          <w:sz w:val="32"/>
          <w:szCs w:val="32"/>
        </w:rPr>
      </w:pPr>
      <w:r>
        <w:rPr>
          <w:rFonts w:hint="eastAsia" w:ascii="新宋体" w:hAnsi="新宋体" w:eastAsia="新宋体"/>
          <w:sz w:val="32"/>
          <w:szCs w:val="32"/>
        </w:rPr>
        <w:t>2019年度</w:t>
      </w:r>
      <w:r>
        <w:rPr>
          <w:rFonts w:ascii="新宋体" w:hAnsi="新宋体" w:eastAsia="新宋体"/>
          <w:sz w:val="32"/>
          <w:szCs w:val="32"/>
        </w:rPr>
        <w:t>年本部门</w:t>
      </w:r>
      <w:r>
        <w:rPr>
          <w:rFonts w:hint="eastAsia" w:ascii="新宋体" w:hAnsi="新宋体" w:eastAsia="新宋体"/>
          <w:sz w:val="32"/>
          <w:szCs w:val="32"/>
        </w:rPr>
        <w:t>财政拨款支出6976752.00</w:t>
      </w:r>
      <w:r>
        <w:rPr>
          <w:rFonts w:ascii="新宋体" w:hAnsi="新宋体" w:eastAsia="新宋体"/>
          <w:sz w:val="32"/>
          <w:szCs w:val="32"/>
        </w:rPr>
        <w:t>元，</w:t>
      </w:r>
      <w:r>
        <w:rPr>
          <w:rFonts w:hint="eastAsia" w:ascii="新宋体" w:hAnsi="新宋体" w:eastAsia="新宋体"/>
          <w:sz w:val="32"/>
          <w:szCs w:val="32"/>
        </w:rPr>
        <w:t>其中一般公共预算拨款支出6976752.00元、政府性基金拨款支出0万元。2019年度年本部门财政拨款支出</w:t>
      </w:r>
      <w:r>
        <w:rPr>
          <w:rFonts w:ascii="新宋体" w:hAnsi="新宋体" w:eastAsia="新宋体"/>
          <w:sz w:val="32"/>
          <w:szCs w:val="32"/>
        </w:rPr>
        <w:t>比201</w:t>
      </w:r>
      <w:r>
        <w:rPr>
          <w:rFonts w:hint="eastAsia" w:ascii="新宋体" w:hAnsi="新宋体" w:eastAsia="新宋体"/>
          <w:sz w:val="32"/>
          <w:szCs w:val="32"/>
        </w:rPr>
        <w:t>8</w:t>
      </w:r>
      <w:r>
        <w:rPr>
          <w:rFonts w:ascii="新宋体" w:hAnsi="新宋体" w:eastAsia="新宋体"/>
          <w:sz w:val="32"/>
          <w:szCs w:val="32"/>
        </w:rPr>
        <w:t>年</w:t>
      </w:r>
      <w:r>
        <w:rPr>
          <w:rFonts w:hint="eastAsia" w:ascii="新宋体" w:hAnsi="新宋体" w:eastAsia="新宋体"/>
          <w:sz w:val="32"/>
          <w:szCs w:val="32"/>
        </w:rPr>
        <w:t>增加840845.50</w:t>
      </w:r>
      <w:r>
        <w:rPr>
          <w:rFonts w:ascii="新宋体" w:hAnsi="新宋体" w:eastAsia="新宋体"/>
          <w:sz w:val="32"/>
          <w:szCs w:val="32"/>
        </w:rPr>
        <w:t>元，</w:t>
      </w:r>
      <w:r>
        <w:rPr>
          <w:rFonts w:hint="eastAsia" w:ascii="新宋体" w:hAnsi="新宋体" w:eastAsia="新宋体"/>
          <w:sz w:val="32"/>
          <w:szCs w:val="32"/>
        </w:rPr>
        <w:t>增加12</w:t>
      </w:r>
      <w:r>
        <w:rPr>
          <w:rFonts w:ascii="新宋体" w:hAnsi="新宋体" w:eastAsia="新宋体"/>
          <w:sz w:val="32"/>
          <w:szCs w:val="32"/>
        </w:rPr>
        <w:t>%，</w:t>
      </w:r>
      <w:r>
        <w:rPr>
          <w:rFonts w:hint="eastAsia" w:ascii="新宋体" w:hAnsi="新宋体" w:eastAsia="新宋体"/>
          <w:sz w:val="32"/>
          <w:szCs w:val="32"/>
        </w:rPr>
        <w:t>增加主要原因：增加主要原因：一是因社保缴费改革增加单位承担的社保缴费979448.00元，二是增加了事业单位职业年金缴费22480.00元。工资、公用经费等其它预算收入与上年相比减少161082.50元。</w:t>
      </w:r>
    </w:p>
    <w:p>
      <w:pPr>
        <w:spacing w:line="360" w:lineRule="auto"/>
        <w:ind w:firstLine="640" w:firstLineChars="200"/>
        <w:rPr>
          <w:rFonts w:ascii="新宋体" w:hAnsi="新宋体" w:eastAsia="新宋体"/>
          <w:sz w:val="32"/>
          <w:szCs w:val="32"/>
        </w:rPr>
      </w:pPr>
      <w:r>
        <w:rPr>
          <w:rFonts w:ascii="新宋体" w:hAnsi="新宋体" w:eastAsia="新宋体"/>
          <w:sz w:val="32"/>
          <w:szCs w:val="32"/>
        </w:rPr>
        <w:t>（三）一般公共预算拨款支出明细情况</w:t>
      </w:r>
    </w:p>
    <w:p>
      <w:pPr>
        <w:spacing w:line="360" w:lineRule="auto"/>
        <w:ind w:firstLine="640" w:firstLineChars="200"/>
        <w:rPr>
          <w:rFonts w:ascii="新宋体" w:hAnsi="新宋体" w:eastAsia="新宋体"/>
          <w:sz w:val="32"/>
          <w:szCs w:val="32"/>
        </w:rPr>
      </w:pPr>
      <w:r>
        <w:rPr>
          <w:rFonts w:ascii="新宋体" w:hAnsi="新宋体" w:eastAsia="新宋体"/>
          <w:sz w:val="32"/>
          <w:szCs w:val="32"/>
        </w:rPr>
        <w:t>1、一般公共预算</w:t>
      </w:r>
      <w:r>
        <w:rPr>
          <w:rFonts w:hint="eastAsia" w:ascii="新宋体" w:hAnsi="新宋体" w:eastAsia="新宋体"/>
          <w:sz w:val="32"/>
          <w:szCs w:val="32"/>
        </w:rPr>
        <w:t>当年</w:t>
      </w:r>
      <w:r>
        <w:rPr>
          <w:rFonts w:ascii="新宋体" w:hAnsi="新宋体" w:eastAsia="新宋体"/>
          <w:sz w:val="32"/>
          <w:szCs w:val="32"/>
        </w:rPr>
        <w:t>拨款规模变化情况</w:t>
      </w:r>
    </w:p>
    <w:p>
      <w:pPr>
        <w:spacing w:line="360" w:lineRule="auto"/>
        <w:ind w:firstLine="640" w:firstLineChars="200"/>
        <w:rPr>
          <w:rFonts w:ascii="新宋体" w:hAnsi="新宋体" w:eastAsia="新宋体"/>
          <w:sz w:val="32"/>
          <w:szCs w:val="32"/>
        </w:rPr>
      </w:pPr>
      <w:r>
        <w:rPr>
          <w:rFonts w:hint="eastAsia" w:ascii="新宋体" w:hAnsi="新宋体" w:eastAsia="新宋体"/>
          <w:sz w:val="32"/>
          <w:szCs w:val="32"/>
        </w:rPr>
        <w:t>2019</w:t>
      </w:r>
      <w:r>
        <w:rPr>
          <w:rFonts w:ascii="新宋体" w:hAnsi="新宋体" w:eastAsia="新宋体"/>
          <w:sz w:val="32"/>
          <w:szCs w:val="32"/>
        </w:rPr>
        <w:t>年本部门</w:t>
      </w:r>
      <w:r>
        <w:rPr>
          <w:rFonts w:hint="eastAsia" w:ascii="新宋体" w:hAnsi="新宋体" w:eastAsia="新宋体"/>
          <w:sz w:val="32"/>
          <w:szCs w:val="32"/>
        </w:rPr>
        <w:t>一般公共</w:t>
      </w:r>
      <w:r>
        <w:rPr>
          <w:rFonts w:ascii="新宋体" w:hAnsi="新宋体" w:eastAsia="新宋体"/>
          <w:sz w:val="32"/>
          <w:szCs w:val="32"/>
        </w:rPr>
        <w:t>预算收支</w:t>
      </w:r>
      <w:r>
        <w:rPr>
          <w:rFonts w:hint="eastAsia" w:ascii="新宋体" w:hAnsi="新宋体" w:eastAsia="新宋体"/>
          <w:sz w:val="32"/>
          <w:szCs w:val="32"/>
        </w:rPr>
        <w:t>6976752.00</w:t>
      </w:r>
      <w:r>
        <w:rPr>
          <w:rFonts w:ascii="新宋体" w:hAnsi="新宋体" w:eastAsia="新宋体"/>
          <w:sz w:val="32"/>
          <w:szCs w:val="32"/>
        </w:rPr>
        <w:t>元，比201</w:t>
      </w:r>
      <w:r>
        <w:rPr>
          <w:rFonts w:hint="eastAsia" w:ascii="新宋体" w:hAnsi="新宋体" w:eastAsia="新宋体"/>
          <w:sz w:val="32"/>
          <w:szCs w:val="32"/>
        </w:rPr>
        <w:t>8</w:t>
      </w:r>
      <w:r>
        <w:rPr>
          <w:rFonts w:ascii="新宋体" w:hAnsi="新宋体" w:eastAsia="新宋体"/>
          <w:sz w:val="32"/>
          <w:szCs w:val="32"/>
        </w:rPr>
        <w:t>年</w:t>
      </w:r>
      <w:r>
        <w:rPr>
          <w:rFonts w:hint="eastAsia" w:ascii="新宋体" w:hAnsi="新宋体" w:eastAsia="新宋体"/>
          <w:sz w:val="32"/>
          <w:szCs w:val="32"/>
        </w:rPr>
        <w:t>增加840845.50</w:t>
      </w:r>
      <w:r>
        <w:rPr>
          <w:rFonts w:ascii="新宋体" w:hAnsi="新宋体" w:eastAsia="新宋体"/>
          <w:sz w:val="32"/>
          <w:szCs w:val="32"/>
        </w:rPr>
        <w:t>元，</w:t>
      </w:r>
      <w:r>
        <w:rPr>
          <w:rFonts w:hint="eastAsia" w:ascii="新宋体" w:hAnsi="新宋体" w:eastAsia="新宋体"/>
          <w:sz w:val="32"/>
          <w:szCs w:val="32"/>
        </w:rPr>
        <w:t>增加12</w:t>
      </w:r>
      <w:r>
        <w:rPr>
          <w:rFonts w:ascii="新宋体" w:hAnsi="新宋体" w:eastAsia="新宋体"/>
          <w:sz w:val="32"/>
          <w:szCs w:val="32"/>
        </w:rPr>
        <w:t>%，</w:t>
      </w:r>
      <w:r>
        <w:rPr>
          <w:rFonts w:hint="eastAsia" w:ascii="新宋体" w:hAnsi="新宋体" w:eastAsia="新宋体"/>
          <w:sz w:val="32"/>
          <w:szCs w:val="32"/>
        </w:rPr>
        <w:t>增加主要原因：增加主要原因：一是因社保缴费改革增加单位承担的社保缴费979448.00元，二是增加了事业单位职业年金缴费22480.00元。工资、公用经费等其它预算收入与上年相比减少161082.50元。</w:t>
      </w:r>
    </w:p>
    <w:p>
      <w:pPr>
        <w:spacing w:line="360" w:lineRule="auto"/>
        <w:ind w:firstLine="640" w:firstLineChars="200"/>
        <w:rPr>
          <w:rFonts w:ascii="新宋体" w:hAnsi="新宋体" w:eastAsia="新宋体"/>
          <w:sz w:val="32"/>
          <w:szCs w:val="32"/>
        </w:rPr>
      </w:pPr>
      <w:r>
        <w:rPr>
          <w:rFonts w:ascii="新宋体" w:hAnsi="新宋体" w:eastAsia="新宋体"/>
          <w:sz w:val="32"/>
          <w:szCs w:val="32"/>
        </w:rPr>
        <w:t>2、支出按功能科目分类明细情况</w:t>
      </w:r>
    </w:p>
    <w:p>
      <w:pPr>
        <w:spacing w:line="360" w:lineRule="auto"/>
        <w:ind w:firstLine="640" w:firstLineChars="200"/>
        <w:rPr>
          <w:rFonts w:ascii="新宋体" w:hAnsi="新宋体" w:eastAsia="新宋体"/>
          <w:sz w:val="32"/>
          <w:szCs w:val="32"/>
        </w:rPr>
      </w:pPr>
      <w:r>
        <w:rPr>
          <w:rFonts w:hint="eastAsia" w:ascii="新宋体" w:hAnsi="新宋体" w:eastAsia="新宋体"/>
          <w:sz w:val="32"/>
          <w:szCs w:val="32"/>
        </w:rPr>
        <w:t>本部门2019年一般公共预算支出6976752.00元，较上年增加840845.50元，均为人员经费增加，公用经费与上年相比减少100800.00元，无专项业务费预算支出。其中</w:t>
      </w:r>
    </w:p>
    <w:p>
      <w:pPr>
        <w:spacing w:line="360" w:lineRule="auto"/>
        <w:ind w:firstLine="640" w:firstLineChars="200"/>
        <w:rPr>
          <w:rFonts w:ascii="新宋体" w:hAnsi="新宋体" w:eastAsia="新宋体"/>
          <w:sz w:val="32"/>
          <w:szCs w:val="32"/>
        </w:rPr>
      </w:pPr>
      <w:r>
        <w:rPr>
          <w:rFonts w:hint="eastAsia" w:ascii="新宋体" w:hAnsi="新宋体" w:eastAsia="新宋体"/>
          <w:sz w:val="32"/>
          <w:szCs w:val="32"/>
        </w:rPr>
        <w:t>（1）行政运行（2040601）本年度预算1999224.00元，比2018年度减少161082.50元，主要原因是人员调出及退休工资减少及公用经费减少。</w:t>
      </w:r>
    </w:p>
    <w:p>
      <w:pPr>
        <w:spacing w:line="360" w:lineRule="auto"/>
        <w:ind w:firstLine="640" w:firstLineChars="200"/>
        <w:rPr>
          <w:rFonts w:ascii="新宋体" w:hAnsi="新宋体" w:eastAsia="新宋体"/>
          <w:sz w:val="32"/>
          <w:szCs w:val="32"/>
        </w:rPr>
      </w:pPr>
      <w:r>
        <w:rPr>
          <w:rFonts w:hint="eastAsia" w:ascii="新宋体" w:hAnsi="新宋体" w:eastAsia="新宋体"/>
          <w:sz w:val="32"/>
          <w:szCs w:val="32"/>
        </w:rPr>
        <w:t>（2）机关事业单位基本养老保险缴费（2080505）979448.00元，比2018年度增加979448.00元，机关事业单位职业年金缴费（2080505）11480.00元，比2018年度增加11480.00元，主要原因是因社保缴费改革增加单位承担的社保缴费支出。</w:t>
      </w:r>
    </w:p>
    <w:p>
      <w:pPr>
        <w:spacing w:line="360" w:lineRule="auto"/>
        <w:ind w:firstLine="640" w:firstLineChars="200"/>
        <w:rPr>
          <w:rFonts w:ascii="新宋体" w:hAnsi="新宋体" w:eastAsia="新宋体"/>
          <w:sz w:val="32"/>
          <w:szCs w:val="32"/>
        </w:rPr>
      </w:pPr>
      <w:r>
        <w:rPr>
          <w:rFonts w:hint="eastAsia" w:ascii="新宋体" w:hAnsi="新宋体" w:eastAsia="新宋体"/>
          <w:sz w:val="32"/>
          <w:szCs w:val="32"/>
        </w:rPr>
        <w:t>具体如下表：</w:t>
      </w:r>
    </w:p>
    <w:p>
      <w:pPr>
        <w:spacing w:line="360" w:lineRule="auto"/>
        <w:ind w:firstLine="640" w:firstLineChars="200"/>
        <w:rPr>
          <w:rFonts w:ascii="新宋体" w:hAnsi="新宋体" w:eastAsia="新宋体"/>
          <w:sz w:val="32"/>
          <w:szCs w:val="32"/>
        </w:rPr>
      </w:pPr>
      <w:r>
        <w:rPr>
          <w:rFonts w:hint="eastAsia" w:ascii="新宋体" w:hAnsi="新宋体" w:eastAsia="新宋体"/>
          <w:sz w:val="32"/>
          <w:szCs w:val="32"/>
        </w:rPr>
        <w:t>支出按功能科目分类与上年对比增减变化说明表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6"/>
        <w:gridCol w:w="1069"/>
        <w:gridCol w:w="1369"/>
        <w:gridCol w:w="1334"/>
        <w:gridCol w:w="1462"/>
        <w:gridCol w:w="1166"/>
        <w:gridCol w:w="23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trPr>
        <w:tc>
          <w:tcPr>
            <w:tcW w:w="1098" w:type="dxa"/>
            <w:vMerge w:val="restart"/>
          </w:tcPr>
          <w:p>
            <w:pPr>
              <w:spacing w:line="360" w:lineRule="auto"/>
            </w:pPr>
            <w:r>
              <w:rPr>
                <w:rFonts w:hint="eastAsia"/>
              </w:rPr>
              <w:t>科目代码</w:t>
            </w:r>
          </w:p>
          <w:p>
            <w:pPr>
              <w:spacing w:line="360" w:lineRule="auto"/>
            </w:pPr>
          </w:p>
          <w:p>
            <w:pPr>
              <w:spacing w:line="360" w:lineRule="auto"/>
            </w:pPr>
          </w:p>
        </w:tc>
        <w:tc>
          <w:tcPr>
            <w:tcW w:w="1075" w:type="dxa"/>
            <w:vMerge w:val="restart"/>
          </w:tcPr>
          <w:p>
            <w:pPr>
              <w:spacing w:line="360" w:lineRule="auto"/>
            </w:pPr>
            <w:r>
              <w:rPr>
                <w:rFonts w:hint="eastAsia"/>
              </w:rPr>
              <w:t>科目名称</w:t>
            </w:r>
          </w:p>
        </w:tc>
        <w:tc>
          <w:tcPr>
            <w:tcW w:w="2707" w:type="dxa"/>
            <w:gridSpan w:val="2"/>
          </w:tcPr>
          <w:p>
            <w:pPr>
              <w:spacing w:line="360" w:lineRule="auto"/>
            </w:pPr>
            <w:r>
              <w:rPr>
                <w:rFonts w:hint="eastAsia"/>
              </w:rPr>
              <w:t>2019年支出数</w:t>
            </w:r>
          </w:p>
        </w:tc>
        <w:tc>
          <w:tcPr>
            <w:tcW w:w="2599" w:type="dxa"/>
            <w:gridSpan w:val="2"/>
          </w:tcPr>
          <w:p>
            <w:pPr>
              <w:spacing w:line="360" w:lineRule="auto"/>
            </w:pPr>
            <w:r>
              <w:rPr>
                <w:rFonts w:hint="eastAsia"/>
              </w:rPr>
              <w:t>与2018年增减变化数</w:t>
            </w:r>
          </w:p>
        </w:tc>
        <w:tc>
          <w:tcPr>
            <w:tcW w:w="2376" w:type="dxa"/>
            <w:vMerge w:val="restart"/>
          </w:tcPr>
          <w:p>
            <w:pPr>
              <w:spacing w:line="360" w:lineRule="auto"/>
            </w:pPr>
            <w:r>
              <w:rPr>
                <w:rFonts w:hint="eastAsia"/>
              </w:rPr>
              <w:t>原因说明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1098" w:type="dxa"/>
            <w:vMerge w:val="continue"/>
          </w:tcPr>
          <w:p>
            <w:pPr>
              <w:spacing w:line="360" w:lineRule="auto"/>
            </w:pPr>
          </w:p>
        </w:tc>
        <w:tc>
          <w:tcPr>
            <w:tcW w:w="1075" w:type="dxa"/>
            <w:vMerge w:val="continue"/>
          </w:tcPr>
          <w:p>
            <w:pPr>
              <w:spacing w:line="360" w:lineRule="auto"/>
            </w:pPr>
          </w:p>
        </w:tc>
        <w:tc>
          <w:tcPr>
            <w:tcW w:w="1371" w:type="dxa"/>
          </w:tcPr>
          <w:p>
            <w:pPr>
              <w:spacing w:line="360" w:lineRule="auto"/>
            </w:pPr>
            <w:r>
              <w:rPr>
                <w:rFonts w:hint="eastAsia"/>
              </w:rPr>
              <w:t>人员经费</w:t>
            </w:r>
          </w:p>
        </w:tc>
        <w:tc>
          <w:tcPr>
            <w:tcW w:w="1336" w:type="dxa"/>
          </w:tcPr>
          <w:p>
            <w:pPr>
              <w:spacing w:line="360" w:lineRule="auto"/>
            </w:pPr>
            <w:r>
              <w:rPr>
                <w:rFonts w:hint="eastAsia"/>
              </w:rPr>
              <w:t>公用经费</w:t>
            </w:r>
          </w:p>
        </w:tc>
        <w:tc>
          <w:tcPr>
            <w:tcW w:w="1465" w:type="dxa"/>
          </w:tcPr>
          <w:p>
            <w:pPr>
              <w:spacing w:line="360" w:lineRule="auto"/>
            </w:pPr>
            <w:r>
              <w:rPr>
                <w:rFonts w:hint="eastAsia"/>
              </w:rPr>
              <w:t>人员经费</w:t>
            </w:r>
          </w:p>
        </w:tc>
        <w:tc>
          <w:tcPr>
            <w:tcW w:w="1134" w:type="dxa"/>
          </w:tcPr>
          <w:p>
            <w:pPr>
              <w:spacing w:line="360" w:lineRule="auto"/>
            </w:pPr>
            <w:r>
              <w:rPr>
                <w:rFonts w:hint="eastAsia"/>
              </w:rPr>
              <w:t>公用经费</w:t>
            </w:r>
          </w:p>
        </w:tc>
        <w:tc>
          <w:tcPr>
            <w:tcW w:w="2376" w:type="dxa"/>
            <w:vMerge w:val="continue"/>
          </w:tcPr>
          <w:p>
            <w:pPr>
              <w:spacing w:line="36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098" w:type="dxa"/>
          </w:tcPr>
          <w:p>
            <w:pPr>
              <w:spacing w:line="360" w:lineRule="auto"/>
            </w:pPr>
            <w:r>
              <w:rPr>
                <w:rFonts w:hint="eastAsia"/>
              </w:rPr>
              <w:t>2040601</w:t>
            </w:r>
          </w:p>
        </w:tc>
        <w:tc>
          <w:tcPr>
            <w:tcW w:w="1075" w:type="dxa"/>
          </w:tcPr>
          <w:p>
            <w:pPr>
              <w:spacing w:line="360" w:lineRule="auto"/>
            </w:pPr>
            <w:r>
              <w:rPr>
                <w:rFonts w:hint="eastAsia"/>
              </w:rPr>
              <w:t>行政运行</w:t>
            </w:r>
          </w:p>
        </w:tc>
        <w:tc>
          <w:tcPr>
            <w:tcW w:w="1371" w:type="dxa"/>
          </w:tcPr>
          <w:p>
            <w:pPr>
              <w:spacing w:line="360" w:lineRule="auto"/>
            </w:pPr>
            <w:r>
              <w:rPr>
                <w:rFonts w:hint="eastAsia"/>
              </w:rPr>
              <w:t>1999224.00</w:t>
            </w:r>
          </w:p>
        </w:tc>
        <w:tc>
          <w:tcPr>
            <w:tcW w:w="1336" w:type="dxa"/>
          </w:tcPr>
          <w:p>
            <w:pPr>
              <w:spacing w:line="360" w:lineRule="auto"/>
            </w:pPr>
            <w:r>
              <w:rPr>
                <w:rFonts w:hint="eastAsia"/>
              </w:rPr>
              <w:t>316440.00</w:t>
            </w:r>
          </w:p>
        </w:tc>
        <w:tc>
          <w:tcPr>
            <w:tcW w:w="1465" w:type="dxa"/>
          </w:tcPr>
          <w:p>
            <w:pPr>
              <w:spacing w:line="360" w:lineRule="auto"/>
            </w:pPr>
            <w:r>
              <w:rPr>
                <w:rFonts w:hint="eastAsia"/>
              </w:rPr>
              <w:t>4692666.50</w:t>
            </w:r>
          </w:p>
        </w:tc>
        <w:tc>
          <w:tcPr>
            <w:tcW w:w="1134" w:type="dxa"/>
          </w:tcPr>
          <w:p>
            <w:pPr>
              <w:spacing w:line="360" w:lineRule="auto"/>
            </w:pPr>
            <w:r>
              <w:rPr>
                <w:rFonts w:hint="eastAsia"/>
              </w:rPr>
              <w:t>1173240.00</w:t>
            </w:r>
          </w:p>
        </w:tc>
        <w:tc>
          <w:tcPr>
            <w:tcW w:w="2376" w:type="dxa"/>
          </w:tcPr>
          <w:p>
            <w:pPr>
              <w:spacing w:line="360" w:lineRule="auto"/>
            </w:pPr>
            <w:r>
              <w:rPr>
                <w:rFonts w:hint="eastAsia"/>
              </w:rPr>
              <w:t>行政与事业人员工资科目区分，人员退休及调出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8" w:type="dxa"/>
          </w:tcPr>
          <w:p>
            <w:pPr>
              <w:spacing w:line="360" w:lineRule="auto"/>
            </w:pPr>
            <w:r>
              <w:rPr>
                <w:rFonts w:hint="eastAsia"/>
              </w:rPr>
              <w:t>2010408</w:t>
            </w:r>
          </w:p>
        </w:tc>
        <w:tc>
          <w:tcPr>
            <w:tcW w:w="1075" w:type="dxa"/>
          </w:tcPr>
          <w:p>
            <w:pPr>
              <w:spacing w:line="360" w:lineRule="auto"/>
            </w:pPr>
            <w:r>
              <w:rPr>
                <w:rFonts w:hint="eastAsia"/>
              </w:rPr>
              <w:t>一般行政管理事务</w:t>
            </w:r>
          </w:p>
        </w:tc>
        <w:tc>
          <w:tcPr>
            <w:tcW w:w="1371" w:type="dxa"/>
          </w:tcPr>
          <w:p>
            <w:pPr>
              <w:spacing w:line="360" w:lineRule="auto"/>
            </w:pPr>
            <w:r>
              <w:rPr>
                <w:rFonts w:hint="eastAsia"/>
              </w:rPr>
              <w:t>2903160.00</w:t>
            </w:r>
          </w:p>
        </w:tc>
        <w:tc>
          <w:tcPr>
            <w:tcW w:w="1336" w:type="dxa"/>
          </w:tcPr>
          <w:p>
            <w:pPr>
              <w:spacing w:line="360" w:lineRule="auto"/>
            </w:pPr>
            <w:r>
              <w:rPr>
                <w:rFonts w:hint="eastAsia"/>
              </w:rPr>
              <w:t>756000.00</w:t>
            </w:r>
          </w:p>
        </w:tc>
        <w:tc>
          <w:tcPr>
            <w:tcW w:w="1465" w:type="dxa"/>
          </w:tcPr>
          <w:p>
            <w:pPr>
              <w:spacing w:line="360" w:lineRule="auto"/>
            </w:pPr>
          </w:p>
        </w:tc>
        <w:tc>
          <w:tcPr>
            <w:tcW w:w="1134" w:type="dxa"/>
          </w:tcPr>
          <w:p>
            <w:pPr>
              <w:spacing w:line="360" w:lineRule="auto"/>
            </w:pPr>
          </w:p>
        </w:tc>
        <w:tc>
          <w:tcPr>
            <w:tcW w:w="2376" w:type="dxa"/>
          </w:tcPr>
          <w:p>
            <w:pPr>
              <w:spacing w:line="360" w:lineRule="auto"/>
            </w:pPr>
            <w:r>
              <w:rPr>
                <w:rFonts w:hint="eastAsia"/>
              </w:rPr>
              <w:t>行政与事业人员工资科目区分，人员退休及调出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8" w:type="dxa"/>
          </w:tcPr>
          <w:p>
            <w:pPr>
              <w:spacing w:line="360" w:lineRule="auto"/>
            </w:pPr>
            <w:r>
              <w:rPr>
                <w:rFonts w:hint="eastAsia"/>
              </w:rPr>
              <w:t>2080505</w:t>
            </w:r>
          </w:p>
        </w:tc>
        <w:tc>
          <w:tcPr>
            <w:tcW w:w="1075" w:type="dxa"/>
          </w:tcPr>
          <w:p>
            <w:pPr>
              <w:spacing w:line="360" w:lineRule="auto"/>
            </w:pPr>
            <w:r>
              <w:rPr>
                <w:rFonts w:hint="eastAsia"/>
              </w:rPr>
              <w:t>机关事业单位基本养老保险缴费支出</w:t>
            </w:r>
          </w:p>
        </w:tc>
        <w:tc>
          <w:tcPr>
            <w:tcW w:w="1371" w:type="dxa"/>
          </w:tcPr>
          <w:p>
            <w:pPr>
              <w:spacing w:line="360" w:lineRule="auto"/>
            </w:pPr>
            <w:r>
              <w:rPr>
                <w:rFonts w:hint="eastAsia"/>
              </w:rPr>
              <w:t>979448.00</w:t>
            </w:r>
          </w:p>
        </w:tc>
        <w:tc>
          <w:tcPr>
            <w:tcW w:w="1336" w:type="dxa"/>
          </w:tcPr>
          <w:p>
            <w:pPr>
              <w:spacing w:line="360" w:lineRule="auto"/>
            </w:pPr>
            <w:r>
              <w:rPr>
                <w:rFonts w:hint="eastAsia"/>
              </w:rPr>
              <w:t>0</w:t>
            </w:r>
          </w:p>
        </w:tc>
        <w:tc>
          <w:tcPr>
            <w:tcW w:w="1465" w:type="dxa"/>
          </w:tcPr>
          <w:p>
            <w:pPr>
              <w:spacing w:line="360" w:lineRule="auto"/>
            </w:pPr>
          </w:p>
        </w:tc>
        <w:tc>
          <w:tcPr>
            <w:tcW w:w="1134" w:type="dxa"/>
          </w:tcPr>
          <w:p>
            <w:pPr>
              <w:spacing w:line="360" w:lineRule="auto"/>
            </w:pPr>
            <w:r>
              <w:rPr>
                <w:rFonts w:hint="eastAsia"/>
              </w:rPr>
              <w:t>0</w:t>
            </w:r>
          </w:p>
        </w:tc>
        <w:tc>
          <w:tcPr>
            <w:tcW w:w="2376" w:type="dxa"/>
          </w:tcPr>
          <w:p>
            <w:pPr>
              <w:spacing w:line="360" w:lineRule="auto"/>
            </w:pPr>
            <w:r>
              <w:rPr>
                <w:rFonts w:hint="eastAsia"/>
              </w:rPr>
              <w:t>社保缴费改革变化增加单位承担社保支出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8" w:type="dxa"/>
          </w:tcPr>
          <w:p>
            <w:pPr>
              <w:spacing w:line="360" w:lineRule="auto"/>
            </w:pPr>
            <w:r>
              <w:rPr>
                <w:rFonts w:hint="eastAsia"/>
              </w:rPr>
              <w:t>2080505</w:t>
            </w:r>
          </w:p>
          <w:p>
            <w:pPr>
              <w:spacing w:line="360" w:lineRule="auto"/>
            </w:pPr>
          </w:p>
          <w:p>
            <w:pPr>
              <w:spacing w:line="360" w:lineRule="auto"/>
            </w:pPr>
          </w:p>
        </w:tc>
        <w:tc>
          <w:tcPr>
            <w:tcW w:w="1075" w:type="dxa"/>
          </w:tcPr>
          <w:p>
            <w:pPr>
              <w:spacing w:line="360" w:lineRule="auto"/>
            </w:pPr>
            <w:r>
              <w:rPr>
                <w:rFonts w:hint="eastAsia"/>
              </w:rPr>
              <w:t>机关事业单位职业年金缴费支出</w:t>
            </w:r>
          </w:p>
        </w:tc>
        <w:tc>
          <w:tcPr>
            <w:tcW w:w="1371" w:type="dxa"/>
          </w:tcPr>
          <w:p>
            <w:pPr>
              <w:spacing w:line="360" w:lineRule="auto"/>
            </w:pPr>
            <w:r>
              <w:rPr>
                <w:rFonts w:hint="eastAsia"/>
              </w:rPr>
              <w:t>22480.00</w:t>
            </w:r>
          </w:p>
        </w:tc>
        <w:tc>
          <w:tcPr>
            <w:tcW w:w="1336" w:type="dxa"/>
          </w:tcPr>
          <w:p>
            <w:pPr>
              <w:spacing w:line="360" w:lineRule="auto"/>
            </w:pPr>
            <w:r>
              <w:rPr>
                <w:rFonts w:hint="eastAsia"/>
              </w:rPr>
              <w:t>0</w:t>
            </w:r>
          </w:p>
        </w:tc>
        <w:tc>
          <w:tcPr>
            <w:tcW w:w="1465" w:type="dxa"/>
          </w:tcPr>
          <w:p>
            <w:pPr>
              <w:spacing w:line="360" w:lineRule="auto"/>
            </w:pPr>
          </w:p>
        </w:tc>
        <w:tc>
          <w:tcPr>
            <w:tcW w:w="1134" w:type="dxa"/>
          </w:tcPr>
          <w:p>
            <w:pPr>
              <w:spacing w:line="360" w:lineRule="auto"/>
            </w:pPr>
            <w:r>
              <w:rPr>
                <w:rFonts w:hint="eastAsia"/>
              </w:rPr>
              <w:t>0</w:t>
            </w:r>
          </w:p>
        </w:tc>
        <w:tc>
          <w:tcPr>
            <w:tcW w:w="2376" w:type="dxa"/>
          </w:tcPr>
          <w:p>
            <w:pPr>
              <w:spacing w:line="360" w:lineRule="auto"/>
            </w:pPr>
            <w:r>
              <w:rPr>
                <w:rFonts w:hint="eastAsia"/>
              </w:rPr>
              <w:t>社保缴费改革变化增加单位承担社保支出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8" w:type="dxa"/>
          </w:tcPr>
          <w:p>
            <w:pPr>
              <w:spacing w:line="360" w:lineRule="auto"/>
            </w:pPr>
            <w:r>
              <w:rPr>
                <w:rFonts w:hint="eastAsia"/>
              </w:rPr>
              <w:t>合计</w:t>
            </w:r>
          </w:p>
        </w:tc>
        <w:tc>
          <w:tcPr>
            <w:tcW w:w="1075" w:type="dxa"/>
          </w:tcPr>
          <w:p>
            <w:pPr>
              <w:spacing w:line="360" w:lineRule="auto"/>
            </w:pPr>
          </w:p>
        </w:tc>
        <w:tc>
          <w:tcPr>
            <w:tcW w:w="1371" w:type="dxa"/>
          </w:tcPr>
          <w:p>
            <w:pPr>
              <w:spacing w:line="360" w:lineRule="auto"/>
            </w:pPr>
            <w:r>
              <w:rPr>
                <w:rFonts w:hint="eastAsia"/>
              </w:rPr>
              <w:t>5904312.00</w:t>
            </w:r>
          </w:p>
        </w:tc>
        <w:tc>
          <w:tcPr>
            <w:tcW w:w="1336" w:type="dxa"/>
          </w:tcPr>
          <w:p>
            <w:pPr>
              <w:spacing w:line="360" w:lineRule="auto"/>
            </w:pPr>
            <w:r>
              <w:rPr>
                <w:rFonts w:hint="eastAsia"/>
              </w:rPr>
              <w:t>1072440.00</w:t>
            </w:r>
          </w:p>
        </w:tc>
        <w:tc>
          <w:tcPr>
            <w:tcW w:w="1465" w:type="dxa"/>
          </w:tcPr>
          <w:p>
            <w:pPr>
              <w:spacing w:line="360" w:lineRule="auto"/>
            </w:pPr>
            <w:r>
              <w:rPr>
                <w:rFonts w:hint="eastAsia"/>
              </w:rPr>
              <w:t>4692666.50</w:t>
            </w:r>
          </w:p>
        </w:tc>
        <w:tc>
          <w:tcPr>
            <w:tcW w:w="1134" w:type="dxa"/>
          </w:tcPr>
          <w:p>
            <w:pPr>
              <w:spacing w:line="360" w:lineRule="auto"/>
            </w:pPr>
            <w:r>
              <w:rPr>
                <w:rFonts w:hint="eastAsia"/>
              </w:rPr>
              <w:t>1173240.00</w:t>
            </w:r>
          </w:p>
        </w:tc>
        <w:tc>
          <w:tcPr>
            <w:tcW w:w="2376" w:type="dxa"/>
          </w:tcPr>
          <w:p>
            <w:pPr>
              <w:spacing w:line="360" w:lineRule="auto"/>
            </w:pPr>
          </w:p>
        </w:tc>
      </w:tr>
    </w:tbl>
    <w:p>
      <w:pPr>
        <w:spacing w:line="360" w:lineRule="auto"/>
        <w:ind w:firstLine="640" w:firstLineChars="200"/>
        <w:rPr>
          <w:rFonts w:ascii="新宋体" w:hAnsi="新宋体" w:eastAsia="新宋体"/>
          <w:sz w:val="32"/>
          <w:szCs w:val="32"/>
        </w:rPr>
      </w:pPr>
      <w:r>
        <w:rPr>
          <w:rFonts w:ascii="新宋体" w:hAnsi="新宋体" w:eastAsia="新宋体"/>
          <w:sz w:val="32"/>
          <w:szCs w:val="32"/>
        </w:rPr>
        <w:t>3、支出按经济科目分类明细情况</w:t>
      </w:r>
    </w:p>
    <w:p>
      <w:pPr>
        <w:spacing w:line="360" w:lineRule="auto"/>
        <w:ind w:firstLine="640" w:firstLineChars="200"/>
        <w:rPr>
          <w:rFonts w:ascii="新宋体" w:hAnsi="新宋体" w:eastAsia="新宋体"/>
          <w:sz w:val="32"/>
          <w:szCs w:val="32"/>
        </w:rPr>
      </w:pPr>
      <w:r>
        <w:rPr>
          <w:rFonts w:hint="eastAsia" w:ascii="新宋体" w:hAnsi="新宋体" w:eastAsia="新宋体"/>
          <w:sz w:val="32"/>
          <w:szCs w:val="32"/>
        </w:rPr>
        <w:t>（1）</w:t>
      </w:r>
      <w:r>
        <w:rPr>
          <w:rFonts w:hint="eastAsia" w:ascii="仿宋_GB2312" w:eastAsia="仿宋_GB2312"/>
          <w:sz w:val="32"/>
          <w:szCs w:val="32"/>
        </w:rPr>
        <w:t>按照部门预算支出经济分类的类级科目说明</w:t>
      </w:r>
    </w:p>
    <w:p>
      <w:pPr>
        <w:spacing w:line="360" w:lineRule="auto"/>
        <w:ind w:firstLine="640" w:firstLineChars="200"/>
        <w:rPr>
          <w:rFonts w:ascii="新宋体" w:hAnsi="新宋体" w:eastAsia="新宋体"/>
          <w:sz w:val="32"/>
          <w:szCs w:val="32"/>
        </w:rPr>
      </w:pPr>
      <w:r>
        <w:rPr>
          <w:rFonts w:hint="eastAsia" w:ascii="新宋体" w:hAnsi="新宋体" w:eastAsia="新宋体"/>
          <w:sz w:val="32"/>
          <w:szCs w:val="32"/>
        </w:rPr>
        <w:t>2019年本部门一般公共预算支出6976752.00元，其中：</w:t>
      </w:r>
    </w:p>
    <w:p>
      <w:pPr>
        <w:spacing w:line="360" w:lineRule="auto"/>
        <w:ind w:firstLine="640" w:firstLineChars="200"/>
        <w:rPr>
          <w:rFonts w:ascii="新宋体" w:hAnsi="新宋体" w:eastAsia="新宋体"/>
          <w:sz w:val="32"/>
          <w:szCs w:val="32"/>
        </w:rPr>
      </w:pPr>
      <w:r>
        <w:rPr>
          <w:rFonts w:hint="eastAsia" w:ascii="新宋体" w:hAnsi="新宋体" w:eastAsia="新宋体"/>
          <w:sz w:val="32"/>
          <w:szCs w:val="32"/>
        </w:rPr>
        <w:t>工资福利支出（301）5904312.00元，较上年增加941645.50元，主要原因一是因社保缴费改革增加单位承担的社保缴费支出979448.00元，二是增加了事业单位职业年金缴费22480.00元。工资经费预算收入与上年相比减少60282.50元。</w:t>
      </w:r>
    </w:p>
    <w:p>
      <w:pPr>
        <w:spacing w:line="360" w:lineRule="auto"/>
        <w:ind w:firstLine="640" w:firstLineChars="200"/>
        <w:rPr>
          <w:rFonts w:ascii="新宋体" w:hAnsi="新宋体" w:eastAsia="新宋体"/>
          <w:sz w:val="32"/>
          <w:szCs w:val="32"/>
        </w:rPr>
      </w:pPr>
      <w:r>
        <w:rPr>
          <w:rFonts w:hint="eastAsia" w:ascii="新宋体" w:hAnsi="新宋体" w:eastAsia="新宋体"/>
          <w:sz w:val="32"/>
          <w:szCs w:val="32"/>
        </w:rPr>
        <w:t>商品和服务支出（302）1072440.00元，较上年减少 100800.00元。减少原因是因为缩减开展业务活动经费，办公经费。</w:t>
      </w:r>
    </w:p>
    <w:p>
      <w:pPr>
        <w:spacing w:line="360" w:lineRule="auto"/>
        <w:ind w:firstLine="640" w:firstLineChars="200"/>
        <w:rPr>
          <w:rFonts w:ascii="新宋体" w:hAnsi="新宋体" w:eastAsia="新宋体"/>
          <w:sz w:val="32"/>
          <w:szCs w:val="32"/>
        </w:rPr>
      </w:pPr>
      <w:r>
        <w:rPr>
          <w:rFonts w:hint="eastAsia" w:ascii="新宋体" w:hAnsi="新宋体" w:eastAsia="新宋体"/>
          <w:sz w:val="32"/>
          <w:szCs w:val="32"/>
        </w:rPr>
        <w:t>2019年本部门无专项业务经费预算支出。</w:t>
      </w:r>
    </w:p>
    <w:p>
      <w:pPr>
        <w:numPr>
          <w:ilvl w:val="0"/>
          <w:numId w:val="1"/>
        </w:numPr>
        <w:spacing w:line="360" w:lineRule="auto"/>
        <w:ind w:firstLine="640" w:firstLineChars="200"/>
        <w:rPr>
          <w:rFonts w:ascii="仿宋_GB2312" w:eastAsia="仿宋_GB2312"/>
          <w:sz w:val="32"/>
          <w:szCs w:val="32"/>
        </w:rPr>
      </w:pPr>
      <w:r>
        <w:rPr>
          <w:rFonts w:hint="eastAsia" w:ascii="仿宋_GB2312" w:eastAsia="仿宋_GB2312"/>
          <w:sz w:val="32"/>
          <w:szCs w:val="32"/>
        </w:rPr>
        <w:t>按照政府预算支出经济分类的类级科目说明</w:t>
      </w:r>
    </w:p>
    <w:p>
      <w:pPr>
        <w:spacing w:line="360" w:lineRule="auto"/>
        <w:ind w:firstLine="640" w:firstLineChars="200"/>
        <w:rPr>
          <w:rFonts w:ascii="新宋体" w:hAnsi="新宋体" w:eastAsia="新宋体"/>
          <w:sz w:val="32"/>
          <w:szCs w:val="32"/>
        </w:rPr>
      </w:pPr>
      <w:r>
        <w:rPr>
          <w:rFonts w:hint="eastAsia" w:ascii="新宋体" w:hAnsi="新宋体" w:eastAsia="新宋体"/>
          <w:sz w:val="32"/>
          <w:szCs w:val="32"/>
        </w:rPr>
        <w:t>2019年本部门一般公共预算支出6976752.00元，其中：</w:t>
      </w:r>
    </w:p>
    <w:p>
      <w:pPr>
        <w:spacing w:line="360" w:lineRule="auto"/>
        <w:ind w:firstLine="640" w:firstLineChars="200"/>
        <w:rPr>
          <w:rFonts w:ascii="新宋体" w:hAnsi="新宋体" w:eastAsia="新宋体"/>
          <w:sz w:val="32"/>
          <w:szCs w:val="32"/>
        </w:rPr>
      </w:pPr>
      <w:r>
        <w:rPr>
          <w:rFonts w:hint="eastAsia" w:ascii="新宋体" w:hAnsi="新宋体" w:eastAsia="新宋体"/>
          <w:sz w:val="32"/>
          <w:szCs w:val="32"/>
        </w:rPr>
        <w:t>机关工资福利支出（501）5904312.00元，较上年增加941645.50元，主要原因一是因社保缴费改革增加单位承担的社保缴费支出979448.00元，二是增加了事业单位职业年金缴费22480.00元。工资经费预算收入与上年相比减少60282.50元。</w:t>
      </w:r>
    </w:p>
    <w:p>
      <w:pPr>
        <w:spacing w:line="360" w:lineRule="auto"/>
        <w:ind w:firstLine="640" w:firstLineChars="200"/>
        <w:rPr>
          <w:rFonts w:ascii="新宋体" w:hAnsi="新宋体" w:eastAsia="新宋体"/>
          <w:sz w:val="32"/>
          <w:szCs w:val="32"/>
        </w:rPr>
      </w:pPr>
      <w:r>
        <w:rPr>
          <w:rFonts w:hint="eastAsia" w:ascii="新宋体" w:hAnsi="新宋体" w:eastAsia="新宋体"/>
          <w:sz w:val="32"/>
          <w:szCs w:val="32"/>
        </w:rPr>
        <w:t>机关商品和服务支出（502）1072440.00元，较上年减少 100800.00元。主要原因是2019年人员变动，调出1人，退休1人。</w:t>
      </w:r>
    </w:p>
    <w:p>
      <w:pPr>
        <w:spacing w:line="360" w:lineRule="auto"/>
        <w:ind w:firstLine="640" w:firstLineChars="200"/>
        <w:rPr>
          <w:rFonts w:ascii="新宋体" w:hAnsi="新宋体" w:eastAsia="新宋体"/>
          <w:sz w:val="32"/>
          <w:szCs w:val="32"/>
        </w:rPr>
      </w:pPr>
      <w:r>
        <w:rPr>
          <w:rFonts w:hint="eastAsia" w:ascii="新宋体" w:hAnsi="新宋体" w:eastAsia="新宋体"/>
          <w:sz w:val="32"/>
          <w:szCs w:val="32"/>
        </w:rPr>
        <w:t xml:space="preserve">无机关资本性支出、对事业单位经常性补助、对事业单位资本性补助等支出。 </w:t>
      </w:r>
    </w:p>
    <w:p>
      <w:pPr>
        <w:numPr>
          <w:ilvl w:val="0"/>
          <w:numId w:val="2"/>
        </w:numPr>
        <w:spacing w:line="360" w:lineRule="auto"/>
        <w:ind w:firstLine="640" w:firstLineChars="200"/>
        <w:rPr>
          <w:rFonts w:ascii="新宋体" w:hAnsi="新宋体" w:eastAsia="新宋体"/>
          <w:sz w:val="32"/>
          <w:szCs w:val="32"/>
        </w:rPr>
      </w:pPr>
      <w:r>
        <w:rPr>
          <w:rFonts w:hint="eastAsia" w:ascii="新宋体" w:hAnsi="新宋体" w:eastAsia="新宋体"/>
          <w:sz w:val="32"/>
          <w:szCs w:val="32"/>
        </w:rPr>
        <w:t>政府性基金预算支出情况</w:t>
      </w:r>
    </w:p>
    <w:p>
      <w:pPr>
        <w:spacing w:line="360" w:lineRule="auto"/>
        <w:ind w:firstLine="640" w:firstLineChars="200"/>
        <w:rPr>
          <w:rFonts w:ascii="新宋体" w:hAnsi="新宋体" w:eastAsia="新宋体"/>
          <w:sz w:val="32"/>
          <w:szCs w:val="32"/>
        </w:rPr>
      </w:pPr>
      <w:r>
        <w:rPr>
          <w:rFonts w:hint="eastAsia" w:ascii="仿宋_GB2312" w:eastAsia="仿宋_GB2312"/>
          <w:sz w:val="32"/>
          <w:szCs w:val="32"/>
        </w:rPr>
        <w:t>本部门无政府性基金预算收支，并已公开空表。</w:t>
      </w:r>
    </w:p>
    <w:p>
      <w:pPr>
        <w:numPr>
          <w:ilvl w:val="0"/>
          <w:numId w:val="2"/>
        </w:numPr>
        <w:spacing w:line="360" w:lineRule="auto"/>
        <w:ind w:firstLine="640" w:firstLineChars="200"/>
        <w:rPr>
          <w:rFonts w:ascii="新宋体" w:hAnsi="新宋体" w:eastAsia="新宋体"/>
          <w:sz w:val="32"/>
          <w:szCs w:val="32"/>
        </w:rPr>
      </w:pPr>
      <w:r>
        <w:rPr>
          <w:rFonts w:hint="eastAsia" w:ascii="新宋体" w:hAnsi="新宋体" w:eastAsia="新宋体"/>
          <w:sz w:val="32"/>
          <w:szCs w:val="32"/>
        </w:rPr>
        <w:t>国有资本经营预算及增减变化情况说明</w:t>
      </w:r>
    </w:p>
    <w:p>
      <w:pPr>
        <w:spacing w:line="360" w:lineRule="auto"/>
        <w:ind w:left="400" w:leftChars="200" w:firstLine="640" w:firstLineChars="200"/>
        <w:rPr>
          <w:rFonts w:ascii="新宋体" w:hAnsi="新宋体" w:eastAsia="新宋体"/>
          <w:sz w:val="32"/>
          <w:szCs w:val="32"/>
        </w:rPr>
      </w:pPr>
      <w:r>
        <w:rPr>
          <w:rFonts w:hint="eastAsia" w:ascii="仿宋_GB2312" w:eastAsia="仿宋_GB2312"/>
          <w:sz w:val="32"/>
          <w:szCs w:val="32"/>
        </w:rPr>
        <w:t>本部门无国有资本经营预算拨款收支</w:t>
      </w:r>
      <w:r>
        <w:rPr>
          <w:rFonts w:ascii="新宋体" w:hAnsi="新宋体" w:eastAsia="新宋体"/>
          <w:sz w:val="32"/>
          <w:szCs w:val="32"/>
        </w:rPr>
        <w:t>。</w:t>
      </w:r>
    </w:p>
    <w:p>
      <w:pPr>
        <w:numPr>
          <w:ilvl w:val="0"/>
          <w:numId w:val="2"/>
        </w:numPr>
        <w:spacing w:line="360" w:lineRule="auto"/>
        <w:ind w:firstLine="640" w:firstLineChars="200"/>
        <w:rPr>
          <w:rFonts w:ascii="新宋体" w:hAnsi="新宋体" w:eastAsia="新宋体"/>
          <w:sz w:val="32"/>
          <w:szCs w:val="32"/>
        </w:rPr>
      </w:pPr>
      <w:r>
        <w:rPr>
          <w:rFonts w:hint="eastAsia" w:ascii="新宋体" w:hAnsi="新宋体" w:eastAsia="新宋体"/>
          <w:sz w:val="32"/>
          <w:szCs w:val="32"/>
        </w:rPr>
        <w:t>“三公”经费预算情况</w:t>
      </w:r>
    </w:p>
    <w:p>
      <w:pPr>
        <w:spacing w:line="360" w:lineRule="auto"/>
        <w:ind w:firstLine="800" w:firstLineChars="250"/>
        <w:rPr>
          <w:rFonts w:ascii="微软雅黑" w:hAnsi="微软雅黑" w:eastAsia="微软雅黑"/>
          <w:color w:val="2B2B2B"/>
          <w:sz w:val="32"/>
          <w:szCs w:val="32"/>
          <w:shd w:val="clear" w:color="auto" w:fill="FFFFFF"/>
        </w:rPr>
      </w:pPr>
      <w:r>
        <w:rPr>
          <w:rFonts w:ascii="新宋体" w:hAnsi="新宋体" w:eastAsia="新宋体"/>
          <w:sz w:val="32"/>
          <w:szCs w:val="32"/>
        </w:rPr>
        <w:t>201</w:t>
      </w:r>
      <w:r>
        <w:rPr>
          <w:rFonts w:hint="eastAsia" w:ascii="新宋体" w:hAnsi="新宋体" w:eastAsia="新宋体"/>
          <w:sz w:val="32"/>
          <w:szCs w:val="32"/>
        </w:rPr>
        <w:t>9</w:t>
      </w:r>
      <w:r>
        <w:rPr>
          <w:rFonts w:ascii="新宋体" w:hAnsi="新宋体" w:eastAsia="新宋体"/>
          <w:sz w:val="32"/>
          <w:szCs w:val="32"/>
        </w:rPr>
        <w:t>年本部门“三公”经费预算及增减变化情况说明</w:t>
      </w:r>
      <w:r>
        <w:rPr>
          <w:rFonts w:hint="eastAsia" w:ascii="新宋体" w:hAnsi="新宋体" w:eastAsia="新宋体"/>
          <w:sz w:val="32"/>
          <w:szCs w:val="32"/>
        </w:rPr>
        <w:t>。</w:t>
      </w:r>
    </w:p>
    <w:p>
      <w:pPr>
        <w:widowControl/>
        <w:spacing w:line="360" w:lineRule="auto"/>
        <w:ind w:firstLine="800" w:firstLineChars="250"/>
        <w:rPr>
          <w:rFonts w:ascii="宋体" w:hAnsi="宋体" w:cs="宋体"/>
          <w:color w:val="auto"/>
          <w:sz w:val="32"/>
          <w:szCs w:val="32"/>
          <w:lang w:val="en-US"/>
        </w:rPr>
      </w:pPr>
      <w:r>
        <w:rPr>
          <w:rFonts w:hint="eastAsia" w:ascii="宋体" w:hAnsi="宋体" w:cs="宋体"/>
          <w:color w:val="auto"/>
          <w:sz w:val="32"/>
          <w:szCs w:val="32"/>
          <w:lang w:val="en-US"/>
        </w:rPr>
        <w:t>2019年本部门“三公”经费预算37000元，较2018年减少500元，主要原因为公务接待费减少。其中：因公出国（境）经费0 元，较2018年持平，主要原因为我局无因公出国（境）经费；公务接待费7000元，较2018年减少500元，主要原因为 公务接待减少 ；公务用车运行维护费30000元，较2018年持平，主要原因为2018年度新增执法执勤车一辆；公务用车购置费 0 元，较2018年持平，主要原因为2019年度未安排购置执法执勤车辆；会议费预算25000元，较2018年减少10000元，主要原因为</w:t>
      </w:r>
      <w:r>
        <w:rPr>
          <w:rFonts w:hint="eastAsia" w:ascii="宋体" w:hAnsi="宋体"/>
          <w:color w:val="2B2B2B"/>
          <w:sz w:val="32"/>
          <w:szCs w:val="32"/>
          <w:shd w:val="clear" w:color="auto" w:fill="FFFFFF"/>
        </w:rPr>
        <w:t>主要是会议减少</w:t>
      </w:r>
      <w:r>
        <w:rPr>
          <w:rFonts w:hint="eastAsia" w:ascii="宋体" w:hAnsi="宋体" w:cs="宋体"/>
          <w:color w:val="auto"/>
          <w:sz w:val="32"/>
          <w:szCs w:val="32"/>
          <w:lang w:val="en-US"/>
        </w:rPr>
        <w:t>；培训费预算10000元，较2018年减少70000元，主要原因为</w:t>
      </w:r>
      <w:r>
        <w:rPr>
          <w:rFonts w:hint="eastAsia" w:ascii="宋体" w:hAnsi="宋体"/>
          <w:color w:val="2B2B2B"/>
          <w:sz w:val="32"/>
          <w:szCs w:val="32"/>
          <w:shd w:val="clear" w:color="auto" w:fill="FFFFFF"/>
        </w:rPr>
        <w:t>培训场次减少</w:t>
      </w:r>
      <w:r>
        <w:rPr>
          <w:rFonts w:hint="eastAsia" w:ascii="宋体" w:hAnsi="宋体" w:cs="宋体"/>
          <w:color w:val="auto"/>
          <w:sz w:val="32"/>
          <w:szCs w:val="32"/>
          <w:lang w:val="en-US"/>
        </w:rPr>
        <w:t>。</w:t>
      </w:r>
    </w:p>
    <w:p>
      <w:pPr>
        <w:spacing w:line="360" w:lineRule="auto"/>
        <w:ind w:firstLine="640" w:firstLineChars="200"/>
        <w:rPr>
          <w:rFonts w:ascii="新宋体" w:hAnsi="新宋体" w:eastAsia="新宋体"/>
          <w:sz w:val="32"/>
          <w:szCs w:val="32"/>
        </w:rPr>
      </w:pPr>
      <w:r>
        <w:rPr>
          <w:rFonts w:hint="eastAsia" w:ascii="新宋体" w:hAnsi="新宋体" w:eastAsia="新宋体"/>
          <w:sz w:val="32"/>
          <w:szCs w:val="32"/>
        </w:rPr>
        <w:t>（七）</w:t>
      </w:r>
      <w:r>
        <w:rPr>
          <w:rFonts w:ascii="新宋体" w:hAnsi="新宋体" w:eastAsia="新宋体"/>
          <w:sz w:val="32"/>
          <w:szCs w:val="32"/>
        </w:rPr>
        <w:t>机关运行经费安排情况</w:t>
      </w:r>
    </w:p>
    <w:p>
      <w:pPr>
        <w:spacing w:line="360" w:lineRule="auto"/>
        <w:ind w:firstLine="640" w:firstLineChars="200"/>
        <w:rPr>
          <w:rFonts w:ascii="宋体" w:hAnsi="宋体" w:cs="宋体"/>
          <w:sz w:val="32"/>
          <w:szCs w:val="32"/>
        </w:rPr>
      </w:pPr>
      <w:r>
        <w:rPr>
          <w:rFonts w:ascii="宋体" w:hAnsi="宋体"/>
          <w:sz w:val="32"/>
          <w:szCs w:val="32"/>
        </w:rPr>
        <w:t>本部门</w:t>
      </w:r>
      <w:r>
        <w:rPr>
          <w:rFonts w:hint="eastAsia" w:ascii="宋体" w:hAnsi="宋体"/>
          <w:sz w:val="32"/>
          <w:szCs w:val="32"/>
        </w:rPr>
        <w:t>2019年</w:t>
      </w:r>
      <w:r>
        <w:rPr>
          <w:rFonts w:ascii="宋体" w:hAnsi="宋体"/>
          <w:sz w:val="32"/>
          <w:szCs w:val="32"/>
        </w:rPr>
        <w:t>公用经费预算</w:t>
      </w:r>
      <w:r>
        <w:rPr>
          <w:rFonts w:hint="eastAsia" w:ascii="宋体" w:hAnsi="宋体"/>
          <w:sz w:val="32"/>
          <w:szCs w:val="32"/>
        </w:rPr>
        <w:t>安排1072440.00元。</w:t>
      </w:r>
      <w:r>
        <w:rPr>
          <w:rFonts w:hint="eastAsia" w:ascii="宋体" w:hAnsi="宋体"/>
          <w:color w:val="2B2B2B"/>
          <w:sz w:val="32"/>
          <w:szCs w:val="32"/>
          <w:shd w:val="clear" w:color="auto" w:fill="FFFFFF"/>
        </w:rPr>
        <w:t>较上年减少958440元，主要原因是人员结构变化和公用经费减少。</w:t>
      </w:r>
    </w:p>
    <w:p>
      <w:pPr>
        <w:spacing w:line="360" w:lineRule="auto"/>
        <w:ind w:firstLine="640" w:firstLineChars="200"/>
        <w:rPr>
          <w:rFonts w:ascii="新宋体" w:hAnsi="新宋体" w:eastAsia="新宋体"/>
          <w:sz w:val="32"/>
          <w:szCs w:val="32"/>
        </w:rPr>
      </w:pPr>
      <w:r>
        <w:rPr>
          <w:rFonts w:hint="eastAsia" w:ascii="新宋体" w:hAnsi="新宋体" w:eastAsia="新宋体"/>
          <w:sz w:val="32"/>
          <w:szCs w:val="32"/>
        </w:rPr>
        <w:t>（八）</w:t>
      </w:r>
      <w:r>
        <w:rPr>
          <w:rFonts w:ascii="新宋体" w:hAnsi="新宋体" w:eastAsia="新宋体"/>
          <w:sz w:val="32"/>
          <w:szCs w:val="32"/>
        </w:rPr>
        <w:t>政府采购情况</w:t>
      </w:r>
    </w:p>
    <w:p>
      <w:pPr>
        <w:spacing w:line="360" w:lineRule="auto"/>
        <w:ind w:firstLine="640" w:firstLineChars="200"/>
        <w:rPr>
          <w:rFonts w:ascii="新宋体" w:hAnsi="新宋体" w:eastAsia="新宋体"/>
          <w:sz w:val="32"/>
          <w:szCs w:val="32"/>
        </w:rPr>
      </w:pPr>
      <w:r>
        <w:rPr>
          <w:rFonts w:hint="eastAsia" w:ascii="新宋体" w:hAnsi="新宋体" w:eastAsia="新宋体"/>
          <w:sz w:val="32"/>
          <w:szCs w:val="32"/>
        </w:rPr>
        <w:t>本部门2019年无政府采购预算，并已公开空表</w:t>
      </w:r>
    </w:p>
    <w:p>
      <w:pPr>
        <w:spacing w:line="360" w:lineRule="auto"/>
        <w:ind w:firstLine="640" w:firstLineChars="200"/>
        <w:rPr>
          <w:rFonts w:ascii="新宋体" w:hAnsi="新宋体" w:eastAsia="新宋体"/>
          <w:sz w:val="32"/>
          <w:szCs w:val="32"/>
        </w:rPr>
      </w:pPr>
      <w:r>
        <w:rPr>
          <w:rFonts w:ascii="新宋体" w:hAnsi="新宋体" w:eastAsia="新宋体"/>
          <w:sz w:val="32"/>
          <w:szCs w:val="32"/>
        </w:rPr>
        <w:t>八、专业名词解释</w:t>
      </w:r>
    </w:p>
    <w:p>
      <w:pPr>
        <w:spacing w:line="360" w:lineRule="auto"/>
        <w:ind w:firstLine="640" w:firstLineChars="200"/>
        <w:rPr>
          <w:rFonts w:ascii="新宋体" w:hAnsi="新宋体" w:eastAsia="新宋体"/>
          <w:sz w:val="32"/>
          <w:szCs w:val="32"/>
        </w:rPr>
      </w:pPr>
      <w:r>
        <w:rPr>
          <w:rFonts w:hint="eastAsia" w:ascii="新宋体" w:hAnsi="新宋体" w:eastAsia="新宋体"/>
          <w:sz w:val="32"/>
          <w:szCs w:val="32"/>
        </w:rPr>
        <w:t>1.机关运行经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360" w:lineRule="auto"/>
        <w:ind w:firstLine="640" w:firstLineChars="200"/>
        <w:rPr>
          <w:rFonts w:ascii="新宋体" w:hAnsi="新宋体" w:eastAsia="新宋体"/>
          <w:sz w:val="32"/>
          <w:szCs w:val="32"/>
        </w:rPr>
      </w:pPr>
      <w:r>
        <w:rPr>
          <w:rFonts w:hint="eastAsia" w:ascii="新宋体" w:hAnsi="新宋体" w:eastAsia="新宋体"/>
          <w:sz w:val="32"/>
          <w:szCs w:val="32"/>
        </w:rPr>
        <w:t>2.法律援助</w:t>
      </w:r>
    </w:p>
    <w:p>
      <w:pPr>
        <w:spacing w:line="360" w:lineRule="auto"/>
        <w:ind w:firstLine="640" w:firstLineChars="200"/>
        <w:rPr>
          <w:rFonts w:ascii="新宋体" w:hAnsi="新宋体" w:eastAsia="新宋体"/>
          <w:sz w:val="32"/>
          <w:szCs w:val="32"/>
        </w:rPr>
      </w:pPr>
      <w:r>
        <w:rPr>
          <w:rFonts w:hint="eastAsia" w:ascii="新宋体" w:hAnsi="新宋体" w:eastAsia="新宋体"/>
          <w:sz w:val="32"/>
          <w:szCs w:val="32"/>
        </w:rPr>
        <w:t>法律援助业务是专门为经济困难的群众或特殊案件当事人提供免费法律服务的社会保障制度，是</w:t>
      </w:r>
      <w:r>
        <w:rPr>
          <w:rFonts w:hint="eastAsia" w:ascii="新宋体" w:hAnsi="新宋体" w:eastAsia="新宋体"/>
          <w:sz w:val="32"/>
          <w:szCs w:val="32"/>
          <w:lang w:val="en-US"/>
        </w:rPr>
        <w:t>民</w:t>
      </w:r>
      <w:r>
        <w:rPr>
          <w:rFonts w:hint="eastAsia" w:ascii="新宋体" w:hAnsi="新宋体" w:eastAsia="新宋体"/>
          <w:sz w:val="32"/>
          <w:szCs w:val="32"/>
        </w:rPr>
        <w:t>主法制建设的重要组成部分，对于落实“国家尊重和保障人权”、“公民在法律面前一切平等”的宪法原则，促进司法公正，完善社会保障体系具有十分重要的意义。根据国务院《法律援助条例》和《陕西省法律援助条例》的规定，法律援助中心是代表司法行政机关履行管理、指导、监督、协调和组织实施法律援助工作的职能机构，负责本辖区的法律援助工作。</w:t>
      </w:r>
    </w:p>
    <w:p>
      <w:pPr>
        <w:spacing w:line="360" w:lineRule="auto"/>
        <w:ind w:firstLine="640" w:firstLineChars="200"/>
        <w:rPr>
          <w:rFonts w:ascii="新宋体" w:hAnsi="新宋体" w:eastAsia="新宋体"/>
          <w:sz w:val="32"/>
          <w:szCs w:val="32"/>
        </w:rPr>
      </w:pPr>
      <w:r>
        <w:rPr>
          <w:rFonts w:hint="eastAsia" w:ascii="新宋体" w:hAnsi="新宋体" w:eastAsia="新宋体"/>
          <w:sz w:val="32"/>
          <w:szCs w:val="32"/>
        </w:rPr>
        <w:t>法律援助支出主要用于开展法律援助工作：咨询、受理、审查、指派和承办法律援助案件，对法律援助案卷的监督检查、审查、归档，法律援助信息的统计工作，法律援助的宣传、调研和培训，管理、指导、监督、协调全市法律援助中心及社会团体和社会力量开展法律援助工作。</w:t>
      </w:r>
    </w:p>
    <w:p>
      <w:pPr>
        <w:spacing w:line="360" w:lineRule="auto"/>
        <w:ind w:firstLine="640" w:firstLineChars="200"/>
        <w:rPr>
          <w:rFonts w:ascii="新宋体" w:hAnsi="新宋体" w:eastAsia="新宋体"/>
          <w:sz w:val="32"/>
          <w:szCs w:val="32"/>
        </w:rPr>
      </w:pPr>
      <w:r>
        <w:rPr>
          <w:rFonts w:ascii="新宋体" w:hAnsi="新宋体" w:eastAsia="新宋体"/>
          <w:sz w:val="32"/>
          <w:szCs w:val="32"/>
        </w:rPr>
        <w:br w:type="textWrapping"/>
      </w:r>
    </w:p>
    <w:p>
      <w:pPr>
        <w:spacing w:line="360" w:lineRule="auto"/>
        <w:ind w:firstLine="5600" w:firstLineChars="1750"/>
        <w:rPr>
          <w:rFonts w:ascii="新宋体" w:hAnsi="新宋体" w:eastAsia="新宋体"/>
          <w:sz w:val="32"/>
          <w:szCs w:val="32"/>
        </w:rPr>
      </w:pPr>
      <w:r>
        <w:rPr>
          <w:rFonts w:hint="eastAsia" w:ascii="新宋体" w:hAnsi="新宋体" w:eastAsia="新宋体"/>
          <w:sz w:val="32"/>
          <w:szCs w:val="32"/>
        </w:rPr>
        <w:t>蓝田县</w:t>
      </w:r>
      <w:r>
        <w:rPr>
          <w:rFonts w:ascii="新宋体" w:hAnsi="新宋体" w:eastAsia="新宋体"/>
          <w:sz w:val="32"/>
          <w:szCs w:val="32"/>
        </w:rPr>
        <w:t>司法局</w:t>
      </w:r>
    </w:p>
    <w:p>
      <w:pPr>
        <w:spacing w:line="360" w:lineRule="auto"/>
        <w:ind w:firstLine="5440" w:firstLineChars="1700"/>
        <w:rPr>
          <w:rFonts w:ascii="新宋体" w:hAnsi="新宋体" w:eastAsia="新宋体"/>
          <w:sz w:val="32"/>
          <w:szCs w:val="32"/>
        </w:rPr>
      </w:pPr>
      <w:r>
        <w:rPr>
          <w:rFonts w:ascii="新宋体" w:hAnsi="新宋体" w:eastAsia="新宋体"/>
          <w:sz w:val="32"/>
          <w:szCs w:val="32"/>
        </w:rPr>
        <w:t>201</w:t>
      </w:r>
      <w:r>
        <w:rPr>
          <w:rFonts w:hint="eastAsia" w:ascii="新宋体" w:hAnsi="新宋体" w:eastAsia="新宋体"/>
          <w:sz w:val="32"/>
          <w:szCs w:val="32"/>
        </w:rPr>
        <w:t>9</w:t>
      </w:r>
      <w:r>
        <w:rPr>
          <w:rFonts w:ascii="新宋体" w:hAnsi="新宋体" w:eastAsia="新宋体"/>
          <w:sz w:val="32"/>
          <w:szCs w:val="32"/>
        </w:rPr>
        <w:t>年</w:t>
      </w:r>
      <w:r>
        <w:rPr>
          <w:rFonts w:hint="eastAsia" w:ascii="新宋体" w:hAnsi="新宋体" w:eastAsia="新宋体"/>
          <w:sz w:val="32"/>
          <w:szCs w:val="32"/>
        </w:rPr>
        <w:t>2</w:t>
      </w:r>
      <w:r>
        <w:rPr>
          <w:rFonts w:ascii="新宋体" w:hAnsi="新宋体" w:eastAsia="新宋体"/>
          <w:sz w:val="32"/>
          <w:szCs w:val="32"/>
        </w:rPr>
        <w:t>月</w:t>
      </w:r>
      <w:r>
        <w:rPr>
          <w:rFonts w:hint="eastAsia" w:ascii="新宋体" w:hAnsi="新宋体" w:eastAsia="新宋体"/>
          <w:sz w:val="32"/>
          <w:szCs w:val="32"/>
        </w:rPr>
        <w:t>14</w:t>
      </w:r>
      <w:r>
        <w:rPr>
          <w:rFonts w:ascii="新宋体" w:hAnsi="新宋体" w:eastAsia="新宋体"/>
          <w:sz w:val="32"/>
          <w:szCs w:val="32"/>
        </w:rPr>
        <w:t>日</w:t>
      </w:r>
    </w:p>
    <w:p>
      <w:pPr>
        <w:spacing w:line="360" w:lineRule="auto"/>
        <w:rPr>
          <w:rFonts w:ascii="新宋体" w:hAnsi="新宋体" w:eastAsia="新宋体"/>
          <w:sz w:val="32"/>
          <w:szCs w:val="32"/>
        </w:rPr>
      </w:pPr>
    </w:p>
    <w:sectPr>
      <w:pgSz w:w="11907" w:h="16839"/>
      <w:pgMar w:top="1134" w:right="1134" w:bottom="1134" w:left="1134"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新宋体">
    <w:panose1 w:val="02010609030101010101"/>
    <w:charset w:val="86"/>
    <w:family w:val="modern"/>
    <w:pitch w:val="default"/>
    <w:sig w:usb0="00000203" w:usb1="288F0000" w:usb2="0000000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9E1497"/>
    <w:multiLevelType w:val="singleLevel"/>
    <w:tmpl w:val="B79E1497"/>
    <w:lvl w:ilvl="0" w:tentative="0">
      <w:start w:val="4"/>
      <w:numFmt w:val="chineseCounting"/>
      <w:suff w:val="nothing"/>
      <w:lvlText w:val="（%1）"/>
      <w:lvlJc w:val="left"/>
      <w:rPr>
        <w:rFonts w:hint="eastAsia"/>
      </w:rPr>
    </w:lvl>
  </w:abstractNum>
  <w:abstractNum w:abstractNumId="1">
    <w:nsid w:val="2997F1D4"/>
    <w:multiLevelType w:val="singleLevel"/>
    <w:tmpl w:val="2997F1D4"/>
    <w:lvl w:ilvl="0" w:tentative="0">
      <w:start w:val="2"/>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bordersDoNotSurroundHeader w:val="1"/>
  <w:bordersDoNotSurroundFooter w:val="1"/>
  <w:gutterAtTop/>
  <w:documentProtection w:enforcement="0"/>
  <w:defaultTabStop w:val="708"/>
  <w:autoHyphenation/>
  <w:hyphenationZone w:val="425"/>
  <w:drawingGridHorizontalSpacing w:val="0"/>
  <w:drawingGridVerticalSpacing w:val="0"/>
  <w:displayHorizontalDrawingGridEvery w:val="0"/>
  <w:displayVerticalDrawingGridEvery w:val="0"/>
  <w:doNotUseMarginsForDrawingGridOrigin w:val="1"/>
  <w:drawingGridHorizontalOrigin w:val="0"/>
  <w:drawingGridVerticalOrigin w:val="0"/>
  <w:doNotShadeFormData w:val="1"/>
  <w:noPunctuationKerning w:val="1"/>
  <w:characterSpacingControl w:val="doNotCompress"/>
  <w:compat>
    <w:spaceForUL/>
    <w:balanceSingleByteDoubleByteWidth/>
    <w:doNotLeaveBackslashAlone/>
    <w:ulTrailSpac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3A08"/>
    <w:rsid w:val="00024682"/>
    <w:rsid w:val="00060B7D"/>
    <w:rsid w:val="000A1A84"/>
    <w:rsid w:val="000A60DB"/>
    <w:rsid w:val="000D14C5"/>
    <w:rsid w:val="000D3FA1"/>
    <w:rsid w:val="000D566C"/>
    <w:rsid w:val="001A2DB5"/>
    <w:rsid w:val="001B5B82"/>
    <w:rsid w:val="001D7099"/>
    <w:rsid w:val="002341D2"/>
    <w:rsid w:val="00242AFA"/>
    <w:rsid w:val="00290CA2"/>
    <w:rsid w:val="002A7F02"/>
    <w:rsid w:val="003017F9"/>
    <w:rsid w:val="00314428"/>
    <w:rsid w:val="004120BC"/>
    <w:rsid w:val="004A7541"/>
    <w:rsid w:val="004D780D"/>
    <w:rsid w:val="004F1231"/>
    <w:rsid w:val="00524C77"/>
    <w:rsid w:val="00534933"/>
    <w:rsid w:val="00537FF0"/>
    <w:rsid w:val="00571A6D"/>
    <w:rsid w:val="00580234"/>
    <w:rsid w:val="0058127C"/>
    <w:rsid w:val="005914C1"/>
    <w:rsid w:val="005A5038"/>
    <w:rsid w:val="005D22A1"/>
    <w:rsid w:val="005E6021"/>
    <w:rsid w:val="00625BD8"/>
    <w:rsid w:val="006345BA"/>
    <w:rsid w:val="00662243"/>
    <w:rsid w:val="006755DD"/>
    <w:rsid w:val="00783EFC"/>
    <w:rsid w:val="007D387D"/>
    <w:rsid w:val="00850FE2"/>
    <w:rsid w:val="00871B1F"/>
    <w:rsid w:val="008D21FC"/>
    <w:rsid w:val="00907D38"/>
    <w:rsid w:val="009B72AF"/>
    <w:rsid w:val="00B25AF7"/>
    <w:rsid w:val="00B33175"/>
    <w:rsid w:val="00B54249"/>
    <w:rsid w:val="00BD7645"/>
    <w:rsid w:val="00BF6447"/>
    <w:rsid w:val="00BF7047"/>
    <w:rsid w:val="00C4297F"/>
    <w:rsid w:val="00C960E5"/>
    <w:rsid w:val="00CE62B3"/>
    <w:rsid w:val="00CE7604"/>
    <w:rsid w:val="00CE7931"/>
    <w:rsid w:val="00D21CB0"/>
    <w:rsid w:val="00D56A91"/>
    <w:rsid w:val="00E03A08"/>
    <w:rsid w:val="00E259EC"/>
    <w:rsid w:val="00E57E43"/>
    <w:rsid w:val="00E74D33"/>
    <w:rsid w:val="00EB34D4"/>
    <w:rsid w:val="00EF63AE"/>
    <w:rsid w:val="00F00B7B"/>
    <w:rsid w:val="00F50162"/>
    <w:rsid w:val="00F5797C"/>
    <w:rsid w:val="00F9033F"/>
    <w:rsid w:val="00FA1B6E"/>
    <w:rsid w:val="00FB1EF9"/>
    <w:rsid w:val="00FD4926"/>
    <w:rsid w:val="00FD6C3A"/>
    <w:rsid w:val="01B15F49"/>
    <w:rsid w:val="0ADA7C77"/>
    <w:rsid w:val="2C5B160C"/>
    <w:rsid w:val="4C7E72E3"/>
    <w:rsid w:val="56841E25"/>
    <w:rsid w:val="5E6958FB"/>
    <w:rsid w:val="6DAF7D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宋体" w:cs="Times New Roman"/>
      <w:color w:val="000000"/>
      <w:lang w:val="zh-CN" w:eastAsia="zh-CN" w:bidi="ar-SA"/>
    </w:rPr>
  </w:style>
  <w:style w:type="paragraph" w:styleId="2">
    <w:name w:val="heading 1"/>
    <w:basedOn w:val="1"/>
    <w:next w:val="1"/>
    <w:qFormat/>
    <w:uiPriority w:val="0"/>
    <w:pPr>
      <w:keepNext/>
      <w:keepLines/>
      <w:spacing w:before="240" w:after="60"/>
      <w:outlineLvl w:val="0"/>
    </w:pPr>
    <w:rPr>
      <w:rFonts w:ascii="Arial" w:hAnsi="Arial" w:cs="Arial"/>
      <w:b/>
      <w:sz w:val="36"/>
      <w:szCs w:val="36"/>
    </w:rPr>
  </w:style>
  <w:style w:type="paragraph" w:styleId="3">
    <w:name w:val="heading 2"/>
    <w:basedOn w:val="2"/>
    <w:next w:val="1"/>
    <w:qFormat/>
    <w:uiPriority w:val="0"/>
    <w:pPr>
      <w:outlineLvl w:val="1"/>
    </w:pPr>
    <w:rPr>
      <w:sz w:val="32"/>
      <w:szCs w:val="32"/>
    </w:rPr>
  </w:style>
  <w:style w:type="paragraph" w:styleId="4">
    <w:name w:val="heading 3"/>
    <w:basedOn w:val="3"/>
    <w:next w:val="1"/>
    <w:qFormat/>
    <w:uiPriority w:val="0"/>
    <w:pPr>
      <w:outlineLvl w:val="2"/>
    </w:pPr>
    <w:rPr>
      <w:sz w:val="28"/>
      <w:szCs w:val="28"/>
    </w:rPr>
  </w:style>
  <w:style w:type="character" w:default="1" w:styleId="11">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Date"/>
    <w:basedOn w:val="1"/>
    <w:next w:val="1"/>
    <w:link w:val="12"/>
    <w:uiPriority w:val="0"/>
    <w:pPr>
      <w:ind w:left="100" w:leftChars="2500"/>
    </w:pPr>
  </w:style>
  <w:style w:type="paragraph" w:styleId="6">
    <w:name w:val="Balloon Text"/>
    <w:basedOn w:val="1"/>
    <w:link w:val="15"/>
    <w:uiPriority w:val="0"/>
    <w:rPr>
      <w:sz w:val="18"/>
      <w:szCs w:val="18"/>
    </w:rPr>
  </w:style>
  <w:style w:type="paragraph" w:styleId="7">
    <w:name w:val="footer"/>
    <w:basedOn w:val="1"/>
    <w:link w:val="13"/>
    <w:uiPriority w:val="0"/>
    <w:pPr>
      <w:tabs>
        <w:tab w:val="center" w:pos="4153"/>
        <w:tab w:val="right" w:pos="8306"/>
      </w:tabs>
      <w:snapToGrid w:val="0"/>
    </w:pPr>
    <w:rPr>
      <w:sz w:val="18"/>
      <w:szCs w:val="18"/>
    </w:rPr>
  </w:style>
  <w:style w:type="paragraph" w:styleId="8">
    <w:name w:val="header"/>
    <w:basedOn w:val="1"/>
    <w:link w:val="14"/>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iPriority w:val="0"/>
    <w:pPr>
      <w:widowControl/>
      <w:spacing w:before="100" w:beforeAutospacing="1" w:after="100" w:afterAutospacing="1"/>
    </w:pPr>
    <w:rPr>
      <w:rFonts w:ascii="宋体" w:hAnsi="宋体" w:cs="宋体"/>
      <w:color w:val="auto"/>
      <w:sz w:val="24"/>
      <w:szCs w:val="24"/>
      <w:lang w:val="en-US"/>
    </w:rPr>
  </w:style>
  <w:style w:type="character" w:customStyle="1" w:styleId="12">
    <w:name w:val="日期 Char"/>
    <w:link w:val="5"/>
    <w:uiPriority w:val="0"/>
    <w:rPr>
      <w:color w:val="000000"/>
      <w:lang w:val="zh-CN"/>
    </w:rPr>
  </w:style>
  <w:style w:type="character" w:customStyle="1" w:styleId="13">
    <w:name w:val="页脚 Char"/>
    <w:link w:val="7"/>
    <w:uiPriority w:val="0"/>
    <w:rPr>
      <w:color w:val="000000"/>
      <w:sz w:val="18"/>
      <w:szCs w:val="18"/>
      <w:lang w:val="zh-CN"/>
    </w:rPr>
  </w:style>
  <w:style w:type="character" w:customStyle="1" w:styleId="14">
    <w:name w:val="页眉 Char"/>
    <w:link w:val="8"/>
    <w:uiPriority w:val="0"/>
    <w:rPr>
      <w:color w:val="000000"/>
      <w:sz w:val="18"/>
      <w:szCs w:val="18"/>
      <w:lang w:val="zh-CN"/>
    </w:rPr>
  </w:style>
  <w:style w:type="character" w:customStyle="1" w:styleId="15">
    <w:name w:val="批注框文本 Char"/>
    <w:basedOn w:val="11"/>
    <w:link w:val="6"/>
    <w:uiPriority w:val="0"/>
    <w:rPr>
      <w:color w:val="000000"/>
      <w:sz w:val="18"/>
      <w:szCs w:val="18"/>
      <w:lang w:val="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hart" Target="charts/chart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49407114624506"/>
          <c:y val="0.0478723404255319"/>
          <c:w val="0.83399209486166"/>
          <c:h val="0.781914893617022"/>
        </c:manualLayout>
      </c:layout>
      <c:barChart>
        <c:barDir val="col"/>
        <c:grouping val="clustered"/>
        <c:varyColors val="0"/>
        <c:ser>
          <c:idx val="0"/>
          <c:order val="0"/>
          <c:tx>
            <c:strRef>
              <c:f>Sheet1!$A$2</c:f>
              <c:strCache>
                <c:ptCount val="1"/>
                <c:pt idx="0">
                  <c:v>东部</c:v>
                </c:pt>
              </c:strCache>
            </c:strRef>
          </c:tx>
          <c:spPr>
            <a:solidFill>
              <a:srgbClr val="9999FF"/>
            </a:solidFill>
            <a:ln w="15120">
              <a:solidFill>
                <a:srgbClr val="000000"/>
              </a:solidFill>
              <a:prstDash val="solid"/>
            </a:ln>
          </c:spPr>
          <c:invertIfNegative val="0"/>
          <c:dLbls>
            <c:delete val="1"/>
          </c:dLbls>
          <c:cat>
            <c:strRef>
              <c:f>Sheet1!$B$1:$E$1</c:f>
              <c:strCache>
                <c:ptCount val="4"/>
                <c:pt idx="0">
                  <c:v>行政人员</c:v>
                </c:pt>
                <c:pt idx="1">
                  <c:v>事业人员</c:v>
                </c:pt>
                <c:pt idx="2">
                  <c:v>退休人员</c:v>
                </c:pt>
                <c:pt idx="3">
                  <c:v>遗属人员</c:v>
                </c:pt>
              </c:strCache>
            </c:strRef>
          </c:cat>
          <c:val>
            <c:numRef>
              <c:f>Sheet1!$B$2:$E$2</c:f>
              <c:numCache>
                <c:formatCode>General</c:formatCode>
                <c:ptCount val="4"/>
                <c:pt idx="0">
                  <c:v>22</c:v>
                </c:pt>
                <c:pt idx="1">
                  <c:v>64</c:v>
                </c:pt>
                <c:pt idx="2">
                  <c:v>22</c:v>
                </c:pt>
                <c:pt idx="3">
                  <c:v>7</c:v>
                </c:pt>
              </c:numCache>
            </c:numRef>
          </c:val>
        </c:ser>
        <c:dLbls>
          <c:showLegendKey val="0"/>
          <c:showVal val="0"/>
          <c:showCatName val="0"/>
          <c:showSerName val="0"/>
          <c:showPercent val="0"/>
          <c:showBubbleSize val="0"/>
        </c:dLbls>
        <c:gapWidth val="150"/>
        <c:axId val="92677632"/>
        <c:axId val="92679168"/>
      </c:barChart>
      <c:catAx>
        <c:axId val="92677632"/>
        <c:scaling>
          <c:orientation val="minMax"/>
        </c:scaling>
        <c:delete val="0"/>
        <c:axPos val="b"/>
        <c:numFmt formatCode="General" sourceLinked="1"/>
        <c:majorTickMark val="in"/>
        <c:minorTickMark val="none"/>
        <c:tickLblPos val="low"/>
        <c:spPr>
          <a:ln w="3780" cap="flat" cmpd="sng" algn="ctr">
            <a:solidFill>
              <a:srgbClr val="000000"/>
            </a:solidFill>
            <a:prstDash val="solid"/>
            <a:round/>
          </a:ln>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92679168"/>
        <c:crosses val="autoZero"/>
        <c:auto val="1"/>
        <c:lblAlgn val="ctr"/>
        <c:lblOffset val="100"/>
        <c:tickLblSkip val="1"/>
        <c:noMultiLvlLbl val="0"/>
      </c:catAx>
      <c:valAx>
        <c:axId val="92679168"/>
        <c:scaling>
          <c:orientation val="minMax"/>
        </c:scaling>
        <c:delete val="0"/>
        <c:axPos val="l"/>
        <c:majorGridlines>
          <c:spPr>
            <a:ln w="3780" cap="flat" cmpd="sng" algn="ctr">
              <a:solidFill>
                <a:srgbClr val="000000"/>
              </a:solidFill>
              <a:prstDash val="solid"/>
              <a:round/>
            </a:ln>
          </c:spPr>
        </c:majorGridlines>
        <c:numFmt formatCode="General" sourceLinked="1"/>
        <c:majorTickMark val="in"/>
        <c:minorTickMark val="none"/>
        <c:tickLblPos val="nextTo"/>
        <c:spPr>
          <a:ln w="3780" cap="flat" cmpd="sng" algn="ctr">
            <a:solidFill>
              <a:srgbClr val="000000"/>
            </a:solidFill>
            <a:prstDash val="solid"/>
            <a:round/>
          </a:ln>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92677632"/>
        <c:crosses val="autoZero"/>
        <c:crossBetween val="between"/>
      </c:valAx>
      <c:spPr>
        <a:solidFill>
          <a:srgbClr val="C0C0C0"/>
        </a:solidFill>
        <a:ln w="12700">
          <a:solidFill>
            <a:srgbClr val="808080"/>
          </a:solidFill>
          <a:prstDash val="solid"/>
        </a:ln>
        <a:effectLst/>
      </c:spPr>
    </c:plotArea>
    <c:legend>
      <c:legendPos val="r"/>
      <c:layout>
        <c:manualLayout>
          <c:xMode val="edge"/>
          <c:yMode val="edge"/>
          <c:x val="0.905138339920948"/>
          <c:y val="0.452127659574468"/>
          <c:w val="0.0869565217391305"/>
          <c:h val="0.0957446808510639"/>
        </c:manualLayout>
      </c:layout>
      <c:overlay val="0"/>
      <c:spPr>
        <a:noFill/>
        <a:ln w="3780">
          <a:solidFill>
            <a:srgbClr val="000000"/>
          </a:solidFill>
          <a:prstDash val="solid"/>
        </a:ln>
      </c:spPr>
      <c:txPr>
        <a:bodyPr rot="0" spcFirstLastPara="0" vertOverflow="ellipsis" vert="horz" wrap="square" anchor="ctr" anchorCtr="1"/>
        <a:lstStyle/>
        <a:p>
          <a:pPr>
            <a:defRPr lang="zh-CN" sz="101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noFill/>
    <a:ln w="9525" cap="flat" cmpd="sng" algn="ctr">
      <a:noFill/>
      <a:prstDash val="solid"/>
      <a:round/>
    </a:ln>
  </c:spPr>
  <c:txPr>
    <a:bodyPr/>
    <a:lstStyle/>
    <a:p>
      <a:pPr>
        <a:defRPr lang="zh-CN" sz="11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Sky123.Org</Company>
  <Pages>10</Pages>
  <Words>4260</Words>
  <Characters>5098</Characters>
  <Lines>37</Lines>
  <Paragraphs>10</Paragraphs>
  <TotalTime>3</TotalTime>
  <ScaleCrop>false</ScaleCrop>
  <LinksUpToDate>false</LinksUpToDate>
  <CharactersWithSpaces>5107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2022-04-07T00:48:00Z</dcterms:created>
  <dc:creator>张绾姈虞</dc:creator>
  <cp:lastModifiedBy>WPS_1668743826</cp:lastModifiedBy>
  <cp:lastPrinted>2018-07-31T00:19:00Z</cp:lastPrinted>
  <dcterms:modified xsi:type="dcterms:W3CDTF">2024-05-27T02:22:11Z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C9D2826531044D618D09742D71A07D06_13</vt:lpwstr>
  </property>
</Properties>
</file>