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ind w:firstLine="880"/>
        <w:jc w:val="center"/>
        <w:rPr>
          <w:rFonts w:ascii="仿宋" w:hAnsi="仿宋" w:eastAsia="仿宋"/>
          <w:sz w:val="44"/>
          <w:szCs w:val="44"/>
        </w:rPr>
      </w:pPr>
    </w:p>
    <w:p>
      <w:pPr>
        <w:adjustRightInd w:val="0"/>
        <w:snapToGrid w:val="0"/>
        <w:ind w:firstLine="880"/>
        <w:jc w:val="center"/>
        <w:rPr>
          <w:rFonts w:ascii="仿宋" w:hAnsi="仿宋" w:eastAsia="仿宋"/>
          <w:sz w:val="44"/>
          <w:szCs w:val="44"/>
        </w:rPr>
      </w:pPr>
      <w:r>
        <w:rPr>
          <w:rFonts w:hint="eastAsia" w:ascii="仿宋" w:hAnsi="仿宋" w:eastAsia="仿宋"/>
          <w:sz w:val="44"/>
          <w:szCs w:val="44"/>
        </w:rPr>
        <w:t>蓝田县财政局</w:t>
      </w:r>
    </w:p>
    <w:p>
      <w:pPr>
        <w:adjustRightInd w:val="0"/>
        <w:snapToGrid w:val="0"/>
        <w:ind w:firstLine="640"/>
        <w:jc w:val="center"/>
        <w:rPr>
          <w:rFonts w:ascii="楷体" w:hAnsi="楷体" w:eastAsia="楷体"/>
          <w:sz w:val="32"/>
          <w:szCs w:val="32"/>
        </w:rPr>
      </w:pPr>
      <w:r>
        <w:rPr>
          <w:rFonts w:hint="eastAsia" w:ascii="楷体" w:hAnsi="楷体" w:eastAsia="楷体"/>
          <w:sz w:val="32"/>
          <w:szCs w:val="32"/>
        </w:rPr>
        <w:t>2020年部门综合预算说明</w:t>
      </w:r>
    </w:p>
    <w:p>
      <w:pPr>
        <w:spacing w:line="360" w:lineRule="auto"/>
        <w:ind w:firstLine="643"/>
        <w:jc w:val="center"/>
        <w:rPr>
          <w:rFonts w:ascii="仿宋" w:hAnsi="仿宋" w:eastAsia="仿宋" w:cs="仿宋"/>
          <w:b/>
          <w:bCs/>
          <w:sz w:val="32"/>
          <w:szCs w:val="32"/>
        </w:rPr>
      </w:pPr>
      <w:r>
        <w:rPr>
          <w:rFonts w:hint="eastAsia" w:ascii="仿宋" w:hAnsi="仿宋" w:eastAsia="仿宋" w:cs="仿宋"/>
          <w:b/>
          <w:bCs/>
          <w:sz w:val="32"/>
          <w:szCs w:val="32"/>
        </w:rPr>
        <w:t>目  录</w:t>
      </w:r>
    </w:p>
    <w:p>
      <w:pPr>
        <w:spacing w:line="360" w:lineRule="auto"/>
        <w:ind w:firstLine="643"/>
        <w:jc w:val="center"/>
        <w:rPr>
          <w:rFonts w:ascii="仿宋" w:hAnsi="仿宋" w:eastAsia="仿宋" w:cs="仿宋"/>
          <w:b/>
          <w:bCs/>
          <w:sz w:val="32"/>
          <w:szCs w:val="32"/>
        </w:rPr>
      </w:pPr>
      <w:r>
        <w:rPr>
          <w:rFonts w:hint="eastAsia" w:ascii="仿宋" w:hAnsi="仿宋" w:eastAsia="仿宋" w:cs="仿宋"/>
          <w:b/>
          <w:bCs/>
          <w:sz w:val="32"/>
          <w:szCs w:val="32"/>
        </w:rPr>
        <w:t>第一部分   部门概况</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一、部门主要职责及机构设置</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二、2020年年度部门工作任务</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三、部门预算单位构成</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四、部门人员情况说明</w:t>
      </w:r>
    </w:p>
    <w:p>
      <w:pPr>
        <w:spacing w:line="360" w:lineRule="auto"/>
        <w:ind w:firstLine="643"/>
        <w:jc w:val="center"/>
        <w:rPr>
          <w:rFonts w:ascii="仿宋" w:hAnsi="仿宋" w:eastAsia="仿宋" w:cs="仿宋"/>
          <w:b/>
          <w:bCs/>
          <w:sz w:val="32"/>
          <w:szCs w:val="32"/>
        </w:rPr>
      </w:pPr>
      <w:r>
        <w:rPr>
          <w:rFonts w:hint="eastAsia" w:ascii="仿宋" w:hAnsi="仿宋" w:eastAsia="仿宋" w:cs="仿宋"/>
          <w:b/>
          <w:bCs/>
          <w:sz w:val="32"/>
          <w:szCs w:val="32"/>
        </w:rPr>
        <w:t>第二部分   收支情况</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五、2020年部门预算收支说明</w:t>
      </w:r>
    </w:p>
    <w:p>
      <w:pPr>
        <w:spacing w:line="360" w:lineRule="auto"/>
        <w:ind w:firstLine="643"/>
        <w:jc w:val="center"/>
        <w:rPr>
          <w:rFonts w:ascii="仿宋" w:hAnsi="仿宋" w:eastAsia="仿宋" w:cs="仿宋"/>
          <w:b/>
          <w:bCs/>
          <w:sz w:val="32"/>
          <w:szCs w:val="32"/>
        </w:rPr>
      </w:pPr>
      <w:r>
        <w:rPr>
          <w:rFonts w:hint="eastAsia" w:ascii="仿宋" w:hAnsi="仿宋" w:eastAsia="仿宋" w:cs="仿宋"/>
          <w:b/>
          <w:bCs/>
          <w:sz w:val="32"/>
          <w:szCs w:val="32"/>
        </w:rPr>
        <w:t>第三部分   其他说明情况</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六、部门预算“三公”经费等情况说明</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七、部门国有资产占有使用及资产购置情况说明</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八、部门政府采购情况说明</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九、部门预算绩效目标说明</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十、机关运行经费安排说明</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十一、专业名词解释</w:t>
      </w:r>
    </w:p>
    <w:p>
      <w:pPr>
        <w:spacing w:line="360" w:lineRule="auto"/>
        <w:ind w:firstLine="643"/>
        <w:jc w:val="center"/>
        <w:rPr>
          <w:rFonts w:ascii="仿宋" w:hAnsi="仿宋" w:eastAsia="仿宋" w:cs="仿宋"/>
          <w:sz w:val="32"/>
          <w:szCs w:val="32"/>
        </w:rPr>
      </w:pPr>
      <w:r>
        <w:rPr>
          <w:rFonts w:hint="eastAsia" w:ascii="仿宋" w:hAnsi="仿宋" w:eastAsia="仿宋" w:cs="仿宋"/>
          <w:b/>
          <w:bCs/>
          <w:sz w:val="32"/>
          <w:szCs w:val="32"/>
        </w:rPr>
        <w:t>第四部分   公开报表</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（具体部门预算公开报表）</w:t>
      </w:r>
    </w:p>
    <w:p>
      <w:pPr>
        <w:spacing w:line="360" w:lineRule="auto"/>
        <w:ind w:firstLine="643"/>
        <w:jc w:val="center"/>
        <w:rPr>
          <w:rFonts w:ascii="仿宋" w:hAnsi="仿宋" w:eastAsia="仿宋" w:cs="仿宋"/>
          <w:sz w:val="32"/>
          <w:szCs w:val="32"/>
        </w:rPr>
      </w:pPr>
      <w:r>
        <w:rPr>
          <w:rFonts w:hint="eastAsia" w:ascii="仿宋" w:hAnsi="仿宋" w:eastAsia="仿宋" w:cs="仿宋"/>
          <w:b/>
          <w:bCs/>
          <w:sz w:val="32"/>
          <w:szCs w:val="32"/>
        </w:rPr>
        <w:t>第一部分  部门概况</w:t>
      </w:r>
    </w:p>
    <w:p>
      <w:pPr>
        <w:spacing w:line="360" w:lineRule="auto"/>
        <w:ind w:firstLine="643"/>
        <w:rPr>
          <w:rFonts w:ascii="仿宋" w:hAnsi="仿宋" w:eastAsia="仿宋" w:cs="仿宋"/>
          <w:b/>
          <w:bCs/>
          <w:sz w:val="32"/>
          <w:szCs w:val="32"/>
        </w:rPr>
      </w:pPr>
      <w:r>
        <w:rPr>
          <w:rFonts w:hint="eastAsia" w:ascii="仿宋" w:hAnsi="仿宋" w:eastAsia="仿宋" w:cs="仿宋"/>
          <w:b/>
          <w:bCs/>
          <w:sz w:val="32"/>
          <w:szCs w:val="32"/>
        </w:rPr>
        <w:t>一、部门主要职责及机构设置</w:t>
      </w:r>
    </w:p>
    <w:p>
      <w:pPr>
        <w:pBdr>
          <w:bottom w:val="single" w:color="FFFFFF" w:sz="4" w:space="31"/>
        </w:pBdr>
        <w:tabs>
          <w:tab w:val="left" w:pos="7380"/>
        </w:tabs>
        <w:autoSpaceDE w:val="0"/>
        <w:autoSpaceDN w:val="0"/>
        <w:adjustRightInd w:val="0"/>
        <w:snapToGrid w:val="0"/>
        <w:spacing w:line="360" w:lineRule="auto"/>
        <w:ind w:firstLine="640"/>
        <w:rPr>
          <w:rFonts w:ascii="仿宋" w:hAnsi="仿宋" w:eastAsia="仿宋"/>
          <w:color w:val="000000"/>
          <w:sz w:val="32"/>
          <w:szCs w:val="32"/>
        </w:rPr>
      </w:pPr>
      <w:r>
        <w:rPr>
          <w:rFonts w:hint="eastAsia" w:ascii="仿宋" w:hAnsi="仿宋" w:eastAsia="仿宋"/>
          <w:color w:val="000000"/>
          <w:sz w:val="32"/>
          <w:szCs w:val="32"/>
        </w:rPr>
        <w:t>根据《中共西安市委办公厅、西安市人民政府办公厅关于印发〈蓝田县人民政府机构改革方案〉的通知》（市办字［</w:t>
      </w:r>
      <w:r>
        <w:rPr>
          <w:rFonts w:ascii="仿宋" w:hAnsi="仿宋" w:eastAsia="仿宋"/>
          <w:color w:val="000000"/>
          <w:sz w:val="32"/>
          <w:szCs w:val="32"/>
        </w:rPr>
        <w:t>2009</w:t>
      </w:r>
      <w:r>
        <w:rPr>
          <w:rFonts w:hint="eastAsia" w:ascii="仿宋" w:hAnsi="仿宋" w:eastAsia="仿宋"/>
          <w:color w:val="000000"/>
          <w:sz w:val="32"/>
          <w:szCs w:val="32"/>
        </w:rPr>
        <w:t>］</w:t>
      </w:r>
      <w:r>
        <w:rPr>
          <w:rFonts w:ascii="仿宋" w:hAnsi="仿宋" w:eastAsia="仿宋"/>
          <w:color w:val="000000"/>
          <w:sz w:val="32"/>
          <w:szCs w:val="32"/>
        </w:rPr>
        <w:t>55</w:t>
      </w:r>
      <w:r>
        <w:rPr>
          <w:rFonts w:hint="eastAsia" w:ascii="仿宋" w:hAnsi="仿宋" w:eastAsia="仿宋"/>
          <w:color w:val="000000"/>
          <w:sz w:val="32"/>
          <w:szCs w:val="32"/>
        </w:rPr>
        <w:t>号），设置蓝田县财政局，为蓝田县人民政府主管财政财税工作的政府组成部门。蓝田县财政局设</w:t>
      </w:r>
      <w:r>
        <w:rPr>
          <w:rFonts w:ascii="仿宋" w:hAnsi="仿宋" w:eastAsia="仿宋"/>
          <w:color w:val="000000"/>
          <w:sz w:val="32"/>
          <w:szCs w:val="32"/>
        </w:rPr>
        <w:t>10</w:t>
      </w:r>
      <w:r>
        <w:rPr>
          <w:rFonts w:hint="eastAsia" w:ascii="仿宋" w:hAnsi="仿宋" w:eastAsia="仿宋"/>
          <w:color w:val="000000"/>
          <w:sz w:val="32"/>
          <w:szCs w:val="32"/>
        </w:rPr>
        <w:t>个职能科室：办公室、预算科、农业科、社保科、会计科、综合科、监督检查科、乡财科、国库科、信息中心。下属</w:t>
      </w:r>
      <w:r>
        <w:rPr>
          <w:rFonts w:ascii="仿宋" w:hAnsi="仿宋" w:eastAsia="仿宋"/>
          <w:color w:val="000000"/>
          <w:sz w:val="32"/>
          <w:szCs w:val="32"/>
        </w:rPr>
        <w:t>7</w:t>
      </w:r>
      <w:r>
        <w:rPr>
          <w:rFonts w:hint="eastAsia" w:ascii="仿宋" w:hAnsi="仿宋" w:eastAsia="仿宋"/>
          <w:color w:val="000000"/>
          <w:sz w:val="32"/>
          <w:szCs w:val="32"/>
        </w:rPr>
        <w:t>个事业单位分别是:蓝田县财政局企业管理所； 蓝田县收费管理所；蓝田县政府采购中心；蓝田县国有资产管理所；蓝田县财政支出绩效评价服务中心；蓝田县财政国库支付中心；蓝田县农业税稽</w:t>
      </w:r>
      <w:r>
        <w:rPr>
          <w:rFonts w:hint="eastAsia" w:ascii="仿宋" w:hAnsi="仿宋" w:eastAsia="仿宋"/>
          <w:color w:val="000000"/>
          <w:sz w:val="32"/>
          <w:szCs w:val="32"/>
          <w:lang w:val="en-US" w:eastAsia="zh-CN"/>
        </w:rPr>
        <w:t>征</w:t>
      </w:r>
      <w:r>
        <w:rPr>
          <w:rFonts w:hint="eastAsia" w:ascii="仿宋" w:hAnsi="仿宋" w:eastAsia="仿宋"/>
          <w:color w:val="000000"/>
          <w:sz w:val="32"/>
          <w:szCs w:val="32"/>
        </w:rPr>
        <w:t>所。主要职责如下：</w:t>
      </w:r>
    </w:p>
    <w:p>
      <w:pPr>
        <w:pBdr>
          <w:bottom w:val="single" w:color="FFFFFF" w:sz="4" w:space="31"/>
        </w:pBdr>
        <w:tabs>
          <w:tab w:val="left" w:pos="7380"/>
        </w:tabs>
        <w:autoSpaceDE w:val="0"/>
        <w:autoSpaceDN w:val="0"/>
        <w:adjustRightInd w:val="0"/>
        <w:snapToGrid w:val="0"/>
        <w:spacing w:line="360" w:lineRule="auto"/>
        <w:ind w:firstLine="640"/>
        <w:rPr>
          <w:rFonts w:ascii="仿宋" w:hAnsi="仿宋" w:eastAsia="仿宋"/>
          <w:color w:val="000000"/>
          <w:sz w:val="32"/>
          <w:szCs w:val="32"/>
        </w:rPr>
      </w:pPr>
      <w:r>
        <w:rPr>
          <w:rFonts w:hint="eastAsia" w:ascii="仿宋" w:hAnsi="仿宋" w:eastAsia="仿宋"/>
          <w:color w:val="000000"/>
          <w:sz w:val="32"/>
          <w:szCs w:val="32"/>
        </w:rPr>
        <w:t>（一）贯彻执行国家财政、税收法律、法规、政策，草拟全县财政、预算、地方税收、财务、会计管理、国有资产管理等方面的地方性规章、制度，并按规定报请批准后监督执行。</w:t>
      </w:r>
    </w:p>
    <w:p>
      <w:pPr>
        <w:pBdr>
          <w:bottom w:val="single" w:color="FFFFFF" w:sz="4" w:space="31"/>
        </w:pBdr>
        <w:tabs>
          <w:tab w:val="left" w:pos="7380"/>
        </w:tabs>
        <w:autoSpaceDE w:val="0"/>
        <w:autoSpaceDN w:val="0"/>
        <w:adjustRightInd w:val="0"/>
        <w:snapToGrid w:val="0"/>
        <w:spacing w:line="360" w:lineRule="auto"/>
        <w:ind w:firstLine="640"/>
        <w:rPr>
          <w:rFonts w:ascii="仿宋" w:hAnsi="仿宋" w:eastAsia="仿宋"/>
          <w:color w:val="000000"/>
          <w:sz w:val="32"/>
          <w:szCs w:val="32"/>
        </w:rPr>
      </w:pPr>
      <w:r>
        <w:rPr>
          <w:rFonts w:hint="eastAsia" w:ascii="仿宋" w:hAnsi="仿宋" w:eastAsia="仿宋"/>
          <w:color w:val="000000"/>
          <w:sz w:val="32"/>
          <w:szCs w:val="32"/>
        </w:rPr>
        <w:t>（二）承担全县各项财政收支管理的责任，负责编制年度预决算草案并组织执行；受县政府委托，向县人民代表大会报告全县年度财政预算及其执行情况，向县人民代表大会常务委员会报告财政决算；制定经费开支标准、定额，负责审核批复部门（单位）的年度预决算；完善县转移支付制度。</w:t>
      </w:r>
    </w:p>
    <w:p>
      <w:pPr>
        <w:pBdr>
          <w:bottom w:val="single" w:color="FFFFFF" w:sz="4" w:space="31"/>
        </w:pBdr>
        <w:tabs>
          <w:tab w:val="left" w:pos="7380"/>
        </w:tabs>
        <w:autoSpaceDE w:val="0"/>
        <w:autoSpaceDN w:val="0"/>
        <w:adjustRightInd w:val="0"/>
        <w:snapToGrid w:val="0"/>
        <w:spacing w:line="360" w:lineRule="auto"/>
        <w:ind w:firstLine="640"/>
        <w:rPr>
          <w:rFonts w:ascii="仿宋" w:hAnsi="仿宋" w:eastAsia="仿宋"/>
          <w:color w:val="000000"/>
          <w:sz w:val="32"/>
          <w:szCs w:val="32"/>
        </w:rPr>
      </w:pPr>
      <w:r>
        <w:rPr>
          <w:rFonts w:hint="eastAsia" w:ascii="仿宋" w:hAnsi="仿宋" w:eastAsia="仿宋"/>
          <w:color w:val="000000"/>
          <w:sz w:val="32"/>
          <w:szCs w:val="32"/>
        </w:rPr>
        <w:t>（三）负责政府非税收入管理，按规定管理行政事业性收费、政府性基金及其他非税收入；管理财政票据；按规定管理彩票公益金。</w:t>
      </w:r>
    </w:p>
    <w:p>
      <w:pPr>
        <w:pBdr>
          <w:bottom w:val="single" w:color="FFFFFF" w:sz="4" w:space="31"/>
        </w:pBdr>
        <w:tabs>
          <w:tab w:val="left" w:pos="7380"/>
        </w:tabs>
        <w:autoSpaceDE w:val="0"/>
        <w:autoSpaceDN w:val="0"/>
        <w:adjustRightInd w:val="0"/>
        <w:snapToGrid w:val="0"/>
        <w:spacing w:line="360" w:lineRule="auto"/>
        <w:ind w:firstLine="640"/>
        <w:rPr>
          <w:rFonts w:ascii="仿宋" w:hAnsi="仿宋" w:eastAsia="仿宋"/>
          <w:color w:val="000000"/>
          <w:sz w:val="32"/>
          <w:szCs w:val="32"/>
        </w:rPr>
      </w:pPr>
      <w:r>
        <w:rPr>
          <w:rFonts w:hint="eastAsia" w:ascii="仿宋" w:hAnsi="仿宋" w:eastAsia="仿宋"/>
          <w:color w:val="000000"/>
          <w:sz w:val="32"/>
          <w:szCs w:val="32"/>
        </w:rPr>
        <w:t>（四）制定全县国库管理制度、国库集中收付制度，指导和监督全县国库业务，按规定开展国库现金管理工作，负责制定政府采购制度并监督管理。</w:t>
      </w:r>
    </w:p>
    <w:p>
      <w:pPr>
        <w:pBdr>
          <w:bottom w:val="single" w:color="FFFFFF" w:sz="4" w:space="31"/>
        </w:pBdr>
        <w:tabs>
          <w:tab w:val="left" w:pos="7380"/>
        </w:tabs>
        <w:autoSpaceDE w:val="0"/>
        <w:autoSpaceDN w:val="0"/>
        <w:adjustRightInd w:val="0"/>
        <w:snapToGrid w:val="0"/>
        <w:spacing w:line="360" w:lineRule="auto"/>
        <w:ind w:firstLine="640"/>
        <w:rPr>
          <w:rFonts w:ascii="仿宋" w:hAnsi="仿宋" w:eastAsia="仿宋"/>
          <w:color w:val="000000"/>
          <w:sz w:val="32"/>
          <w:szCs w:val="32"/>
        </w:rPr>
      </w:pPr>
      <w:r>
        <w:rPr>
          <w:rFonts w:hint="eastAsia" w:ascii="仿宋" w:hAnsi="仿宋" w:eastAsia="仿宋"/>
          <w:color w:val="000000"/>
          <w:sz w:val="32"/>
          <w:szCs w:val="32"/>
        </w:rPr>
        <w:t>（五）贯彻执行国家税收法律、行政法规和税收调整政策，按权限审批或报请上级有关部门审批地方税收减免工作。</w:t>
      </w:r>
    </w:p>
    <w:p>
      <w:pPr>
        <w:pBdr>
          <w:bottom w:val="single" w:color="FFFFFF" w:sz="4" w:space="31"/>
        </w:pBdr>
        <w:tabs>
          <w:tab w:val="left" w:pos="7380"/>
        </w:tabs>
        <w:autoSpaceDE w:val="0"/>
        <w:autoSpaceDN w:val="0"/>
        <w:adjustRightInd w:val="0"/>
        <w:snapToGrid w:val="0"/>
        <w:spacing w:line="360" w:lineRule="auto"/>
        <w:ind w:firstLine="640"/>
        <w:rPr>
          <w:rFonts w:ascii="仿宋" w:hAnsi="仿宋" w:eastAsia="仿宋"/>
          <w:color w:val="000000"/>
          <w:sz w:val="32"/>
          <w:szCs w:val="32"/>
        </w:rPr>
      </w:pPr>
      <w:r>
        <w:rPr>
          <w:rFonts w:hint="eastAsia" w:ascii="仿宋" w:hAnsi="仿宋" w:eastAsia="仿宋"/>
          <w:color w:val="000000"/>
          <w:sz w:val="32"/>
          <w:szCs w:val="32"/>
        </w:rPr>
        <w:t>（六）负责核拨县级工交、农业、文教、卫生、科学等部门事业费及其财务管理工作，管理县级行政事业单位车辆编制，管理县级机关党派团体行政经费、公检法司经费，外事经费及财务管理工作。</w:t>
      </w:r>
    </w:p>
    <w:p>
      <w:pPr>
        <w:pBdr>
          <w:bottom w:val="single" w:color="FFFFFF" w:sz="4" w:space="31"/>
        </w:pBdr>
        <w:tabs>
          <w:tab w:val="left" w:pos="7380"/>
        </w:tabs>
        <w:autoSpaceDE w:val="0"/>
        <w:autoSpaceDN w:val="0"/>
        <w:adjustRightInd w:val="0"/>
        <w:snapToGrid w:val="0"/>
        <w:spacing w:line="360" w:lineRule="auto"/>
        <w:ind w:firstLine="640"/>
        <w:rPr>
          <w:rFonts w:ascii="仿宋" w:hAnsi="仿宋" w:eastAsia="仿宋"/>
          <w:color w:val="000000"/>
          <w:sz w:val="32"/>
          <w:szCs w:val="32"/>
        </w:rPr>
      </w:pPr>
      <w:r>
        <w:rPr>
          <w:rFonts w:ascii="仿宋" w:hAnsi="仿宋" w:eastAsia="仿宋"/>
          <w:color w:val="000000"/>
          <w:sz w:val="32"/>
          <w:szCs w:val="32"/>
        </w:rPr>
        <w:t xml:space="preserve"> </w:t>
      </w:r>
      <w:r>
        <w:rPr>
          <w:rFonts w:hint="eastAsia" w:ascii="仿宋" w:hAnsi="仿宋" w:eastAsia="仿宋"/>
          <w:color w:val="000000"/>
          <w:sz w:val="32"/>
          <w:szCs w:val="32"/>
        </w:rPr>
        <w:t>（七）制定全县行政事业单位国有资产管理制度，按规定管理行政事业单位国有资产；负责县级机关土地、房产、车辆、设施和办公设备的配备、调拨、清查登记、监督检查。</w:t>
      </w:r>
    </w:p>
    <w:p>
      <w:pPr>
        <w:pBdr>
          <w:bottom w:val="single" w:color="FFFFFF" w:sz="4" w:space="31"/>
        </w:pBdr>
        <w:tabs>
          <w:tab w:val="left" w:pos="7380"/>
        </w:tabs>
        <w:autoSpaceDE w:val="0"/>
        <w:autoSpaceDN w:val="0"/>
        <w:adjustRightInd w:val="0"/>
        <w:snapToGrid w:val="0"/>
        <w:spacing w:line="360" w:lineRule="auto"/>
        <w:ind w:firstLine="640"/>
        <w:rPr>
          <w:rFonts w:ascii="仿宋" w:hAnsi="仿宋" w:eastAsia="仿宋"/>
          <w:color w:val="000000"/>
          <w:sz w:val="32"/>
          <w:szCs w:val="32"/>
        </w:rPr>
      </w:pPr>
      <w:r>
        <w:rPr>
          <w:rFonts w:hint="eastAsia" w:ascii="仿宋" w:hAnsi="仿宋" w:eastAsia="仿宋"/>
          <w:color w:val="000000"/>
          <w:sz w:val="32"/>
          <w:szCs w:val="32"/>
        </w:rPr>
        <w:t>（八）执行国有资本金基础管理的方针政策、管理办法，组织实施国有企业的清产核资、资本金的权属界定和登记并负责统计分析，指导财产评估业务。负责国有企业及外商投资企业财务管理工作；</w:t>
      </w:r>
      <w:r>
        <w:rPr>
          <w:rFonts w:ascii="仿宋" w:hAnsi="仿宋" w:eastAsia="仿宋"/>
          <w:color w:val="000000"/>
          <w:sz w:val="32"/>
          <w:szCs w:val="32"/>
        </w:rPr>
        <w:t xml:space="preserve"> </w:t>
      </w:r>
      <w:r>
        <w:rPr>
          <w:rFonts w:hint="eastAsia" w:ascii="仿宋" w:hAnsi="仿宋" w:eastAsia="仿宋"/>
          <w:color w:val="000000"/>
          <w:sz w:val="32"/>
          <w:szCs w:val="32"/>
        </w:rPr>
        <w:t>参与国有企业改制和国有资产收益监交工作。</w:t>
      </w:r>
      <w:r>
        <w:rPr>
          <w:rFonts w:ascii="仿宋" w:hAnsi="仿宋" w:eastAsia="仿宋"/>
          <w:color w:val="000000"/>
          <w:sz w:val="32"/>
          <w:szCs w:val="32"/>
        </w:rPr>
        <w:t xml:space="preserve">    </w:t>
      </w:r>
    </w:p>
    <w:p>
      <w:pPr>
        <w:pBdr>
          <w:bottom w:val="single" w:color="FFFFFF" w:sz="4" w:space="31"/>
        </w:pBdr>
        <w:tabs>
          <w:tab w:val="left" w:pos="7380"/>
        </w:tabs>
        <w:autoSpaceDE w:val="0"/>
        <w:autoSpaceDN w:val="0"/>
        <w:adjustRightInd w:val="0"/>
        <w:snapToGrid w:val="0"/>
        <w:spacing w:line="360" w:lineRule="auto"/>
        <w:ind w:firstLine="640"/>
        <w:rPr>
          <w:rFonts w:ascii="仿宋" w:hAnsi="仿宋" w:eastAsia="仿宋"/>
          <w:color w:val="000000"/>
          <w:sz w:val="32"/>
          <w:szCs w:val="32"/>
        </w:rPr>
      </w:pPr>
      <w:r>
        <w:rPr>
          <w:rFonts w:hint="eastAsia" w:ascii="仿宋" w:hAnsi="仿宋" w:eastAsia="仿宋"/>
          <w:color w:val="000000"/>
          <w:sz w:val="32"/>
          <w:szCs w:val="32"/>
        </w:rPr>
        <w:t>（九）负责办理和监督县财政的经济发展支出、中央和省、市、县政府性投资项目的财政拨款；参与拟定县建设投资的有关政策，制定基本建设财务制度；负责有关政策性补贴和专项储备资金财政管理工作。</w:t>
      </w:r>
    </w:p>
    <w:p>
      <w:pPr>
        <w:pBdr>
          <w:bottom w:val="single" w:color="FFFFFF" w:sz="4" w:space="31"/>
        </w:pBdr>
        <w:tabs>
          <w:tab w:val="left" w:pos="7380"/>
        </w:tabs>
        <w:autoSpaceDE w:val="0"/>
        <w:autoSpaceDN w:val="0"/>
        <w:adjustRightInd w:val="0"/>
        <w:snapToGrid w:val="0"/>
        <w:spacing w:line="360" w:lineRule="auto"/>
        <w:ind w:firstLine="640"/>
        <w:rPr>
          <w:rFonts w:ascii="仿宋" w:hAnsi="仿宋" w:eastAsia="仿宋"/>
          <w:color w:val="000000"/>
          <w:sz w:val="32"/>
          <w:szCs w:val="32"/>
        </w:rPr>
      </w:pPr>
      <w:r>
        <w:rPr>
          <w:rFonts w:hint="eastAsia" w:ascii="仿宋" w:hAnsi="仿宋" w:eastAsia="仿宋"/>
          <w:color w:val="000000"/>
          <w:sz w:val="32"/>
          <w:szCs w:val="32"/>
        </w:rPr>
        <w:t>（十）负责起草县农村综合改革规划、方案，推动改革工作；负责全县农村综合开发有关工作。</w:t>
      </w:r>
    </w:p>
    <w:p>
      <w:pPr>
        <w:pBdr>
          <w:bottom w:val="single" w:color="FFFFFF" w:sz="4" w:space="31"/>
        </w:pBdr>
        <w:tabs>
          <w:tab w:val="left" w:pos="7380"/>
        </w:tabs>
        <w:autoSpaceDE w:val="0"/>
        <w:autoSpaceDN w:val="0"/>
        <w:adjustRightInd w:val="0"/>
        <w:snapToGrid w:val="0"/>
        <w:spacing w:line="360" w:lineRule="auto"/>
        <w:ind w:firstLine="640"/>
        <w:rPr>
          <w:rFonts w:ascii="仿宋" w:hAnsi="仿宋" w:eastAsia="仿宋"/>
          <w:color w:val="000000"/>
          <w:sz w:val="32"/>
          <w:szCs w:val="32"/>
        </w:rPr>
      </w:pPr>
      <w:r>
        <w:rPr>
          <w:rFonts w:hint="eastAsia" w:ascii="仿宋" w:hAnsi="仿宋" w:eastAsia="仿宋"/>
          <w:color w:val="000000"/>
          <w:sz w:val="32"/>
          <w:szCs w:val="32"/>
        </w:rPr>
        <w:t>（十一）会同有关部门管理县级财政社会保障支出和就业及医疗卫生支出；会同有关部门拟定全县社会保障资金（基金）的财务管理制度；编制社会保障预决算草案。</w:t>
      </w:r>
    </w:p>
    <w:p>
      <w:pPr>
        <w:pBdr>
          <w:bottom w:val="single" w:color="FFFFFF" w:sz="4" w:space="31"/>
        </w:pBdr>
        <w:tabs>
          <w:tab w:val="left" w:pos="7380"/>
        </w:tabs>
        <w:autoSpaceDE w:val="0"/>
        <w:autoSpaceDN w:val="0"/>
        <w:adjustRightInd w:val="0"/>
        <w:snapToGrid w:val="0"/>
        <w:spacing w:line="360" w:lineRule="auto"/>
        <w:ind w:firstLine="640"/>
        <w:rPr>
          <w:rFonts w:ascii="仿宋" w:hAnsi="仿宋" w:eastAsia="仿宋"/>
          <w:color w:val="000000"/>
          <w:sz w:val="32"/>
          <w:szCs w:val="32"/>
        </w:rPr>
      </w:pPr>
      <w:r>
        <w:rPr>
          <w:rFonts w:hint="eastAsia" w:ascii="仿宋" w:hAnsi="仿宋" w:eastAsia="仿宋"/>
          <w:color w:val="000000"/>
          <w:sz w:val="32"/>
          <w:szCs w:val="32"/>
        </w:rPr>
        <w:t>（十二）贯彻执行国家关于政府内外债务管理的制度和政策，依法制定全县政府性债务管理制度和办法，防范财政风险；统一管理政府内外债务，制定基本管理制度；按规定管理外国政府和国际金融组织贷（赠）款。</w:t>
      </w:r>
    </w:p>
    <w:p>
      <w:pPr>
        <w:pBdr>
          <w:bottom w:val="single" w:color="FFFFFF" w:sz="4" w:space="31"/>
        </w:pBdr>
        <w:tabs>
          <w:tab w:val="left" w:pos="7380"/>
        </w:tabs>
        <w:autoSpaceDE w:val="0"/>
        <w:autoSpaceDN w:val="0"/>
        <w:adjustRightInd w:val="0"/>
        <w:snapToGrid w:val="0"/>
        <w:spacing w:line="360" w:lineRule="auto"/>
        <w:ind w:firstLine="640"/>
        <w:rPr>
          <w:rFonts w:ascii="仿宋" w:hAnsi="仿宋" w:eastAsia="仿宋"/>
          <w:color w:val="000000"/>
          <w:sz w:val="32"/>
          <w:szCs w:val="32"/>
        </w:rPr>
      </w:pPr>
      <w:r>
        <w:rPr>
          <w:rFonts w:hint="eastAsia" w:ascii="仿宋" w:hAnsi="仿宋" w:eastAsia="仿宋"/>
          <w:color w:val="000000"/>
          <w:sz w:val="32"/>
          <w:szCs w:val="32"/>
        </w:rPr>
        <w:t>（十三）负责管理全县会计工作，监督和规范会计行为，制定全县会计管理的制度、办法并组织实施；负责全县会计专业技术职称考试工作。</w:t>
      </w:r>
    </w:p>
    <w:p>
      <w:pPr>
        <w:pBdr>
          <w:bottom w:val="single" w:color="FFFFFF" w:sz="4" w:space="31"/>
        </w:pBdr>
        <w:tabs>
          <w:tab w:val="left" w:pos="7380"/>
        </w:tabs>
        <w:autoSpaceDE w:val="0"/>
        <w:autoSpaceDN w:val="0"/>
        <w:adjustRightInd w:val="0"/>
        <w:snapToGrid w:val="0"/>
        <w:spacing w:line="360" w:lineRule="auto"/>
        <w:ind w:firstLine="640"/>
        <w:rPr>
          <w:rFonts w:ascii="仿宋" w:hAnsi="仿宋" w:eastAsia="仿宋"/>
          <w:color w:val="000000"/>
          <w:sz w:val="32"/>
          <w:szCs w:val="32"/>
        </w:rPr>
      </w:pPr>
      <w:r>
        <w:rPr>
          <w:rFonts w:hint="eastAsia" w:ascii="仿宋" w:hAnsi="仿宋" w:eastAsia="仿宋"/>
          <w:color w:val="000000"/>
          <w:sz w:val="32"/>
          <w:szCs w:val="32"/>
        </w:rPr>
        <w:t>（十四）监督检查财税法规、政策的执行情况，反映财政收支管理中的重大问题，提出加强财政管理的政策和建议；负责制定财政资金绩效评价的相关制度、办法并组织实施。</w:t>
      </w:r>
    </w:p>
    <w:p>
      <w:pPr>
        <w:pBdr>
          <w:bottom w:val="single" w:color="FFFFFF" w:sz="4" w:space="31"/>
        </w:pBdr>
        <w:tabs>
          <w:tab w:val="left" w:pos="7380"/>
        </w:tabs>
        <w:autoSpaceDE w:val="0"/>
        <w:autoSpaceDN w:val="0"/>
        <w:adjustRightInd w:val="0"/>
        <w:snapToGrid w:val="0"/>
        <w:spacing w:line="360" w:lineRule="auto"/>
        <w:ind w:firstLine="640"/>
        <w:rPr>
          <w:rFonts w:ascii="仿宋" w:hAnsi="仿宋" w:eastAsia="仿宋"/>
          <w:color w:val="000000"/>
          <w:sz w:val="32"/>
          <w:szCs w:val="32"/>
        </w:rPr>
      </w:pPr>
      <w:r>
        <w:rPr>
          <w:rFonts w:hint="eastAsia" w:ascii="仿宋" w:hAnsi="仿宋" w:eastAsia="仿宋"/>
          <w:color w:val="000000"/>
          <w:sz w:val="32"/>
          <w:szCs w:val="32"/>
        </w:rPr>
        <w:t>（十五）负责财政研究和教育规划、人员培训、信息宣传工作。</w:t>
      </w:r>
    </w:p>
    <w:p>
      <w:pPr>
        <w:pBdr>
          <w:bottom w:val="single" w:color="FFFFFF" w:sz="4" w:space="31"/>
        </w:pBdr>
        <w:tabs>
          <w:tab w:val="left" w:pos="7380"/>
        </w:tabs>
        <w:autoSpaceDE w:val="0"/>
        <w:autoSpaceDN w:val="0"/>
        <w:adjustRightInd w:val="0"/>
        <w:snapToGrid w:val="0"/>
        <w:spacing w:line="360" w:lineRule="auto"/>
        <w:ind w:firstLine="640"/>
        <w:rPr>
          <w:rFonts w:ascii="仿宋" w:hAnsi="仿宋" w:eastAsia="仿宋"/>
          <w:color w:val="000000"/>
          <w:sz w:val="32"/>
          <w:szCs w:val="32"/>
        </w:rPr>
      </w:pPr>
      <w:r>
        <w:rPr>
          <w:rFonts w:hint="eastAsia" w:ascii="仿宋" w:hAnsi="仿宋" w:eastAsia="仿宋"/>
          <w:color w:val="000000"/>
          <w:sz w:val="32"/>
          <w:szCs w:val="32"/>
        </w:rPr>
        <w:t>（十六）承办县政府交办的其它工作。</w:t>
      </w:r>
    </w:p>
    <w:p>
      <w:pPr>
        <w:pBdr>
          <w:bottom w:val="single" w:color="FFFFFF" w:sz="4" w:space="31"/>
        </w:pBdr>
        <w:tabs>
          <w:tab w:val="left" w:pos="7380"/>
        </w:tabs>
        <w:autoSpaceDE w:val="0"/>
        <w:autoSpaceDN w:val="0"/>
        <w:adjustRightInd w:val="0"/>
        <w:snapToGrid w:val="0"/>
        <w:spacing w:line="360" w:lineRule="auto"/>
        <w:ind w:firstLine="643"/>
        <w:rPr>
          <w:rFonts w:ascii="仿宋" w:hAnsi="仿宋" w:eastAsia="仿宋"/>
          <w:color w:val="000000"/>
          <w:sz w:val="32"/>
          <w:szCs w:val="32"/>
        </w:rPr>
      </w:pPr>
      <w:r>
        <w:rPr>
          <w:rFonts w:hint="eastAsia" w:ascii="仿宋" w:hAnsi="仿宋" w:eastAsia="仿宋" w:cs="仿宋"/>
          <w:b/>
          <w:bCs/>
          <w:sz w:val="32"/>
          <w:szCs w:val="32"/>
        </w:rPr>
        <w:t>二、2020年度部门工作任务</w:t>
      </w:r>
    </w:p>
    <w:p>
      <w:pPr>
        <w:widowControl/>
        <w:pBdr>
          <w:bottom w:val="single" w:color="FFFFFF" w:sz="4" w:space="31"/>
        </w:pBdr>
        <w:tabs>
          <w:tab w:val="left" w:pos="7380"/>
        </w:tabs>
        <w:autoSpaceDE w:val="0"/>
        <w:autoSpaceDN w:val="0"/>
        <w:adjustRightInd w:val="0"/>
        <w:snapToGrid w:val="0"/>
        <w:spacing w:line="600" w:lineRule="exact"/>
        <w:ind w:firstLine="672"/>
        <w:rPr>
          <w:rFonts w:ascii="仿宋" w:hAnsi="仿宋" w:eastAsia="仿宋"/>
          <w:spacing w:val="8"/>
          <w:sz w:val="32"/>
          <w:szCs w:val="32"/>
        </w:rPr>
      </w:pPr>
      <w:r>
        <w:rPr>
          <w:rFonts w:hint="eastAsia" w:ascii="仿宋" w:hAnsi="仿宋" w:eastAsia="仿宋"/>
          <w:spacing w:val="8"/>
          <w:sz w:val="32"/>
          <w:szCs w:val="32"/>
        </w:rPr>
        <w:t>2020年，我们将以</w:t>
      </w:r>
      <w:r>
        <w:rPr>
          <w:rFonts w:hint="eastAsia" w:ascii="仿宋" w:hAnsi="仿宋" w:eastAsia="仿宋"/>
          <w:spacing w:val="8"/>
          <w:sz w:val="32"/>
          <w:szCs w:val="32"/>
          <w:lang w:eastAsia="zh-CN"/>
        </w:rPr>
        <w:t>党的</w:t>
      </w:r>
      <w:bookmarkStart w:id="0" w:name="_GoBack"/>
      <w:r>
        <w:rPr>
          <w:rFonts w:hint="eastAsia" w:ascii="仿宋" w:hAnsi="仿宋" w:eastAsia="仿宋"/>
          <w:spacing w:val="8"/>
          <w:sz w:val="32"/>
          <w:szCs w:val="32"/>
        </w:rPr>
        <w:t>十九大</w:t>
      </w:r>
      <w:bookmarkEnd w:id="0"/>
      <w:r>
        <w:rPr>
          <w:rFonts w:hint="eastAsia" w:ascii="仿宋" w:hAnsi="仿宋" w:eastAsia="仿宋"/>
          <w:spacing w:val="8"/>
          <w:sz w:val="32"/>
          <w:szCs w:val="32"/>
        </w:rPr>
        <w:t>精神为指导，继续贯彻中省市</w:t>
      </w:r>
      <w:r>
        <w:rPr>
          <w:rFonts w:hint="eastAsia" w:ascii="仿宋" w:hAnsi="仿宋" w:eastAsia="仿宋"/>
          <w:sz w:val="32"/>
          <w:szCs w:val="32"/>
        </w:rPr>
        <w:t>财政工作会议</w:t>
      </w:r>
      <w:r>
        <w:rPr>
          <w:rFonts w:hint="eastAsia" w:ascii="仿宋" w:hAnsi="仿宋" w:eastAsia="仿宋"/>
          <w:spacing w:val="8"/>
          <w:sz w:val="32"/>
          <w:szCs w:val="32"/>
        </w:rPr>
        <w:t>精神，紧紧围绕县委、县政府部署安排，紧扣全县重点工作，以提升财政绩效管理水平为抓手，通过加强税收收入、强化绩效管理、优化支出结构，进一步加大财力统筹，落实更加积极有效的财政政策，坚决打赢</w:t>
      </w:r>
      <w:r>
        <w:rPr>
          <w:rFonts w:hint="eastAsia" w:ascii="仿宋" w:hAnsi="仿宋" w:eastAsia="仿宋"/>
          <w:sz w:val="32"/>
          <w:szCs w:val="32"/>
        </w:rPr>
        <w:t>“三大攻坚战”，</w:t>
      </w:r>
      <w:r>
        <w:rPr>
          <w:rFonts w:hint="eastAsia" w:ascii="仿宋" w:hAnsi="仿宋" w:eastAsia="仿宋"/>
          <w:spacing w:val="8"/>
          <w:sz w:val="32"/>
          <w:szCs w:val="32"/>
        </w:rPr>
        <w:t xml:space="preserve">为建设 </w:t>
      </w:r>
      <w:r>
        <w:rPr>
          <w:rFonts w:hint="eastAsia" w:ascii="仿宋" w:hAnsi="仿宋" w:eastAsia="仿宋"/>
          <w:sz w:val="32"/>
          <w:szCs w:val="32"/>
        </w:rPr>
        <w:t>“</w:t>
      </w:r>
      <w:r>
        <w:rPr>
          <w:rFonts w:hint="eastAsia" w:ascii="仿宋" w:hAnsi="仿宋" w:eastAsia="仿宋"/>
          <w:spacing w:val="8"/>
          <w:sz w:val="32"/>
          <w:szCs w:val="32"/>
        </w:rPr>
        <w:t>人文山水蓝田、丝路生态慢城” 提供坚实的财力保障</w:t>
      </w:r>
      <w:r>
        <w:rPr>
          <w:rFonts w:hint="eastAsia" w:ascii="仿宋" w:hAnsi="仿宋" w:eastAsia="仿宋" w:cs="宋体"/>
          <w:spacing w:val="6"/>
          <w:kern w:val="0"/>
          <w:sz w:val="32"/>
          <w:szCs w:val="32"/>
        </w:rPr>
        <w:t>。</w:t>
      </w:r>
      <w:r>
        <w:rPr>
          <w:rFonts w:hint="eastAsia" w:ascii="仿宋" w:hAnsi="仿宋" w:eastAsia="仿宋"/>
          <w:spacing w:val="8"/>
          <w:sz w:val="32"/>
          <w:szCs w:val="32"/>
        </w:rPr>
        <w:t xml:space="preserve">重点抓好以下七个方面工作： </w:t>
      </w:r>
    </w:p>
    <w:p>
      <w:pPr>
        <w:widowControl/>
        <w:pBdr>
          <w:bottom w:val="single" w:color="FFFFFF" w:sz="4" w:space="31"/>
        </w:pBdr>
        <w:tabs>
          <w:tab w:val="left" w:pos="7380"/>
        </w:tabs>
        <w:autoSpaceDE w:val="0"/>
        <w:autoSpaceDN w:val="0"/>
        <w:adjustRightInd w:val="0"/>
        <w:snapToGrid w:val="0"/>
        <w:spacing w:line="600" w:lineRule="exact"/>
        <w:ind w:firstLine="643"/>
        <w:rPr>
          <w:rFonts w:ascii="仿宋" w:hAnsi="仿宋" w:eastAsia="仿宋" w:cs="宋体"/>
          <w:spacing w:val="6"/>
          <w:kern w:val="0"/>
          <w:sz w:val="32"/>
          <w:szCs w:val="32"/>
        </w:rPr>
      </w:pPr>
      <w:r>
        <w:rPr>
          <w:rFonts w:hint="eastAsia" w:ascii="仿宋" w:hAnsi="仿宋" w:eastAsia="仿宋"/>
          <w:b/>
          <w:sz w:val="32"/>
          <w:szCs w:val="32"/>
        </w:rPr>
        <w:t>一是强化收入，确保完成任务。</w:t>
      </w:r>
      <w:r>
        <w:rPr>
          <w:rFonts w:hint="eastAsia" w:ascii="仿宋" w:hAnsi="仿宋" w:eastAsia="仿宋"/>
          <w:sz w:val="32"/>
          <w:szCs w:val="32"/>
        </w:rPr>
        <w:t>坚持财税库联席会议制度，完善税源监控机制，抓好各项增收政策，实施税收专业化管理，及时解决收入征管中出现的问题，做实财政收入，力争全年财政收入较2019年增长5%；</w:t>
      </w:r>
      <w:r>
        <w:rPr>
          <w:rFonts w:hint="eastAsia" w:ascii="仿宋" w:hAnsi="仿宋" w:eastAsia="仿宋" w:cs="宋体"/>
          <w:spacing w:val="6"/>
          <w:kern w:val="0"/>
          <w:sz w:val="32"/>
          <w:szCs w:val="32"/>
        </w:rPr>
        <w:t>积极与上级主管部门联系，及时沟通对接，了解资金的投向、规模等信息，策划、包装好项目，全年争取上级资金21亿元。</w:t>
      </w:r>
    </w:p>
    <w:p>
      <w:pPr>
        <w:pBdr>
          <w:bottom w:val="single" w:color="FFFFFF" w:sz="4" w:space="31"/>
        </w:pBdr>
        <w:tabs>
          <w:tab w:val="left" w:pos="7380"/>
        </w:tabs>
        <w:autoSpaceDE w:val="0"/>
        <w:autoSpaceDN w:val="0"/>
        <w:adjustRightInd w:val="0"/>
        <w:snapToGrid w:val="0"/>
        <w:spacing w:line="600" w:lineRule="exact"/>
        <w:ind w:firstLine="643"/>
        <w:rPr>
          <w:rFonts w:ascii="仿宋" w:hAnsi="仿宋" w:eastAsia="仿宋"/>
          <w:sz w:val="32"/>
          <w:szCs w:val="32"/>
        </w:rPr>
      </w:pPr>
      <w:r>
        <w:rPr>
          <w:rFonts w:hint="eastAsia" w:ascii="仿宋" w:hAnsi="仿宋" w:eastAsia="仿宋"/>
          <w:b/>
          <w:sz w:val="32"/>
          <w:szCs w:val="32"/>
        </w:rPr>
        <w:t>二是优化支出，努力改善民生。</w:t>
      </w:r>
      <w:r>
        <w:rPr>
          <w:rFonts w:hint="eastAsia" w:ascii="仿宋" w:hAnsi="仿宋" w:eastAsia="仿宋"/>
          <w:sz w:val="32"/>
          <w:szCs w:val="32"/>
        </w:rPr>
        <w:t>从严控制一般性支出，严格控制“三公”经费，力争全年只减不增；加快公共文化事业发展，新建</w:t>
      </w:r>
      <w:r>
        <w:rPr>
          <w:rFonts w:hint="eastAsia" w:ascii="仿宋" w:hAnsi="仿宋" w:eastAsia="仿宋"/>
          <w:color w:val="000000"/>
          <w:sz w:val="32"/>
          <w:szCs w:val="32"/>
        </w:rPr>
        <w:t>公办幼儿园、农村文化示范村、</w:t>
      </w:r>
      <w:r>
        <w:rPr>
          <w:rFonts w:hint="eastAsia" w:ascii="仿宋" w:hAnsi="仿宋" w:eastAsia="仿宋"/>
          <w:sz w:val="32"/>
          <w:szCs w:val="32"/>
        </w:rPr>
        <w:t>农村幸福院、标准化公共体育场；加大教育事业资金投入力度，积极改善中小学办学条件，竭力落实高中免学费政策；不断提高标准，扩大范围，稳步提高社会保障水平，保障低收入群体的基本生活。</w:t>
      </w:r>
    </w:p>
    <w:p>
      <w:pPr>
        <w:pBdr>
          <w:bottom w:val="single" w:color="FFFFFF" w:sz="4" w:space="31"/>
        </w:pBdr>
        <w:tabs>
          <w:tab w:val="left" w:pos="7380"/>
        </w:tabs>
        <w:autoSpaceDE w:val="0"/>
        <w:autoSpaceDN w:val="0"/>
        <w:adjustRightInd w:val="0"/>
        <w:snapToGrid w:val="0"/>
        <w:spacing w:line="600" w:lineRule="exact"/>
        <w:ind w:firstLine="643"/>
        <w:rPr>
          <w:rFonts w:ascii="仿宋" w:hAnsi="仿宋" w:eastAsia="仿宋"/>
          <w:b/>
          <w:sz w:val="32"/>
          <w:szCs w:val="32"/>
        </w:rPr>
      </w:pPr>
      <w:r>
        <w:rPr>
          <w:rFonts w:hint="eastAsia" w:ascii="仿宋" w:hAnsi="仿宋" w:eastAsia="仿宋"/>
          <w:b/>
          <w:sz w:val="32"/>
          <w:szCs w:val="32"/>
        </w:rPr>
        <w:t>三是深化改革，加强财政管理。</w:t>
      </w:r>
      <w:r>
        <w:rPr>
          <w:rFonts w:hint="eastAsia" w:ascii="仿宋" w:hAnsi="仿宋" w:eastAsia="仿宋" w:cs="Arial"/>
          <w:sz w:val="32"/>
          <w:szCs w:val="32"/>
        </w:rPr>
        <w:t>继续深化部门预算改革，积极推进行政事业单位内部控制工作，全面公开预决算及“三公”经费，加强财政规范管理，实现公开透明；积极开展</w:t>
      </w:r>
      <w:r>
        <w:rPr>
          <w:rFonts w:hint="eastAsia" w:ascii="仿宋" w:hAnsi="仿宋" w:eastAsia="仿宋"/>
          <w:spacing w:val="10"/>
          <w:sz w:val="32"/>
          <w:szCs w:val="32"/>
        </w:rPr>
        <w:t>绩效评价，确保把资金投入到经济效益和社会效益好的项目上；规范专项资金与账户管理，实行国库统管，对民生个人补贴资金要继续完善和推行“一卡通”发放，确保及时兑现；规范国库集中支付管理，强化预算执行动态监控系统，提高预算单位公务卡使用率，促进财政科学化、精细化管理。</w:t>
      </w:r>
    </w:p>
    <w:p>
      <w:pPr>
        <w:pBdr>
          <w:bottom w:val="single" w:color="FFFFFF" w:sz="4" w:space="31"/>
        </w:pBdr>
        <w:tabs>
          <w:tab w:val="left" w:pos="7380"/>
        </w:tabs>
        <w:autoSpaceDE w:val="0"/>
        <w:autoSpaceDN w:val="0"/>
        <w:adjustRightInd w:val="0"/>
        <w:snapToGrid w:val="0"/>
        <w:spacing w:line="600" w:lineRule="exact"/>
        <w:ind w:firstLine="643"/>
        <w:rPr>
          <w:rFonts w:ascii="仿宋" w:hAnsi="仿宋" w:eastAsia="仿宋"/>
          <w:color w:val="000000"/>
          <w:sz w:val="32"/>
          <w:szCs w:val="32"/>
        </w:rPr>
      </w:pPr>
      <w:r>
        <w:rPr>
          <w:rFonts w:hint="eastAsia" w:ascii="仿宋" w:hAnsi="仿宋" w:eastAsia="仿宋"/>
          <w:b/>
          <w:sz w:val="32"/>
          <w:szCs w:val="32"/>
        </w:rPr>
        <w:t>四是统筹城乡，强化基础设施</w:t>
      </w:r>
      <w:r>
        <w:rPr>
          <w:rFonts w:hint="eastAsia" w:ascii="仿宋" w:hAnsi="仿宋" w:eastAsia="仿宋"/>
          <w:b/>
          <w:color w:val="000000"/>
          <w:sz w:val="32"/>
          <w:szCs w:val="32"/>
        </w:rPr>
        <w:t>。</w:t>
      </w:r>
      <w:r>
        <w:rPr>
          <w:rFonts w:hint="eastAsia" w:ascii="仿宋" w:hAnsi="仿宋" w:eastAsia="仿宋"/>
          <w:color w:val="000000"/>
          <w:sz w:val="32"/>
          <w:szCs w:val="32"/>
        </w:rPr>
        <w:t>全面落实各项强农惠农政策，按时发放各类涉农补贴资金，进一步完善村级公益事业建设、一事一议财政奖补项目管理办法和资金管理办法，严格按照“先议事、后申报，先审批、后建设，先实施、后奖补”的原则，认真落实财政奖补政策，及时拨付建设资金，加快县城和小城镇基础设施建设项目进度，不断提升蓝田城乡基础设施面貌。</w:t>
      </w:r>
    </w:p>
    <w:p>
      <w:pPr>
        <w:pBdr>
          <w:bottom w:val="single" w:color="FFFFFF" w:sz="4" w:space="31"/>
        </w:pBdr>
        <w:tabs>
          <w:tab w:val="left" w:pos="7380"/>
        </w:tabs>
        <w:autoSpaceDE w:val="0"/>
        <w:autoSpaceDN w:val="0"/>
        <w:adjustRightInd w:val="0"/>
        <w:snapToGrid w:val="0"/>
        <w:spacing w:line="600" w:lineRule="exact"/>
        <w:ind w:firstLine="643"/>
        <w:rPr>
          <w:rFonts w:ascii="仿宋" w:hAnsi="仿宋" w:eastAsia="仿宋" w:cs="Arial"/>
          <w:sz w:val="32"/>
          <w:szCs w:val="32"/>
        </w:rPr>
      </w:pPr>
      <w:r>
        <w:rPr>
          <w:rFonts w:hint="eastAsia" w:ascii="仿宋" w:hAnsi="仿宋" w:eastAsia="仿宋"/>
          <w:b/>
          <w:sz w:val="32"/>
          <w:szCs w:val="32"/>
        </w:rPr>
        <w:t>五是加强监督，建设法制化财政。</w:t>
      </w:r>
      <w:r>
        <w:rPr>
          <w:rFonts w:hint="eastAsia" w:ascii="仿宋" w:hAnsi="仿宋" w:eastAsia="仿宋" w:cs="Arial"/>
          <w:sz w:val="32"/>
          <w:szCs w:val="32"/>
        </w:rPr>
        <w:t>对局机关内部8个科、所、中心的账务以及教育、卫生各项资金使用情况进行监督检查；继续深化“镇财镇用县监管”和“村财村用镇代管”工作，强化村级转移支付资金的监管，按时足额发放村级干部补贴，确保镇、村两级政权正常运转；</w:t>
      </w:r>
      <w:r>
        <w:rPr>
          <w:rFonts w:hint="eastAsia" w:ascii="仿宋" w:hAnsi="仿宋" w:eastAsia="仿宋" w:cs="宋体"/>
          <w:spacing w:val="6"/>
          <w:kern w:val="0"/>
          <w:sz w:val="32"/>
          <w:szCs w:val="32"/>
        </w:rPr>
        <w:t>积极盘活财政存量资金，对无正当原因的结转资金要坚决收回；下大力气清理违规收费、罚款、摊派等形式私设“小金库”的专项治理工作，建立覆盖所有政府性资金和财政运行全过程的监督机制。</w:t>
      </w:r>
    </w:p>
    <w:p>
      <w:pPr>
        <w:pBdr>
          <w:bottom w:val="single" w:color="FFFFFF" w:sz="4" w:space="31"/>
        </w:pBdr>
        <w:tabs>
          <w:tab w:val="left" w:pos="7380"/>
        </w:tabs>
        <w:autoSpaceDE w:val="0"/>
        <w:autoSpaceDN w:val="0"/>
        <w:adjustRightInd w:val="0"/>
        <w:snapToGrid w:val="0"/>
        <w:spacing w:line="600" w:lineRule="exact"/>
        <w:ind w:firstLine="643"/>
        <w:rPr>
          <w:rFonts w:ascii="仿宋" w:hAnsi="仿宋" w:eastAsia="仿宋"/>
          <w:color w:val="000000"/>
          <w:sz w:val="32"/>
          <w:szCs w:val="32"/>
        </w:rPr>
      </w:pPr>
      <w:r>
        <w:rPr>
          <w:rFonts w:hint="eastAsia" w:ascii="仿宋" w:hAnsi="仿宋" w:eastAsia="仿宋"/>
          <w:b/>
          <w:sz w:val="32"/>
          <w:szCs w:val="32"/>
        </w:rPr>
        <w:t>六是强力支持，打赢“三大攻坚战”。</w:t>
      </w:r>
      <w:r>
        <w:rPr>
          <w:rFonts w:hint="eastAsia" w:ascii="仿宋" w:hAnsi="仿宋" w:eastAsia="仿宋"/>
          <w:sz w:val="32"/>
          <w:szCs w:val="32"/>
        </w:rPr>
        <w:t>坚持防风险和促发展并重，严格落实国家债务管理政策</w:t>
      </w:r>
      <w:r>
        <w:rPr>
          <w:rFonts w:hint="eastAsia" w:ascii="仿宋" w:hAnsi="仿宋" w:eastAsia="仿宋"/>
          <w:color w:val="000000"/>
          <w:sz w:val="32"/>
          <w:szCs w:val="32"/>
        </w:rPr>
        <w:t>，加强政府性债务管理，稳妥化解隐藏性债务存量，加快剩余存量政府债务置换，严格控制政府债务风险；立足资金保障职责，围绕县委、县政府确定的脱贫目标，保障财政专项资金投入，支持金融扶贫、“三变”改革、村级集体经济试点、发展乡村旅游业、农村基础设施建设、农村危房改造和移民搬迁，不断促进贫困人口就业；加大铁腕治霾资金投入力度，全力支持“四治一增”、推进“煤改洁”，燃煤锅炉拆改、“智慧环保”建设、美丽乡村建设、推进“河长制”及“路长制”等工作，积极改善农村人居环境，着力解决“治霾难”问题。</w:t>
      </w:r>
    </w:p>
    <w:p>
      <w:pPr>
        <w:pBdr>
          <w:bottom w:val="single" w:color="FFFFFF" w:sz="4" w:space="31"/>
        </w:pBdr>
        <w:tabs>
          <w:tab w:val="left" w:pos="7380"/>
        </w:tabs>
        <w:autoSpaceDE w:val="0"/>
        <w:autoSpaceDN w:val="0"/>
        <w:adjustRightInd w:val="0"/>
        <w:snapToGrid w:val="0"/>
        <w:spacing w:line="600" w:lineRule="exact"/>
        <w:ind w:firstLine="643"/>
        <w:rPr>
          <w:rFonts w:ascii="仿宋" w:hAnsi="仿宋" w:eastAsia="仿宋" w:cs="Arial"/>
          <w:sz w:val="32"/>
          <w:szCs w:val="32"/>
        </w:rPr>
      </w:pPr>
      <w:r>
        <w:rPr>
          <w:rFonts w:hint="eastAsia" w:ascii="仿宋" w:hAnsi="仿宋" w:eastAsia="仿宋"/>
          <w:b/>
          <w:sz w:val="32"/>
          <w:szCs w:val="32"/>
        </w:rPr>
        <w:t>七是落实责任，强化作风建设。</w:t>
      </w:r>
      <w:r>
        <w:rPr>
          <w:rFonts w:hint="eastAsia" w:ascii="仿宋" w:hAnsi="仿宋" w:eastAsia="仿宋"/>
          <w:sz w:val="32"/>
          <w:szCs w:val="32"/>
        </w:rPr>
        <w:t>坚持依法治国、依规治党，落实党风廉政建设“两个责任”，深入抓好“两学一做”学习教育，坚持不懈抓好《中国共产党问责条例》和“三项机制”落实，扎实开展“学做结合”活动，</w:t>
      </w:r>
      <w:r>
        <w:rPr>
          <w:rFonts w:hint="eastAsia" w:ascii="仿宋" w:hAnsi="仿宋" w:eastAsia="仿宋" w:cs="Arial"/>
          <w:sz w:val="32"/>
          <w:szCs w:val="32"/>
        </w:rPr>
        <w:t>切实解决效能建设中存在的问题;</w:t>
      </w:r>
      <w:r>
        <w:rPr>
          <w:rFonts w:hint="eastAsia" w:ascii="仿宋" w:hAnsi="仿宋" w:eastAsia="仿宋"/>
          <w:sz w:val="32"/>
          <w:szCs w:val="32"/>
        </w:rPr>
        <w:t>严格执行财政违法行为处罚处分条例，对违反条例的行为要严肃处理，</w:t>
      </w:r>
      <w:r>
        <w:rPr>
          <w:rFonts w:hint="eastAsia" w:ascii="仿宋" w:hAnsi="仿宋" w:eastAsia="仿宋" w:cs="Arial"/>
          <w:sz w:val="32"/>
          <w:szCs w:val="32"/>
        </w:rPr>
        <w:t>努力建设忠诚党的财政事业、竭诚服务群众的干部队伍。</w:t>
      </w:r>
    </w:p>
    <w:p>
      <w:pPr>
        <w:pBdr>
          <w:bottom w:val="single" w:color="FFFFFF" w:sz="4" w:space="31"/>
        </w:pBdr>
        <w:tabs>
          <w:tab w:val="left" w:pos="7380"/>
        </w:tabs>
        <w:autoSpaceDE w:val="0"/>
        <w:autoSpaceDN w:val="0"/>
        <w:adjustRightInd w:val="0"/>
        <w:snapToGrid w:val="0"/>
        <w:spacing w:line="600" w:lineRule="exact"/>
        <w:ind w:firstLine="643"/>
        <w:rPr>
          <w:rFonts w:ascii="仿宋" w:hAnsi="仿宋" w:eastAsia="仿宋" w:cs="Arial"/>
          <w:sz w:val="32"/>
          <w:szCs w:val="32"/>
        </w:rPr>
      </w:pPr>
      <w:r>
        <w:rPr>
          <w:rFonts w:hint="eastAsia" w:ascii="仿宋" w:hAnsi="仿宋" w:eastAsia="仿宋" w:cs="仿宋"/>
          <w:b/>
          <w:bCs/>
          <w:sz w:val="32"/>
          <w:szCs w:val="32"/>
        </w:rPr>
        <w:t>三、部门预算单位构成</w:t>
      </w:r>
    </w:p>
    <w:p>
      <w:pPr>
        <w:pBdr>
          <w:bottom w:val="single" w:color="FFFFFF" w:sz="4" w:space="31"/>
        </w:pBdr>
        <w:tabs>
          <w:tab w:val="left" w:pos="7380"/>
        </w:tabs>
        <w:autoSpaceDE w:val="0"/>
        <w:autoSpaceDN w:val="0"/>
        <w:adjustRightInd w:val="0"/>
        <w:snapToGrid w:val="0"/>
        <w:spacing w:line="600" w:lineRule="exact"/>
        <w:ind w:firstLine="640"/>
        <w:rPr>
          <w:rFonts w:ascii="仿宋" w:hAnsi="仿宋" w:eastAsia="仿宋" w:cs="Arial"/>
          <w:sz w:val="32"/>
          <w:szCs w:val="32"/>
        </w:rPr>
      </w:pPr>
      <w:r>
        <w:rPr>
          <w:rFonts w:hint="eastAsia" w:ascii="仿宋" w:hAnsi="仿宋" w:eastAsia="仿宋"/>
          <w:color w:val="000000"/>
          <w:sz w:val="32"/>
          <w:szCs w:val="32"/>
        </w:rPr>
        <w:t>从预算单位构成看，蓝田县财政局的部门预算包括部门本级（机关）预算和所属事业单位预算。</w:t>
      </w:r>
    </w:p>
    <w:p>
      <w:pPr>
        <w:pBdr>
          <w:bottom w:val="single" w:color="FFFFFF" w:sz="4" w:space="31"/>
        </w:pBdr>
        <w:tabs>
          <w:tab w:val="left" w:pos="7380"/>
        </w:tabs>
        <w:autoSpaceDE w:val="0"/>
        <w:autoSpaceDN w:val="0"/>
        <w:adjustRightInd w:val="0"/>
        <w:snapToGrid w:val="0"/>
        <w:spacing w:line="360" w:lineRule="auto"/>
        <w:ind w:firstLine="640"/>
        <w:rPr>
          <w:rFonts w:ascii="仿宋" w:hAnsi="仿宋" w:eastAsia="仿宋"/>
          <w:color w:val="000000"/>
          <w:sz w:val="32"/>
          <w:szCs w:val="32"/>
        </w:rPr>
      </w:pPr>
      <w:r>
        <w:rPr>
          <w:rFonts w:hint="eastAsia" w:ascii="仿宋" w:hAnsi="仿宋" w:eastAsia="仿宋"/>
          <w:color w:val="000000"/>
          <w:sz w:val="32"/>
          <w:szCs w:val="32"/>
        </w:rPr>
        <w:t>纳入本部门</w:t>
      </w:r>
      <w:r>
        <w:rPr>
          <w:rFonts w:ascii="仿宋" w:hAnsi="仿宋" w:eastAsia="仿宋"/>
          <w:color w:val="000000"/>
          <w:sz w:val="32"/>
          <w:szCs w:val="32"/>
        </w:rPr>
        <w:t>20</w:t>
      </w:r>
      <w:r>
        <w:rPr>
          <w:rFonts w:hint="eastAsia" w:ascii="仿宋" w:hAnsi="仿宋" w:eastAsia="仿宋"/>
          <w:color w:val="000000"/>
          <w:sz w:val="32"/>
          <w:szCs w:val="32"/>
        </w:rPr>
        <w:t>20年部门预算编制范围的</w:t>
      </w:r>
      <w:r>
        <w:rPr>
          <w:rFonts w:hint="eastAsia" w:ascii="仿宋" w:hAnsi="仿宋" w:eastAsia="仿宋"/>
          <w:color w:val="000000"/>
          <w:sz w:val="32"/>
          <w:szCs w:val="32"/>
          <w:lang w:val="en-US" w:eastAsia="zh-CN"/>
        </w:rPr>
        <w:t>本级（机关）和</w:t>
      </w:r>
      <w:r>
        <w:rPr>
          <w:rFonts w:hint="eastAsia" w:ascii="仿宋" w:hAnsi="仿宋" w:eastAsia="仿宋"/>
          <w:color w:val="000000"/>
          <w:sz w:val="32"/>
          <w:szCs w:val="32"/>
        </w:rPr>
        <w:t>二级预算单位共8个，</w:t>
      </w:r>
      <w:r>
        <w:rPr>
          <w:rFonts w:hint="eastAsia" w:ascii="仿宋" w:hAnsi="仿宋" w:eastAsia="仿宋"/>
          <w:color w:val="000000"/>
          <w:sz w:val="32"/>
          <w:szCs w:val="32"/>
          <w:lang w:val="en-US" w:eastAsia="zh-CN"/>
        </w:rPr>
        <w:t>具体如下表</w:t>
      </w:r>
      <w:r>
        <w:rPr>
          <w:rFonts w:hint="eastAsia" w:ascii="仿宋" w:hAnsi="仿宋" w:eastAsia="仿宋"/>
          <w:color w:val="000000"/>
          <w:sz w:val="32"/>
          <w:szCs w:val="32"/>
        </w:rPr>
        <w:t>：</w:t>
      </w:r>
      <w:r>
        <w:rPr>
          <w:rFonts w:ascii="仿宋" w:hAnsi="仿宋" w:eastAsia="仿宋"/>
          <w:color w:val="000000"/>
          <w:sz w:val="32"/>
          <w:szCs w:val="32"/>
        </w:rPr>
        <w:t xml:space="preserve"> </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8"/>
        <w:gridCol w:w="60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2448" w:type="dxa"/>
          </w:tcPr>
          <w:p>
            <w:pPr>
              <w:tabs>
                <w:tab w:val="left" w:pos="7380"/>
              </w:tabs>
              <w:autoSpaceDE w:val="0"/>
              <w:autoSpaceDN w:val="0"/>
              <w:adjustRightInd w:val="0"/>
              <w:snapToGrid w:val="0"/>
              <w:spacing w:line="360" w:lineRule="auto"/>
              <w:ind w:firstLine="640"/>
              <w:jc w:val="right"/>
              <w:rPr>
                <w:rFonts w:ascii="仿宋" w:hAnsi="仿宋" w:eastAsia="仿宋"/>
                <w:color w:val="000000"/>
                <w:sz w:val="32"/>
                <w:szCs w:val="32"/>
              </w:rPr>
            </w:pPr>
            <w:r>
              <w:rPr>
                <w:rFonts w:hint="eastAsia" w:ascii="仿宋" w:hAnsi="仿宋" w:eastAsia="仿宋"/>
                <w:color w:val="000000"/>
                <w:sz w:val="32"/>
                <w:szCs w:val="32"/>
              </w:rPr>
              <w:t>序号</w:t>
            </w:r>
          </w:p>
        </w:tc>
        <w:tc>
          <w:tcPr>
            <w:tcW w:w="6074" w:type="dxa"/>
          </w:tcPr>
          <w:p>
            <w:pPr>
              <w:tabs>
                <w:tab w:val="left" w:pos="1545"/>
              </w:tabs>
              <w:autoSpaceDE w:val="0"/>
              <w:autoSpaceDN w:val="0"/>
              <w:adjustRightInd w:val="0"/>
              <w:snapToGrid w:val="0"/>
              <w:spacing w:line="360" w:lineRule="auto"/>
              <w:ind w:firstLine="640"/>
              <w:jc w:val="center"/>
              <w:rPr>
                <w:rFonts w:ascii="仿宋" w:hAnsi="仿宋" w:eastAsia="仿宋"/>
                <w:color w:val="000000"/>
                <w:sz w:val="32"/>
                <w:szCs w:val="32"/>
              </w:rPr>
            </w:pPr>
            <w:r>
              <w:rPr>
                <w:rFonts w:hint="eastAsia" w:ascii="仿宋" w:hAnsi="仿宋" w:eastAsia="仿宋"/>
                <w:color w:val="000000"/>
                <w:sz w:val="32"/>
                <w:szCs w:val="32"/>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448" w:type="dxa"/>
          </w:tcPr>
          <w:p>
            <w:pPr>
              <w:tabs>
                <w:tab w:val="center" w:pos="1116"/>
              </w:tabs>
              <w:autoSpaceDE w:val="0"/>
              <w:autoSpaceDN w:val="0"/>
              <w:adjustRightInd w:val="0"/>
              <w:snapToGrid w:val="0"/>
              <w:spacing w:line="360" w:lineRule="auto"/>
              <w:ind w:firstLine="640"/>
              <w:jc w:val="center"/>
              <w:rPr>
                <w:rFonts w:ascii="仿宋" w:hAnsi="仿宋" w:eastAsia="仿宋"/>
                <w:color w:val="000000"/>
                <w:sz w:val="32"/>
                <w:szCs w:val="32"/>
              </w:rPr>
            </w:pPr>
            <w:r>
              <w:rPr>
                <w:rFonts w:hint="eastAsia" w:ascii="仿宋" w:hAnsi="仿宋" w:eastAsia="仿宋"/>
                <w:color w:val="000000"/>
                <w:sz w:val="32"/>
                <w:szCs w:val="32"/>
              </w:rPr>
              <w:t>1</w:t>
            </w:r>
          </w:p>
        </w:tc>
        <w:tc>
          <w:tcPr>
            <w:tcW w:w="6074" w:type="dxa"/>
          </w:tcPr>
          <w:p>
            <w:pPr>
              <w:tabs>
                <w:tab w:val="left" w:pos="765"/>
                <w:tab w:val="left" w:pos="7380"/>
              </w:tabs>
              <w:autoSpaceDE w:val="0"/>
              <w:autoSpaceDN w:val="0"/>
              <w:adjustRightInd w:val="0"/>
              <w:snapToGrid w:val="0"/>
              <w:spacing w:line="360" w:lineRule="auto"/>
              <w:ind w:firstLine="640"/>
              <w:jc w:val="center"/>
              <w:rPr>
                <w:rFonts w:ascii="仿宋" w:hAnsi="仿宋" w:eastAsia="仿宋"/>
                <w:color w:val="000000"/>
                <w:sz w:val="32"/>
                <w:szCs w:val="32"/>
              </w:rPr>
            </w:pPr>
            <w:r>
              <w:rPr>
                <w:rFonts w:hint="eastAsia" w:ascii="仿宋" w:hAnsi="仿宋" w:eastAsia="仿宋"/>
                <w:color w:val="000000"/>
                <w:sz w:val="32"/>
                <w:szCs w:val="32"/>
              </w:rPr>
              <w:t>蓝田县财政局（机关）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448" w:type="dxa"/>
          </w:tcPr>
          <w:p>
            <w:pPr>
              <w:tabs>
                <w:tab w:val="center" w:pos="1116"/>
              </w:tabs>
              <w:autoSpaceDE w:val="0"/>
              <w:autoSpaceDN w:val="0"/>
              <w:adjustRightInd w:val="0"/>
              <w:snapToGrid w:val="0"/>
              <w:spacing w:line="360" w:lineRule="auto"/>
              <w:ind w:firstLine="640"/>
              <w:jc w:val="center"/>
              <w:rPr>
                <w:rFonts w:ascii="仿宋" w:hAnsi="仿宋" w:eastAsia="仿宋"/>
                <w:color w:val="000000"/>
                <w:sz w:val="32"/>
                <w:szCs w:val="32"/>
              </w:rPr>
            </w:pPr>
            <w:r>
              <w:rPr>
                <w:rFonts w:hint="eastAsia" w:ascii="仿宋" w:hAnsi="仿宋" w:eastAsia="仿宋"/>
                <w:color w:val="000000"/>
                <w:sz w:val="32"/>
                <w:szCs w:val="32"/>
              </w:rPr>
              <w:t>2</w:t>
            </w:r>
          </w:p>
        </w:tc>
        <w:tc>
          <w:tcPr>
            <w:tcW w:w="6074" w:type="dxa"/>
          </w:tcPr>
          <w:p>
            <w:pPr>
              <w:tabs>
                <w:tab w:val="left" w:pos="765"/>
                <w:tab w:val="left" w:pos="7380"/>
              </w:tabs>
              <w:autoSpaceDE w:val="0"/>
              <w:autoSpaceDN w:val="0"/>
              <w:adjustRightInd w:val="0"/>
              <w:snapToGrid w:val="0"/>
              <w:spacing w:line="360" w:lineRule="auto"/>
              <w:ind w:firstLine="640"/>
              <w:jc w:val="center"/>
              <w:rPr>
                <w:rFonts w:ascii="仿宋" w:hAnsi="仿宋" w:eastAsia="仿宋"/>
                <w:color w:val="000000"/>
                <w:sz w:val="32"/>
                <w:szCs w:val="32"/>
              </w:rPr>
            </w:pPr>
            <w:r>
              <w:rPr>
                <w:rFonts w:hint="eastAsia" w:ascii="仿宋" w:hAnsi="仿宋" w:eastAsia="仿宋"/>
                <w:color w:val="000000"/>
                <w:sz w:val="32"/>
                <w:szCs w:val="32"/>
              </w:rPr>
              <w:t>蓝田县财政局企业管理所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8" w:type="dxa"/>
          </w:tcPr>
          <w:p>
            <w:pPr>
              <w:tabs>
                <w:tab w:val="left" w:pos="7380"/>
              </w:tabs>
              <w:autoSpaceDE w:val="0"/>
              <w:autoSpaceDN w:val="0"/>
              <w:adjustRightInd w:val="0"/>
              <w:snapToGrid w:val="0"/>
              <w:spacing w:line="360" w:lineRule="auto"/>
              <w:ind w:firstLine="640"/>
              <w:jc w:val="center"/>
              <w:rPr>
                <w:rFonts w:ascii="仿宋" w:hAnsi="仿宋" w:eastAsia="仿宋"/>
                <w:color w:val="000000"/>
                <w:sz w:val="32"/>
                <w:szCs w:val="32"/>
              </w:rPr>
            </w:pPr>
            <w:r>
              <w:rPr>
                <w:rFonts w:hint="eastAsia" w:ascii="仿宋" w:hAnsi="仿宋" w:eastAsia="仿宋"/>
                <w:color w:val="000000"/>
                <w:sz w:val="32"/>
                <w:szCs w:val="32"/>
              </w:rPr>
              <w:t>3</w:t>
            </w:r>
          </w:p>
        </w:tc>
        <w:tc>
          <w:tcPr>
            <w:tcW w:w="6074" w:type="dxa"/>
          </w:tcPr>
          <w:p>
            <w:pPr>
              <w:tabs>
                <w:tab w:val="left" w:pos="1065"/>
              </w:tabs>
              <w:autoSpaceDE w:val="0"/>
              <w:autoSpaceDN w:val="0"/>
              <w:adjustRightInd w:val="0"/>
              <w:snapToGrid w:val="0"/>
              <w:spacing w:line="360" w:lineRule="auto"/>
              <w:ind w:firstLine="640"/>
              <w:jc w:val="center"/>
              <w:rPr>
                <w:rFonts w:ascii="仿宋" w:hAnsi="仿宋" w:eastAsia="仿宋"/>
                <w:color w:val="000000"/>
                <w:sz w:val="32"/>
                <w:szCs w:val="32"/>
              </w:rPr>
            </w:pPr>
            <w:r>
              <w:rPr>
                <w:rFonts w:hint="eastAsia" w:ascii="仿宋" w:hAnsi="仿宋" w:eastAsia="仿宋"/>
                <w:color w:val="000000"/>
                <w:sz w:val="32"/>
                <w:szCs w:val="32"/>
              </w:rPr>
              <w:t>蓝田县收费管理所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8" w:type="dxa"/>
          </w:tcPr>
          <w:p>
            <w:pPr>
              <w:tabs>
                <w:tab w:val="left" w:pos="7380"/>
              </w:tabs>
              <w:autoSpaceDE w:val="0"/>
              <w:autoSpaceDN w:val="0"/>
              <w:adjustRightInd w:val="0"/>
              <w:snapToGrid w:val="0"/>
              <w:spacing w:line="360" w:lineRule="auto"/>
              <w:ind w:firstLine="640"/>
              <w:jc w:val="center"/>
              <w:rPr>
                <w:rFonts w:ascii="仿宋" w:hAnsi="仿宋" w:eastAsia="仿宋"/>
                <w:color w:val="000000"/>
                <w:sz w:val="32"/>
                <w:szCs w:val="32"/>
              </w:rPr>
            </w:pPr>
            <w:r>
              <w:rPr>
                <w:rFonts w:hint="eastAsia" w:ascii="仿宋" w:hAnsi="仿宋" w:eastAsia="仿宋"/>
                <w:color w:val="000000"/>
                <w:sz w:val="32"/>
                <w:szCs w:val="32"/>
              </w:rPr>
              <w:t>4</w:t>
            </w:r>
          </w:p>
        </w:tc>
        <w:tc>
          <w:tcPr>
            <w:tcW w:w="6074" w:type="dxa"/>
          </w:tcPr>
          <w:p>
            <w:pPr>
              <w:tabs>
                <w:tab w:val="left" w:pos="1020"/>
              </w:tabs>
              <w:autoSpaceDE w:val="0"/>
              <w:autoSpaceDN w:val="0"/>
              <w:adjustRightInd w:val="0"/>
              <w:snapToGrid w:val="0"/>
              <w:spacing w:line="360" w:lineRule="auto"/>
              <w:ind w:firstLine="640"/>
              <w:jc w:val="center"/>
              <w:rPr>
                <w:rFonts w:ascii="仿宋" w:hAnsi="仿宋" w:eastAsia="仿宋"/>
                <w:color w:val="000000"/>
                <w:sz w:val="32"/>
                <w:szCs w:val="32"/>
              </w:rPr>
            </w:pPr>
            <w:r>
              <w:rPr>
                <w:rFonts w:hint="eastAsia" w:ascii="仿宋" w:hAnsi="仿宋" w:eastAsia="仿宋"/>
                <w:color w:val="000000"/>
                <w:sz w:val="32"/>
                <w:szCs w:val="32"/>
              </w:rPr>
              <w:t>蓝田县政府采购中心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8" w:type="dxa"/>
          </w:tcPr>
          <w:p>
            <w:pPr>
              <w:tabs>
                <w:tab w:val="left" w:pos="7380"/>
              </w:tabs>
              <w:autoSpaceDE w:val="0"/>
              <w:autoSpaceDN w:val="0"/>
              <w:adjustRightInd w:val="0"/>
              <w:snapToGrid w:val="0"/>
              <w:spacing w:line="360" w:lineRule="auto"/>
              <w:ind w:firstLine="640"/>
              <w:jc w:val="center"/>
              <w:rPr>
                <w:rFonts w:ascii="仿宋" w:hAnsi="仿宋" w:eastAsia="仿宋"/>
                <w:color w:val="000000"/>
                <w:sz w:val="32"/>
                <w:szCs w:val="32"/>
              </w:rPr>
            </w:pPr>
            <w:r>
              <w:rPr>
                <w:rFonts w:hint="eastAsia" w:ascii="仿宋" w:hAnsi="仿宋" w:eastAsia="仿宋"/>
                <w:color w:val="000000"/>
                <w:sz w:val="32"/>
                <w:szCs w:val="32"/>
              </w:rPr>
              <w:t>5</w:t>
            </w:r>
          </w:p>
        </w:tc>
        <w:tc>
          <w:tcPr>
            <w:tcW w:w="6074" w:type="dxa"/>
          </w:tcPr>
          <w:p>
            <w:pPr>
              <w:tabs>
                <w:tab w:val="left" w:pos="1830"/>
              </w:tabs>
              <w:autoSpaceDE w:val="0"/>
              <w:autoSpaceDN w:val="0"/>
              <w:adjustRightInd w:val="0"/>
              <w:snapToGrid w:val="0"/>
              <w:spacing w:line="360" w:lineRule="auto"/>
              <w:ind w:firstLine="640"/>
              <w:jc w:val="center"/>
              <w:rPr>
                <w:rFonts w:ascii="仿宋" w:hAnsi="仿宋" w:eastAsia="仿宋"/>
                <w:color w:val="000000"/>
                <w:sz w:val="32"/>
                <w:szCs w:val="32"/>
              </w:rPr>
            </w:pPr>
            <w:r>
              <w:rPr>
                <w:rFonts w:hint="eastAsia" w:ascii="仿宋" w:hAnsi="仿宋" w:eastAsia="仿宋"/>
                <w:color w:val="000000"/>
                <w:sz w:val="32"/>
                <w:szCs w:val="32"/>
              </w:rPr>
              <w:t>蓝田县国有资产管理所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8" w:type="dxa"/>
          </w:tcPr>
          <w:p>
            <w:pPr>
              <w:tabs>
                <w:tab w:val="left" w:pos="7380"/>
              </w:tabs>
              <w:autoSpaceDE w:val="0"/>
              <w:autoSpaceDN w:val="0"/>
              <w:adjustRightInd w:val="0"/>
              <w:snapToGrid w:val="0"/>
              <w:spacing w:line="360" w:lineRule="auto"/>
              <w:ind w:firstLine="640"/>
              <w:jc w:val="center"/>
              <w:rPr>
                <w:rFonts w:ascii="仿宋" w:hAnsi="仿宋" w:eastAsia="仿宋"/>
                <w:color w:val="000000"/>
                <w:sz w:val="32"/>
                <w:szCs w:val="32"/>
              </w:rPr>
            </w:pPr>
            <w:r>
              <w:rPr>
                <w:rFonts w:hint="eastAsia" w:ascii="仿宋" w:hAnsi="仿宋" w:eastAsia="仿宋"/>
                <w:color w:val="000000"/>
                <w:sz w:val="32"/>
                <w:szCs w:val="32"/>
              </w:rPr>
              <w:t>6</w:t>
            </w:r>
          </w:p>
        </w:tc>
        <w:tc>
          <w:tcPr>
            <w:tcW w:w="6074" w:type="dxa"/>
          </w:tcPr>
          <w:p>
            <w:pPr>
              <w:tabs>
                <w:tab w:val="left" w:pos="3525"/>
              </w:tabs>
              <w:autoSpaceDE w:val="0"/>
              <w:autoSpaceDN w:val="0"/>
              <w:adjustRightInd w:val="0"/>
              <w:snapToGrid w:val="0"/>
              <w:spacing w:line="360" w:lineRule="auto"/>
              <w:ind w:firstLine="640"/>
              <w:jc w:val="center"/>
              <w:rPr>
                <w:rFonts w:ascii="仿宋" w:hAnsi="仿宋" w:eastAsia="仿宋"/>
                <w:color w:val="000000"/>
                <w:sz w:val="32"/>
                <w:szCs w:val="32"/>
              </w:rPr>
            </w:pPr>
            <w:r>
              <w:rPr>
                <w:rFonts w:hint="eastAsia" w:ascii="仿宋" w:hAnsi="仿宋" w:eastAsia="仿宋"/>
                <w:color w:val="000000"/>
                <w:sz w:val="32"/>
                <w:szCs w:val="32"/>
              </w:rPr>
              <w:t>蓝田县财政支出绩效评价服务中心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8" w:type="dxa"/>
          </w:tcPr>
          <w:p>
            <w:pPr>
              <w:tabs>
                <w:tab w:val="left" w:pos="7380"/>
              </w:tabs>
              <w:autoSpaceDE w:val="0"/>
              <w:autoSpaceDN w:val="0"/>
              <w:adjustRightInd w:val="0"/>
              <w:snapToGrid w:val="0"/>
              <w:spacing w:line="360" w:lineRule="auto"/>
              <w:ind w:firstLine="640"/>
              <w:jc w:val="center"/>
              <w:rPr>
                <w:rFonts w:ascii="仿宋" w:hAnsi="仿宋" w:eastAsia="仿宋"/>
                <w:color w:val="000000"/>
                <w:sz w:val="32"/>
                <w:szCs w:val="32"/>
              </w:rPr>
            </w:pPr>
            <w:r>
              <w:rPr>
                <w:rFonts w:hint="eastAsia" w:ascii="仿宋" w:hAnsi="仿宋" w:eastAsia="仿宋"/>
                <w:color w:val="000000"/>
                <w:sz w:val="32"/>
                <w:szCs w:val="32"/>
              </w:rPr>
              <w:t>7</w:t>
            </w:r>
          </w:p>
        </w:tc>
        <w:tc>
          <w:tcPr>
            <w:tcW w:w="6074" w:type="dxa"/>
          </w:tcPr>
          <w:p>
            <w:pPr>
              <w:tabs>
                <w:tab w:val="left" w:pos="720"/>
              </w:tabs>
              <w:autoSpaceDE w:val="0"/>
              <w:autoSpaceDN w:val="0"/>
              <w:adjustRightInd w:val="0"/>
              <w:snapToGrid w:val="0"/>
              <w:spacing w:line="360" w:lineRule="auto"/>
              <w:ind w:firstLine="640"/>
              <w:jc w:val="center"/>
              <w:rPr>
                <w:rFonts w:ascii="仿宋" w:hAnsi="仿宋" w:eastAsia="仿宋"/>
                <w:color w:val="000000"/>
                <w:sz w:val="32"/>
                <w:szCs w:val="32"/>
              </w:rPr>
            </w:pPr>
            <w:r>
              <w:rPr>
                <w:rFonts w:hint="eastAsia" w:ascii="仿宋" w:hAnsi="仿宋" w:eastAsia="仿宋"/>
                <w:color w:val="000000"/>
                <w:sz w:val="32"/>
                <w:szCs w:val="32"/>
              </w:rPr>
              <w:t>蓝田县财政国库支付中心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8" w:type="dxa"/>
          </w:tcPr>
          <w:p>
            <w:pPr>
              <w:tabs>
                <w:tab w:val="left" w:pos="7380"/>
              </w:tabs>
              <w:autoSpaceDE w:val="0"/>
              <w:autoSpaceDN w:val="0"/>
              <w:adjustRightInd w:val="0"/>
              <w:snapToGrid w:val="0"/>
              <w:spacing w:line="360" w:lineRule="auto"/>
              <w:ind w:firstLine="640"/>
              <w:jc w:val="center"/>
              <w:rPr>
                <w:rFonts w:ascii="仿宋" w:hAnsi="仿宋" w:eastAsia="仿宋"/>
                <w:color w:val="000000"/>
                <w:sz w:val="32"/>
                <w:szCs w:val="32"/>
              </w:rPr>
            </w:pPr>
            <w:r>
              <w:rPr>
                <w:rFonts w:hint="eastAsia" w:ascii="仿宋" w:hAnsi="仿宋" w:eastAsia="仿宋"/>
                <w:color w:val="000000"/>
                <w:sz w:val="32"/>
                <w:szCs w:val="32"/>
              </w:rPr>
              <w:t>8</w:t>
            </w:r>
          </w:p>
        </w:tc>
        <w:tc>
          <w:tcPr>
            <w:tcW w:w="6074" w:type="dxa"/>
          </w:tcPr>
          <w:p>
            <w:pPr>
              <w:tabs>
                <w:tab w:val="left" w:pos="1435"/>
              </w:tabs>
              <w:autoSpaceDE w:val="0"/>
              <w:autoSpaceDN w:val="0"/>
              <w:adjustRightInd w:val="0"/>
              <w:snapToGrid w:val="0"/>
              <w:spacing w:line="360" w:lineRule="auto"/>
              <w:ind w:firstLine="640"/>
              <w:jc w:val="center"/>
              <w:rPr>
                <w:rFonts w:ascii="仿宋" w:hAnsi="仿宋" w:eastAsia="仿宋"/>
                <w:color w:val="000000"/>
                <w:sz w:val="32"/>
                <w:szCs w:val="32"/>
              </w:rPr>
            </w:pPr>
            <w:r>
              <w:rPr>
                <w:rFonts w:hint="eastAsia" w:ascii="仿宋" w:hAnsi="仿宋" w:eastAsia="仿宋"/>
                <w:color w:val="000000"/>
                <w:sz w:val="32"/>
                <w:szCs w:val="32"/>
              </w:rPr>
              <w:t>蓝田县农业税稽</w:t>
            </w:r>
            <w:r>
              <w:rPr>
                <w:rFonts w:hint="eastAsia" w:ascii="仿宋" w:hAnsi="仿宋" w:eastAsia="仿宋"/>
                <w:color w:val="000000"/>
                <w:sz w:val="32"/>
                <w:szCs w:val="32"/>
                <w:lang w:val="en-US" w:eastAsia="zh-CN"/>
              </w:rPr>
              <w:t>征</w:t>
            </w:r>
            <w:r>
              <w:rPr>
                <w:rFonts w:hint="eastAsia" w:ascii="仿宋" w:hAnsi="仿宋" w:eastAsia="仿宋"/>
                <w:color w:val="000000"/>
                <w:sz w:val="32"/>
                <w:szCs w:val="32"/>
              </w:rPr>
              <w:t>所</w:t>
            </w:r>
          </w:p>
        </w:tc>
      </w:tr>
    </w:tbl>
    <w:p>
      <w:pPr>
        <w:pBdr>
          <w:bottom w:val="single" w:color="FFFFFF" w:sz="4" w:space="31"/>
        </w:pBdr>
        <w:tabs>
          <w:tab w:val="left" w:pos="7380"/>
        </w:tabs>
        <w:autoSpaceDE w:val="0"/>
        <w:autoSpaceDN w:val="0"/>
        <w:adjustRightInd w:val="0"/>
        <w:snapToGrid w:val="0"/>
        <w:spacing w:line="360" w:lineRule="auto"/>
        <w:ind w:firstLine="198" w:firstLineChars="62"/>
        <w:rPr>
          <w:rFonts w:ascii="仿宋" w:hAnsi="仿宋" w:eastAsia="仿宋"/>
          <w:color w:val="000000"/>
          <w:sz w:val="32"/>
          <w:szCs w:val="32"/>
        </w:rPr>
      </w:pPr>
    </w:p>
    <w:p>
      <w:pPr>
        <w:pBdr>
          <w:bottom w:val="single" w:color="FFFFFF" w:sz="4" w:space="31"/>
        </w:pBdr>
        <w:tabs>
          <w:tab w:val="left" w:pos="7380"/>
        </w:tabs>
        <w:autoSpaceDE w:val="0"/>
        <w:autoSpaceDN w:val="0"/>
        <w:adjustRightInd w:val="0"/>
        <w:snapToGrid w:val="0"/>
        <w:spacing w:line="360" w:lineRule="auto"/>
        <w:ind w:firstLine="198" w:firstLineChars="62"/>
        <w:rPr>
          <w:rFonts w:ascii="仿宋" w:hAnsi="仿宋" w:eastAsia="仿宋"/>
          <w:color w:val="000000"/>
          <w:sz w:val="32"/>
          <w:szCs w:val="32"/>
        </w:rPr>
      </w:pPr>
      <w:r>
        <w:rPr>
          <w:rFonts w:hint="eastAsia" w:ascii="仿宋" w:hAnsi="仿宋" w:eastAsia="仿宋"/>
          <w:color w:val="000000"/>
          <w:sz w:val="32"/>
          <w:szCs w:val="32"/>
        </w:rPr>
        <w:t>四、部门人员情况说明</w:t>
      </w:r>
    </w:p>
    <w:p>
      <w:pPr>
        <w:pBdr>
          <w:bottom w:val="single" w:color="FFFFFF" w:sz="4" w:space="31"/>
        </w:pBdr>
        <w:tabs>
          <w:tab w:val="left" w:pos="7380"/>
        </w:tabs>
        <w:autoSpaceDE w:val="0"/>
        <w:autoSpaceDN w:val="0"/>
        <w:adjustRightInd w:val="0"/>
        <w:snapToGrid w:val="0"/>
        <w:spacing w:line="360" w:lineRule="auto"/>
        <w:ind w:firstLine="198" w:firstLineChars="62"/>
        <w:rPr>
          <w:rFonts w:ascii="仿宋" w:hAnsi="仿宋" w:eastAsia="仿宋"/>
          <w:color w:val="000000"/>
          <w:sz w:val="32"/>
          <w:szCs w:val="32"/>
        </w:rPr>
      </w:pPr>
      <w:r>
        <w:rPr>
          <w:rFonts w:hint="eastAsia" w:ascii="仿宋" w:hAnsi="仿宋" w:eastAsia="仿宋"/>
          <w:color w:val="000000"/>
          <w:sz w:val="32"/>
          <w:szCs w:val="32"/>
        </w:rPr>
        <w:t>截止</w:t>
      </w:r>
      <w:r>
        <w:rPr>
          <w:rFonts w:ascii="仿宋" w:hAnsi="仿宋" w:eastAsia="仿宋"/>
          <w:color w:val="000000"/>
          <w:sz w:val="32"/>
          <w:szCs w:val="32"/>
        </w:rPr>
        <w:t>201</w:t>
      </w:r>
      <w:r>
        <w:rPr>
          <w:rFonts w:hint="eastAsia" w:ascii="仿宋" w:hAnsi="仿宋" w:eastAsia="仿宋"/>
          <w:color w:val="000000"/>
          <w:sz w:val="32"/>
          <w:szCs w:val="32"/>
        </w:rPr>
        <w:t>9年底，本部门人员编制</w:t>
      </w:r>
      <w:r>
        <w:rPr>
          <w:rFonts w:ascii="仿宋" w:hAnsi="仿宋" w:eastAsia="仿宋"/>
          <w:color w:val="44546A" w:themeColor="text2"/>
          <w:sz w:val="32"/>
          <w:szCs w:val="32"/>
        </w:rPr>
        <w:t>105</w:t>
      </w:r>
      <w:r>
        <w:rPr>
          <w:rFonts w:hint="eastAsia" w:ascii="仿宋" w:hAnsi="仿宋" w:eastAsia="仿宋"/>
          <w:color w:val="000000"/>
          <w:sz w:val="32"/>
          <w:szCs w:val="32"/>
        </w:rPr>
        <w:t>人，其中行政编制</w:t>
      </w:r>
      <w:r>
        <w:rPr>
          <w:rFonts w:ascii="仿宋" w:hAnsi="仿宋" w:eastAsia="仿宋"/>
          <w:color w:val="000000"/>
          <w:sz w:val="32"/>
          <w:szCs w:val="32"/>
        </w:rPr>
        <w:t>20</w:t>
      </w:r>
      <w:r>
        <w:rPr>
          <w:rFonts w:hint="eastAsia" w:ascii="仿宋" w:hAnsi="仿宋" w:eastAsia="仿宋"/>
          <w:color w:val="000000"/>
          <w:sz w:val="32"/>
          <w:szCs w:val="32"/>
        </w:rPr>
        <w:t>人，事业编制（参照公务员管理）</w:t>
      </w:r>
      <w:r>
        <w:rPr>
          <w:rFonts w:ascii="仿宋" w:hAnsi="仿宋" w:eastAsia="仿宋"/>
          <w:color w:val="000000"/>
          <w:sz w:val="32"/>
          <w:szCs w:val="32"/>
        </w:rPr>
        <w:t>85</w:t>
      </w:r>
      <w:r>
        <w:rPr>
          <w:rFonts w:hint="eastAsia" w:ascii="仿宋" w:hAnsi="仿宋" w:eastAsia="仿宋"/>
          <w:color w:val="000000"/>
          <w:sz w:val="32"/>
          <w:szCs w:val="32"/>
        </w:rPr>
        <w:t>人，实有人员</w:t>
      </w:r>
      <w:r>
        <w:rPr>
          <w:rFonts w:ascii="仿宋" w:hAnsi="仿宋" w:eastAsia="仿宋"/>
          <w:color w:val="44546A" w:themeColor="text2"/>
          <w:sz w:val="32"/>
          <w:szCs w:val="32"/>
        </w:rPr>
        <w:t>1</w:t>
      </w:r>
      <w:r>
        <w:rPr>
          <w:rFonts w:hint="eastAsia" w:ascii="仿宋" w:hAnsi="仿宋" w:eastAsia="仿宋"/>
          <w:color w:val="44546A" w:themeColor="text2"/>
          <w:sz w:val="32"/>
          <w:szCs w:val="32"/>
        </w:rPr>
        <w:t>09</w:t>
      </w:r>
      <w:r>
        <w:rPr>
          <w:rFonts w:hint="eastAsia" w:ascii="仿宋" w:hAnsi="仿宋" w:eastAsia="仿宋"/>
          <w:color w:val="000000"/>
          <w:sz w:val="32"/>
          <w:szCs w:val="32"/>
        </w:rPr>
        <w:t>人，其中行政</w:t>
      </w:r>
      <w:r>
        <w:rPr>
          <w:rFonts w:ascii="仿宋" w:hAnsi="仿宋" w:eastAsia="仿宋"/>
          <w:color w:val="000000"/>
          <w:sz w:val="32"/>
          <w:szCs w:val="32"/>
        </w:rPr>
        <w:t>20</w:t>
      </w:r>
      <w:r>
        <w:rPr>
          <w:rFonts w:hint="eastAsia" w:ascii="仿宋" w:hAnsi="仿宋" w:eastAsia="仿宋"/>
          <w:color w:val="000000"/>
          <w:sz w:val="32"/>
          <w:szCs w:val="32"/>
        </w:rPr>
        <w:t>人，事业89人。本部门遗属</w:t>
      </w:r>
      <w:r>
        <w:rPr>
          <w:rFonts w:ascii="仿宋" w:hAnsi="仿宋" w:eastAsia="仿宋"/>
          <w:color w:val="44546A" w:themeColor="text2"/>
          <w:sz w:val="32"/>
          <w:szCs w:val="32"/>
        </w:rPr>
        <w:t>1</w:t>
      </w:r>
      <w:r>
        <w:rPr>
          <w:rFonts w:hint="eastAsia" w:ascii="仿宋" w:hAnsi="仿宋" w:eastAsia="仿宋"/>
          <w:color w:val="44546A" w:themeColor="text2"/>
          <w:sz w:val="32"/>
          <w:szCs w:val="32"/>
        </w:rPr>
        <w:t>2</w:t>
      </w:r>
      <w:r>
        <w:rPr>
          <w:rFonts w:hint="eastAsia" w:ascii="仿宋" w:hAnsi="仿宋" w:eastAsia="仿宋"/>
          <w:color w:val="000000"/>
          <w:sz w:val="32"/>
          <w:szCs w:val="32"/>
        </w:rPr>
        <w:t>人，单位管理的离退休人员</w:t>
      </w:r>
      <w:r>
        <w:rPr>
          <w:rFonts w:hint="eastAsia" w:ascii="仿宋" w:hAnsi="仿宋" w:eastAsia="仿宋"/>
          <w:color w:val="44546A" w:themeColor="text2"/>
          <w:sz w:val="32"/>
          <w:szCs w:val="32"/>
        </w:rPr>
        <w:t>33人</w:t>
      </w:r>
      <w:r>
        <w:rPr>
          <w:rFonts w:hint="eastAsia" w:ascii="仿宋" w:hAnsi="仿宋" w:eastAsia="仿宋"/>
          <w:color w:val="000000"/>
          <w:sz w:val="32"/>
          <w:szCs w:val="32"/>
        </w:rPr>
        <w:t>。</w:t>
      </w:r>
    </w:p>
    <w:p>
      <w:pPr>
        <w:pBdr>
          <w:bottom w:val="single" w:color="FFFFFF" w:sz="4" w:space="31"/>
        </w:pBdr>
        <w:tabs>
          <w:tab w:val="left" w:pos="7380"/>
        </w:tabs>
        <w:autoSpaceDE w:val="0"/>
        <w:autoSpaceDN w:val="0"/>
        <w:adjustRightInd w:val="0"/>
        <w:snapToGrid w:val="0"/>
        <w:spacing w:line="360" w:lineRule="auto"/>
        <w:ind w:firstLine="640"/>
        <w:rPr>
          <w:rFonts w:ascii="仿宋" w:hAnsi="仿宋" w:eastAsia="仿宋"/>
          <w:color w:val="000000"/>
          <w:sz w:val="32"/>
          <w:szCs w:val="32"/>
        </w:rPr>
      </w:pPr>
      <w:r>
        <w:rPr>
          <w:rFonts w:hint="eastAsia" w:ascii="仿宋" w:hAnsi="仿宋" w:eastAsia="仿宋"/>
          <w:color w:val="000000"/>
          <w:sz w:val="32"/>
          <w:szCs w:val="32"/>
        </w:rPr>
        <w:drawing>
          <wp:anchor distT="0" distB="0" distL="114300" distR="114300" simplePos="0" relativeHeight="251659264" behindDoc="0" locked="0" layoutInCell="1" allowOverlap="1">
            <wp:simplePos x="0" y="0"/>
            <wp:positionH relativeFrom="column">
              <wp:align>left</wp:align>
            </wp:positionH>
            <wp:positionV relativeFrom="paragraph">
              <wp:align>top</wp:align>
            </wp:positionV>
            <wp:extent cx="3371850" cy="2257425"/>
            <wp:effectExtent l="0" t="0" r="0" b="0"/>
            <wp:wrapSquare wrapText="bothSides"/>
            <wp:docPr id="1" name="对象 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pPr>
        <w:pBdr>
          <w:bottom w:val="single" w:color="FFFFFF" w:sz="4" w:space="31"/>
        </w:pBdr>
        <w:tabs>
          <w:tab w:val="left" w:pos="7380"/>
        </w:tabs>
        <w:autoSpaceDE w:val="0"/>
        <w:autoSpaceDN w:val="0"/>
        <w:adjustRightInd w:val="0"/>
        <w:snapToGrid w:val="0"/>
        <w:spacing w:line="360" w:lineRule="auto"/>
        <w:ind w:firstLine="640"/>
        <w:rPr>
          <w:rFonts w:ascii="仿宋" w:hAnsi="仿宋" w:eastAsia="仿宋"/>
          <w:color w:val="000000"/>
          <w:sz w:val="32"/>
          <w:szCs w:val="32"/>
        </w:rPr>
      </w:pPr>
    </w:p>
    <w:p>
      <w:pPr>
        <w:pBdr>
          <w:bottom w:val="single" w:color="FFFFFF" w:sz="4" w:space="31"/>
        </w:pBdr>
        <w:tabs>
          <w:tab w:val="left" w:pos="7380"/>
        </w:tabs>
        <w:autoSpaceDE w:val="0"/>
        <w:autoSpaceDN w:val="0"/>
        <w:adjustRightInd w:val="0"/>
        <w:snapToGrid w:val="0"/>
        <w:spacing w:line="360" w:lineRule="auto"/>
        <w:ind w:firstLine="640"/>
        <w:rPr>
          <w:rFonts w:ascii="仿宋" w:hAnsi="仿宋" w:eastAsia="仿宋"/>
          <w:color w:val="000000"/>
          <w:sz w:val="32"/>
          <w:szCs w:val="32"/>
        </w:rPr>
      </w:pPr>
    </w:p>
    <w:p>
      <w:pPr>
        <w:pBdr>
          <w:bottom w:val="single" w:color="FFFFFF" w:sz="4" w:space="31"/>
        </w:pBdr>
        <w:tabs>
          <w:tab w:val="left" w:pos="7380"/>
        </w:tabs>
        <w:autoSpaceDE w:val="0"/>
        <w:autoSpaceDN w:val="0"/>
        <w:adjustRightInd w:val="0"/>
        <w:snapToGrid w:val="0"/>
        <w:spacing w:line="360" w:lineRule="auto"/>
        <w:ind w:firstLine="640"/>
        <w:rPr>
          <w:rFonts w:ascii="仿宋" w:hAnsi="仿宋" w:eastAsia="仿宋"/>
          <w:color w:val="000000"/>
          <w:sz w:val="32"/>
          <w:szCs w:val="32"/>
        </w:rPr>
      </w:pPr>
    </w:p>
    <w:p>
      <w:pPr>
        <w:pBdr>
          <w:bottom w:val="single" w:color="FFFFFF" w:sz="4" w:space="31"/>
        </w:pBdr>
        <w:tabs>
          <w:tab w:val="left" w:pos="7380"/>
        </w:tabs>
        <w:autoSpaceDE w:val="0"/>
        <w:autoSpaceDN w:val="0"/>
        <w:adjustRightInd w:val="0"/>
        <w:snapToGrid w:val="0"/>
        <w:spacing w:line="360" w:lineRule="auto"/>
        <w:ind w:firstLine="640"/>
        <w:rPr>
          <w:rFonts w:ascii="仿宋" w:hAnsi="仿宋" w:eastAsia="仿宋"/>
          <w:color w:val="000000"/>
          <w:sz w:val="32"/>
          <w:szCs w:val="32"/>
        </w:rPr>
      </w:pPr>
    </w:p>
    <w:p>
      <w:pPr>
        <w:spacing w:line="360" w:lineRule="auto"/>
        <w:ind w:firstLine="643"/>
        <w:jc w:val="center"/>
        <w:rPr>
          <w:rFonts w:ascii="仿宋" w:hAnsi="仿宋" w:eastAsia="仿宋" w:cs="仿宋"/>
          <w:b/>
          <w:bCs/>
          <w:sz w:val="32"/>
          <w:szCs w:val="32"/>
        </w:rPr>
      </w:pPr>
      <w:r>
        <w:rPr>
          <w:rFonts w:hint="eastAsia" w:ascii="仿宋" w:hAnsi="仿宋" w:eastAsia="仿宋" w:cs="仿宋"/>
          <w:b/>
          <w:bCs/>
          <w:sz w:val="32"/>
          <w:szCs w:val="32"/>
        </w:rPr>
        <w:t>第二部分  收支情况</w:t>
      </w:r>
    </w:p>
    <w:p>
      <w:pPr>
        <w:spacing w:line="360" w:lineRule="auto"/>
        <w:ind w:firstLine="643"/>
        <w:rPr>
          <w:rFonts w:ascii="仿宋" w:hAnsi="仿宋" w:eastAsia="仿宋" w:cs="仿宋"/>
          <w:b/>
          <w:bCs/>
          <w:sz w:val="32"/>
          <w:szCs w:val="32"/>
        </w:rPr>
      </w:pPr>
      <w:r>
        <w:rPr>
          <w:rFonts w:hint="eastAsia" w:ascii="仿宋" w:hAnsi="仿宋" w:eastAsia="仿宋" w:cs="仿宋"/>
          <w:b/>
          <w:bCs/>
          <w:sz w:val="32"/>
          <w:szCs w:val="32"/>
        </w:rPr>
        <w:t>五、2020年部门预算收支说明</w:t>
      </w:r>
    </w:p>
    <w:p>
      <w:pPr>
        <w:spacing w:line="360" w:lineRule="auto"/>
        <w:ind w:firstLine="643"/>
        <w:rPr>
          <w:rFonts w:ascii="仿宋" w:hAnsi="仿宋" w:eastAsia="仿宋" w:cs="仿宋"/>
          <w:b/>
          <w:bCs/>
          <w:sz w:val="32"/>
          <w:szCs w:val="32"/>
        </w:rPr>
      </w:pPr>
      <w:r>
        <w:rPr>
          <w:rFonts w:hint="eastAsia" w:ascii="仿宋" w:hAnsi="仿宋" w:eastAsia="仿宋" w:cs="仿宋"/>
          <w:b/>
          <w:bCs/>
          <w:sz w:val="32"/>
          <w:szCs w:val="32"/>
        </w:rPr>
        <w:t>（一）收支预算总体情况。</w:t>
      </w:r>
    </w:p>
    <w:p>
      <w:pPr>
        <w:pBdr>
          <w:bottom w:val="single" w:color="FFFFFF" w:sz="4" w:space="31"/>
        </w:pBdr>
        <w:tabs>
          <w:tab w:val="left" w:pos="7380"/>
        </w:tabs>
        <w:autoSpaceDE w:val="0"/>
        <w:autoSpaceDN w:val="0"/>
        <w:adjustRightInd w:val="0"/>
        <w:snapToGrid w:val="0"/>
        <w:spacing w:line="360" w:lineRule="auto"/>
        <w:ind w:firstLine="640"/>
        <w:rPr>
          <w:rFonts w:ascii="仿宋" w:hAnsi="仿宋" w:eastAsia="仿宋" w:cs="宋体"/>
          <w:color w:val="000000"/>
          <w:kern w:val="0"/>
          <w:sz w:val="32"/>
          <w:szCs w:val="32"/>
        </w:rPr>
      </w:pPr>
      <w:r>
        <w:rPr>
          <w:rFonts w:hint="eastAsia" w:ascii="仿宋" w:hAnsi="仿宋" w:eastAsia="仿宋" w:cs="宋体"/>
          <w:color w:val="000000"/>
          <w:kern w:val="0"/>
          <w:sz w:val="32"/>
          <w:szCs w:val="32"/>
        </w:rPr>
        <w:t>按照综合预算的原则，本部门所有收入和支出均纳入部门预算管理。</w:t>
      </w:r>
      <w:r>
        <w:rPr>
          <w:rFonts w:ascii="仿宋" w:hAnsi="仿宋" w:eastAsia="仿宋" w:cs="宋体"/>
          <w:color w:val="000000"/>
          <w:kern w:val="0"/>
          <w:sz w:val="32"/>
          <w:szCs w:val="32"/>
        </w:rPr>
        <w:t>20</w:t>
      </w:r>
      <w:r>
        <w:rPr>
          <w:rFonts w:hint="eastAsia" w:ascii="仿宋" w:hAnsi="仿宋" w:eastAsia="仿宋" w:cs="宋体"/>
          <w:color w:val="000000"/>
          <w:kern w:val="0"/>
          <w:sz w:val="32"/>
          <w:szCs w:val="32"/>
        </w:rPr>
        <w:t>20年部门预算收入</w:t>
      </w:r>
      <w:r>
        <w:rPr>
          <w:rFonts w:hint="eastAsia" w:ascii="仿宋" w:hAnsi="仿宋" w:eastAsia="仿宋" w:cs="宋体"/>
          <w:color w:val="000000" w:themeColor="text1"/>
          <w:kern w:val="0"/>
          <w:sz w:val="32"/>
          <w:szCs w:val="32"/>
        </w:rPr>
        <w:t>1145.71万元，</w:t>
      </w:r>
      <w:r>
        <w:rPr>
          <w:rFonts w:hint="eastAsia" w:ascii="仿宋" w:hAnsi="仿宋" w:eastAsia="仿宋" w:cs="宋体"/>
          <w:color w:val="000000"/>
          <w:kern w:val="0"/>
          <w:sz w:val="32"/>
          <w:szCs w:val="32"/>
        </w:rPr>
        <w:t>其中一般公共预算拨款收入</w:t>
      </w:r>
      <w:r>
        <w:rPr>
          <w:rFonts w:hint="eastAsia" w:ascii="仿宋" w:hAnsi="仿宋" w:eastAsia="仿宋" w:cs="宋体"/>
          <w:color w:val="000000" w:themeColor="text1"/>
          <w:kern w:val="0"/>
          <w:sz w:val="32"/>
          <w:szCs w:val="32"/>
        </w:rPr>
        <w:t>1145.71万</w:t>
      </w:r>
      <w:r>
        <w:rPr>
          <w:rFonts w:hint="eastAsia" w:ascii="仿宋" w:hAnsi="仿宋" w:eastAsia="仿宋" w:cs="宋体"/>
          <w:color w:val="000000"/>
          <w:kern w:val="0"/>
          <w:sz w:val="32"/>
          <w:szCs w:val="32"/>
        </w:rPr>
        <w:t>元，政府性基金拨款收入0万元，2020年本部门预算收入较上年1056.69万元，增加了89.02万元，增加了8.42</w:t>
      </w:r>
      <w:r>
        <w:rPr>
          <w:rFonts w:ascii="仿宋" w:hAnsi="仿宋" w:eastAsia="仿宋" w:cs="宋体"/>
          <w:color w:val="000000"/>
          <w:kern w:val="0"/>
          <w:sz w:val="32"/>
          <w:szCs w:val="32"/>
        </w:rPr>
        <w:t>%</w:t>
      </w:r>
      <w:r>
        <w:rPr>
          <w:rFonts w:hint="eastAsia" w:ascii="仿宋" w:hAnsi="仿宋" w:eastAsia="仿宋" w:cs="宋体"/>
          <w:color w:val="000000"/>
          <w:kern w:val="0"/>
          <w:sz w:val="32"/>
          <w:szCs w:val="32"/>
        </w:rPr>
        <w:t>，主要原因是：工资普调，社保缴费增加，人员增加，调入3名公务人员；</w:t>
      </w:r>
      <w:r>
        <w:rPr>
          <w:rFonts w:ascii="仿宋" w:hAnsi="仿宋" w:eastAsia="仿宋" w:cs="宋体"/>
          <w:color w:val="000000"/>
          <w:kern w:val="0"/>
          <w:sz w:val="32"/>
          <w:szCs w:val="32"/>
        </w:rPr>
        <w:t>20</w:t>
      </w:r>
      <w:r>
        <w:rPr>
          <w:rFonts w:hint="eastAsia" w:ascii="仿宋" w:hAnsi="仿宋" w:eastAsia="仿宋" w:cs="宋体"/>
          <w:color w:val="000000"/>
          <w:kern w:val="0"/>
          <w:sz w:val="32"/>
          <w:szCs w:val="32"/>
        </w:rPr>
        <w:t>20年本部门预算支出</w:t>
      </w:r>
      <w:r>
        <w:rPr>
          <w:rFonts w:hint="eastAsia" w:ascii="仿宋" w:hAnsi="仿宋" w:eastAsia="仿宋" w:cs="宋体"/>
          <w:color w:val="000000" w:themeColor="text1"/>
          <w:kern w:val="0"/>
          <w:sz w:val="32"/>
          <w:szCs w:val="32"/>
        </w:rPr>
        <w:t>1145.71</w:t>
      </w:r>
      <w:r>
        <w:rPr>
          <w:rFonts w:hint="eastAsia" w:ascii="仿宋" w:hAnsi="仿宋" w:eastAsia="仿宋" w:cs="宋体"/>
          <w:color w:val="000000"/>
          <w:kern w:val="0"/>
          <w:sz w:val="32"/>
          <w:szCs w:val="32"/>
        </w:rPr>
        <w:t>万元，其中一般公共预算拨款支出1145.71万元、政府性基金拨款支出0万元，2020年本部门预算支出较上年增加了89.02万元，增加了8.42</w:t>
      </w:r>
      <w:r>
        <w:rPr>
          <w:rFonts w:ascii="仿宋" w:hAnsi="仿宋" w:eastAsia="仿宋" w:cs="宋体"/>
          <w:color w:val="000000"/>
          <w:kern w:val="0"/>
          <w:sz w:val="32"/>
          <w:szCs w:val="32"/>
        </w:rPr>
        <w:t>%</w:t>
      </w:r>
      <w:r>
        <w:rPr>
          <w:rFonts w:hint="eastAsia" w:ascii="仿宋" w:hAnsi="仿宋" w:eastAsia="仿宋" w:cs="宋体"/>
          <w:color w:val="000000"/>
          <w:kern w:val="0"/>
          <w:sz w:val="32"/>
          <w:szCs w:val="32"/>
        </w:rPr>
        <w:t>，主要原因是：工资普调，社保缴费增加，人员增加，调入3名公务人员。</w:t>
      </w:r>
    </w:p>
    <w:p>
      <w:pPr>
        <w:pBdr>
          <w:bottom w:val="single" w:color="FFFFFF" w:sz="4" w:space="31"/>
        </w:pBdr>
        <w:tabs>
          <w:tab w:val="left" w:pos="7380"/>
        </w:tabs>
        <w:autoSpaceDE w:val="0"/>
        <w:autoSpaceDN w:val="0"/>
        <w:adjustRightInd w:val="0"/>
        <w:snapToGrid w:val="0"/>
        <w:spacing w:line="360" w:lineRule="auto"/>
        <w:ind w:firstLine="640"/>
        <w:rPr>
          <w:rFonts w:ascii="仿宋" w:hAnsi="仿宋" w:eastAsia="仿宋" w:cs="宋体"/>
          <w:color w:val="000000" w:themeColor="text1"/>
          <w:kern w:val="0"/>
          <w:sz w:val="32"/>
          <w:szCs w:val="32"/>
        </w:rPr>
      </w:pPr>
      <w:r>
        <w:rPr>
          <w:rFonts w:hint="eastAsia" w:ascii="仿宋" w:hAnsi="仿宋" w:eastAsia="仿宋" w:cs="宋体"/>
          <w:color w:val="000000" w:themeColor="text1"/>
          <w:kern w:val="0"/>
          <w:sz w:val="32"/>
          <w:szCs w:val="32"/>
        </w:rPr>
        <w:t>（二）财政拨款收支情况：</w:t>
      </w:r>
    </w:p>
    <w:p>
      <w:pPr>
        <w:pBdr>
          <w:bottom w:val="single" w:color="FFFFFF" w:sz="4" w:space="31"/>
        </w:pBdr>
        <w:tabs>
          <w:tab w:val="left" w:pos="7380"/>
        </w:tabs>
        <w:autoSpaceDE w:val="0"/>
        <w:autoSpaceDN w:val="0"/>
        <w:adjustRightInd w:val="0"/>
        <w:snapToGrid w:val="0"/>
        <w:spacing w:line="360" w:lineRule="auto"/>
        <w:ind w:firstLine="640"/>
        <w:rPr>
          <w:rFonts w:ascii="仿宋" w:hAnsi="仿宋" w:eastAsia="仿宋" w:cs="宋体"/>
          <w:color w:val="000000" w:themeColor="text1"/>
          <w:kern w:val="0"/>
          <w:sz w:val="32"/>
          <w:szCs w:val="32"/>
        </w:rPr>
      </w:pPr>
      <w:r>
        <w:rPr>
          <w:rFonts w:ascii="仿宋" w:hAnsi="仿宋" w:eastAsia="仿宋" w:cs="宋体"/>
          <w:color w:val="000000" w:themeColor="text1"/>
          <w:kern w:val="0"/>
          <w:sz w:val="32"/>
          <w:szCs w:val="32"/>
        </w:rPr>
        <w:t>20</w:t>
      </w:r>
      <w:r>
        <w:rPr>
          <w:rFonts w:hint="eastAsia" w:ascii="仿宋" w:hAnsi="仿宋" w:eastAsia="仿宋" w:cs="宋体"/>
          <w:color w:val="000000" w:themeColor="text1"/>
          <w:kern w:val="0"/>
          <w:sz w:val="32"/>
          <w:szCs w:val="32"/>
        </w:rPr>
        <w:t>20年本部门预算收入1145.71万元，其中一般公共预算拨款收入1145.71万元，政府性基金拨款收入0万元，；2020年本部门财政拨款收入较上年增加89.02万元，主要原因是：工资普调、社保缴费增加，人员增加，调入3名公务人员；</w:t>
      </w:r>
      <w:r>
        <w:rPr>
          <w:rFonts w:ascii="仿宋" w:hAnsi="仿宋" w:eastAsia="仿宋" w:cs="宋体"/>
          <w:color w:val="000000" w:themeColor="text1"/>
          <w:kern w:val="0"/>
          <w:sz w:val="32"/>
          <w:szCs w:val="32"/>
        </w:rPr>
        <w:t>20</w:t>
      </w:r>
      <w:r>
        <w:rPr>
          <w:rFonts w:hint="eastAsia" w:ascii="仿宋" w:hAnsi="仿宋" w:eastAsia="仿宋" w:cs="宋体"/>
          <w:color w:val="000000" w:themeColor="text1"/>
          <w:kern w:val="0"/>
          <w:sz w:val="32"/>
          <w:szCs w:val="32"/>
        </w:rPr>
        <w:t>20年本部门预算支出1145.71万元，其中一般公共预算拨款支出1145.71万元，政府性基金拨款支出0万元；2020年本部门财政拨款支出较上年增加89.02万元，主要原因是：工资普调、社保缴费增加，人员增加，调入3名公务人员。</w:t>
      </w:r>
    </w:p>
    <w:p>
      <w:pPr>
        <w:pBdr>
          <w:bottom w:val="single" w:color="FFFFFF" w:sz="4" w:space="31"/>
        </w:pBdr>
        <w:tabs>
          <w:tab w:val="left" w:pos="7380"/>
        </w:tabs>
        <w:autoSpaceDE w:val="0"/>
        <w:autoSpaceDN w:val="0"/>
        <w:adjustRightInd w:val="0"/>
        <w:snapToGrid w:val="0"/>
        <w:spacing w:line="360" w:lineRule="auto"/>
        <w:ind w:firstLine="640"/>
        <w:rPr>
          <w:rFonts w:ascii="仿宋" w:hAnsi="仿宋" w:eastAsia="仿宋" w:cs="宋体"/>
          <w:color w:val="000000" w:themeColor="text1"/>
          <w:kern w:val="0"/>
          <w:sz w:val="32"/>
          <w:szCs w:val="32"/>
        </w:rPr>
      </w:pPr>
      <w:r>
        <w:rPr>
          <w:rFonts w:hint="eastAsia" w:ascii="仿宋" w:hAnsi="仿宋" w:eastAsia="仿宋" w:cs="宋体"/>
          <w:color w:val="000000" w:themeColor="text1"/>
          <w:kern w:val="0"/>
          <w:sz w:val="32"/>
          <w:szCs w:val="32"/>
        </w:rPr>
        <w:t>（三）一般公共预算拨款支出明细情况</w:t>
      </w:r>
    </w:p>
    <w:p>
      <w:pPr>
        <w:pBdr>
          <w:bottom w:val="single" w:color="FFFFFF" w:sz="4" w:space="31"/>
        </w:pBdr>
        <w:tabs>
          <w:tab w:val="left" w:pos="7380"/>
        </w:tabs>
        <w:autoSpaceDE w:val="0"/>
        <w:autoSpaceDN w:val="0"/>
        <w:adjustRightInd w:val="0"/>
        <w:snapToGrid w:val="0"/>
        <w:spacing w:line="360" w:lineRule="auto"/>
        <w:ind w:firstLine="640"/>
        <w:rPr>
          <w:rFonts w:ascii="仿宋" w:hAnsi="仿宋" w:eastAsia="仿宋" w:cs="宋体"/>
          <w:color w:val="000000" w:themeColor="text1"/>
          <w:kern w:val="0"/>
          <w:sz w:val="32"/>
          <w:szCs w:val="32"/>
        </w:rPr>
      </w:pPr>
      <w:r>
        <w:rPr>
          <w:rFonts w:ascii="仿宋" w:hAnsi="仿宋" w:eastAsia="仿宋" w:cs="宋体"/>
          <w:color w:val="000000" w:themeColor="text1"/>
          <w:kern w:val="0"/>
          <w:sz w:val="32"/>
          <w:szCs w:val="32"/>
        </w:rPr>
        <w:t>1</w:t>
      </w:r>
      <w:r>
        <w:rPr>
          <w:rFonts w:hint="eastAsia" w:ascii="仿宋" w:hAnsi="仿宋" w:eastAsia="仿宋" w:cs="宋体"/>
          <w:color w:val="000000" w:themeColor="text1"/>
          <w:kern w:val="0"/>
          <w:sz w:val="32"/>
          <w:szCs w:val="32"/>
        </w:rPr>
        <w:t>、一般公共预算当年拨款规模变化情况。</w:t>
      </w:r>
    </w:p>
    <w:p>
      <w:pPr>
        <w:pBdr>
          <w:bottom w:val="single" w:color="FFFFFF" w:sz="4" w:space="31"/>
        </w:pBdr>
        <w:tabs>
          <w:tab w:val="left" w:pos="7380"/>
        </w:tabs>
        <w:autoSpaceDE w:val="0"/>
        <w:autoSpaceDN w:val="0"/>
        <w:adjustRightInd w:val="0"/>
        <w:snapToGrid w:val="0"/>
        <w:spacing w:line="360" w:lineRule="auto"/>
        <w:ind w:firstLine="480" w:firstLineChars="150"/>
        <w:rPr>
          <w:rFonts w:ascii="仿宋" w:hAnsi="仿宋" w:eastAsia="仿宋" w:cs="宋体"/>
          <w:color w:val="000000" w:themeColor="text1"/>
          <w:kern w:val="0"/>
          <w:sz w:val="32"/>
          <w:szCs w:val="32"/>
        </w:rPr>
      </w:pPr>
      <w:r>
        <w:rPr>
          <w:rFonts w:hint="eastAsia" w:ascii="仿宋" w:hAnsi="仿宋" w:eastAsia="仿宋" w:cs="宋体"/>
          <w:color w:val="000000" w:themeColor="text1"/>
          <w:kern w:val="0"/>
          <w:sz w:val="32"/>
          <w:szCs w:val="32"/>
        </w:rPr>
        <w:t>2020年本部门当年一般公共预算拨款支出1145.71万元，</w:t>
      </w:r>
      <w:r>
        <w:rPr>
          <w:rFonts w:ascii="仿宋" w:hAnsi="仿宋" w:eastAsia="仿宋" w:cs="宋体"/>
          <w:color w:val="000000" w:themeColor="text1"/>
          <w:kern w:val="0"/>
          <w:sz w:val="32"/>
          <w:szCs w:val="32"/>
        </w:rPr>
        <w:t>201</w:t>
      </w:r>
      <w:r>
        <w:rPr>
          <w:rFonts w:hint="eastAsia" w:ascii="仿宋" w:hAnsi="仿宋" w:eastAsia="仿宋" w:cs="宋体"/>
          <w:color w:val="000000" w:themeColor="text1"/>
          <w:kern w:val="0"/>
          <w:sz w:val="32"/>
          <w:szCs w:val="32"/>
        </w:rPr>
        <w:t>9年一般公共预算拨款支出1056.69万元，较上年增加了8.42</w:t>
      </w:r>
      <w:r>
        <w:rPr>
          <w:rFonts w:ascii="仿宋" w:hAnsi="仿宋" w:eastAsia="仿宋" w:cs="宋体"/>
          <w:color w:val="000000" w:themeColor="text1"/>
          <w:kern w:val="0"/>
          <w:sz w:val="32"/>
          <w:szCs w:val="32"/>
        </w:rPr>
        <w:t>%</w:t>
      </w:r>
      <w:r>
        <w:rPr>
          <w:rFonts w:hint="eastAsia" w:ascii="仿宋" w:hAnsi="仿宋" w:eastAsia="仿宋" w:cs="宋体"/>
          <w:color w:val="000000" w:themeColor="text1"/>
          <w:kern w:val="0"/>
          <w:sz w:val="32"/>
          <w:szCs w:val="32"/>
        </w:rPr>
        <w:t>。主要原因是：（</w:t>
      </w:r>
      <w:r>
        <w:rPr>
          <w:rFonts w:ascii="仿宋" w:hAnsi="仿宋" w:eastAsia="仿宋" w:cs="宋体"/>
          <w:color w:val="000000" w:themeColor="text1"/>
          <w:kern w:val="0"/>
          <w:sz w:val="32"/>
          <w:szCs w:val="32"/>
        </w:rPr>
        <w:t>1</w:t>
      </w:r>
      <w:r>
        <w:rPr>
          <w:rFonts w:hint="eastAsia" w:ascii="仿宋" w:hAnsi="仿宋" w:eastAsia="仿宋" w:cs="宋体"/>
          <w:color w:val="000000" w:themeColor="text1"/>
          <w:kern w:val="0"/>
          <w:sz w:val="32"/>
          <w:szCs w:val="32"/>
        </w:rPr>
        <w:t>）人员工资调整，社保单位缴纳部分增加。（</w:t>
      </w:r>
      <w:r>
        <w:rPr>
          <w:rFonts w:ascii="仿宋" w:hAnsi="仿宋" w:eastAsia="仿宋" w:cs="宋体"/>
          <w:color w:val="000000" w:themeColor="text1"/>
          <w:kern w:val="0"/>
          <w:sz w:val="32"/>
          <w:szCs w:val="32"/>
        </w:rPr>
        <w:t>2</w:t>
      </w:r>
      <w:r>
        <w:rPr>
          <w:rFonts w:hint="eastAsia" w:ascii="仿宋" w:hAnsi="仿宋" w:eastAsia="仿宋" w:cs="宋体"/>
          <w:color w:val="000000" w:themeColor="text1"/>
          <w:kern w:val="0"/>
          <w:sz w:val="32"/>
          <w:szCs w:val="32"/>
        </w:rPr>
        <w:t>）人员增加，调入3名公务人员。</w:t>
      </w:r>
    </w:p>
    <w:p>
      <w:pPr>
        <w:pBdr>
          <w:bottom w:val="single" w:color="FFFFFF" w:sz="4" w:space="31"/>
        </w:pBdr>
        <w:tabs>
          <w:tab w:val="left" w:pos="7380"/>
        </w:tabs>
        <w:autoSpaceDE w:val="0"/>
        <w:autoSpaceDN w:val="0"/>
        <w:adjustRightInd w:val="0"/>
        <w:snapToGrid w:val="0"/>
        <w:spacing w:line="360" w:lineRule="auto"/>
        <w:ind w:firstLine="640"/>
        <w:rPr>
          <w:rFonts w:ascii="仿宋" w:hAnsi="仿宋" w:eastAsia="仿宋" w:cs="宋体"/>
          <w:color w:val="000000" w:themeColor="text1"/>
          <w:kern w:val="0"/>
          <w:sz w:val="32"/>
          <w:szCs w:val="32"/>
        </w:rPr>
      </w:pPr>
      <w:r>
        <w:rPr>
          <w:rFonts w:ascii="仿宋" w:hAnsi="仿宋" w:eastAsia="仿宋" w:cs="宋体"/>
          <w:color w:val="000000" w:themeColor="text1"/>
          <w:kern w:val="0"/>
          <w:sz w:val="32"/>
          <w:szCs w:val="32"/>
        </w:rPr>
        <w:t>2</w:t>
      </w:r>
      <w:r>
        <w:rPr>
          <w:rFonts w:hint="eastAsia" w:ascii="仿宋" w:hAnsi="仿宋" w:eastAsia="仿宋" w:cs="宋体"/>
          <w:color w:val="000000" w:themeColor="text1"/>
          <w:kern w:val="0"/>
          <w:sz w:val="32"/>
          <w:szCs w:val="32"/>
        </w:rPr>
        <w:t>、支出按功能科目分类的明细情况</w:t>
      </w:r>
    </w:p>
    <w:p>
      <w:pPr>
        <w:pBdr>
          <w:bottom w:val="single" w:color="FFFFFF" w:sz="4" w:space="31"/>
        </w:pBdr>
        <w:tabs>
          <w:tab w:val="left" w:pos="7380"/>
        </w:tabs>
        <w:autoSpaceDE w:val="0"/>
        <w:autoSpaceDN w:val="0"/>
        <w:adjustRightInd w:val="0"/>
        <w:snapToGrid w:val="0"/>
        <w:spacing w:line="360" w:lineRule="auto"/>
        <w:ind w:firstLine="480" w:firstLineChars="150"/>
        <w:rPr>
          <w:rFonts w:ascii="仿宋" w:hAnsi="仿宋" w:eastAsia="仿宋" w:cs="宋体"/>
          <w:color w:val="000000" w:themeColor="text1"/>
          <w:kern w:val="0"/>
          <w:sz w:val="32"/>
          <w:szCs w:val="32"/>
        </w:rPr>
      </w:pPr>
      <w:r>
        <w:rPr>
          <w:rFonts w:hint="eastAsia" w:ascii="仿宋" w:hAnsi="仿宋" w:eastAsia="仿宋" w:cs="宋体"/>
          <w:color w:val="000000" w:themeColor="text1"/>
          <w:kern w:val="0"/>
          <w:sz w:val="32"/>
          <w:szCs w:val="32"/>
        </w:rPr>
        <w:t>本部门</w:t>
      </w:r>
      <w:r>
        <w:rPr>
          <w:rFonts w:ascii="仿宋" w:hAnsi="仿宋" w:eastAsia="仿宋" w:cs="宋体"/>
          <w:color w:val="000000" w:themeColor="text1"/>
          <w:kern w:val="0"/>
          <w:sz w:val="32"/>
          <w:szCs w:val="32"/>
        </w:rPr>
        <w:t>20</w:t>
      </w:r>
      <w:r>
        <w:rPr>
          <w:rFonts w:hint="eastAsia" w:ascii="仿宋" w:hAnsi="仿宋" w:eastAsia="仿宋" w:cs="宋体"/>
          <w:color w:val="000000" w:themeColor="text1"/>
          <w:kern w:val="0"/>
          <w:sz w:val="32"/>
          <w:szCs w:val="32"/>
        </w:rPr>
        <w:t>20年当年一般公共预算支出</w:t>
      </w:r>
      <w:r>
        <w:rPr>
          <w:rFonts w:ascii="仿宋" w:hAnsi="仿宋" w:eastAsia="仿宋" w:cs="宋体"/>
          <w:color w:val="000000" w:themeColor="text1"/>
          <w:kern w:val="0"/>
          <w:sz w:val="32"/>
          <w:szCs w:val="32"/>
        </w:rPr>
        <w:t>1</w:t>
      </w:r>
      <w:r>
        <w:rPr>
          <w:rFonts w:hint="eastAsia" w:ascii="仿宋" w:hAnsi="仿宋" w:eastAsia="仿宋" w:cs="宋体"/>
          <w:color w:val="000000" w:themeColor="text1"/>
          <w:kern w:val="0"/>
          <w:sz w:val="32"/>
          <w:szCs w:val="32"/>
        </w:rPr>
        <w:t>145.71万元，其中：</w:t>
      </w:r>
    </w:p>
    <w:p>
      <w:pPr>
        <w:pBdr>
          <w:bottom w:val="single" w:color="FFFFFF" w:sz="4" w:space="31"/>
        </w:pBdr>
        <w:tabs>
          <w:tab w:val="left" w:pos="7380"/>
        </w:tabs>
        <w:autoSpaceDE w:val="0"/>
        <w:autoSpaceDN w:val="0"/>
        <w:adjustRightInd w:val="0"/>
        <w:snapToGrid w:val="0"/>
        <w:spacing w:line="360" w:lineRule="auto"/>
        <w:ind w:firstLine="480" w:firstLineChars="150"/>
        <w:rPr>
          <w:rFonts w:ascii="仿宋" w:hAnsi="仿宋" w:eastAsia="仿宋" w:cs="宋体"/>
          <w:color w:val="000000" w:themeColor="text1"/>
          <w:kern w:val="0"/>
          <w:sz w:val="32"/>
          <w:szCs w:val="32"/>
        </w:rPr>
      </w:pPr>
      <w:r>
        <w:rPr>
          <w:rFonts w:hint="eastAsia" w:ascii="仿宋" w:hAnsi="仿宋" w:eastAsia="仿宋" w:cs="宋体"/>
          <w:color w:val="000000" w:themeColor="text1"/>
          <w:kern w:val="0"/>
          <w:sz w:val="32"/>
          <w:szCs w:val="32"/>
        </w:rPr>
        <w:t>（1）行政运行（</w:t>
      </w:r>
      <w:r>
        <w:rPr>
          <w:rFonts w:ascii="仿宋" w:hAnsi="仿宋" w:eastAsia="仿宋" w:cs="宋体"/>
          <w:color w:val="000000" w:themeColor="text1"/>
          <w:kern w:val="0"/>
          <w:sz w:val="32"/>
          <w:szCs w:val="32"/>
        </w:rPr>
        <w:t>2010601</w:t>
      </w:r>
      <w:r>
        <w:rPr>
          <w:rFonts w:hint="eastAsia" w:ascii="仿宋" w:hAnsi="仿宋" w:eastAsia="仿宋" w:cs="宋体"/>
          <w:color w:val="000000" w:themeColor="text1"/>
          <w:kern w:val="0"/>
          <w:sz w:val="32"/>
          <w:szCs w:val="32"/>
        </w:rPr>
        <w:t>）：2020年966.56万元，</w:t>
      </w:r>
      <w:r>
        <w:rPr>
          <w:rFonts w:ascii="仿宋" w:hAnsi="仿宋" w:eastAsia="仿宋" w:cs="宋体"/>
          <w:color w:val="000000" w:themeColor="text1"/>
          <w:kern w:val="0"/>
          <w:sz w:val="32"/>
          <w:szCs w:val="32"/>
        </w:rPr>
        <w:t>2019</w:t>
      </w:r>
      <w:r>
        <w:rPr>
          <w:rFonts w:hint="eastAsia" w:ascii="仿宋" w:hAnsi="仿宋" w:eastAsia="仿宋" w:cs="宋体"/>
          <w:color w:val="000000" w:themeColor="text1"/>
          <w:kern w:val="0"/>
          <w:sz w:val="32"/>
          <w:szCs w:val="32"/>
        </w:rPr>
        <w:t>年</w:t>
      </w:r>
      <w:r>
        <w:rPr>
          <w:rFonts w:ascii="仿宋" w:hAnsi="仿宋" w:eastAsia="仿宋" w:cs="宋体"/>
          <w:color w:val="000000" w:themeColor="text1"/>
          <w:kern w:val="0"/>
          <w:sz w:val="32"/>
          <w:szCs w:val="32"/>
        </w:rPr>
        <w:t>906.31</w:t>
      </w:r>
      <w:r>
        <w:rPr>
          <w:rFonts w:hint="eastAsia" w:ascii="仿宋" w:hAnsi="仿宋" w:eastAsia="仿宋" w:cs="宋体"/>
          <w:color w:val="000000" w:themeColor="text1"/>
          <w:kern w:val="0"/>
          <w:sz w:val="32"/>
          <w:szCs w:val="32"/>
        </w:rPr>
        <w:t>万元，比上年增加了60.25万元，增加了</w:t>
      </w:r>
      <w:r>
        <w:rPr>
          <w:rFonts w:ascii="仿宋" w:hAnsi="仿宋" w:eastAsia="仿宋" w:cs="宋体"/>
          <w:color w:val="000000" w:themeColor="text1"/>
          <w:kern w:val="0"/>
          <w:sz w:val="32"/>
          <w:szCs w:val="32"/>
        </w:rPr>
        <w:t>6</w:t>
      </w:r>
      <w:r>
        <w:rPr>
          <w:rFonts w:hint="eastAsia" w:ascii="仿宋" w:hAnsi="仿宋" w:eastAsia="仿宋" w:cs="宋体"/>
          <w:color w:val="000000" w:themeColor="text1"/>
          <w:kern w:val="0"/>
          <w:sz w:val="32"/>
          <w:szCs w:val="32"/>
        </w:rPr>
        <w:t>.64</w:t>
      </w:r>
      <w:r>
        <w:rPr>
          <w:rFonts w:ascii="仿宋" w:hAnsi="仿宋" w:eastAsia="仿宋" w:cs="宋体"/>
          <w:color w:val="000000" w:themeColor="text1"/>
          <w:kern w:val="0"/>
          <w:sz w:val="32"/>
          <w:szCs w:val="32"/>
        </w:rPr>
        <w:t>%</w:t>
      </w:r>
      <w:r>
        <w:rPr>
          <w:rFonts w:hint="eastAsia" w:ascii="仿宋" w:hAnsi="仿宋" w:eastAsia="仿宋" w:cs="宋体"/>
          <w:color w:val="000000" w:themeColor="text1"/>
          <w:kern w:val="0"/>
          <w:sz w:val="32"/>
          <w:szCs w:val="32"/>
        </w:rPr>
        <w:t>，主要原因是工资调整，调入公务人员。</w:t>
      </w:r>
    </w:p>
    <w:p>
      <w:pPr>
        <w:pBdr>
          <w:bottom w:val="single" w:color="FFFFFF" w:sz="4" w:space="31"/>
        </w:pBdr>
        <w:tabs>
          <w:tab w:val="left" w:pos="7380"/>
        </w:tabs>
        <w:autoSpaceDE w:val="0"/>
        <w:autoSpaceDN w:val="0"/>
        <w:adjustRightInd w:val="0"/>
        <w:snapToGrid w:val="0"/>
        <w:spacing w:line="360" w:lineRule="auto"/>
        <w:ind w:firstLine="480" w:firstLineChars="150"/>
        <w:rPr>
          <w:rFonts w:ascii="仿宋" w:hAnsi="仿宋" w:eastAsia="仿宋" w:cs="宋体"/>
          <w:color w:val="000000" w:themeColor="text1"/>
          <w:kern w:val="0"/>
          <w:sz w:val="32"/>
          <w:szCs w:val="32"/>
        </w:rPr>
      </w:pPr>
      <w:r>
        <w:rPr>
          <w:rFonts w:hint="eastAsia" w:ascii="仿宋" w:hAnsi="仿宋" w:eastAsia="仿宋" w:cs="宋体"/>
          <w:color w:val="000000" w:themeColor="text1"/>
          <w:kern w:val="0"/>
          <w:sz w:val="32"/>
          <w:szCs w:val="32"/>
        </w:rPr>
        <w:t>（2）机关事业单位基本养老保险缴费支出（</w:t>
      </w:r>
      <w:r>
        <w:rPr>
          <w:rFonts w:ascii="仿宋" w:hAnsi="仿宋" w:eastAsia="仿宋" w:cs="宋体"/>
          <w:color w:val="000000" w:themeColor="text1"/>
          <w:kern w:val="0"/>
          <w:sz w:val="32"/>
          <w:szCs w:val="32"/>
        </w:rPr>
        <w:t>2080505</w:t>
      </w:r>
      <w:r>
        <w:rPr>
          <w:rFonts w:hint="eastAsia" w:ascii="仿宋" w:hAnsi="仿宋" w:eastAsia="仿宋" w:cs="宋体"/>
          <w:color w:val="000000" w:themeColor="text1"/>
          <w:kern w:val="0"/>
          <w:sz w:val="32"/>
          <w:szCs w:val="32"/>
        </w:rPr>
        <w:t>）：2020年134.37万元，2019年144.90万元，</w:t>
      </w:r>
      <w:r>
        <w:rPr>
          <w:rFonts w:hint="eastAsia" w:ascii="仿宋" w:hAnsi="仿宋" w:eastAsia="仿宋" w:cs="仿宋_GB2312"/>
          <w:color w:val="000000" w:themeColor="text1"/>
          <w:sz w:val="32"/>
          <w:szCs w:val="32"/>
        </w:rPr>
        <w:t>较上年减少了10.53万元，减少7.27%，</w:t>
      </w:r>
      <w:r>
        <w:rPr>
          <w:rFonts w:hint="eastAsia" w:ascii="仿宋" w:hAnsi="仿宋" w:eastAsia="仿宋" w:cs="宋体"/>
          <w:color w:val="000000" w:themeColor="text1"/>
          <w:kern w:val="0"/>
          <w:sz w:val="32"/>
          <w:szCs w:val="32"/>
        </w:rPr>
        <w:t>主要原因是：基本养老保险缴费比例调整。</w:t>
      </w:r>
    </w:p>
    <w:p>
      <w:pPr>
        <w:pBdr>
          <w:bottom w:val="single" w:color="FFFFFF" w:sz="4" w:space="31"/>
        </w:pBdr>
        <w:tabs>
          <w:tab w:val="left" w:pos="7380"/>
        </w:tabs>
        <w:autoSpaceDE w:val="0"/>
        <w:autoSpaceDN w:val="0"/>
        <w:adjustRightInd w:val="0"/>
        <w:snapToGrid w:val="0"/>
        <w:spacing w:line="360" w:lineRule="auto"/>
        <w:ind w:firstLine="480" w:firstLineChars="150"/>
        <w:rPr>
          <w:rFonts w:ascii="仿宋" w:hAnsi="仿宋" w:eastAsia="仿宋" w:cs="宋体"/>
          <w:color w:val="000000" w:themeColor="text1"/>
          <w:kern w:val="0"/>
          <w:sz w:val="32"/>
          <w:szCs w:val="32"/>
        </w:rPr>
      </w:pPr>
      <w:r>
        <w:rPr>
          <w:rFonts w:hint="eastAsia" w:ascii="仿宋" w:hAnsi="仿宋" w:eastAsia="仿宋" w:cs="宋体"/>
          <w:color w:val="000000" w:themeColor="text1"/>
          <w:kern w:val="0"/>
          <w:sz w:val="32"/>
          <w:szCs w:val="32"/>
        </w:rPr>
        <w:t>（3）机关事业单位职业年金缴费支出（</w:t>
      </w:r>
      <w:r>
        <w:rPr>
          <w:rFonts w:ascii="仿宋" w:hAnsi="仿宋" w:eastAsia="仿宋" w:cs="宋体"/>
          <w:color w:val="000000" w:themeColor="text1"/>
          <w:kern w:val="0"/>
          <w:sz w:val="32"/>
          <w:szCs w:val="32"/>
        </w:rPr>
        <w:t>2080506</w:t>
      </w:r>
      <w:r>
        <w:rPr>
          <w:rFonts w:hint="eastAsia" w:ascii="仿宋" w:hAnsi="仿宋" w:eastAsia="仿宋" w:cs="宋体"/>
          <w:color w:val="000000" w:themeColor="text1"/>
          <w:kern w:val="0"/>
          <w:sz w:val="32"/>
          <w:szCs w:val="32"/>
        </w:rPr>
        <w:t>）：2020年14.21万元，2019年</w:t>
      </w:r>
      <w:r>
        <w:rPr>
          <w:rFonts w:ascii="仿宋" w:hAnsi="仿宋" w:eastAsia="仿宋" w:cs="宋体"/>
          <w:color w:val="000000" w:themeColor="text1"/>
          <w:kern w:val="0"/>
          <w:sz w:val="32"/>
          <w:szCs w:val="32"/>
        </w:rPr>
        <w:t>5.48</w:t>
      </w:r>
      <w:r>
        <w:rPr>
          <w:rFonts w:hint="eastAsia" w:ascii="仿宋" w:hAnsi="仿宋" w:eastAsia="仿宋" w:cs="宋体"/>
          <w:color w:val="000000" w:themeColor="text1"/>
          <w:kern w:val="0"/>
          <w:sz w:val="32"/>
          <w:szCs w:val="32"/>
        </w:rPr>
        <w:t>万元，</w:t>
      </w:r>
      <w:r>
        <w:rPr>
          <w:rFonts w:hint="eastAsia" w:ascii="仿宋" w:hAnsi="仿宋" w:eastAsia="仿宋" w:cs="仿宋_GB2312"/>
          <w:color w:val="000000" w:themeColor="text1"/>
          <w:sz w:val="32"/>
          <w:szCs w:val="32"/>
        </w:rPr>
        <w:t>较上年增加了8.73万元；</w:t>
      </w:r>
      <w:r>
        <w:rPr>
          <w:rFonts w:hint="eastAsia" w:ascii="仿宋" w:hAnsi="仿宋" w:eastAsia="仿宋" w:cs="宋体"/>
          <w:color w:val="000000" w:themeColor="text1"/>
          <w:kern w:val="0"/>
          <w:sz w:val="32"/>
          <w:szCs w:val="32"/>
        </w:rPr>
        <w:t>增加原因是：退休人员增多。</w:t>
      </w:r>
    </w:p>
    <w:p>
      <w:pPr>
        <w:pBdr>
          <w:bottom w:val="single" w:color="FFFFFF" w:sz="4" w:space="31"/>
        </w:pBdr>
        <w:tabs>
          <w:tab w:val="left" w:pos="7380"/>
        </w:tabs>
        <w:autoSpaceDE w:val="0"/>
        <w:autoSpaceDN w:val="0"/>
        <w:adjustRightInd w:val="0"/>
        <w:snapToGrid w:val="0"/>
        <w:spacing w:line="360" w:lineRule="auto"/>
        <w:ind w:firstLine="480" w:firstLineChars="150"/>
        <w:rPr>
          <w:rFonts w:ascii="仿宋" w:hAnsi="仿宋" w:eastAsia="仿宋" w:cs="宋体"/>
          <w:color w:val="000000" w:themeColor="text1"/>
          <w:kern w:val="0"/>
          <w:sz w:val="32"/>
          <w:szCs w:val="32"/>
        </w:rPr>
      </w:pPr>
      <w:r>
        <w:rPr>
          <w:rFonts w:hint="eastAsia" w:ascii="仿宋" w:hAnsi="仿宋" w:eastAsia="仿宋" w:cs="宋体"/>
          <w:color w:val="000000" w:themeColor="text1"/>
          <w:kern w:val="0"/>
          <w:sz w:val="32"/>
          <w:szCs w:val="32"/>
        </w:rPr>
        <w:t>（4）行政单位医疗（2101101）：2020年25.61万元，较上年增加了25.61万元，主要原因是：2019年预算医疗保险由我县职工医疗保险管理中心缴纳，由于国地税征管体制改革这部分缴费统一划归单位缴纳，2019年本部门未安排这部分预算拨款支出。</w:t>
      </w:r>
    </w:p>
    <w:p>
      <w:pPr>
        <w:pBdr>
          <w:bottom w:val="single" w:color="FFFFFF" w:sz="4" w:space="31"/>
        </w:pBdr>
        <w:tabs>
          <w:tab w:val="left" w:pos="7380"/>
        </w:tabs>
        <w:autoSpaceDE w:val="0"/>
        <w:autoSpaceDN w:val="0"/>
        <w:adjustRightInd w:val="0"/>
        <w:snapToGrid w:val="0"/>
        <w:spacing w:line="360" w:lineRule="auto"/>
        <w:ind w:firstLine="480" w:firstLineChars="150"/>
        <w:rPr>
          <w:rFonts w:ascii="仿宋" w:hAnsi="仿宋" w:eastAsia="仿宋" w:cs="宋体"/>
          <w:color w:val="000000" w:themeColor="text1"/>
          <w:kern w:val="0"/>
          <w:sz w:val="32"/>
          <w:szCs w:val="32"/>
        </w:rPr>
      </w:pPr>
      <w:r>
        <w:rPr>
          <w:rFonts w:hint="eastAsia" w:ascii="仿宋" w:hAnsi="仿宋" w:eastAsia="仿宋" w:cs="宋体"/>
          <w:color w:val="000000" w:themeColor="text1"/>
          <w:kern w:val="0"/>
          <w:sz w:val="32"/>
          <w:szCs w:val="32"/>
        </w:rPr>
        <w:t>（5）公务员医疗补助（2101103）：1.50万元，较上年增加了1.50万元，主要原因是：2019年医疗保险由医保中心缴纳。2019年预算医疗保险由我县职工医疗保险管理中心缴纳，由于国地税征管体制改革这部分缴费统一划归单位缴纳，2019年本部门未安排这部分预算拨款支出。</w:t>
      </w:r>
    </w:p>
    <w:p>
      <w:pPr>
        <w:pBdr>
          <w:bottom w:val="single" w:color="FFFFFF" w:sz="4" w:space="31"/>
        </w:pBdr>
        <w:tabs>
          <w:tab w:val="left" w:pos="7380"/>
        </w:tabs>
        <w:autoSpaceDE w:val="0"/>
        <w:autoSpaceDN w:val="0"/>
        <w:adjustRightInd w:val="0"/>
        <w:snapToGrid w:val="0"/>
        <w:spacing w:line="360" w:lineRule="auto"/>
        <w:ind w:firstLine="480" w:firstLineChars="150"/>
        <w:rPr>
          <w:rFonts w:ascii="仿宋" w:hAnsi="仿宋" w:eastAsia="仿宋" w:cs="宋体"/>
          <w:color w:val="000000" w:themeColor="text1"/>
          <w:kern w:val="0"/>
          <w:sz w:val="32"/>
          <w:szCs w:val="32"/>
        </w:rPr>
      </w:pPr>
      <w:r>
        <w:rPr>
          <w:rFonts w:hint="eastAsia" w:ascii="仿宋" w:hAnsi="仿宋" w:eastAsia="仿宋" w:cs="宋体"/>
          <w:color w:val="000000" w:themeColor="text1"/>
          <w:kern w:val="0"/>
          <w:sz w:val="32"/>
          <w:szCs w:val="32"/>
        </w:rPr>
        <w:t>（6）其他公共卫生健康支出（2109901）：3.46万元，较上年增加了3.46万元，主要原因是： 2019年预算医疗保险由我县职工医疗保险管理中心缴纳，由于国地税征管体制改革这部分缴费统一划归单位缴纳，2019年本部门未安排预算拨款支出。</w:t>
      </w:r>
    </w:p>
    <w:p>
      <w:pPr>
        <w:pBdr>
          <w:bottom w:val="single" w:color="FFFFFF" w:sz="4" w:space="31"/>
        </w:pBdr>
        <w:tabs>
          <w:tab w:val="left" w:pos="7380"/>
        </w:tabs>
        <w:autoSpaceDE w:val="0"/>
        <w:autoSpaceDN w:val="0"/>
        <w:adjustRightInd w:val="0"/>
        <w:snapToGrid w:val="0"/>
        <w:spacing w:line="360" w:lineRule="auto"/>
        <w:ind w:firstLine="480" w:firstLineChars="150"/>
        <w:rPr>
          <w:rFonts w:ascii="仿宋" w:hAnsi="仿宋" w:eastAsia="仿宋" w:cs="宋体"/>
          <w:color w:val="000000"/>
          <w:kern w:val="0"/>
          <w:sz w:val="32"/>
          <w:szCs w:val="32"/>
        </w:rPr>
      </w:pPr>
      <w:r>
        <w:rPr>
          <w:rFonts w:ascii="仿宋" w:hAnsi="仿宋" w:eastAsia="仿宋" w:cs="宋体"/>
          <w:color w:val="000000"/>
          <w:kern w:val="0"/>
          <w:sz w:val="32"/>
          <w:szCs w:val="32"/>
        </w:rPr>
        <w:t>3</w:t>
      </w:r>
      <w:r>
        <w:rPr>
          <w:rFonts w:hint="eastAsia" w:ascii="仿宋" w:hAnsi="仿宋" w:eastAsia="仿宋" w:cs="宋体"/>
          <w:color w:val="000000"/>
          <w:kern w:val="0"/>
          <w:sz w:val="32"/>
          <w:szCs w:val="32"/>
        </w:rPr>
        <w:t>、支出按经济科目分类的明细情况。</w:t>
      </w:r>
    </w:p>
    <w:p>
      <w:pPr>
        <w:pBdr>
          <w:bottom w:val="single" w:color="FFFFFF" w:sz="4" w:space="31"/>
        </w:pBdr>
        <w:tabs>
          <w:tab w:val="left" w:pos="7380"/>
        </w:tabs>
        <w:autoSpaceDE w:val="0"/>
        <w:autoSpaceDN w:val="0"/>
        <w:adjustRightInd w:val="0"/>
        <w:snapToGrid w:val="0"/>
        <w:spacing w:line="360" w:lineRule="auto"/>
        <w:ind w:firstLine="640"/>
        <w:rPr>
          <w:rFonts w:ascii="仿宋" w:hAnsi="仿宋" w:eastAsia="仿宋" w:cs="宋体"/>
          <w:color w:val="000000"/>
          <w:kern w:val="0"/>
          <w:sz w:val="32"/>
          <w:szCs w:val="32"/>
        </w:rPr>
      </w:pPr>
      <w:r>
        <w:rPr>
          <w:rFonts w:hint="eastAsia" w:ascii="仿宋" w:hAnsi="仿宋" w:eastAsia="仿宋" w:cs="宋体"/>
          <w:color w:val="000000"/>
          <w:kern w:val="0"/>
          <w:sz w:val="32"/>
          <w:szCs w:val="32"/>
        </w:rPr>
        <w:t>（</w:t>
      </w:r>
      <w:r>
        <w:rPr>
          <w:rFonts w:ascii="仿宋" w:hAnsi="仿宋" w:eastAsia="仿宋" w:cs="宋体"/>
          <w:color w:val="000000"/>
          <w:kern w:val="0"/>
          <w:sz w:val="32"/>
          <w:szCs w:val="32"/>
        </w:rPr>
        <w:t>1</w:t>
      </w:r>
      <w:r>
        <w:rPr>
          <w:rFonts w:hint="eastAsia" w:ascii="仿宋" w:hAnsi="仿宋" w:eastAsia="仿宋" w:cs="宋体"/>
          <w:color w:val="000000"/>
          <w:kern w:val="0"/>
          <w:sz w:val="32"/>
          <w:szCs w:val="32"/>
        </w:rPr>
        <w:t>）按照部门预算支出经济分类的类级科目分</w:t>
      </w:r>
    </w:p>
    <w:p>
      <w:pPr>
        <w:pBdr>
          <w:bottom w:val="single" w:color="FFFFFF" w:sz="4" w:space="31"/>
        </w:pBdr>
        <w:tabs>
          <w:tab w:val="left" w:pos="7380"/>
        </w:tabs>
        <w:autoSpaceDE w:val="0"/>
        <w:autoSpaceDN w:val="0"/>
        <w:adjustRightInd w:val="0"/>
        <w:snapToGrid w:val="0"/>
        <w:spacing w:line="360" w:lineRule="auto"/>
        <w:ind w:firstLine="480" w:firstLineChars="150"/>
        <w:rPr>
          <w:rFonts w:ascii="仿宋" w:hAnsi="仿宋" w:eastAsia="仿宋" w:cs="宋体"/>
          <w:color w:val="000000"/>
          <w:kern w:val="0"/>
          <w:sz w:val="32"/>
          <w:szCs w:val="32"/>
        </w:rPr>
      </w:pPr>
      <w:r>
        <w:rPr>
          <w:rFonts w:hint="eastAsia" w:ascii="仿宋" w:hAnsi="仿宋" w:eastAsia="仿宋" w:cs="宋体"/>
          <w:color w:val="000000"/>
          <w:kern w:val="0"/>
          <w:sz w:val="32"/>
          <w:szCs w:val="32"/>
        </w:rPr>
        <w:t>2020年本部门当年一般公共预算支出1145.71万元，其中：</w:t>
      </w:r>
    </w:p>
    <w:p>
      <w:pPr>
        <w:pBdr>
          <w:bottom w:val="single" w:color="FFFFFF" w:sz="4" w:space="31"/>
        </w:pBdr>
        <w:tabs>
          <w:tab w:val="left" w:pos="7380"/>
        </w:tabs>
        <w:autoSpaceDE w:val="0"/>
        <w:autoSpaceDN w:val="0"/>
        <w:adjustRightInd w:val="0"/>
        <w:snapToGrid w:val="0"/>
        <w:spacing w:line="360" w:lineRule="auto"/>
        <w:ind w:firstLine="480" w:firstLineChars="150"/>
        <w:rPr>
          <w:rFonts w:ascii="仿宋" w:hAnsi="仿宋" w:eastAsia="仿宋" w:cs="宋体"/>
          <w:color w:val="000000"/>
          <w:kern w:val="0"/>
          <w:sz w:val="32"/>
          <w:szCs w:val="32"/>
        </w:rPr>
      </w:pPr>
      <w:r>
        <w:rPr>
          <w:rFonts w:hint="eastAsia" w:ascii="仿宋" w:hAnsi="仿宋" w:eastAsia="仿宋" w:cs="宋体"/>
          <w:color w:val="000000"/>
          <w:kern w:val="0"/>
          <w:sz w:val="32"/>
          <w:szCs w:val="32"/>
        </w:rPr>
        <w:t>工资福利支出（301）</w:t>
      </w:r>
      <w:r>
        <w:rPr>
          <w:rFonts w:ascii="仿宋" w:hAnsi="仿宋" w:eastAsia="仿宋" w:cs="宋体"/>
          <w:color w:val="000000"/>
          <w:kern w:val="0"/>
          <w:sz w:val="32"/>
          <w:szCs w:val="32"/>
        </w:rPr>
        <w:t>:</w:t>
      </w:r>
      <w:r>
        <w:rPr>
          <w:rFonts w:hint="eastAsia" w:ascii="仿宋" w:hAnsi="仿宋" w:eastAsia="仿宋" w:cs="宋体"/>
          <w:color w:val="000000"/>
          <w:kern w:val="0"/>
          <w:sz w:val="32"/>
          <w:szCs w:val="32"/>
        </w:rPr>
        <w:t>2020年工资福利支出</w:t>
      </w:r>
      <w:r>
        <w:rPr>
          <w:rFonts w:hint="eastAsia" w:ascii="仿宋" w:hAnsi="仿宋" w:eastAsia="仿宋" w:cs="宋体"/>
          <w:color w:val="000000" w:themeColor="text1"/>
          <w:kern w:val="0"/>
          <w:sz w:val="32"/>
          <w:szCs w:val="32"/>
        </w:rPr>
        <w:t>1021.24</w:t>
      </w:r>
      <w:r>
        <w:rPr>
          <w:rFonts w:hint="eastAsia" w:ascii="仿宋" w:hAnsi="仿宋" w:eastAsia="仿宋" w:cs="宋体"/>
          <w:color w:val="000000"/>
          <w:kern w:val="0"/>
          <w:sz w:val="32"/>
          <w:szCs w:val="32"/>
        </w:rPr>
        <w:t>万元</w:t>
      </w:r>
      <w:r>
        <w:rPr>
          <w:rFonts w:ascii="仿宋" w:hAnsi="仿宋" w:eastAsia="仿宋" w:cs="宋体"/>
          <w:color w:val="000000"/>
          <w:kern w:val="0"/>
          <w:sz w:val="32"/>
          <w:szCs w:val="32"/>
        </w:rPr>
        <w:t xml:space="preserve"> </w:t>
      </w:r>
      <w:r>
        <w:rPr>
          <w:rFonts w:hint="eastAsia" w:ascii="仿宋" w:hAnsi="仿宋" w:eastAsia="仿宋" w:cs="宋体"/>
          <w:color w:val="000000"/>
          <w:kern w:val="0"/>
          <w:sz w:val="32"/>
          <w:szCs w:val="32"/>
        </w:rPr>
        <w:t>，</w:t>
      </w:r>
      <w:r>
        <w:rPr>
          <w:rFonts w:ascii="仿宋" w:hAnsi="仿宋" w:eastAsia="仿宋" w:cs="宋体"/>
          <w:color w:val="000000"/>
          <w:kern w:val="0"/>
          <w:sz w:val="32"/>
          <w:szCs w:val="32"/>
        </w:rPr>
        <w:t>2019</w:t>
      </w:r>
      <w:r>
        <w:rPr>
          <w:rFonts w:hint="eastAsia" w:ascii="仿宋" w:hAnsi="仿宋" w:eastAsia="仿宋" w:cs="宋体"/>
          <w:color w:val="000000"/>
          <w:kern w:val="0"/>
          <w:sz w:val="32"/>
          <w:szCs w:val="32"/>
        </w:rPr>
        <w:t>年工资福利支出</w:t>
      </w:r>
      <w:r>
        <w:rPr>
          <w:rFonts w:ascii="仿宋" w:hAnsi="仿宋" w:eastAsia="仿宋" w:cs="宋体"/>
          <w:color w:val="000000"/>
          <w:kern w:val="0"/>
          <w:sz w:val="32"/>
          <w:szCs w:val="32"/>
        </w:rPr>
        <w:t>936.01</w:t>
      </w:r>
      <w:r>
        <w:rPr>
          <w:rFonts w:hint="eastAsia" w:ascii="仿宋" w:hAnsi="仿宋" w:eastAsia="仿宋" w:cs="宋体"/>
          <w:color w:val="000000"/>
          <w:kern w:val="0"/>
          <w:sz w:val="32"/>
          <w:szCs w:val="32"/>
        </w:rPr>
        <w:t>万元，比上年增加85.23万元，增加了9.1%。主要原因是2020年人员增加及工资普调，社保缴费增加，以前年度职工医疗保险保缴费由我县医疗保险中心缴纳，2019年本部门未安排医疗保险预算支出。</w:t>
      </w:r>
    </w:p>
    <w:p>
      <w:pPr>
        <w:pBdr>
          <w:bottom w:val="single" w:color="FFFFFF" w:sz="4" w:space="31"/>
        </w:pBdr>
        <w:tabs>
          <w:tab w:val="left" w:pos="7380"/>
        </w:tabs>
        <w:autoSpaceDE w:val="0"/>
        <w:autoSpaceDN w:val="0"/>
        <w:adjustRightInd w:val="0"/>
        <w:snapToGrid w:val="0"/>
        <w:spacing w:line="360" w:lineRule="auto"/>
        <w:ind w:firstLine="640"/>
        <w:rPr>
          <w:rFonts w:ascii="仿宋" w:hAnsi="仿宋" w:eastAsia="仿宋" w:cs="宋体"/>
          <w:color w:val="000000"/>
          <w:kern w:val="0"/>
          <w:sz w:val="32"/>
          <w:szCs w:val="32"/>
        </w:rPr>
      </w:pPr>
      <w:r>
        <w:rPr>
          <w:rFonts w:hint="eastAsia" w:ascii="仿宋" w:hAnsi="仿宋" w:eastAsia="仿宋" w:cs="宋体"/>
          <w:color w:val="000000"/>
          <w:kern w:val="0"/>
          <w:sz w:val="32"/>
          <w:szCs w:val="32"/>
        </w:rPr>
        <w:t>商品服务支出（302）：</w:t>
      </w:r>
      <w:r>
        <w:rPr>
          <w:rFonts w:ascii="仿宋" w:hAnsi="仿宋" w:eastAsia="仿宋" w:cs="宋体"/>
          <w:color w:val="000000"/>
          <w:kern w:val="0"/>
          <w:sz w:val="32"/>
          <w:szCs w:val="32"/>
        </w:rPr>
        <w:t>20</w:t>
      </w:r>
      <w:r>
        <w:rPr>
          <w:rFonts w:hint="eastAsia" w:ascii="仿宋" w:hAnsi="仿宋" w:eastAsia="仿宋" w:cs="宋体"/>
          <w:color w:val="000000"/>
          <w:kern w:val="0"/>
          <w:sz w:val="32"/>
          <w:szCs w:val="32"/>
        </w:rPr>
        <w:t>20年商品服务支出119.85万元，</w:t>
      </w:r>
      <w:r>
        <w:rPr>
          <w:rFonts w:ascii="仿宋" w:hAnsi="仿宋" w:eastAsia="仿宋" w:cs="宋体"/>
          <w:color w:val="000000"/>
          <w:kern w:val="0"/>
          <w:sz w:val="32"/>
          <w:szCs w:val="32"/>
        </w:rPr>
        <w:t xml:space="preserve"> 2019</w:t>
      </w:r>
      <w:r>
        <w:rPr>
          <w:rFonts w:hint="eastAsia" w:ascii="仿宋" w:hAnsi="仿宋" w:eastAsia="仿宋" w:cs="宋体"/>
          <w:color w:val="000000"/>
          <w:kern w:val="0"/>
          <w:sz w:val="32"/>
          <w:szCs w:val="32"/>
        </w:rPr>
        <w:t>年商品服务支出</w:t>
      </w:r>
      <w:r>
        <w:rPr>
          <w:rFonts w:ascii="仿宋" w:hAnsi="仿宋" w:eastAsia="仿宋" w:cs="宋体"/>
          <w:color w:val="000000"/>
          <w:kern w:val="0"/>
          <w:sz w:val="32"/>
          <w:szCs w:val="32"/>
        </w:rPr>
        <w:t>115.70</w:t>
      </w:r>
      <w:r>
        <w:rPr>
          <w:rFonts w:hint="eastAsia" w:ascii="仿宋" w:hAnsi="仿宋" w:eastAsia="仿宋" w:cs="宋体"/>
          <w:color w:val="000000"/>
          <w:kern w:val="0"/>
          <w:sz w:val="32"/>
          <w:szCs w:val="32"/>
        </w:rPr>
        <w:t>万元，比上年增加4.15万元，增加了3.59</w:t>
      </w:r>
      <w:r>
        <w:rPr>
          <w:rFonts w:ascii="仿宋" w:hAnsi="仿宋" w:eastAsia="仿宋" w:cs="宋体"/>
          <w:color w:val="000000"/>
          <w:kern w:val="0"/>
          <w:sz w:val="32"/>
          <w:szCs w:val="32"/>
        </w:rPr>
        <w:t>%</w:t>
      </w:r>
      <w:r>
        <w:rPr>
          <w:rFonts w:hint="eastAsia" w:ascii="仿宋" w:hAnsi="仿宋" w:eastAsia="仿宋" w:cs="宋体"/>
          <w:color w:val="000000"/>
          <w:kern w:val="0"/>
          <w:sz w:val="32"/>
          <w:szCs w:val="32"/>
        </w:rPr>
        <w:t>。主要原因2020年增加工会经费预算支出。</w:t>
      </w:r>
    </w:p>
    <w:p>
      <w:pPr>
        <w:pBdr>
          <w:bottom w:val="single" w:color="FFFFFF" w:sz="4" w:space="31"/>
        </w:pBdr>
        <w:tabs>
          <w:tab w:val="left" w:pos="7380"/>
        </w:tabs>
        <w:autoSpaceDE w:val="0"/>
        <w:autoSpaceDN w:val="0"/>
        <w:adjustRightInd w:val="0"/>
        <w:snapToGrid w:val="0"/>
        <w:spacing w:line="360" w:lineRule="auto"/>
        <w:ind w:firstLine="640"/>
        <w:rPr>
          <w:rFonts w:ascii="仿宋" w:hAnsi="仿宋" w:eastAsia="仿宋" w:cs="宋体"/>
          <w:color w:val="000000"/>
          <w:kern w:val="0"/>
          <w:sz w:val="32"/>
          <w:szCs w:val="32"/>
        </w:rPr>
      </w:pPr>
      <w:r>
        <w:rPr>
          <w:rFonts w:hint="eastAsia" w:ascii="仿宋" w:hAnsi="仿宋" w:eastAsia="仿宋" w:cs="宋体"/>
          <w:color w:val="000000"/>
          <w:kern w:val="0"/>
          <w:sz w:val="32"/>
          <w:szCs w:val="32"/>
        </w:rPr>
        <w:t>对个人和家庭补助支出（303）：</w:t>
      </w:r>
      <w:r>
        <w:rPr>
          <w:rFonts w:ascii="仿宋" w:hAnsi="仿宋" w:eastAsia="仿宋" w:cs="宋体"/>
          <w:color w:val="000000"/>
          <w:kern w:val="0"/>
          <w:sz w:val="32"/>
          <w:szCs w:val="32"/>
        </w:rPr>
        <w:t xml:space="preserve"> </w:t>
      </w:r>
      <w:r>
        <w:rPr>
          <w:rFonts w:hint="eastAsia" w:ascii="仿宋" w:hAnsi="仿宋" w:eastAsia="仿宋" w:cs="宋体"/>
          <w:color w:val="000000"/>
          <w:kern w:val="0"/>
          <w:sz w:val="32"/>
          <w:szCs w:val="32"/>
        </w:rPr>
        <w:t>2020年对个人和家庭补助支出4.62万元，比上年减少了0.36万元，原因是：遗属减少一名。</w:t>
      </w:r>
    </w:p>
    <w:p>
      <w:pPr>
        <w:pBdr>
          <w:bottom w:val="single" w:color="FFFFFF" w:sz="4" w:space="31"/>
        </w:pBdr>
        <w:tabs>
          <w:tab w:val="left" w:pos="7380"/>
        </w:tabs>
        <w:autoSpaceDE w:val="0"/>
        <w:autoSpaceDN w:val="0"/>
        <w:adjustRightInd w:val="0"/>
        <w:snapToGrid w:val="0"/>
        <w:spacing w:line="360" w:lineRule="auto"/>
        <w:ind w:firstLine="640"/>
        <w:rPr>
          <w:rFonts w:ascii="仿宋" w:hAnsi="仿宋" w:eastAsia="仿宋" w:cs="宋体"/>
          <w:color w:val="000000"/>
          <w:kern w:val="0"/>
          <w:sz w:val="32"/>
          <w:szCs w:val="32"/>
        </w:rPr>
      </w:pPr>
      <w:r>
        <w:rPr>
          <w:rFonts w:hint="eastAsia" w:ascii="仿宋" w:hAnsi="仿宋" w:eastAsia="仿宋" w:cs="宋体"/>
          <w:color w:val="000000"/>
          <w:kern w:val="0"/>
          <w:sz w:val="32"/>
          <w:szCs w:val="32"/>
        </w:rPr>
        <w:t>（</w:t>
      </w:r>
      <w:r>
        <w:rPr>
          <w:rFonts w:ascii="仿宋" w:hAnsi="仿宋" w:eastAsia="仿宋" w:cs="宋体"/>
          <w:color w:val="000000"/>
          <w:kern w:val="0"/>
          <w:sz w:val="32"/>
          <w:szCs w:val="32"/>
        </w:rPr>
        <w:t>2</w:t>
      </w:r>
      <w:r>
        <w:rPr>
          <w:rFonts w:hint="eastAsia" w:ascii="仿宋" w:hAnsi="仿宋" w:eastAsia="仿宋" w:cs="宋体"/>
          <w:color w:val="000000"/>
          <w:kern w:val="0"/>
          <w:sz w:val="32"/>
          <w:szCs w:val="32"/>
        </w:rPr>
        <w:t>）按照政府预算支出经济分类的类别科目</w:t>
      </w:r>
    </w:p>
    <w:p>
      <w:pPr>
        <w:pBdr>
          <w:bottom w:val="single" w:color="FFFFFF" w:sz="4" w:space="31"/>
        </w:pBdr>
        <w:tabs>
          <w:tab w:val="left" w:pos="7380"/>
        </w:tabs>
        <w:autoSpaceDE w:val="0"/>
        <w:autoSpaceDN w:val="0"/>
        <w:adjustRightInd w:val="0"/>
        <w:snapToGrid w:val="0"/>
        <w:spacing w:line="360" w:lineRule="auto"/>
        <w:ind w:firstLine="0" w:firstLineChars="0"/>
        <w:rPr>
          <w:rFonts w:ascii="仿宋" w:hAnsi="仿宋" w:eastAsia="仿宋" w:cs="宋体"/>
          <w:color w:val="000000"/>
          <w:kern w:val="0"/>
          <w:sz w:val="32"/>
          <w:szCs w:val="32"/>
        </w:rPr>
      </w:pPr>
      <w:r>
        <w:rPr>
          <w:rFonts w:hint="eastAsia" w:ascii="仿宋" w:hAnsi="仿宋" w:eastAsia="仿宋" w:cs="宋体"/>
          <w:color w:val="000000"/>
          <w:kern w:val="0"/>
          <w:sz w:val="32"/>
          <w:szCs w:val="32"/>
        </w:rPr>
        <w:t>2020年本部门当年一般公共预算支出1145.71万元，其中：</w:t>
      </w:r>
    </w:p>
    <w:p>
      <w:pPr>
        <w:pBdr>
          <w:bottom w:val="single" w:color="FFFFFF" w:sz="4" w:space="31"/>
        </w:pBdr>
        <w:tabs>
          <w:tab w:val="left" w:pos="7380"/>
        </w:tabs>
        <w:autoSpaceDE w:val="0"/>
        <w:autoSpaceDN w:val="0"/>
        <w:adjustRightInd w:val="0"/>
        <w:snapToGrid w:val="0"/>
        <w:spacing w:line="360" w:lineRule="auto"/>
        <w:ind w:firstLine="640"/>
        <w:rPr>
          <w:rFonts w:ascii="仿宋" w:hAnsi="仿宋" w:eastAsia="仿宋" w:cs="宋体"/>
          <w:color w:val="000000"/>
          <w:kern w:val="0"/>
          <w:sz w:val="32"/>
          <w:szCs w:val="32"/>
        </w:rPr>
      </w:pPr>
      <w:r>
        <w:rPr>
          <w:rFonts w:hint="eastAsia" w:ascii="仿宋" w:hAnsi="仿宋" w:eastAsia="仿宋" w:cs="宋体"/>
          <w:color w:val="000000"/>
          <w:kern w:val="0"/>
          <w:sz w:val="32"/>
          <w:szCs w:val="32"/>
        </w:rPr>
        <w:t>机关工资福利支出（501）978.02万元，较上年增加</w:t>
      </w:r>
      <w:r>
        <w:rPr>
          <w:rFonts w:hint="eastAsia" w:ascii="仿宋" w:hAnsi="仿宋" w:eastAsia="仿宋" w:cs="宋体"/>
          <w:color w:val="000000" w:themeColor="text1"/>
          <w:kern w:val="0"/>
          <w:sz w:val="32"/>
          <w:szCs w:val="32"/>
        </w:rPr>
        <w:t>42.01</w:t>
      </w:r>
      <w:r>
        <w:rPr>
          <w:rFonts w:hint="eastAsia" w:ascii="仿宋" w:hAnsi="仿宋" w:eastAsia="仿宋" w:cs="宋体"/>
          <w:color w:val="000000"/>
          <w:kern w:val="0"/>
          <w:sz w:val="32"/>
          <w:szCs w:val="32"/>
        </w:rPr>
        <w:t>万元，原因是人员增加及工资普调；</w:t>
      </w:r>
    </w:p>
    <w:p>
      <w:pPr>
        <w:pBdr>
          <w:bottom w:val="single" w:color="FFFFFF" w:sz="4" w:space="31"/>
        </w:pBdr>
        <w:tabs>
          <w:tab w:val="left" w:pos="7380"/>
        </w:tabs>
        <w:autoSpaceDE w:val="0"/>
        <w:autoSpaceDN w:val="0"/>
        <w:adjustRightInd w:val="0"/>
        <w:snapToGrid w:val="0"/>
        <w:spacing w:line="360" w:lineRule="auto"/>
        <w:ind w:firstLine="640"/>
        <w:rPr>
          <w:rFonts w:ascii="仿宋" w:hAnsi="仿宋" w:eastAsia="仿宋" w:cs="宋体"/>
          <w:color w:val="000000" w:themeColor="text1"/>
          <w:kern w:val="0"/>
          <w:sz w:val="32"/>
          <w:szCs w:val="32"/>
        </w:rPr>
      </w:pPr>
      <w:r>
        <w:rPr>
          <w:rFonts w:hint="eastAsia" w:ascii="仿宋" w:hAnsi="仿宋" w:eastAsia="仿宋" w:cs="宋体"/>
          <w:color w:val="000000" w:themeColor="text1"/>
          <w:kern w:val="0"/>
          <w:sz w:val="32"/>
          <w:szCs w:val="32"/>
        </w:rPr>
        <w:t>机关商品和服务支出（502）101.11万元，较上年减少了14.59万元，主要原因是下属部分事业单位支出未在此科目中预算，预算支出安排在对事业单位经常性补助支出科目中；</w:t>
      </w:r>
    </w:p>
    <w:p>
      <w:pPr>
        <w:pBdr>
          <w:bottom w:val="single" w:color="FFFFFF" w:sz="4" w:space="31"/>
        </w:pBdr>
        <w:tabs>
          <w:tab w:val="left" w:pos="7380"/>
        </w:tabs>
        <w:autoSpaceDE w:val="0"/>
        <w:autoSpaceDN w:val="0"/>
        <w:adjustRightInd w:val="0"/>
        <w:snapToGrid w:val="0"/>
        <w:spacing w:line="360" w:lineRule="auto"/>
        <w:ind w:firstLine="640"/>
        <w:rPr>
          <w:rFonts w:ascii="仿宋" w:hAnsi="仿宋" w:eastAsia="仿宋" w:cs="宋体"/>
          <w:color w:val="000000" w:themeColor="text1"/>
          <w:kern w:val="0"/>
          <w:sz w:val="32"/>
          <w:szCs w:val="32"/>
        </w:rPr>
      </w:pPr>
      <w:r>
        <w:rPr>
          <w:rFonts w:hint="eastAsia" w:ascii="仿宋" w:hAnsi="仿宋" w:eastAsia="仿宋" w:cs="宋体"/>
          <w:color w:val="000000" w:themeColor="text1"/>
          <w:kern w:val="0"/>
          <w:sz w:val="32"/>
          <w:szCs w:val="32"/>
        </w:rPr>
        <w:t>对事业单位经常性补助（505）61.96万元，较上年增加61.96万元，主要原因是下属部分事业单位人员工资及部分经费在此科目支出，上年未在此科目预算；</w:t>
      </w:r>
    </w:p>
    <w:p>
      <w:pPr>
        <w:pBdr>
          <w:bottom w:val="single" w:color="FFFFFF" w:sz="4" w:space="31"/>
        </w:pBdr>
        <w:tabs>
          <w:tab w:val="left" w:pos="7380"/>
        </w:tabs>
        <w:autoSpaceDE w:val="0"/>
        <w:autoSpaceDN w:val="0"/>
        <w:adjustRightInd w:val="0"/>
        <w:snapToGrid w:val="0"/>
        <w:spacing w:line="360" w:lineRule="auto"/>
        <w:ind w:firstLine="640"/>
        <w:rPr>
          <w:rFonts w:ascii="仿宋" w:hAnsi="仿宋" w:eastAsia="仿宋" w:cs="宋体"/>
          <w:color w:val="000000" w:themeColor="text1"/>
          <w:kern w:val="0"/>
          <w:sz w:val="32"/>
          <w:szCs w:val="32"/>
        </w:rPr>
      </w:pPr>
      <w:r>
        <w:rPr>
          <w:rFonts w:hint="eastAsia" w:ascii="仿宋" w:hAnsi="仿宋" w:eastAsia="仿宋" w:cs="宋体"/>
          <w:color w:val="000000" w:themeColor="text1"/>
          <w:kern w:val="0"/>
          <w:sz w:val="32"/>
          <w:szCs w:val="32"/>
        </w:rPr>
        <w:t>社会福利和救助（509）2020年4.62万元，较上年减少了</w:t>
      </w:r>
      <w:r>
        <w:rPr>
          <w:rFonts w:ascii="仿宋" w:hAnsi="仿宋" w:eastAsia="仿宋" w:cs="宋体"/>
          <w:color w:val="000000" w:themeColor="text1"/>
          <w:kern w:val="0"/>
          <w:sz w:val="32"/>
          <w:szCs w:val="32"/>
        </w:rPr>
        <w:t>0.42</w:t>
      </w:r>
      <w:r>
        <w:rPr>
          <w:rFonts w:hint="eastAsia" w:ascii="仿宋" w:hAnsi="仿宋" w:eastAsia="仿宋" w:cs="宋体"/>
          <w:color w:val="000000" w:themeColor="text1"/>
          <w:kern w:val="0"/>
          <w:sz w:val="32"/>
          <w:szCs w:val="32"/>
        </w:rPr>
        <w:t>万元，原因是减少遗属一名。</w:t>
      </w:r>
    </w:p>
    <w:p>
      <w:pPr>
        <w:pBdr>
          <w:bottom w:val="single" w:color="FFFFFF" w:sz="4" w:space="31"/>
        </w:pBdr>
        <w:tabs>
          <w:tab w:val="left" w:pos="7380"/>
        </w:tabs>
        <w:autoSpaceDE w:val="0"/>
        <w:autoSpaceDN w:val="0"/>
        <w:adjustRightInd w:val="0"/>
        <w:snapToGrid w:val="0"/>
        <w:spacing w:line="360" w:lineRule="auto"/>
        <w:ind w:firstLine="640"/>
        <w:rPr>
          <w:rFonts w:ascii="仿宋" w:hAnsi="仿宋" w:eastAsia="仿宋" w:cs="宋体"/>
          <w:color w:val="000000" w:themeColor="text1"/>
          <w:kern w:val="0"/>
          <w:sz w:val="32"/>
          <w:szCs w:val="32"/>
        </w:rPr>
      </w:pPr>
      <w:r>
        <w:rPr>
          <w:rFonts w:hint="eastAsia" w:ascii="仿宋" w:hAnsi="仿宋" w:eastAsia="仿宋" w:cs="宋体"/>
          <w:color w:val="000000" w:themeColor="text1"/>
          <w:kern w:val="0"/>
          <w:sz w:val="32"/>
          <w:szCs w:val="32"/>
        </w:rPr>
        <w:t>4、2019年结转财政资金一般公共预算拨款支出情况。</w:t>
      </w:r>
    </w:p>
    <w:p>
      <w:pPr>
        <w:pBdr>
          <w:bottom w:val="single" w:color="FFFFFF" w:sz="4" w:space="31"/>
        </w:pBdr>
        <w:tabs>
          <w:tab w:val="left" w:pos="7380"/>
        </w:tabs>
        <w:autoSpaceDE w:val="0"/>
        <w:autoSpaceDN w:val="0"/>
        <w:adjustRightInd w:val="0"/>
        <w:snapToGrid w:val="0"/>
        <w:spacing w:line="360" w:lineRule="auto"/>
        <w:ind w:firstLine="640"/>
        <w:rPr>
          <w:rFonts w:ascii="仿宋" w:hAnsi="仿宋" w:eastAsia="仿宋" w:cs="宋体"/>
          <w:color w:val="000000" w:themeColor="text1"/>
          <w:kern w:val="0"/>
          <w:sz w:val="32"/>
          <w:szCs w:val="32"/>
        </w:rPr>
      </w:pPr>
      <w:r>
        <w:rPr>
          <w:rFonts w:hint="eastAsia" w:ascii="仿宋" w:hAnsi="仿宋" w:eastAsia="仿宋" w:cs="宋体"/>
          <w:color w:val="000000" w:themeColor="text1"/>
          <w:kern w:val="0"/>
          <w:sz w:val="32"/>
          <w:szCs w:val="32"/>
        </w:rPr>
        <w:t>本部门无2019年结转的一般公共预算拨款资金支出。</w:t>
      </w:r>
    </w:p>
    <w:p>
      <w:pPr>
        <w:pBdr>
          <w:bottom w:val="single" w:color="FFFFFF" w:sz="4" w:space="31"/>
        </w:pBdr>
        <w:tabs>
          <w:tab w:val="left" w:pos="7380"/>
        </w:tabs>
        <w:autoSpaceDE w:val="0"/>
        <w:autoSpaceDN w:val="0"/>
        <w:adjustRightInd w:val="0"/>
        <w:snapToGrid w:val="0"/>
        <w:spacing w:line="360" w:lineRule="auto"/>
        <w:ind w:firstLine="640"/>
        <w:rPr>
          <w:rFonts w:ascii="仿宋" w:hAnsi="仿宋" w:eastAsia="仿宋" w:cs="宋体"/>
          <w:color w:val="000000" w:themeColor="text1"/>
          <w:kern w:val="0"/>
          <w:sz w:val="32"/>
          <w:szCs w:val="32"/>
        </w:rPr>
      </w:pPr>
      <w:r>
        <w:rPr>
          <w:rFonts w:hint="eastAsia" w:ascii="仿宋" w:hAnsi="仿宋" w:eastAsia="仿宋" w:cs="宋体"/>
          <w:color w:val="000000" w:themeColor="text1"/>
          <w:kern w:val="0"/>
          <w:sz w:val="32"/>
          <w:szCs w:val="32"/>
        </w:rPr>
        <w:t>（四）政府性基金预算收支情况。</w:t>
      </w:r>
    </w:p>
    <w:p>
      <w:pPr>
        <w:pBdr>
          <w:bottom w:val="single" w:color="FFFFFF" w:sz="4" w:space="31"/>
        </w:pBdr>
        <w:tabs>
          <w:tab w:val="left" w:pos="7380"/>
        </w:tabs>
        <w:autoSpaceDE w:val="0"/>
        <w:autoSpaceDN w:val="0"/>
        <w:adjustRightInd w:val="0"/>
        <w:snapToGrid w:val="0"/>
        <w:spacing w:line="360" w:lineRule="auto"/>
        <w:ind w:firstLine="640"/>
        <w:rPr>
          <w:rFonts w:ascii="仿宋" w:hAnsi="仿宋" w:eastAsia="仿宋" w:cs="宋体"/>
          <w:color w:val="000000" w:themeColor="text1"/>
          <w:kern w:val="0"/>
          <w:sz w:val="32"/>
          <w:szCs w:val="32"/>
        </w:rPr>
      </w:pPr>
      <w:r>
        <w:rPr>
          <w:rFonts w:hint="eastAsia" w:ascii="仿宋" w:hAnsi="仿宋" w:eastAsia="仿宋" w:cs="宋体"/>
          <w:color w:val="000000" w:themeColor="text1"/>
          <w:kern w:val="0"/>
          <w:sz w:val="32"/>
          <w:szCs w:val="32"/>
        </w:rPr>
        <w:t>本部门无当年政府性基金预算收支，并已公开空表。</w:t>
      </w:r>
    </w:p>
    <w:p>
      <w:pPr>
        <w:pBdr>
          <w:bottom w:val="single" w:color="FFFFFF" w:sz="4" w:space="31"/>
        </w:pBdr>
        <w:tabs>
          <w:tab w:val="left" w:pos="7380"/>
        </w:tabs>
        <w:autoSpaceDE w:val="0"/>
        <w:autoSpaceDN w:val="0"/>
        <w:adjustRightInd w:val="0"/>
        <w:snapToGrid w:val="0"/>
        <w:spacing w:line="360" w:lineRule="auto"/>
        <w:ind w:firstLine="640"/>
        <w:rPr>
          <w:rFonts w:ascii="仿宋" w:hAnsi="仿宋" w:eastAsia="仿宋" w:cs="宋体"/>
          <w:color w:val="000000" w:themeColor="text1"/>
          <w:kern w:val="0"/>
          <w:sz w:val="32"/>
          <w:szCs w:val="32"/>
        </w:rPr>
      </w:pPr>
      <w:r>
        <w:rPr>
          <w:rFonts w:hint="eastAsia" w:ascii="仿宋" w:hAnsi="仿宋" w:eastAsia="仿宋" w:cs="宋体"/>
          <w:color w:val="000000" w:themeColor="text1"/>
          <w:kern w:val="0"/>
          <w:sz w:val="32"/>
          <w:szCs w:val="32"/>
        </w:rPr>
        <w:t>本部门无2019年结转的政府性基金预算拨款支出。</w:t>
      </w:r>
    </w:p>
    <w:p>
      <w:pPr>
        <w:pBdr>
          <w:bottom w:val="single" w:color="FFFFFF" w:sz="4" w:space="31"/>
        </w:pBdr>
        <w:tabs>
          <w:tab w:val="left" w:pos="7380"/>
        </w:tabs>
        <w:autoSpaceDE w:val="0"/>
        <w:autoSpaceDN w:val="0"/>
        <w:adjustRightInd w:val="0"/>
        <w:snapToGrid w:val="0"/>
        <w:spacing w:line="360" w:lineRule="auto"/>
        <w:ind w:firstLine="640"/>
        <w:rPr>
          <w:rFonts w:ascii="仿宋" w:hAnsi="仿宋" w:eastAsia="仿宋" w:cs="宋体"/>
          <w:color w:val="000000" w:themeColor="text1"/>
          <w:kern w:val="0"/>
          <w:sz w:val="32"/>
          <w:szCs w:val="32"/>
        </w:rPr>
      </w:pPr>
      <w:r>
        <w:rPr>
          <w:rFonts w:hint="eastAsia" w:ascii="仿宋" w:hAnsi="仿宋" w:eastAsia="仿宋" w:cs="宋体"/>
          <w:color w:val="000000" w:themeColor="text1"/>
          <w:kern w:val="0"/>
          <w:sz w:val="32"/>
          <w:szCs w:val="32"/>
        </w:rPr>
        <w:t>（五）国有资本经营预算拨款支出情况。</w:t>
      </w:r>
    </w:p>
    <w:p>
      <w:pPr>
        <w:pBdr>
          <w:bottom w:val="single" w:color="FFFFFF" w:sz="4" w:space="31"/>
        </w:pBdr>
        <w:tabs>
          <w:tab w:val="left" w:pos="7380"/>
        </w:tabs>
        <w:autoSpaceDE w:val="0"/>
        <w:autoSpaceDN w:val="0"/>
        <w:adjustRightInd w:val="0"/>
        <w:snapToGrid w:val="0"/>
        <w:spacing w:line="360" w:lineRule="auto"/>
        <w:ind w:firstLine="640"/>
        <w:rPr>
          <w:rFonts w:ascii="仿宋" w:hAnsi="仿宋" w:eastAsia="仿宋" w:cs="宋体"/>
          <w:color w:val="000000" w:themeColor="text1"/>
          <w:kern w:val="0"/>
          <w:sz w:val="32"/>
          <w:szCs w:val="32"/>
        </w:rPr>
      </w:pPr>
      <w:r>
        <w:rPr>
          <w:rFonts w:hint="eastAsia" w:ascii="仿宋" w:hAnsi="仿宋" w:eastAsia="仿宋" w:cs="宋体"/>
          <w:color w:val="000000" w:themeColor="text1"/>
          <w:kern w:val="0"/>
          <w:sz w:val="32"/>
          <w:szCs w:val="32"/>
        </w:rPr>
        <w:t>本部门2020年无当年国有资本经营预算拨款支出，并已公开空表。</w:t>
      </w:r>
    </w:p>
    <w:p>
      <w:pPr>
        <w:pBdr>
          <w:bottom w:val="single" w:color="FFFFFF" w:sz="4" w:space="31"/>
        </w:pBdr>
        <w:tabs>
          <w:tab w:val="left" w:pos="7380"/>
        </w:tabs>
        <w:autoSpaceDE w:val="0"/>
        <w:autoSpaceDN w:val="0"/>
        <w:adjustRightInd w:val="0"/>
        <w:snapToGrid w:val="0"/>
        <w:spacing w:line="360" w:lineRule="auto"/>
        <w:ind w:firstLine="640"/>
        <w:rPr>
          <w:rFonts w:ascii="仿宋" w:hAnsi="仿宋" w:eastAsia="仿宋" w:cs="仿宋"/>
          <w:color w:val="000000" w:themeColor="text1"/>
          <w:sz w:val="32"/>
          <w:szCs w:val="32"/>
        </w:rPr>
      </w:pPr>
      <w:r>
        <w:rPr>
          <w:rFonts w:hint="eastAsia" w:ascii="仿宋" w:hAnsi="仿宋" w:eastAsia="仿宋" w:cs="宋体"/>
          <w:color w:val="000000" w:themeColor="text1"/>
          <w:kern w:val="0"/>
          <w:sz w:val="32"/>
          <w:szCs w:val="32"/>
        </w:rPr>
        <w:t>本部门无2019年结转的国有资本经营预算拨款支出。</w:t>
      </w:r>
    </w:p>
    <w:p>
      <w:pPr>
        <w:pBdr>
          <w:bottom w:val="single" w:color="FFFFFF" w:sz="4" w:space="31"/>
        </w:pBdr>
        <w:tabs>
          <w:tab w:val="left" w:pos="7380"/>
        </w:tabs>
        <w:autoSpaceDE w:val="0"/>
        <w:autoSpaceDN w:val="0"/>
        <w:adjustRightInd w:val="0"/>
        <w:snapToGrid w:val="0"/>
        <w:spacing w:line="360" w:lineRule="auto"/>
        <w:ind w:firstLine="643"/>
        <w:rPr>
          <w:rFonts w:ascii="仿宋" w:hAnsi="仿宋" w:eastAsia="仿宋" w:cs="仿宋"/>
          <w:color w:val="44546A" w:themeColor="text2"/>
          <w:sz w:val="32"/>
          <w:szCs w:val="32"/>
        </w:rPr>
      </w:pPr>
      <w:r>
        <w:rPr>
          <w:rFonts w:hint="eastAsia" w:ascii="仿宋" w:hAnsi="仿宋" w:eastAsia="仿宋" w:cs="仿宋"/>
          <w:b/>
          <w:bCs/>
          <w:color w:val="44546A" w:themeColor="text2"/>
          <w:sz w:val="32"/>
          <w:szCs w:val="32"/>
        </w:rPr>
        <w:t>第三部分  其他说明情况</w:t>
      </w:r>
    </w:p>
    <w:p>
      <w:pPr>
        <w:pBdr>
          <w:bottom w:val="single" w:color="FFFFFF" w:sz="4" w:space="31"/>
        </w:pBdr>
        <w:tabs>
          <w:tab w:val="left" w:pos="7380"/>
        </w:tabs>
        <w:autoSpaceDE w:val="0"/>
        <w:autoSpaceDN w:val="0"/>
        <w:adjustRightInd w:val="0"/>
        <w:snapToGrid w:val="0"/>
        <w:spacing w:line="360" w:lineRule="auto"/>
        <w:ind w:firstLine="643"/>
        <w:rPr>
          <w:rFonts w:ascii="仿宋" w:hAnsi="仿宋" w:eastAsia="仿宋" w:cs="仿宋"/>
          <w:b/>
          <w:bCs/>
          <w:sz w:val="32"/>
          <w:szCs w:val="32"/>
        </w:rPr>
      </w:pPr>
      <w:r>
        <w:rPr>
          <w:rFonts w:hint="eastAsia" w:ascii="仿宋" w:hAnsi="仿宋" w:eastAsia="仿宋" w:cs="仿宋"/>
          <w:b/>
          <w:bCs/>
          <w:sz w:val="32"/>
          <w:szCs w:val="32"/>
        </w:rPr>
        <w:t>六、部门预算“三公”经费等预算情况说明</w:t>
      </w:r>
    </w:p>
    <w:p>
      <w:pPr>
        <w:pBdr>
          <w:bottom w:val="single" w:color="FFFFFF" w:sz="4" w:space="31"/>
        </w:pBdr>
        <w:tabs>
          <w:tab w:val="left" w:pos="7380"/>
        </w:tabs>
        <w:autoSpaceDE w:val="0"/>
        <w:autoSpaceDN w:val="0"/>
        <w:adjustRightInd w:val="0"/>
        <w:snapToGrid w:val="0"/>
        <w:spacing w:line="360" w:lineRule="auto"/>
        <w:ind w:firstLine="640"/>
        <w:rPr>
          <w:rFonts w:ascii="仿宋" w:hAnsi="仿宋" w:eastAsia="仿宋" w:cs="宋体"/>
          <w:color w:val="000000"/>
          <w:kern w:val="0"/>
          <w:sz w:val="32"/>
          <w:szCs w:val="32"/>
        </w:rPr>
      </w:pPr>
      <w:r>
        <w:rPr>
          <w:rFonts w:hint="eastAsia" w:ascii="仿宋" w:hAnsi="仿宋" w:eastAsia="仿宋"/>
          <w:color w:val="000000"/>
          <w:sz w:val="32"/>
          <w:szCs w:val="32"/>
        </w:rPr>
        <w:t>2020年本部门当年一般公共预算“三公”经费预算支出0.1万元，较上年无增减变化</w:t>
      </w:r>
      <w:r>
        <w:rPr>
          <w:rFonts w:hint="eastAsia" w:ascii="仿宋" w:hAnsi="仿宋" w:eastAsia="仿宋"/>
          <w:color w:val="000000"/>
          <w:sz w:val="32"/>
          <w:szCs w:val="32"/>
          <w:lang w:eastAsia="zh-CN"/>
        </w:rPr>
        <w:t>，</w:t>
      </w:r>
      <w:r>
        <w:rPr>
          <w:rFonts w:hint="eastAsia" w:ascii="仿宋" w:hAnsi="仿宋" w:eastAsia="仿宋"/>
          <w:color w:val="000000"/>
          <w:sz w:val="32"/>
          <w:szCs w:val="32"/>
          <w:lang w:val="en-US" w:eastAsia="zh-CN"/>
        </w:rPr>
        <w:t>主要原因是我部门按照</w:t>
      </w:r>
      <w:r>
        <w:rPr>
          <w:rFonts w:hint="eastAsia" w:ascii="仿宋" w:hAnsi="仿宋" w:eastAsia="仿宋"/>
          <w:color w:val="000000"/>
          <w:sz w:val="32"/>
          <w:szCs w:val="32"/>
        </w:rPr>
        <w:t>“三公”经费</w:t>
      </w:r>
      <w:r>
        <w:rPr>
          <w:rFonts w:hint="eastAsia" w:ascii="仿宋" w:hAnsi="仿宋" w:eastAsia="仿宋"/>
          <w:color w:val="000000"/>
          <w:sz w:val="32"/>
          <w:szCs w:val="32"/>
          <w:lang w:val="en-US" w:eastAsia="zh-CN"/>
        </w:rPr>
        <w:t>只减不增的原则，严格控制</w:t>
      </w:r>
      <w:r>
        <w:rPr>
          <w:rFonts w:hint="eastAsia" w:ascii="仿宋" w:hAnsi="仿宋" w:eastAsia="仿宋"/>
          <w:color w:val="000000"/>
          <w:sz w:val="32"/>
          <w:szCs w:val="32"/>
        </w:rPr>
        <w:t>“三公”经费</w:t>
      </w:r>
      <w:r>
        <w:rPr>
          <w:rFonts w:hint="eastAsia" w:ascii="仿宋" w:hAnsi="仿宋" w:eastAsia="仿宋"/>
          <w:color w:val="000000"/>
          <w:sz w:val="32"/>
          <w:szCs w:val="32"/>
          <w:lang w:val="en-US" w:eastAsia="zh-CN"/>
        </w:rPr>
        <w:t>的开支</w:t>
      </w:r>
      <w:r>
        <w:rPr>
          <w:rFonts w:hint="eastAsia" w:ascii="仿宋" w:hAnsi="仿宋" w:eastAsia="仿宋"/>
          <w:color w:val="000000"/>
          <w:sz w:val="32"/>
          <w:szCs w:val="32"/>
          <w:lang w:eastAsia="zh-CN"/>
        </w:rPr>
        <w:t>。</w:t>
      </w:r>
      <w:r>
        <w:rPr>
          <w:rFonts w:hint="eastAsia" w:ascii="仿宋" w:hAnsi="仿宋" w:eastAsia="仿宋"/>
          <w:color w:val="000000"/>
          <w:sz w:val="32"/>
          <w:szCs w:val="32"/>
        </w:rPr>
        <w:t>会议费0.15万元，会议费较上年增加0.15万元（150%），增加的主要原因是</w:t>
      </w:r>
      <w:r>
        <w:rPr>
          <w:rFonts w:hint="eastAsia" w:ascii="仿宋" w:hAnsi="仿宋" w:eastAsia="仿宋" w:cs="宋体"/>
          <w:color w:val="000000" w:themeColor="text1"/>
          <w:kern w:val="0"/>
          <w:sz w:val="32"/>
          <w:szCs w:val="32"/>
        </w:rPr>
        <w:t>国有资产管理加强，资产管理业务人员学习交流会议增多，会议费支出增加</w:t>
      </w:r>
      <w:r>
        <w:rPr>
          <w:rFonts w:hint="eastAsia" w:ascii="仿宋" w:hAnsi="仿宋" w:eastAsia="仿宋"/>
          <w:color w:val="000000"/>
          <w:sz w:val="32"/>
          <w:szCs w:val="32"/>
        </w:rPr>
        <w:t>。其中：因公出国（境）经费0万元，较上年无增减变化</w:t>
      </w:r>
      <w:r>
        <w:rPr>
          <w:rFonts w:hint="eastAsia" w:ascii="仿宋" w:hAnsi="仿宋" w:eastAsia="仿宋"/>
          <w:color w:val="000000"/>
          <w:sz w:val="32"/>
          <w:szCs w:val="32"/>
          <w:lang w:eastAsia="zh-CN"/>
        </w:rPr>
        <w:t>，</w:t>
      </w:r>
      <w:r>
        <w:rPr>
          <w:rFonts w:hint="eastAsia" w:ascii="仿宋" w:hAnsi="仿宋" w:eastAsia="仿宋"/>
          <w:color w:val="000000"/>
          <w:sz w:val="32"/>
          <w:szCs w:val="32"/>
          <w:lang w:val="en-US" w:eastAsia="zh-CN"/>
        </w:rPr>
        <w:t>原因是我部门本年无</w:t>
      </w:r>
      <w:r>
        <w:rPr>
          <w:rFonts w:hint="eastAsia" w:ascii="仿宋" w:hAnsi="仿宋" w:eastAsia="仿宋"/>
          <w:color w:val="000000"/>
          <w:sz w:val="32"/>
          <w:szCs w:val="32"/>
        </w:rPr>
        <w:t>因公出国（境）</w:t>
      </w:r>
      <w:r>
        <w:rPr>
          <w:rFonts w:hint="eastAsia" w:ascii="仿宋" w:hAnsi="仿宋" w:eastAsia="仿宋"/>
          <w:color w:val="000000"/>
          <w:sz w:val="32"/>
          <w:szCs w:val="32"/>
          <w:lang w:val="en-US" w:eastAsia="zh-CN"/>
        </w:rPr>
        <w:t>安排</w:t>
      </w:r>
      <w:r>
        <w:rPr>
          <w:rFonts w:hint="eastAsia" w:ascii="仿宋" w:hAnsi="仿宋" w:eastAsia="仿宋"/>
          <w:color w:val="000000"/>
          <w:sz w:val="32"/>
          <w:szCs w:val="32"/>
        </w:rPr>
        <w:t>；公务接待费0.1万元，较上年无增减变化</w:t>
      </w:r>
      <w:r>
        <w:rPr>
          <w:rFonts w:hint="eastAsia" w:ascii="仿宋" w:hAnsi="仿宋" w:eastAsia="仿宋"/>
          <w:color w:val="000000"/>
          <w:sz w:val="32"/>
          <w:szCs w:val="32"/>
          <w:lang w:eastAsia="zh-CN"/>
        </w:rPr>
        <w:t>，</w:t>
      </w:r>
      <w:r>
        <w:rPr>
          <w:rFonts w:hint="eastAsia" w:ascii="仿宋" w:hAnsi="仿宋" w:eastAsia="仿宋"/>
          <w:color w:val="000000"/>
          <w:sz w:val="32"/>
          <w:szCs w:val="32"/>
          <w:lang w:val="en-US" w:eastAsia="zh-CN"/>
        </w:rPr>
        <w:t>原因是：按照中央八项规定的要求，严格控制公务接待</w:t>
      </w:r>
      <w:r>
        <w:rPr>
          <w:rFonts w:hint="eastAsia" w:ascii="仿宋" w:hAnsi="仿宋" w:eastAsia="仿宋"/>
          <w:color w:val="000000"/>
          <w:sz w:val="32"/>
          <w:szCs w:val="32"/>
        </w:rPr>
        <w:t>；公务用车运行维护费0万元，较上年无增减变化</w:t>
      </w:r>
      <w:r>
        <w:rPr>
          <w:rFonts w:hint="eastAsia" w:ascii="仿宋" w:hAnsi="仿宋" w:eastAsia="仿宋"/>
          <w:color w:val="000000"/>
          <w:sz w:val="32"/>
          <w:szCs w:val="32"/>
          <w:lang w:eastAsia="zh-CN"/>
        </w:rPr>
        <w:t>，</w:t>
      </w:r>
      <w:r>
        <w:rPr>
          <w:rFonts w:hint="eastAsia" w:ascii="仿宋" w:hAnsi="仿宋" w:eastAsia="仿宋"/>
          <w:color w:val="000000"/>
          <w:sz w:val="32"/>
          <w:szCs w:val="32"/>
          <w:lang w:val="en-US" w:eastAsia="zh-CN"/>
        </w:rPr>
        <w:t>原因是：我部门无公务用车</w:t>
      </w:r>
      <w:r>
        <w:rPr>
          <w:rFonts w:hint="eastAsia" w:ascii="仿宋" w:hAnsi="仿宋" w:eastAsia="仿宋"/>
          <w:color w:val="000000"/>
          <w:sz w:val="32"/>
          <w:szCs w:val="32"/>
        </w:rPr>
        <w:t>；公务用车购置费0万元，较上年无增减变化</w:t>
      </w:r>
      <w:r>
        <w:rPr>
          <w:rFonts w:hint="eastAsia" w:ascii="仿宋" w:hAnsi="仿宋" w:eastAsia="仿宋"/>
          <w:color w:val="000000"/>
          <w:sz w:val="32"/>
          <w:szCs w:val="32"/>
          <w:lang w:eastAsia="zh-CN"/>
        </w:rPr>
        <w:t>，</w:t>
      </w:r>
      <w:r>
        <w:rPr>
          <w:rFonts w:hint="eastAsia" w:ascii="仿宋" w:hAnsi="仿宋" w:eastAsia="仿宋"/>
          <w:color w:val="000000"/>
          <w:sz w:val="32"/>
          <w:szCs w:val="32"/>
          <w:lang w:val="en-US" w:eastAsia="zh-CN"/>
        </w:rPr>
        <w:t>原因是：我部门无公务用车</w:t>
      </w:r>
      <w:r>
        <w:rPr>
          <w:rFonts w:hint="eastAsia" w:ascii="仿宋" w:hAnsi="仿宋" w:eastAsia="仿宋"/>
          <w:color w:val="000000"/>
          <w:sz w:val="32"/>
          <w:szCs w:val="32"/>
        </w:rPr>
        <w:t>。</w:t>
      </w:r>
    </w:p>
    <w:p>
      <w:pPr>
        <w:pBdr>
          <w:bottom w:val="single" w:color="FFFFFF" w:sz="4" w:space="31"/>
        </w:pBdr>
        <w:tabs>
          <w:tab w:val="left" w:pos="7380"/>
        </w:tabs>
        <w:autoSpaceDE w:val="0"/>
        <w:autoSpaceDN w:val="0"/>
        <w:adjustRightInd w:val="0"/>
        <w:snapToGrid w:val="0"/>
        <w:spacing w:line="360" w:lineRule="auto"/>
        <w:ind w:firstLine="640"/>
        <w:rPr>
          <w:rFonts w:ascii="仿宋" w:hAnsi="仿宋" w:eastAsia="仿宋" w:cs="宋体"/>
          <w:color w:val="000000"/>
          <w:kern w:val="0"/>
          <w:sz w:val="32"/>
          <w:szCs w:val="32"/>
        </w:rPr>
      </w:pPr>
      <w:r>
        <w:rPr>
          <w:rFonts w:hint="eastAsia" w:ascii="仿宋" w:hAnsi="仿宋" w:eastAsia="仿宋" w:cs="仿宋"/>
          <w:sz w:val="32"/>
          <w:szCs w:val="32"/>
        </w:rPr>
        <w:t>本部门无2019年结转的财政拨款“三公”经费支出。</w:t>
      </w:r>
    </w:p>
    <w:p>
      <w:pPr>
        <w:pBdr>
          <w:bottom w:val="single" w:color="FFFFFF" w:sz="4" w:space="31"/>
        </w:pBdr>
        <w:tabs>
          <w:tab w:val="left" w:pos="7380"/>
        </w:tabs>
        <w:autoSpaceDE w:val="0"/>
        <w:autoSpaceDN w:val="0"/>
        <w:adjustRightInd w:val="0"/>
        <w:snapToGrid w:val="0"/>
        <w:spacing w:line="360" w:lineRule="auto"/>
        <w:ind w:firstLine="643"/>
        <w:rPr>
          <w:rFonts w:ascii="仿宋" w:hAnsi="仿宋" w:eastAsia="仿宋" w:cs="仿宋"/>
          <w:b/>
          <w:bCs/>
          <w:sz w:val="32"/>
          <w:szCs w:val="32"/>
        </w:rPr>
      </w:pPr>
      <w:r>
        <w:rPr>
          <w:rFonts w:hint="eastAsia" w:ascii="仿宋" w:hAnsi="仿宋" w:eastAsia="仿宋" w:cs="仿宋"/>
          <w:b/>
          <w:bCs/>
          <w:sz w:val="32"/>
          <w:szCs w:val="32"/>
        </w:rPr>
        <w:t>七、部门国有资产占有使用及资产购置情况说明</w:t>
      </w:r>
    </w:p>
    <w:p>
      <w:pPr>
        <w:pBdr>
          <w:bottom w:val="single" w:color="FFFFFF" w:sz="4" w:space="31"/>
        </w:pBdr>
        <w:tabs>
          <w:tab w:val="left" w:pos="7380"/>
        </w:tabs>
        <w:autoSpaceDE w:val="0"/>
        <w:autoSpaceDN w:val="0"/>
        <w:adjustRightInd w:val="0"/>
        <w:snapToGrid w:val="0"/>
        <w:spacing w:line="360" w:lineRule="auto"/>
        <w:ind w:firstLine="640"/>
        <w:rPr>
          <w:rFonts w:ascii="仿宋" w:hAnsi="仿宋" w:eastAsia="仿宋" w:cs="宋体"/>
          <w:color w:val="000000"/>
          <w:kern w:val="0"/>
          <w:sz w:val="32"/>
          <w:szCs w:val="32"/>
        </w:rPr>
      </w:pPr>
      <w:r>
        <w:rPr>
          <w:rFonts w:hint="eastAsia" w:ascii="仿宋" w:hAnsi="仿宋" w:eastAsia="仿宋" w:cs="仿宋"/>
          <w:sz w:val="32"/>
          <w:szCs w:val="32"/>
        </w:rPr>
        <w:t>截止2019年底，本部门所属预算单位无车辆，无单价20万元以上的设备。2020年当年部门预算未安排购置车辆；未安排购置单价20万元以上的设备。</w:t>
      </w:r>
    </w:p>
    <w:p>
      <w:pPr>
        <w:pBdr>
          <w:bottom w:val="single" w:color="FFFFFF" w:sz="4" w:space="31"/>
        </w:pBdr>
        <w:tabs>
          <w:tab w:val="left" w:pos="7380"/>
        </w:tabs>
        <w:autoSpaceDE w:val="0"/>
        <w:autoSpaceDN w:val="0"/>
        <w:adjustRightInd w:val="0"/>
        <w:snapToGrid w:val="0"/>
        <w:spacing w:line="360" w:lineRule="auto"/>
        <w:ind w:firstLine="640"/>
        <w:rPr>
          <w:rFonts w:ascii="仿宋" w:hAnsi="仿宋" w:eastAsia="仿宋" w:cs="宋体"/>
          <w:color w:val="000000"/>
          <w:kern w:val="0"/>
          <w:sz w:val="32"/>
          <w:szCs w:val="32"/>
        </w:rPr>
      </w:pPr>
      <w:r>
        <w:rPr>
          <w:rFonts w:hint="eastAsia" w:ascii="仿宋" w:hAnsi="仿宋" w:eastAsia="仿宋" w:cs="仿宋"/>
          <w:sz w:val="32"/>
          <w:szCs w:val="32"/>
        </w:rPr>
        <w:t>本部门无2019年结转的财政拨款支出资产购置。</w:t>
      </w:r>
    </w:p>
    <w:p>
      <w:pPr>
        <w:pBdr>
          <w:bottom w:val="single" w:color="FFFFFF" w:sz="4" w:space="31"/>
        </w:pBdr>
        <w:tabs>
          <w:tab w:val="left" w:pos="7380"/>
        </w:tabs>
        <w:autoSpaceDE w:val="0"/>
        <w:autoSpaceDN w:val="0"/>
        <w:adjustRightInd w:val="0"/>
        <w:snapToGrid w:val="0"/>
        <w:spacing w:line="360" w:lineRule="auto"/>
        <w:ind w:firstLine="643"/>
        <w:rPr>
          <w:rFonts w:ascii="仿宋" w:hAnsi="仿宋" w:eastAsia="仿宋" w:cs="宋体"/>
          <w:color w:val="000000"/>
          <w:kern w:val="0"/>
          <w:sz w:val="32"/>
          <w:szCs w:val="32"/>
        </w:rPr>
      </w:pPr>
      <w:r>
        <w:rPr>
          <w:rFonts w:hint="eastAsia" w:ascii="仿宋" w:hAnsi="仿宋" w:eastAsia="仿宋" w:cs="仿宋"/>
          <w:b/>
          <w:bCs/>
          <w:sz w:val="32"/>
          <w:szCs w:val="32"/>
        </w:rPr>
        <w:t>八、部门政府采购情况说明</w:t>
      </w:r>
    </w:p>
    <w:p>
      <w:pPr>
        <w:pBdr>
          <w:bottom w:val="single" w:color="FFFFFF" w:sz="4" w:space="31"/>
        </w:pBdr>
        <w:tabs>
          <w:tab w:val="left" w:pos="7380"/>
        </w:tabs>
        <w:autoSpaceDE w:val="0"/>
        <w:autoSpaceDN w:val="0"/>
        <w:adjustRightInd w:val="0"/>
        <w:snapToGrid w:val="0"/>
        <w:spacing w:line="360" w:lineRule="auto"/>
        <w:ind w:firstLine="512" w:firstLineChars="160"/>
        <w:rPr>
          <w:rFonts w:ascii="仿宋" w:hAnsi="仿宋" w:eastAsia="仿宋" w:cs="宋体"/>
          <w:color w:val="000000"/>
          <w:kern w:val="0"/>
          <w:sz w:val="32"/>
          <w:szCs w:val="32"/>
        </w:rPr>
      </w:pPr>
      <w:r>
        <w:rPr>
          <w:rFonts w:hint="eastAsia" w:ascii="仿宋" w:hAnsi="仿宋" w:eastAsia="仿宋" w:cs="仿宋"/>
          <w:sz w:val="32"/>
          <w:szCs w:val="32"/>
        </w:rPr>
        <w:t>本部门2020年无政府采购预算，并已公开空表</w:t>
      </w:r>
    </w:p>
    <w:p>
      <w:pPr>
        <w:pBdr>
          <w:bottom w:val="single" w:color="FFFFFF" w:sz="4" w:space="31"/>
        </w:pBdr>
        <w:tabs>
          <w:tab w:val="left" w:pos="7380"/>
        </w:tabs>
        <w:autoSpaceDE w:val="0"/>
        <w:autoSpaceDN w:val="0"/>
        <w:adjustRightInd w:val="0"/>
        <w:snapToGrid w:val="0"/>
        <w:spacing w:line="360" w:lineRule="auto"/>
        <w:ind w:firstLine="512" w:firstLineChars="160"/>
        <w:rPr>
          <w:rFonts w:ascii="仿宋" w:hAnsi="仿宋" w:eastAsia="仿宋" w:cs="宋体"/>
          <w:color w:val="000000"/>
          <w:kern w:val="0"/>
          <w:sz w:val="32"/>
          <w:szCs w:val="32"/>
        </w:rPr>
      </w:pPr>
      <w:r>
        <w:rPr>
          <w:rFonts w:hint="eastAsia" w:ascii="仿宋" w:hAnsi="仿宋" w:eastAsia="仿宋" w:cs="仿宋"/>
          <w:sz w:val="32"/>
          <w:szCs w:val="32"/>
        </w:rPr>
        <w:t>本部门无2019年结转的政府采购资金支出。</w:t>
      </w:r>
    </w:p>
    <w:p>
      <w:pPr>
        <w:pBdr>
          <w:bottom w:val="single" w:color="FFFFFF" w:sz="4" w:space="31"/>
        </w:pBdr>
        <w:tabs>
          <w:tab w:val="left" w:pos="7380"/>
        </w:tabs>
        <w:autoSpaceDE w:val="0"/>
        <w:autoSpaceDN w:val="0"/>
        <w:adjustRightInd w:val="0"/>
        <w:snapToGrid w:val="0"/>
        <w:spacing w:line="360" w:lineRule="auto"/>
        <w:ind w:firstLine="643"/>
        <w:rPr>
          <w:rFonts w:ascii="仿宋" w:hAnsi="仿宋" w:eastAsia="仿宋" w:cs="宋体"/>
          <w:color w:val="000000"/>
          <w:kern w:val="0"/>
          <w:sz w:val="32"/>
          <w:szCs w:val="32"/>
        </w:rPr>
      </w:pPr>
      <w:r>
        <w:rPr>
          <w:rFonts w:hint="eastAsia" w:ascii="仿宋" w:hAnsi="仿宋" w:eastAsia="仿宋" w:cs="仿宋"/>
          <w:b/>
          <w:bCs/>
          <w:sz w:val="32"/>
          <w:szCs w:val="32"/>
        </w:rPr>
        <w:t>九、部门预算绩效目标说明</w:t>
      </w:r>
    </w:p>
    <w:p>
      <w:pPr>
        <w:pBdr>
          <w:bottom w:val="single" w:color="FFFFFF" w:sz="4" w:space="31"/>
        </w:pBdr>
        <w:tabs>
          <w:tab w:val="left" w:pos="7380"/>
        </w:tabs>
        <w:autoSpaceDE w:val="0"/>
        <w:autoSpaceDN w:val="0"/>
        <w:adjustRightInd w:val="0"/>
        <w:snapToGrid w:val="0"/>
        <w:spacing w:line="360" w:lineRule="auto"/>
        <w:ind w:firstLine="640"/>
        <w:rPr>
          <w:rFonts w:hint="eastAsia" w:ascii="仿宋" w:hAnsi="仿宋" w:eastAsia="仿宋" w:cs="仿宋"/>
          <w:sz w:val="32"/>
          <w:szCs w:val="32"/>
          <w:lang w:val="en-US" w:eastAsia="zh-CN"/>
        </w:rPr>
      </w:pPr>
      <w:r>
        <w:rPr>
          <w:rFonts w:hint="eastAsia" w:ascii="仿宋" w:hAnsi="仿宋" w:eastAsia="仿宋" w:cs="仿宋"/>
          <w:sz w:val="32"/>
          <w:szCs w:val="32"/>
        </w:rPr>
        <w:t>2020年本部门绩效目标管理全覆盖，涉及当年一般公共预算拨款1145.71万元</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年度目标：完成财政收入、支出任务；做好单位资产购置审批，资产信息化管理，行政事业单位资产处置；做好行政事业单位非税收入征管工作；完成单位预算绩效评价工作，做好返乡农民工创业贴息贷款工作。本年度任务具体为：贯彻执行国家财政、税收法律、编制预决算、负责国库集中支付、承担全县各项财政收支管理，373.55万元，负责国有资产管理，93.49万元，负责政府非税收入管理，104.55万元，负责预算绩效评价及返乡农民工创业贷款，42.13万元，组织实施政府集中采购，124.27万元，，负责国有企业财务的监督和管理，151.10万元，负责单位零余额管理及开具财政直接支付令等，256.62万元。</w:t>
      </w:r>
    </w:p>
    <w:p>
      <w:pPr>
        <w:pBdr>
          <w:bottom w:val="single" w:color="FFFFFF" w:sz="4" w:space="31"/>
        </w:pBdr>
        <w:tabs>
          <w:tab w:val="left" w:pos="7380"/>
        </w:tabs>
        <w:autoSpaceDE w:val="0"/>
        <w:autoSpaceDN w:val="0"/>
        <w:adjustRightInd w:val="0"/>
        <w:snapToGrid w:val="0"/>
        <w:spacing w:line="360" w:lineRule="auto"/>
        <w:ind w:firstLine="640"/>
        <w:rPr>
          <w:rFonts w:ascii="仿宋" w:hAnsi="仿宋" w:eastAsia="仿宋" w:cs="宋体"/>
          <w:color w:val="000000"/>
          <w:kern w:val="0"/>
          <w:sz w:val="32"/>
          <w:szCs w:val="32"/>
        </w:rPr>
      </w:pPr>
      <w:r>
        <w:rPr>
          <w:rFonts w:hint="eastAsia" w:ascii="仿宋" w:hAnsi="仿宋" w:eastAsia="仿宋" w:cs="仿宋"/>
          <w:sz w:val="32"/>
          <w:szCs w:val="32"/>
        </w:rPr>
        <w:t>当年无政府性基金预算拨款及国有资本经营预算拨款。</w:t>
      </w:r>
    </w:p>
    <w:p>
      <w:pPr>
        <w:pBdr>
          <w:bottom w:val="single" w:color="FFFFFF" w:sz="4" w:space="31"/>
        </w:pBdr>
        <w:tabs>
          <w:tab w:val="left" w:pos="7380"/>
        </w:tabs>
        <w:autoSpaceDE w:val="0"/>
        <w:autoSpaceDN w:val="0"/>
        <w:adjustRightInd w:val="0"/>
        <w:snapToGrid w:val="0"/>
        <w:spacing w:line="360" w:lineRule="auto"/>
        <w:ind w:firstLine="640"/>
        <w:rPr>
          <w:rFonts w:ascii="仿宋" w:hAnsi="仿宋" w:eastAsia="仿宋" w:cs="宋体"/>
          <w:color w:val="000000"/>
          <w:kern w:val="0"/>
          <w:sz w:val="32"/>
          <w:szCs w:val="32"/>
        </w:rPr>
      </w:pPr>
      <w:r>
        <w:rPr>
          <w:rFonts w:hint="eastAsia" w:ascii="仿宋" w:hAnsi="仿宋" w:eastAsia="仿宋" w:cs="仿宋"/>
          <w:sz w:val="32"/>
          <w:szCs w:val="32"/>
        </w:rPr>
        <w:t>本部门无2019年结转的财政拨款支出涉及的绩效目标管理。</w:t>
      </w:r>
    </w:p>
    <w:p>
      <w:pPr>
        <w:pBdr>
          <w:bottom w:val="single" w:color="FFFFFF" w:sz="4" w:space="31"/>
        </w:pBdr>
        <w:tabs>
          <w:tab w:val="left" w:pos="7380"/>
        </w:tabs>
        <w:autoSpaceDE w:val="0"/>
        <w:autoSpaceDN w:val="0"/>
        <w:adjustRightInd w:val="0"/>
        <w:snapToGrid w:val="0"/>
        <w:spacing w:line="360" w:lineRule="auto"/>
        <w:ind w:firstLine="643"/>
        <w:rPr>
          <w:rFonts w:ascii="仿宋" w:hAnsi="仿宋" w:eastAsia="仿宋" w:cs="仿宋"/>
          <w:b/>
          <w:bCs/>
          <w:sz w:val="32"/>
          <w:szCs w:val="32"/>
        </w:rPr>
      </w:pPr>
      <w:r>
        <w:rPr>
          <w:rFonts w:hint="eastAsia" w:ascii="仿宋" w:hAnsi="仿宋" w:eastAsia="仿宋" w:cs="仿宋"/>
          <w:b/>
          <w:bCs/>
          <w:sz w:val="32"/>
          <w:szCs w:val="32"/>
        </w:rPr>
        <w:t>十、机关运行经费安排说明</w:t>
      </w:r>
    </w:p>
    <w:p>
      <w:pPr>
        <w:pBdr>
          <w:bottom w:val="single" w:color="FFFFFF" w:sz="4" w:space="31"/>
        </w:pBdr>
        <w:tabs>
          <w:tab w:val="left" w:pos="7380"/>
        </w:tabs>
        <w:autoSpaceDE w:val="0"/>
        <w:autoSpaceDN w:val="0"/>
        <w:adjustRightInd w:val="0"/>
        <w:snapToGrid w:val="0"/>
        <w:spacing w:line="360" w:lineRule="auto"/>
        <w:ind w:firstLine="640"/>
        <w:rPr>
          <w:rFonts w:ascii="仿宋" w:hAnsi="仿宋" w:eastAsia="仿宋" w:cs="宋体"/>
          <w:color w:val="000000" w:themeColor="text1"/>
          <w:kern w:val="0"/>
          <w:sz w:val="32"/>
          <w:szCs w:val="32"/>
        </w:rPr>
      </w:pPr>
      <w:r>
        <w:rPr>
          <w:rFonts w:hint="eastAsia" w:ascii="仿宋" w:hAnsi="仿宋" w:eastAsia="仿宋" w:cs="仿宋"/>
          <w:color w:val="000000" w:themeColor="text1"/>
          <w:sz w:val="32"/>
          <w:szCs w:val="32"/>
        </w:rPr>
        <w:t>本部门当年机关运行经费预算安排101.11万元，较上年减少14.59万元，主要原因是财力紧张，我单位</w:t>
      </w:r>
      <w:r>
        <w:rPr>
          <w:rFonts w:hint="eastAsia" w:ascii="仿宋" w:hAnsi="仿宋" w:eastAsia="仿宋"/>
          <w:color w:val="000000" w:themeColor="text1"/>
          <w:sz w:val="32"/>
          <w:szCs w:val="32"/>
        </w:rPr>
        <w:t>结合“</w:t>
      </w:r>
      <w:r>
        <w:rPr>
          <w:rFonts w:hint="eastAsia" w:ascii="仿宋" w:hAnsi="仿宋" w:eastAsia="仿宋"/>
          <w:color w:val="000000" w:themeColor="text1"/>
          <w:sz w:val="32"/>
          <w:szCs w:val="32"/>
          <w:lang w:eastAsia="zh-CN"/>
        </w:rPr>
        <w:t>中央</w:t>
      </w:r>
      <w:r>
        <w:rPr>
          <w:rFonts w:hint="eastAsia" w:ascii="仿宋" w:hAnsi="仿宋" w:eastAsia="仿宋"/>
          <w:color w:val="000000" w:themeColor="text1"/>
          <w:sz w:val="32"/>
          <w:szCs w:val="32"/>
        </w:rPr>
        <w:t>八项规定”，切实厉行节约，严格控制机关运行经费</w:t>
      </w:r>
      <w:r>
        <w:rPr>
          <w:rFonts w:hint="eastAsia" w:ascii="仿宋" w:hAnsi="仿宋" w:eastAsia="仿宋" w:cs="仿宋"/>
          <w:color w:val="000000" w:themeColor="text1"/>
          <w:sz w:val="32"/>
          <w:szCs w:val="32"/>
        </w:rPr>
        <w:t>。</w:t>
      </w:r>
    </w:p>
    <w:p>
      <w:pPr>
        <w:pBdr>
          <w:bottom w:val="single" w:color="FFFFFF" w:sz="4" w:space="31"/>
        </w:pBdr>
        <w:tabs>
          <w:tab w:val="left" w:pos="7380"/>
        </w:tabs>
        <w:autoSpaceDE w:val="0"/>
        <w:autoSpaceDN w:val="0"/>
        <w:adjustRightInd w:val="0"/>
        <w:snapToGrid w:val="0"/>
        <w:spacing w:line="360" w:lineRule="auto"/>
        <w:ind w:firstLine="640"/>
        <w:rPr>
          <w:rFonts w:ascii="仿宋" w:hAnsi="仿宋" w:eastAsia="仿宋" w:cs="宋体"/>
          <w:color w:val="000000"/>
          <w:kern w:val="0"/>
          <w:sz w:val="32"/>
          <w:szCs w:val="32"/>
        </w:rPr>
      </w:pPr>
      <w:r>
        <w:rPr>
          <w:rFonts w:hint="eastAsia" w:ascii="仿宋" w:hAnsi="仿宋" w:eastAsia="仿宋" w:cs="仿宋"/>
          <w:sz w:val="32"/>
          <w:szCs w:val="32"/>
        </w:rPr>
        <w:t>本部门无2019年结转的财政拨款机关运行经费支出。</w:t>
      </w:r>
    </w:p>
    <w:p>
      <w:pPr>
        <w:pBdr>
          <w:bottom w:val="single" w:color="FFFFFF" w:sz="4" w:space="31"/>
        </w:pBdr>
        <w:tabs>
          <w:tab w:val="left" w:pos="7380"/>
        </w:tabs>
        <w:autoSpaceDE w:val="0"/>
        <w:autoSpaceDN w:val="0"/>
        <w:adjustRightInd w:val="0"/>
        <w:snapToGrid w:val="0"/>
        <w:spacing w:line="360" w:lineRule="auto"/>
        <w:ind w:firstLine="643"/>
        <w:rPr>
          <w:rFonts w:ascii="仿宋" w:hAnsi="仿宋" w:eastAsia="仿宋" w:cs="宋体"/>
          <w:color w:val="000000"/>
          <w:kern w:val="0"/>
          <w:sz w:val="32"/>
          <w:szCs w:val="32"/>
        </w:rPr>
      </w:pPr>
      <w:r>
        <w:rPr>
          <w:rFonts w:hint="eastAsia" w:ascii="仿宋" w:hAnsi="仿宋" w:eastAsia="仿宋" w:cs="仿宋"/>
          <w:b/>
          <w:bCs/>
          <w:sz w:val="32"/>
          <w:szCs w:val="32"/>
        </w:rPr>
        <w:t>十一、专业名词解释</w:t>
      </w:r>
    </w:p>
    <w:p>
      <w:pPr>
        <w:pBdr>
          <w:bottom w:val="single" w:color="FFFFFF" w:sz="4" w:space="31"/>
        </w:pBdr>
        <w:tabs>
          <w:tab w:val="left" w:pos="7380"/>
        </w:tabs>
        <w:autoSpaceDE w:val="0"/>
        <w:autoSpaceDN w:val="0"/>
        <w:adjustRightInd w:val="0"/>
        <w:snapToGrid w:val="0"/>
        <w:spacing w:line="360" w:lineRule="auto"/>
        <w:ind w:firstLine="640"/>
        <w:rPr>
          <w:rFonts w:ascii="仿宋" w:hAnsi="仿宋" w:eastAsia="仿宋" w:cs="宋体"/>
          <w:color w:val="000000"/>
          <w:kern w:val="0"/>
          <w:sz w:val="32"/>
          <w:szCs w:val="32"/>
        </w:rPr>
      </w:pPr>
      <w:r>
        <w:rPr>
          <w:rFonts w:hint="eastAsia" w:ascii="仿宋" w:hAnsi="仿宋" w:eastAsia="仿宋" w:cs="仿宋"/>
          <w:sz w:val="32"/>
          <w:szCs w:val="32"/>
        </w:rPr>
        <w:t>1.机关运行经费：指各部门的公用经费，包括办公及印刷费、邮电费、差旅费、会议费、福利费、日常维修费、专用材料及一般设备购置费、办公用房水电费、办公用房取暖费、办公用房物业管理费、公务用车运行费以及其他费用。</w:t>
      </w:r>
    </w:p>
    <w:p>
      <w:pPr>
        <w:pBdr>
          <w:bottom w:val="single" w:color="FFFFFF" w:sz="4" w:space="31"/>
        </w:pBdr>
        <w:tabs>
          <w:tab w:val="left" w:pos="7380"/>
        </w:tabs>
        <w:autoSpaceDE w:val="0"/>
        <w:autoSpaceDN w:val="0"/>
        <w:adjustRightInd w:val="0"/>
        <w:snapToGrid w:val="0"/>
        <w:spacing w:line="360" w:lineRule="auto"/>
        <w:ind w:firstLine="640"/>
        <w:rPr>
          <w:rFonts w:ascii="仿宋" w:hAnsi="仿宋" w:eastAsia="仿宋"/>
          <w:color w:val="000000"/>
          <w:sz w:val="32"/>
          <w:szCs w:val="32"/>
        </w:rPr>
      </w:pPr>
      <w:r>
        <w:rPr>
          <w:rFonts w:ascii="仿宋" w:hAnsi="仿宋" w:eastAsia="仿宋"/>
          <w:color w:val="000000"/>
          <w:sz w:val="32"/>
          <w:szCs w:val="32"/>
        </w:rPr>
        <w:t>2</w:t>
      </w:r>
      <w:r>
        <w:rPr>
          <w:rFonts w:hint="eastAsia" w:ascii="仿宋" w:hAnsi="仿宋" w:eastAsia="仿宋"/>
          <w:color w:val="000000"/>
          <w:sz w:val="32"/>
          <w:szCs w:val="32"/>
        </w:rPr>
        <w:t>、基本支出：指为保障机构正常运转、完成日常工作任务而发生的各项支出。</w:t>
      </w:r>
    </w:p>
    <w:p>
      <w:pPr>
        <w:pBdr>
          <w:bottom w:val="single" w:color="FFFFFF" w:sz="4" w:space="31"/>
        </w:pBdr>
        <w:tabs>
          <w:tab w:val="left" w:pos="7380"/>
        </w:tabs>
        <w:autoSpaceDE w:val="0"/>
        <w:autoSpaceDN w:val="0"/>
        <w:adjustRightInd w:val="0"/>
        <w:snapToGrid w:val="0"/>
        <w:spacing w:line="360" w:lineRule="auto"/>
        <w:ind w:firstLine="640"/>
        <w:rPr>
          <w:rFonts w:ascii="仿宋" w:hAnsi="仿宋" w:eastAsia="仿宋"/>
          <w:color w:val="000000"/>
          <w:sz w:val="32"/>
          <w:szCs w:val="32"/>
        </w:rPr>
      </w:pPr>
      <w:r>
        <w:rPr>
          <w:rFonts w:ascii="仿宋" w:hAnsi="仿宋" w:eastAsia="仿宋"/>
          <w:color w:val="000000"/>
          <w:sz w:val="32"/>
          <w:szCs w:val="32"/>
        </w:rPr>
        <w:t>3</w:t>
      </w:r>
      <w:r>
        <w:rPr>
          <w:rFonts w:hint="eastAsia" w:ascii="仿宋" w:hAnsi="仿宋" w:eastAsia="仿宋"/>
          <w:color w:val="000000"/>
          <w:sz w:val="32"/>
          <w:szCs w:val="32"/>
        </w:rPr>
        <w:t>、项目支出：指单位为完成特定的行政工作任务或事业发展目标所发生的各项支出。</w:t>
      </w:r>
    </w:p>
    <w:p>
      <w:pPr>
        <w:pBdr>
          <w:bottom w:val="single" w:color="FFFFFF" w:sz="4" w:space="31"/>
        </w:pBdr>
        <w:tabs>
          <w:tab w:val="left" w:pos="7380"/>
        </w:tabs>
        <w:autoSpaceDE w:val="0"/>
        <w:autoSpaceDN w:val="0"/>
        <w:adjustRightInd w:val="0"/>
        <w:snapToGrid w:val="0"/>
        <w:spacing w:line="360" w:lineRule="auto"/>
        <w:ind w:firstLine="640"/>
        <w:rPr>
          <w:rFonts w:ascii="仿宋" w:hAnsi="仿宋" w:eastAsia="仿宋"/>
          <w:color w:val="000000"/>
          <w:sz w:val="32"/>
          <w:szCs w:val="32"/>
        </w:rPr>
      </w:pPr>
      <w:r>
        <w:rPr>
          <w:rFonts w:ascii="仿宋" w:hAnsi="仿宋" w:eastAsia="仿宋"/>
          <w:color w:val="000000"/>
          <w:sz w:val="32"/>
          <w:szCs w:val="32"/>
        </w:rPr>
        <w:t>4</w:t>
      </w:r>
      <w:r>
        <w:rPr>
          <w:rFonts w:hint="eastAsia" w:ascii="仿宋" w:hAnsi="仿宋" w:eastAsia="仿宋"/>
          <w:color w:val="000000"/>
          <w:sz w:val="32"/>
          <w:szCs w:val="32"/>
        </w:rPr>
        <w:t>、“三公”经费：指部门使用一般公共预算财政拨款安排的因公出国（境）费、公务用车购置及运行费和公务接待费支出。</w:t>
      </w:r>
    </w:p>
    <w:p>
      <w:pPr>
        <w:spacing w:line="360" w:lineRule="auto"/>
        <w:ind w:firstLine="643"/>
        <w:jc w:val="center"/>
        <w:rPr>
          <w:rFonts w:ascii="仿宋" w:hAnsi="仿宋" w:eastAsia="仿宋" w:cs="仿宋"/>
          <w:b/>
          <w:bCs/>
          <w:sz w:val="32"/>
          <w:szCs w:val="32"/>
        </w:rPr>
      </w:pPr>
      <w:r>
        <w:rPr>
          <w:rFonts w:hint="eastAsia" w:ascii="仿宋" w:hAnsi="仿宋" w:eastAsia="仿宋" w:cs="仿宋"/>
          <w:b/>
          <w:bCs/>
          <w:sz w:val="32"/>
          <w:szCs w:val="32"/>
        </w:rPr>
        <w:t>第四部分  公开报表</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（见附件2内容）</w:t>
      </w:r>
      <w:r>
        <w:rPr>
          <w:rFonts w:hint="eastAsia" w:ascii="仿宋" w:hAnsi="仿宋" w:eastAsia="仿宋" w:cs="仿宋"/>
          <w:sz w:val="32"/>
          <w:szCs w:val="32"/>
        </w:rPr>
        <w:tab/>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pgNumType w:fmt="numberInDash" w:start="6"/>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r>
      <w:pict>
        <v:shape id="_x0000_s1026" o:spid="_x0000_s1026" o:spt="202" type="#_x0000_t202" style="position:absolute;left:0pt;margin-top:-2.3pt;height:21.1pt;width:80pt;mso-position-horizontal:outside;mso-position-horizontal-relative:margin;z-index:251659264;mso-width-relative:page;mso-height-relative:page;" filled="f" stroked="f" coordsize="21600,21600" o:gfxdata="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">
          <v:path/>
          <v:fill on="f" focussize="0,0"/>
          <v:stroke on="f" weight="0.5pt" joinstyle="miter"/>
          <v:imagedata o:title=""/>
          <o:lock v:ext="edit"/>
          <v:textbox inset="0mm,0mm,0mm,0mm">
            <w:txbxContent>
              <w:p>
                <w:pPr>
                  <w:pStyle w:val="3"/>
                  <w:ind w:firstLine="0" w:firstLineChars="0"/>
                  <w:rPr>
                    <w:sz w:val="28"/>
                    <w:szCs w:val="44"/>
                  </w:rPr>
                </w:pP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mVkMTgyMzllZmQyNTFlOWVlNDE1MDhmZDQxMmNlNTgifQ=="/>
    <w:docVar w:name="KSO_WPS_MARK_KEY" w:val="ef94bb9e-21d8-45f6-99b8-dc49bfdc7216"/>
  </w:docVars>
  <w:rsids>
    <w:rsidRoot w:val="1ED0381D"/>
    <w:rsid w:val="00014318"/>
    <w:rsid w:val="00021752"/>
    <w:rsid w:val="00023A4A"/>
    <w:rsid w:val="000562DC"/>
    <w:rsid w:val="00066D18"/>
    <w:rsid w:val="00066DFA"/>
    <w:rsid w:val="00086791"/>
    <w:rsid w:val="00091CF7"/>
    <w:rsid w:val="000932A8"/>
    <w:rsid w:val="000B65E0"/>
    <w:rsid w:val="000C16E4"/>
    <w:rsid w:val="001062D5"/>
    <w:rsid w:val="00120E23"/>
    <w:rsid w:val="00153B19"/>
    <w:rsid w:val="0017270C"/>
    <w:rsid w:val="001760CF"/>
    <w:rsid w:val="001768F0"/>
    <w:rsid w:val="00181B8C"/>
    <w:rsid w:val="00184B36"/>
    <w:rsid w:val="001B2C7C"/>
    <w:rsid w:val="001D60AC"/>
    <w:rsid w:val="001E7DFD"/>
    <w:rsid w:val="00225FAE"/>
    <w:rsid w:val="00265C54"/>
    <w:rsid w:val="002701E6"/>
    <w:rsid w:val="00286A34"/>
    <w:rsid w:val="002C249B"/>
    <w:rsid w:val="002E1930"/>
    <w:rsid w:val="002E5D66"/>
    <w:rsid w:val="002F379C"/>
    <w:rsid w:val="003503A6"/>
    <w:rsid w:val="003532A8"/>
    <w:rsid w:val="00356520"/>
    <w:rsid w:val="00360ED5"/>
    <w:rsid w:val="00390ABA"/>
    <w:rsid w:val="003D5080"/>
    <w:rsid w:val="003D59BE"/>
    <w:rsid w:val="00416BB3"/>
    <w:rsid w:val="004258E1"/>
    <w:rsid w:val="0044733E"/>
    <w:rsid w:val="004601F5"/>
    <w:rsid w:val="00465768"/>
    <w:rsid w:val="0048097C"/>
    <w:rsid w:val="00495BEF"/>
    <w:rsid w:val="004A6848"/>
    <w:rsid w:val="004F3B98"/>
    <w:rsid w:val="005213DD"/>
    <w:rsid w:val="00533176"/>
    <w:rsid w:val="00555E73"/>
    <w:rsid w:val="00571F50"/>
    <w:rsid w:val="00575856"/>
    <w:rsid w:val="0057659C"/>
    <w:rsid w:val="00594548"/>
    <w:rsid w:val="00596C26"/>
    <w:rsid w:val="005B25BE"/>
    <w:rsid w:val="005C2D44"/>
    <w:rsid w:val="005E61BE"/>
    <w:rsid w:val="005E7350"/>
    <w:rsid w:val="005F0B4E"/>
    <w:rsid w:val="00605082"/>
    <w:rsid w:val="00621AD4"/>
    <w:rsid w:val="00670DA4"/>
    <w:rsid w:val="00691435"/>
    <w:rsid w:val="006A05B1"/>
    <w:rsid w:val="006E208F"/>
    <w:rsid w:val="00700685"/>
    <w:rsid w:val="00733077"/>
    <w:rsid w:val="007709FB"/>
    <w:rsid w:val="00772401"/>
    <w:rsid w:val="00774A59"/>
    <w:rsid w:val="007E788E"/>
    <w:rsid w:val="00834AF8"/>
    <w:rsid w:val="00843590"/>
    <w:rsid w:val="0085012A"/>
    <w:rsid w:val="0085501F"/>
    <w:rsid w:val="0087593A"/>
    <w:rsid w:val="008B19E0"/>
    <w:rsid w:val="008C72D5"/>
    <w:rsid w:val="008D286C"/>
    <w:rsid w:val="008D3F7A"/>
    <w:rsid w:val="008E552A"/>
    <w:rsid w:val="008E6D8E"/>
    <w:rsid w:val="009323FD"/>
    <w:rsid w:val="0094155E"/>
    <w:rsid w:val="00950478"/>
    <w:rsid w:val="00970ED5"/>
    <w:rsid w:val="009748A5"/>
    <w:rsid w:val="009B4E42"/>
    <w:rsid w:val="009B6591"/>
    <w:rsid w:val="009F0D19"/>
    <w:rsid w:val="00A060F2"/>
    <w:rsid w:val="00A5327E"/>
    <w:rsid w:val="00A6254D"/>
    <w:rsid w:val="00A960F0"/>
    <w:rsid w:val="00AA0980"/>
    <w:rsid w:val="00AA7293"/>
    <w:rsid w:val="00AB7D07"/>
    <w:rsid w:val="00AD61BC"/>
    <w:rsid w:val="00B160F0"/>
    <w:rsid w:val="00B872F4"/>
    <w:rsid w:val="00B957FB"/>
    <w:rsid w:val="00BA6EB7"/>
    <w:rsid w:val="00BB76F8"/>
    <w:rsid w:val="00BC3AA0"/>
    <w:rsid w:val="00BC6F18"/>
    <w:rsid w:val="00BD2BD0"/>
    <w:rsid w:val="00BD5850"/>
    <w:rsid w:val="00BE2C3D"/>
    <w:rsid w:val="00C5043B"/>
    <w:rsid w:val="00C84E79"/>
    <w:rsid w:val="00CC6708"/>
    <w:rsid w:val="00D15D6D"/>
    <w:rsid w:val="00D73F0F"/>
    <w:rsid w:val="00DA5BAC"/>
    <w:rsid w:val="00DB4745"/>
    <w:rsid w:val="00E025B7"/>
    <w:rsid w:val="00E041AA"/>
    <w:rsid w:val="00E047B3"/>
    <w:rsid w:val="00E34B9E"/>
    <w:rsid w:val="00E44B02"/>
    <w:rsid w:val="00E57207"/>
    <w:rsid w:val="00E82DA5"/>
    <w:rsid w:val="00E86DE8"/>
    <w:rsid w:val="00ED41E5"/>
    <w:rsid w:val="00ED5490"/>
    <w:rsid w:val="00EE7F4E"/>
    <w:rsid w:val="00EF4438"/>
    <w:rsid w:val="00F12B09"/>
    <w:rsid w:val="00F474A1"/>
    <w:rsid w:val="00F54085"/>
    <w:rsid w:val="00F55274"/>
    <w:rsid w:val="00F55EF5"/>
    <w:rsid w:val="00F61A77"/>
    <w:rsid w:val="00F63694"/>
    <w:rsid w:val="00F93025"/>
    <w:rsid w:val="00FC4E32"/>
    <w:rsid w:val="055A1918"/>
    <w:rsid w:val="121110E6"/>
    <w:rsid w:val="19D6300C"/>
    <w:rsid w:val="1CF7126E"/>
    <w:rsid w:val="1ED0381D"/>
    <w:rsid w:val="22BC4C00"/>
    <w:rsid w:val="24220F39"/>
    <w:rsid w:val="34DA761D"/>
    <w:rsid w:val="4FDA48B8"/>
    <w:rsid w:val="51EF71CA"/>
    <w:rsid w:val="5C546F19"/>
    <w:rsid w:val="60A91864"/>
    <w:rsid w:val="680A78E7"/>
    <w:rsid w:val="70527932"/>
    <w:rsid w:val="790621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6" w:lineRule="exact"/>
      <w:ind w:firstLine="200" w:firstLineChars="200"/>
      <w:jc w:val="both"/>
    </w:pPr>
    <w:rPr>
      <w:rFonts w:ascii="Times New Roman" w:hAnsi="Times New Roman" w:eastAsia="宋体" w:cs="Times New Roman"/>
      <w:kern w:val="2"/>
      <w:sz w:val="24"/>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7"/>
    <w:qFormat/>
    <w:uiPriority w:val="0"/>
    <w:pPr>
      <w:spacing w:line="240" w:lineRule="auto"/>
    </w:pPr>
    <w:rPr>
      <w:sz w:val="18"/>
      <w:szCs w:val="18"/>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character" w:customStyle="1" w:styleId="7">
    <w:name w:val="批注框文本 Char"/>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customXml" Target="../customXml/item1.xml"/><Relationship Id="rId12" Type="http://schemas.openxmlformats.org/officeDocument/2006/relationships/chart" Target="charts/chart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7871720116619"/>
          <c:y val="0.0616740088105727"/>
          <c:w val="0.606413994169096"/>
          <c:h val="0.784140969162996"/>
        </c:manualLayout>
      </c:layout>
      <c:barChart>
        <c:barDir val="col"/>
        <c:grouping val="clustered"/>
        <c:varyColors val="0"/>
        <c:ser>
          <c:idx val="2"/>
          <c:order val="0"/>
          <c:tx>
            <c:strRef>
              <c:f>Sheet1!$A$2</c:f>
              <c:strCache>
                <c:ptCount val="1"/>
                <c:pt idx="0">
                  <c:v>行政编制</c:v>
                </c:pt>
              </c:strCache>
            </c:strRef>
          </c:tx>
          <c:spPr>
            <a:solidFill>
              <a:srgbClr val="FFFFCC"/>
            </a:solidFill>
            <a:ln w="12700">
              <a:solidFill>
                <a:srgbClr val="000000"/>
              </a:solidFill>
              <a:prstDash val="solid"/>
            </a:ln>
          </c:spPr>
          <c:invertIfNegative val="0"/>
          <c:dLbls>
            <c:delete val="1"/>
          </c:dLbls>
          <c:cat>
            <c:strRef>
              <c:f>Sheet1!$B$1:$C$1</c:f>
              <c:strCache>
                <c:ptCount val="2"/>
                <c:pt idx="0">
                  <c:v>编制数</c:v>
                </c:pt>
                <c:pt idx="1">
                  <c:v>实有人数</c:v>
                </c:pt>
              </c:strCache>
            </c:strRef>
          </c:cat>
          <c:val>
            <c:numRef>
              <c:f>Sheet1!$B$2:$C$2</c:f>
              <c:numCache>
                <c:formatCode>General</c:formatCode>
                <c:ptCount val="2"/>
                <c:pt idx="0">
                  <c:v>20</c:v>
                </c:pt>
                <c:pt idx="1">
                  <c:v>20</c:v>
                </c:pt>
              </c:numCache>
            </c:numRef>
          </c:val>
        </c:ser>
        <c:ser>
          <c:idx val="3"/>
          <c:order val="1"/>
          <c:tx>
            <c:strRef>
              <c:f>Sheet1!$A$3</c:f>
              <c:strCache>
                <c:ptCount val="1"/>
                <c:pt idx="0">
                  <c:v>事业编制</c:v>
                </c:pt>
              </c:strCache>
            </c:strRef>
          </c:tx>
          <c:spPr>
            <a:solidFill>
              <a:srgbClr val="CCFFFF"/>
            </a:solidFill>
            <a:ln w="12700">
              <a:solidFill>
                <a:srgbClr val="000000"/>
              </a:solidFill>
              <a:prstDash val="solid"/>
            </a:ln>
          </c:spPr>
          <c:invertIfNegative val="0"/>
          <c:dLbls>
            <c:delete val="1"/>
          </c:dLbls>
          <c:cat>
            <c:strRef>
              <c:f>Sheet1!$B$1:$C$1</c:f>
              <c:strCache>
                <c:ptCount val="2"/>
                <c:pt idx="0">
                  <c:v>编制数</c:v>
                </c:pt>
                <c:pt idx="1">
                  <c:v>实有人数</c:v>
                </c:pt>
              </c:strCache>
            </c:strRef>
          </c:cat>
          <c:val>
            <c:numRef>
              <c:f>Sheet1!$B$3:$C$3</c:f>
              <c:numCache>
                <c:formatCode>General</c:formatCode>
                <c:ptCount val="2"/>
                <c:pt idx="0">
                  <c:v>85</c:v>
                </c:pt>
                <c:pt idx="1">
                  <c:v>89</c:v>
                </c:pt>
              </c:numCache>
            </c:numRef>
          </c:val>
        </c:ser>
        <c:ser>
          <c:idx val="0"/>
          <c:order val="2"/>
          <c:tx>
            <c:strRef>
              <c:f>Sheet1!$A$4</c:f>
              <c:strCache>
                <c:ptCount val="1"/>
                <c:pt idx="0">
                  <c:v>总计</c:v>
                </c:pt>
              </c:strCache>
            </c:strRef>
          </c:tx>
          <c:spPr>
            <a:solidFill>
              <a:srgbClr val="9999FF"/>
            </a:solidFill>
            <a:ln w="12700">
              <a:solidFill>
                <a:srgbClr val="000000"/>
              </a:solidFill>
              <a:prstDash val="solid"/>
            </a:ln>
          </c:spPr>
          <c:invertIfNegative val="0"/>
          <c:dLbls>
            <c:delete val="1"/>
          </c:dLbls>
          <c:cat>
            <c:strRef>
              <c:f>Sheet1!$B$1:$C$1</c:f>
              <c:strCache>
                <c:ptCount val="2"/>
                <c:pt idx="0">
                  <c:v>编制数</c:v>
                </c:pt>
                <c:pt idx="1">
                  <c:v>实有人数</c:v>
                </c:pt>
              </c:strCache>
            </c:strRef>
          </c:cat>
          <c:val>
            <c:numRef>
              <c:f>Sheet1!$B$4:$C$4</c:f>
              <c:numCache>
                <c:formatCode>General</c:formatCode>
                <c:ptCount val="2"/>
                <c:pt idx="0">
                  <c:v>105</c:v>
                </c:pt>
                <c:pt idx="1">
                  <c:v>109</c:v>
                </c:pt>
              </c:numCache>
            </c:numRef>
          </c:val>
        </c:ser>
        <c:dLbls>
          <c:showLegendKey val="0"/>
          <c:showVal val="0"/>
          <c:showCatName val="0"/>
          <c:showSerName val="0"/>
          <c:showPercent val="0"/>
          <c:showBubbleSize val="0"/>
        </c:dLbls>
        <c:gapWidth val="150"/>
        <c:axId val="126525824"/>
        <c:axId val="126528128"/>
      </c:barChart>
      <c:catAx>
        <c:axId val="126525824"/>
        <c:scaling>
          <c:orientation val="minMax"/>
        </c:scaling>
        <c:delete val="0"/>
        <c:axPos val="b"/>
        <c:numFmt formatCode="General" sourceLinked="1"/>
        <c:majorTickMark val="in"/>
        <c:minorTickMark val="none"/>
        <c:tickLblPos val="low"/>
        <c:spPr>
          <a:ln w="3175" cap="flat" cmpd="sng" algn="ctr">
            <a:solidFill>
              <a:srgbClr val="000000"/>
            </a:solidFill>
            <a:prstDash val="solid"/>
            <a:round/>
          </a:ln>
        </c:spPr>
        <c:txPr>
          <a:bodyPr rot="0" spcFirstLastPara="0" vertOverflow="ellipsis" vert="horz" wrap="square" anchor="ctr" anchorCtr="1"/>
          <a:lstStyle/>
          <a:p>
            <a:pPr>
              <a:defRPr lang="zh-CN" sz="11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126528128"/>
        <c:crosses val="autoZero"/>
        <c:auto val="1"/>
        <c:lblAlgn val="ctr"/>
        <c:lblOffset val="100"/>
        <c:tickLblSkip val="1"/>
        <c:noMultiLvlLbl val="0"/>
      </c:catAx>
      <c:valAx>
        <c:axId val="126528128"/>
        <c:scaling>
          <c:orientation val="minMax"/>
        </c:scaling>
        <c:delete val="0"/>
        <c:axPos val="l"/>
        <c:majorGridlines>
          <c:spPr>
            <a:ln w="3175" cap="flat" cmpd="sng" algn="ctr">
              <a:solidFill>
                <a:srgbClr val="000000"/>
              </a:solidFill>
              <a:prstDash val="solid"/>
              <a:round/>
            </a:ln>
          </c:spPr>
        </c:majorGridlines>
        <c:numFmt formatCode="General" sourceLinked="1"/>
        <c:majorTickMark val="in"/>
        <c:minorTickMark val="none"/>
        <c:tickLblPos val="nextTo"/>
        <c:spPr>
          <a:ln w="3175" cap="flat" cmpd="sng" algn="ctr">
            <a:solidFill>
              <a:srgbClr val="000000"/>
            </a:solidFill>
            <a:prstDash val="solid"/>
            <a:round/>
          </a:ln>
        </c:spPr>
        <c:txPr>
          <a:bodyPr rot="0" spcFirstLastPara="0" vertOverflow="ellipsis" vert="horz" wrap="square" anchor="ctr" anchorCtr="1"/>
          <a:lstStyle/>
          <a:p>
            <a:pPr>
              <a:defRPr lang="zh-CN" sz="11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126525824"/>
        <c:crosses val="autoZero"/>
        <c:crossBetween val="between"/>
      </c:valAx>
      <c:spPr>
        <a:solidFill>
          <a:srgbClr val="C0C0C0"/>
        </a:solidFill>
        <a:ln w="12700">
          <a:solidFill>
            <a:srgbClr val="808080"/>
          </a:solidFill>
          <a:prstDash val="solid"/>
        </a:ln>
        <a:effectLst/>
      </c:spPr>
    </c:plotArea>
    <c:legend>
      <c:legendPos val="r"/>
      <c:layout>
        <c:manualLayout>
          <c:xMode val="edge"/>
          <c:yMode val="edge"/>
          <c:x val="0.746355685131198"/>
          <c:y val="0.365638766519825"/>
          <c:w val="0.24198250728863"/>
          <c:h val="0.268722466960354"/>
        </c:manualLayout>
      </c:layout>
      <c:overlay val="0"/>
      <c:spPr>
        <a:noFill/>
        <a:ln w="3175">
          <a:solidFill>
            <a:srgbClr val="000000"/>
          </a:solidFill>
          <a:prstDash val="solid"/>
        </a:ln>
      </c:spPr>
      <c:txPr>
        <a:bodyPr rot="0" spcFirstLastPara="0" vertOverflow="ellipsis" vert="horz" wrap="square" anchor="ctr" anchorCtr="1"/>
        <a:lstStyle/>
        <a:p>
          <a:pPr>
            <a:defRPr lang="zh-CN" sz="101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noFill/>
    <a:ln w="6350" cap="flat" cmpd="sng" algn="ctr">
      <a:noFill/>
      <a:prstDash val="solid"/>
      <a:round/>
    </a:ln>
  </c:spPr>
  <c:txPr>
    <a:bodyPr/>
    <a:lstStyle/>
    <a:p>
      <a:pPr>
        <a:defRPr lang="zh-CN" sz="11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9E3FD99-169E-4F1A-8D23-69B84A59FE5E}">
  <ds:schemaRefs/>
</ds:datastoreItem>
</file>

<file path=docProps/app.xml><?xml version="1.0" encoding="utf-8"?>
<Properties xmlns="http://schemas.openxmlformats.org/officeDocument/2006/extended-properties" xmlns:vt="http://schemas.openxmlformats.org/officeDocument/2006/docPropsVTypes">
  <Template>Normal.dotm</Template>
  <Pages>15</Pages>
  <Words>6444</Words>
  <Characters>7007</Characters>
  <Lines>48</Lines>
  <Paragraphs>13</Paragraphs>
  <TotalTime>18</TotalTime>
  <ScaleCrop>false</ScaleCrop>
  <LinksUpToDate>false</LinksUpToDate>
  <CharactersWithSpaces>7045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2019-11-29T08:56:00Z</dcterms:created>
  <dc:creator>郭超(拟稿)</dc:creator>
  <cp:lastModifiedBy>lenovo</cp:lastModifiedBy>
  <cp:lastPrinted>2020-01-06T07:32:00Z</cp:lastPrinted>
  <dcterms:modified xsi:type="dcterms:W3CDTF">2024-05-27T01:57:51Z</dcterms:modified>
  <cp:revision>92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A8FC9B0D98514320AA497F97856E234E</vt:lpwstr>
  </property>
</Properties>
</file>