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cs="Times New Roman"/>
        </w:rPr>
      </w:pPr>
    </w:p>
    <w:p>
      <w:pPr>
        <w:rPr>
          <w:rFonts w:ascii="宋体" w:hAnsi="宋体" w:eastAsia="宋体" w:cs="Times New Roman"/>
        </w:rPr>
      </w:pPr>
      <w:r>
        <w:rPr>
          <w:rFonts w:hint="eastAsia" w:ascii="宋体" w:hAnsi="宋体" w:eastAsia="宋体" w:cs="宋体"/>
        </w:rPr>
        <w:t>附件</w:t>
      </w:r>
    </w:p>
    <w:p>
      <w:pPr>
        <w:jc w:val="center"/>
        <w:rPr>
          <w:rFonts w:ascii="宋体" w:hAnsi="宋体" w:eastAsia="宋体" w:cs="Times New Roman"/>
          <w:b/>
          <w:bCs/>
          <w:sz w:val="44"/>
          <w:szCs w:val="44"/>
        </w:rPr>
      </w:pPr>
    </w:p>
    <w:p>
      <w:pPr>
        <w:spacing w:line="440" w:lineRule="exact"/>
        <w:jc w:val="center"/>
        <w:rPr>
          <w:rFonts w:ascii="宋体" w:hAnsi="宋体" w:eastAsia="宋体" w:cs="Times New Roman"/>
          <w:b/>
          <w:bCs/>
          <w:sz w:val="44"/>
          <w:szCs w:val="44"/>
        </w:rPr>
      </w:pPr>
    </w:p>
    <w:p>
      <w:pPr>
        <w:spacing w:line="560" w:lineRule="exact"/>
        <w:jc w:val="center"/>
        <w:rPr>
          <w:rFonts w:ascii="宋体" w:hAnsi="宋体" w:eastAsia="宋体" w:cs="Times New Roman"/>
          <w:b/>
          <w:bCs/>
          <w:sz w:val="48"/>
          <w:szCs w:val="48"/>
        </w:rPr>
      </w:pPr>
      <w:r>
        <w:rPr>
          <w:rFonts w:hint="eastAsia" w:ascii="宋体" w:hAnsi="宋体" w:eastAsia="宋体" w:cs="宋体"/>
          <w:b/>
          <w:bCs/>
          <w:sz w:val="48"/>
          <w:szCs w:val="48"/>
        </w:rPr>
        <w:t>中共蓝田县委机构编制委员会办公室</w:t>
      </w:r>
    </w:p>
    <w:p>
      <w:pPr>
        <w:spacing w:line="560" w:lineRule="exact"/>
        <w:jc w:val="center"/>
        <w:rPr>
          <w:rFonts w:ascii="宋体" w:hAnsi="宋体" w:eastAsia="宋体" w:cs="Times New Roman"/>
          <w:b/>
          <w:bCs/>
          <w:sz w:val="44"/>
          <w:szCs w:val="44"/>
        </w:rPr>
      </w:pPr>
      <w:r>
        <w:rPr>
          <w:rFonts w:ascii="宋体" w:hAnsi="宋体" w:eastAsia="宋体" w:cs="宋体"/>
          <w:b/>
          <w:bCs/>
          <w:sz w:val="48"/>
          <w:szCs w:val="48"/>
        </w:rPr>
        <w:t>2019</w:t>
      </w:r>
      <w:r>
        <w:rPr>
          <w:rFonts w:hint="eastAsia" w:ascii="宋体" w:hAnsi="宋体" w:eastAsia="宋体" w:cs="宋体"/>
          <w:b/>
          <w:bCs/>
          <w:sz w:val="48"/>
          <w:szCs w:val="48"/>
        </w:rPr>
        <w:t>年度部门决算</w:t>
      </w:r>
    </w:p>
    <w:p>
      <w:pPr>
        <w:spacing w:line="560" w:lineRule="exact"/>
        <w:jc w:val="center"/>
        <w:rPr>
          <w:rFonts w:ascii="宋体" w:hAnsi="宋体" w:eastAsia="宋体" w:cs="Times New Roman"/>
          <w:b/>
          <w:bCs/>
          <w:sz w:val="44"/>
          <w:szCs w:val="44"/>
        </w:rPr>
      </w:pPr>
    </w:p>
    <w:p>
      <w:pPr>
        <w:spacing w:line="560" w:lineRule="exact"/>
        <w:jc w:val="center"/>
        <w:rPr>
          <w:rFonts w:ascii="宋体" w:hAnsi="宋体" w:eastAsia="宋体" w:cs="Times New Roman"/>
          <w:b/>
          <w:bCs/>
          <w:sz w:val="44"/>
          <w:szCs w:val="44"/>
        </w:rPr>
      </w:pPr>
    </w:p>
    <w:p>
      <w:pPr>
        <w:spacing w:line="560" w:lineRule="exact"/>
        <w:jc w:val="center"/>
        <w:rPr>
          <w:rFonts w:ascii="宋体" w:hAnsi="宋体" w:eastAsia="宋体" w:cs="Times New Roman"/>
          <w:b/>
          <w:bCs/>
          <w:sz w:val="44"/>
          <w:szCs w:val="44"/>
        </w:rPr>
      </w:pPr>
    </w:p>
    <w:p>
      <w:pPr>
        <w:spacing w:line="560" w:lineRule="exact"/>
        <w:rPr>
          <w:rFonts w:ascii="宋体" w:hAnsi="宋体" w:eastAsia="宋体" w:cs="Times New Roman"/>
          <w:b/>
          <w:bCs/>
          <w:sz w:val="44"/>
          <w:szCs w:val="44"/>
        </w:rPr>
      </w:pPr>
    </w:p>
    <w:p>
      <w:pPr>
        <w:spacing w:line="560" w:lineRule="exact"/>
        <w:rPr>
          <w:rFonts w:ascii="宋体" w:hAnsi="宋体" w:eastAsia="宋体" w:cs="Times New Roman"/>
          <w:b/>
          <w:bCs/>
          <w:sz w:val="44"/>
          <w:szCs w:val="44"/>
        </w:rPr>
      </w:pPr>
    </w:p>
    <w:p>
      <w:pPr>
        <w:spacing w:line="560" w:lineRule="exact"/>
        <w:rPr>
          <w:rFonts w:ascii="宋体" w:hAnsi="宋体" w:eastAsia="宋体" w:cs="Times New Roman"/>
          <w:b/>
          <w:bCs/>
          <w:sz w:val="44"/>
          <w:szCs w:val="44"/>
        </w:rPr>
      </w:pPr>
    </w:p>
    <w:p>
      <w:pPr>
        <w:spacing w:line="560" w:lineRule="exact"/>
        <w:rPr>
          <w:rFonts w:ascii="宋体" w:hAnsi="宋体" w:eastAsia="宋体" w:cs="Times New Roman"/>
          <w:b/>
          <w:bCs/>
          <w:sz w:val="44"/>
          <w:szCs w:val="44"/>
        </w:rPr>
      </w:pPr>
    </w:p>
    <w:p>
      <w:pPr>
        <w:spacing w:line="560" w:lineRule="exact"/>
        <w:rPr>
          <w:rFonts w:ascii="宋体" w:hAnsi="宋体" w:eastAsia="宋体" w:cs="Times New Roman"/>
          <w:b/>
          <w:bCs/>
          <w:sz w:val="44"/>
          <w:szCs w:val="44"/>
        </w:rPr>
      </w:pPr>
    </w:p>
    <w:p>
      <w:pPr>
        <w:spacing w:line="560" w:lineRule="exact"/>
        <w:rPr>
          <w:rFonts w:ascii="宋体" w:hAnsi="宋体" w:eastAsia="宋体" w:cs="Times New Roman"/>
          <w:b/>
          <w:bCs/>
          <w:sz w:val="44"/>
          <w:szCs w:val="44"/>
        </w:rPr>
      </w:pPr>
    </w:p>
    <w:p>
      <w:pPr>
        <w:spacing w:line="560" w:lineRule="exact"/>
        <w:rPr>
          <w:rFonts w:ascii="宋体" w:hAnsi="宋体" w:eastAsia="宋体" w:cs="Times New Roman"/>
          <w:b/>
          <w:bCs/>
          <w:sz w:val="44"/>
          <w:szCs w:val="44"/>
        </w:rPr>
      </w:pPr>
    </w:p>
    <w:p>
      <w:pPr>
        <w:spacing w:line="560" w:lineRule="exact"/>
        <w:rPr>
          <w:rFonts w:ascii="宋体" w:hAnsi="宋体" w:eastAsia="宋体" w:cs="Times New Roman"/>
          <w:b/>
          <w:bCs/>
          <w:sz w:val="44"/>
          <w:szCs w:val="44"/>
        </w:rPr>
      </w:pPr>
    </w:p>
    <w:p>
      <w:pPr>
        <w:spacing w:line="400" w:lineRule="exact"/>
        <w:ind w:firstLine="2570" w:firstLineChars="800"/>
        <w:rPr>
          <w:rFonts w:ascii="宋体" w:hAnsi="宋体" w:eastAsia="宋体" w:cs="Times New Roman"/>
          <w:b/>
          <w:bCs/>
        </w:rPr>
      </w:pPr>
    </w:p>
    <w:p>
      <w:pPr>
        <w:spacing w:line="400" w:lineRule="exact"/>
        <w:ind w:firstLine="2570" w:firstLineChars="800"/>
        <w:rPr>
          <w:rFonts w:ascii="宋体" w:hAnsi="宋体" w:eastAsia="宋体" w:cs="Times New Roman"/>
          <w:b/>
          <w:bCs/>
        </w:rPr>
      </w:pPr>
    </w:p>
    <w:p>
      <w:pPr>
        <w:spacing w:line="400" w:lineRule="exact"/>
        <w:ind w:firstLine="2088" w:firstLineChars="650"/>
        <w:rPr>
          <w:rFonts w:ascii="宋体" w:hAnsi="宋体" w:eastAsia="宋体" w:cs="Times New Roman"/>
          <w:b/>
          <w:bCs/>
        </w:rPr>
      </w:pPr>
      <w:r>
        <w:rPr>
          <w:rFonts w:hint="eastAsia" w:ascii="宋体" w:hAnsi="宋体" w:eastAsia="宋体" w:cs="宋体"/>
          <w:b/>
          <w:bCs/>
        </w:rPr>
        <w:t>保密审查情况：已审查</w:t>
      </w:r>
    </w:p>
    <w:p>
      <w:pPr>
        <w:spacing w:line="400" w:lineRule="exact"/>
        <w:jc w:val="center"/>
        <w:rPr>
          <w:rFonts w:ascii="宋体" w:hAnsi="宋体" w:eastAsia="宋体" w:cs="Times New Roman"/>
          <w:b/>
          <w:bCs/>
        </w:rPr>
      </w:pPr>
    </w:p>
    <w:p>
      <w:pPr>
        <w:spacing w:line="400" w:lineRule="exact"/>
        <w:ind w:firstLine="2088" w:firstLineChars="650"/>
        <w:rPr>
          <w:rFonts w:ascii="宋体" w:hAnsi="宋体" w:eastAsia="宋体" w:cs="Times New Roman"/>
          <w:b/>
          <w:bCs/>
        </w:rPr>
      </w:pPr>
      <w:r>
        <w:rPr>
          <w:rFonts w:hint="eastAsia" w:ascii="宋体" w:hAnsi="宋体" w:eastAsia="宋体" w:cs="宋体"/>
          <w:b/>
          <w:bCs/>
        </w:rPr>
        <w:t>部门主要负责人审签情况：已审签</w:t>
      </w:r>
    </w:p>
    <w:p>
      <w:pPr>
        <w:spacing w:line="400" w:lineRule="exact"/>
        <w:rPr>
          <w:rFonts w:ascii="宋体" w:eastAsia="宋体" w:cs="Times New Roman"/>
          <w:b/>
          <w:bCs/>
        </w:rPr>
      </w:pPr>
    </w:p>
    <w:p>
      <w:pPr>
        <w:spacing w:line="400" w:lineRule="exact"/>
        <w:rPr>
          <w:rFonts w:ascii="宋体" w:eastAsia="宋体" w:cs="Times New Roman"/>
          <w:b/>
          <w:bCs/>
        </w:rPr>
      </w:pPr>
    </w:p>
    <w:p>
      <w:pPr>
        <w:jc w:val="center"/>
        <w:rPr>
          <w:rFonts w:ascii="黑体" w:hAnsi="宋体" w:eastAsia="黑体" w:cs="Times New Roman"/>
          <w:b/>
          <w:bCs/>
          <w:color w:val="000000"/>
          <w:kern w:val="0"/>
          <w:sz w:val="56"/>
          <w:szCs w:val="56"/>
        </w:rPr>
      </w:pPr>
    </w:p>
    <w:p>
      <w:pPr>
        <w:jc w:val="center"/>
        <w:rPr>
          <w:rFonts w:ascii="黑体" w:hAnsi="宋体" w:eastAsia="黑体" w:cs="Times New Roman"/>
          <w:b/>
          <w:bCs/>
          <w:color w:val="000000"/>
          <w:kern w:val="0"/>
          <w:sz w:val="56"/>
          <w:szCs w:val="56"/>
        </w:rPr>
      </w:pPr>
    </w:p>
    <w:p>
      <w:pPr>
        <w:jc w:val="center"/>
        <w:rPr>
          <w:rFonts w:ascii="黑体" w:hAnsi="宋体" w:eastAsia="黑体" w:cs="Times New Roman"/>
          <w:color w:val="000000"/>
          <w:kern w:val="0"/>
          <w:sz w:val="36"/>
          <w:szCs w:val="36"/>
        </w:rPr>
      </w:pPr>
      <w:r>
        <w:rPr>
          <w:rFonts w:hint="eastAsia" w:ascii="黑体" w:hAnsi="宋体" w:eastAsia="黑体" w:cs="黑体"/>
          <w:color w:val="000000"/>
          <w:kern w:val="0"/>
          <w:sz w:val="36"/>
          <w:szCs w:val="36"/>
        </w:rPr>
        <w:t>目录</w:t>
      </w:r>
    </w:p>
    <w:p>
      <w:pPr>
        <w:jc w:val="center"/>
        <w:rPr>
          <w:rFonts w:ascii="黑体" w:hAnsi="宋体" w:eastAsia="黑体" w:cs="Times New Roman"/>
          <w:color w:val="000000"/>
          <w:kern w:val="0"/>
          <w:sz w:val="36"/>
          <w:szCs w:val="36"/>
        </w:rPr>
      </w:pPr>
    </w:p>
    <w:p>
      <w:pPr>
        <w:widowControl/>
        <w:jc w:val="center"/>
        <w:rPr>
          <w:rFonts w:cs="Times New Roman"/>
        </w:rPr>
      </w:pPr>
      <w:r>
        <w:rPr>
          <w:rFonts w:hint="eastAsia" w:ascii="黑体" w:hAnsi="宋体" w:eastAsia="黑体" w:cs="黑体"/>
          <w:color w:val="000000"/>
          <w:kern w:val="0"/>
        </w:rPr>
        <w:t>第一部分</w:t>
      </w:r>
      <w:r>
        <w:rPr>
          <w:rFonts w:ascii="黑体" w:hAnsi="宋体" w:eastAsia="黑体" w:cs="黑体"/>
          <w:color w:val="000000"/>
          <w:kern w:val="0"/>
        </w:rPr>
        <w:t xml:space="preserve"> </w:t>
      </w:r>
      <w:r>
        <w:rPr>
          <w:rFonts w:hint="eastAsia" w:ascii="黑体" w:hAnsi="宋体" w:eastAsia="黑体" w:cs="黑体"/>
          <w:color w:val="000000"/>
          <w:kern w:val="0"/>
        </w:rPr>
        <w:t>部门概况</w:t>
      </w:r>
    </w:p>
    <w:p>
      <w:pPr>
        <w:widowControl/>
        <w:jc w:val="left"/>
        <w:rPr>
          <w:rFonts w:ascii="仿宋" w:hAnsi="仿宋" w:eastAsia="仿宋" w:cs="Times New Roman"/>
          <w:color w:val="000000"/>
          <w:kern w:val="0"/>
        </w:rPr>
      </w:pPr>
      <w:r>
        <w:rPr>
          <w:rFonts w:hint="eastAsia" w:ascii="仿宋" w:hAnsi="仿宋" w:eastAsia="仿宋" w:cs="仿宋"/>
          <w:color w:val="000000"/>
          <w:kern w:val="0"/>
        </w:rPr>
        <w:t>一、部门主要职责及内设机构</w:t>
      </w:r>
    </w:p>
    <w:p>
      <w:pPr>
        <w:widowControl/>
        <w:jc w:val="left"/>
        <w:rPr>
          <w:rFonts w:ascii="仿宋" w:hAnsi="仿宋" w:eastAsia="仿宋" w:cs="Times New Roman"/>
          <w:color w:val="000000"/>
          <w:kern w:val="0"/>
        </w:rPr>
      </w:pPr>
      <w:r>
        <w:rPr>
          <w:rFonts w:hint="eastAsia" w:ascii="仿宋" w:hAnsi="仿宋" w:eastAsia="仿宋" w:cs="仿宋"/>
          <w:color w:val="000000"/>
          <w:kern w:val="0"/>
        </w:rPr>
        <w:t>二、部门决算单位构成</w:t>
      </w:r>
    </w:p>
    <w:p>
      <w:pPr>
        <w:widowControl/>
        <w:jc w:val="left"/>
        <w:rPr>
          <w:rFonts w:ascii="仿宋" w:hAnsi="仿宋" w:eastAsia="仿宋" w:cs="Times New Roman"/>
          <w:color w:val="000000"/>
          <w:kern w:val="0"/>
        </w:rPr>
      </w:pPr>
      <w:r>
        <w:rPr>
          <w:rFonts w:hint="eastAsia" w:ascii="仿宋" w:hAnsi="仿宋" w:eastAsia="仿宋" w:cs="仿宋"/>
          <w:color w:val="000000"/>
          <w:kern w:val="0"/>
        </w:rPr>
        <w:t>三、部门人员情况</w:t>
      </w:r>
    </w:p>
    <w:p>
      <w:pPr>
        <w:widowControl/>
        <w:jc w:val="center"/>
        <w:rPr>
          <w:rFonts w:cs="Times New Roman"/>
        </w:rPr>
      </w:pPr>
      <w:r>
        <w:rPr>
          <w:rFonts w:hint="eastAsia" w:ascii="黑体" w:hAnsi="宋体" w:eastAsia="黑体" w:cs="黑体"/>
          <w:color w:val="000000"/>
          <w:kern w:val="0"/>
        </w:rPr>
        <w:t>第二部分</w:t>
      </w:r>
      <w:r>
        <w:rPr>
          <w:rFonts w:ascii="黑体" w:hAnsi="宋体" w:eastAsia="黑体" w:cs="黑体"/>
          <w:color w:val="000000"/>
          <w:kern w:val="0"/>
        </w:rPr>
        <w:t xml:space="preserve">  2019</w:t>
      </w:r>
      <w:r>
        <w:rPr>
          <w:rFonts w:hint="eastAsia" w:ascii="黑体" w:hAnsi="宋体" w:eastAsia="黑体" w:cs="黑体"/>
          <w:color w:val="000000"/>
          <w:kern w:val="0"/>
        </w:rPr>
        <w:t>年度部门决算表</w:t>
      </w:r>
    </w:p>
    <w:p>
      <w:pPr>
        <w:widowControl/>
        <w:jc w:val="left"/>
        <w:rPr>
          <w:rFonts w:ascii="仿宋" w:hAnsi="仿宋" w:eastAsia="仿宋" w:cs="仿宋"/>
          <w:color w:val="000000"/>
          <w:kern w:val="0"/>
        </w:rPr>
      </w:pPr>
      <w:r>
        <w:rPr>
          <w:rFonts w:hint="eastAsia" w:ascii="仿宋" w:hAnsi="仿宋" w:eastAsia="仿宋" w:cs="仿宋"/>
          <w:color w:val="000000"/>
          <w:kern w:val="0"/>
        </w:rPr>
        <w:t>一、收入支出决算总表</w:t>
      </w:r>
      <w:r>
        <w:rPr>
          <w:rFonts w:ascii="仿宋" w:hAnsi="仿宋" w:eastAsia="仿宋" w:cs="仿宋"/>
          <w:color w:val="000000"/>
          <w:kern w:val="0"/>
        </w:rPr>
        <w:t xml:space="preserve">     </w:t>
      </w:r>
    </w:p>
    <w:p>
      <w:pPr>
        <w:widowControl/>
        <w:jc w:val="left"/>
        <w:rPr>
          <w:rFonts w:ascii="仿宋" w:hAnsi="仿宋" w:eastAsia="仿宋" w:cs="仿宋"/>
          <w:color w:val="000000"/>
          <w:kern w:val="0"/>
        </w:rPr>
      </w:pPr>
      <w:r>
        <w:rPr>
          <w:rFonts w:hint="eastAsia" w:ascii="仿宋" w:hAnsi="仿宋" w:eastAsia="仿宋" w:cs="仿宋"/>
          <w:color w:val="000000"/>
          <w:kern w:val="0"/>
        </w:rPr>
        <w:t>二、收入决算总表</w:t>
      </w:r>
      <w:r>
        <w:rPr>
          <w:rFonts w:ascii="仿宋" w:hAnsi="仿宋" w:eastAsia="仿宋" w:cs="仿宋"/>
          <w:color w:val="000000"/>
          <w:kern w:val="0"/>
        </w:rPr>
        <w:t xml:space="preserve">     </w:t>
      </w:r>
    </w:p>
    <w:p>
      <w:pPr>
        <w:widowControl/>
        <w:jc w:val="left"/>
        <w:rPr>
          <w:rFonts w:ascii="仿宋" w:hAnsi="仿宋" w:eastAsia="仿宋" w:cs="仿宋"/>
          <w:color w:val="000000"/>
          <w:kern w:val="0"/>
        </w:rPr>
      </w:pPr>
      <w:r>
        <w:rPr>
          <w:rFonts w:hint="eastAsia" w:ascii="仿宋" w:hAnsi="仿宋" w:eastAsia="仿宋" w:cs="仿宋"/>
          <w:color w:val="000000"/>
          <w:kern w:val="0"/>
        </w:rPr>
        <w:t>三、支出决算总表</w:t>
      </w:r>
      <w:r>
        <w:rPr>
          <w:rFonts w:ascii="仿宋" w:hAnsi="仿宋" w:eastAsia="仿宋" w:cs="仿宋"/>
          <w:color w:val="000000"/>
          <w:kern w:val="0"/>
        </w:rPr>
        <w:t xml:space="preserve">    </w:t>
      </w:r>
    </w:p>
    <w:p>
      <w:pPr>
        <w:widowControl/>
        <w:jc w:val="left"/>
        <w:rPr>
          <w:rFonts w:ascii="仿宋" w:hAnsi="仿宋" w:eastAsia="仿宋" w:cs="仿宋"/>
          <w:color w:val="000000"/>
          <w:kern w:val="0"/>
        </w:rPr>
      </w:pPr>
      <w:r>
        <w:rPr>
          <w:rFonts w:hint="eastAsia" w:ascii="仿宋" w:hAnsi="仿宋" w:eastAsia="仿宋" w:cs="仿宋"/>
          <w:color w:val="000000"/>
          <w:kern w:val="0"/>
        </w:rPr>
        <w:t>四、财政拨款收入支出决算总表</w:t>
      </w:r>
      <w:r>
        <w:rPr>
          <w:rFonts w:ascii="仿宋" w:hAnsi="仿宋" w:eastAsia="仿宋" w:cs="仿宋"/>
          <w:color w:val="000000"/>
          <w:kern w:val="0"/>
        </w:rPr>
        <w:t xml:space="preserve">    </w:t>
      </w:r>
    </w:p>
    <w:p>
      <w:pPr>
        <w:widowControl/>
        <w:jc w:val="left"/>
        <w:rPr>
          <w:rFonts w:ascii="仿宋" w:hAnsi="仿宋" w:eastAsia="仿宋" w:cs="仿宋"/>
          <w:color w:val="000000"/>
          <w:kern w:val="0"/>
        </w:rPr>
      </w:pPr>
      <w:r>
        <w:rPr>
          <w:rFonts w:hint="eastAsia" w:ascii="仿宋" w:hAnsi="仿宋" w:eastAsia="仿宋" w:cs="仿宋"/>
          <w:color w:val="000000"/>
          <w:kern w:val="0"/>
        </w:rPr>
        <w:t>五、一般公共预算财政拨款支出决算表</w:t>
      </w:r>
      <w:r>
        <w:rPr>
          <w:rFonts w:ascii="仿宋" w:hAnsi="仿宋" w:eastAsia="仿宋" w:cs="仿宋"/>
          <w:color w:val="000000"/>
          <w:kern w:val="0"/>
        </w:rPr>
        <w:t xml:space="preserve">  </w:t>
      </w:r>
    </w:p>
    <w:p>
      <w:pPr>
        <w:widowControl/>
        <w:jc w:val="left"/>
        <w:rPr>
          <w:rFonts w:ascii="仿宋" w:hAnsi="仿宋" w:eastAsia="仿宋" w:cs="仿宋"/>
          <w:color w:val="000000"/>
          <w:kern w:val="0"/>
        </w:rPr>
      </w:pPr>
      <w:r>
        <w:rPr>
          <w:rFonts w:hint="eastAsia" w:ascii="仿宋" w:hAnsi="仿宋" w:eastAsia="仿宋" w:cs="仿宋"/>
          <w:color w:val="000000"/>
          <w:kern w:val="0"/>
        </w:rPr>
        <w:t>六、一般公共预算财政拨款基本支出决算表</w:t>
      </w:r>
      <w:r>
        <w:rPr>
          <w:rFonts w:ascii="仿宋" w:hAnsi="仿宋" w:eastAsia="仿宋" w:cs="仿宋"/>
          <w:color w:val="000000"/>
          <w:kern w:val="0"/>
        </w:rPr>
        <w:t xml:space="preserve">    </w:t>
      </w:r>
    </w:p>
    <w:p>
      <w:pPr>
        <w:widowControl/>
        <w:ind w:left="31680" w:hanging="640" w:hangingChars="200"/>
        <w:jc w:val="left"/>
        <w:rPr>
          <w:rFonts w:ascii="仿宋" w:hAnsi="仿宋" w:eastAsia="仿宋" w:cs="仿宋"/>
          <w:color w:val="000000"/>
          <w:kern w:val="0"/>
        </w:rPr>
      </w:pPr>
      <w:r>
        <w:rPr>
          <w:rFonts w:hint="eastAsia" w:ascii="仿宋" w:hAnsi="仿宋" w:eastAsia="仿宋" w:cs="仿宋"/>
          <w:color w:val="000000"/>
          <w:kern w:val="0"/>
        </w:rPr>
        <w:t>七、一般公共预算财政拨款“三公”经费及会议费、培训费支出决算表</w:t>
      </w:r>
      <w:r>
        <w:rPr>
          <w:rFonts w:ascii="仿宋" w:hAnsi="仿宋" w:eastAsia="仿宋" w:cs="仿宋"/>
          <w:color w:val="000000"/>
          <w:kern w:val="0"/>
        </w:rPr>
        <w:t xml:space="preserve">    </w:t>
      </w:r>
    </w:p>
    <w:p>
      <w:pPr>
        <w:widowControl/>
        <w:jc w:val="left"/>
        <w:rPr>
          <w:rFonts w:ascii="仿宋" w:hAnsi="仿宋" w:eastAsia="仿宋" w:cs="Times New Roman"/>
          <w:color w:val="000000"/>
          <w:kern w:val="0"/>
        </w:rPr>
      </w:pPr>
      <w:r>
        <w:rPr>
          <w:rFonts w:hint="eastAsia" w:ascii="仿宋" w:hAnsi="仿宋" w:eastAsia="仿宋" w:cs="仿宋"/>
          <w:color w:val="000000"/>
          <w:kern w:val="0"/>
        </w:rPr>
        <w:t>八、政府性基金预算财政拨款收入支出决算表</w:t>
      </w:r>
    </w:p>
    <w:p>
      <w:pPr>
        <w:widowControl/>
        <w:jc w:val="center"/>
        <w:rPr>
          <w:rFonts w:cs="Times New Roman"/>
        </w:rPr>
      </w:pPr>
      <w:r>
        <w:rPr>
          <w:rFonts w:hint="eastAsia" w:ascii="黑体" w:hAnsi="宋体" w:eastAsia="黑体" w:cs="黑体"/>
          <w:color w:val="000000"/>
          <w:kern w:val="0"/>
        </w:rPr>
        <w:t>第三部分</w:t>
      </w:r>
      <w:r>
        <w:rPr>
          <w:rFonts w:ascii="黑体" w:hAnsi="宋体" w:eastAsia="黑体" w:cs="黑体"/>
          <w:color w:val="000000"/>
          <w:kern w:val="0"/>
        </w:rPr>
        <w:t xml:space="preserve"> 2019</w:t>
      </w:r>
      <w:r>
        <w:rPr>
          <w:rFonts w:hint="eastAsia" w:ascii="黑体" w:hAnsi="宋体" w:eastAsia="黑体" w:cs="黑体"/>
          <w:color w:val="000000"/>
          <w:kern w:val="0"/>
        </w:rPr>
        <w:t>年度部门决算情况说明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一、收入支出决算总体情况说明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二、收入决算情况说明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三、支出决算情况说明</w:t>
      </w:r>
    </w:p>
    <w:p>
      <w:pPr>
        <w:widowControl/>
        <w:jc w:val="left"/>
        <w:rPr>
          <w:rFonts w:ascii="楷体" w:hAnsi="楷体" w:eastAsia="楷体" w:cs="Times New Roman"/>
        </w:rPr>
      </w:pPr>
      <w:r>
        <w:rPr>
          <w:rFonts w:hint="eastAsia" w:ascii="仿宋" w:hAnsi="仿宋" w:eastAsia="仿宋" w:cs="仿宋"/>
          <w:color w:val="000000"/>
          <w:kern w:val="0"/>
        </w:rPr>
        <w:t>四、财政拨款收入支出决算总体情况说明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五、一般公共预算财政拨款支出决算情况说明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（一）财政拨款支出决算总体情况说明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（二）财政拨款支出决算具体情况说明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六、一般公共预算财政拨款基本支出决算情况说明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七、一般公共预算财政拨款“三公”经费及会议费、培训费支出决算情况说明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（一）“三公”经费财政拨款支出决算总体情况说明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（二）“三公”经费财政拨款支出决算具体情况说明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（三）培训费支出情况说明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（四）会议费支出情况说明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八、政府性基金预算财政拨款收入支出情况说明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九、国有资本经营财政拨款收入支出情况说明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十、预算绩效情况说明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（一）预算绩效管理工作开展情况说明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（二）部门决算中项目绩效自评结果</w:t>
      </w:r>
    </w:p>
    <w:p>
      <w:pPr>
        <w:widowControl/>
        <w:jc w:val="left"/>
        <w:rPr>
          <w:rFonts w:ascii="仿宋" w:hAnsi="仿宋" w:eastAsia="仿宋" w:cs="Times New Roman"/>
          <w:color w:val="000000"/>
          <w:kern w:val="0"/>
        </w:rPr>
      </w:pPr>
      <w:r>
        <w:rPr>
          <w:rFonts w:hint="eastAsia" w:ascii="仿宋" w:hAnsi="仿宋" w:eastAsia="仿宋" w:cs="仿宋"/>
          <w:color w:val="000000"/>
          <w:kern w:val="0"/>
        </w:rPr>
        <w:t>（三）部门决算中整体支出绩效自评结果</w:t>
      </w:r>
    </w:p>
    <w:p>
      <w:pPr>
        <w:widowControl/>
        <w:jc w:val="left"/>
        <w:rPr>
          <w:rFonts w:ascii="仿宋" w:hAnsi="仿宋" w:eastAsia="仿宋" w:cs="Times New Roman"/>
          <w:color w:val="000000"/>
          <w:kern w:val="0"/>
        </w:rPr>
      </w:pPr>
      <w:r>
        <w:rPr>
          <w:rFonts w:ascii="仿宋" w:hAnsi="仿宋" w:eastAsia="仿宋" w:cs="仿宋"/>
          <w:color w:val="000000"/>
          <w:kern w:val="0"/>
        </w:rPr>
        <w:t xml:space="preserve"> </w:t>
      </w:r>
      <w:r>
        <w:rPr>
          <w:rFonts w:hint="eastAsia" w:ascii="仿宋" w:hAnsi="仿宋" w:eastAsia="仿宋" w:cs="仿宋"/>
          <w:color w:val="000000"/>
          <w:kern w:val="0"/>
        </w:rPr>
        <w:t>十一、其他重要事项说明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（一）机关运行经费支出情况说明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（二）政府采购支出情况说明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（三）国有资产占用及购置情况说明</w:t>
      </w:r>
    </w:p>
    <w:p>
      <w:pPr>
        <w:jc w:val="center"/>
        <w:rPr>
          <w:rFonts w:ascii="黑体" w:hAnsi="宋体" w:eastAsia="黑体" w:cs="Times New Roman"/>
          <w:color w:val="000000"/>
          <w:kern w:val="0"/>
        </w:rPr>
      </w:pPr>
      <w:r>
        <w:rPr>
          <w:rFonts w:hint="eastAsia" w:ascii="黑体" w:hAnsi="宋体" w:eastAsia="黑体" w:cs="黑体"/>
          <w:color w:val="000000"/>
          <w:kern w:val="0"/>
        </w:rPr>
        <w:t>第四部分</w:t>
      </w:r>
      <w:r>
        <w:rPr>
          <w:rFonts w:ascii="黑体" w:hAnsi="宋体" w:eastAsia="黑体" w:cs="黑体"/>
          <w:color w:val="000000"/>
          <w:kern w:val="0"/>
        </w:rPr>
        <w:t xml:space="preserve"> </w:t>
      </w:r>
      <w:r>
        <w:rPr>
          <w:rFonts w:hint="eastAsia" w:ascii="黑体" w:hAnsi="宋体" w:eastAsia="黑体" w:cs="黑体"/>
          <w:color w:val="000000"/>
          <w:kern w:val="0"/>
        </w:rPr>
        <w:t>专业名词解释</w:t>
      </w:r>
    </w:p>
    <w:p>
      <w:pPr>
        <w:numPr>
          <w:ilvl w:val="0"/>
          <w:numId w:val="1"/>
        </w:numPr>
        <w:jc w:val="center"/>
        <w:rPr>
          <w:rFonts w:ascii="黑体" w:hAnsi="宋体" w:eastAsia="黑体" w:cs="Times New Roman"/>
          <w:color w:val="000000"/>
          <w:kern w:val="0"/>
          <w:sz w:val="44"/>
          <w:szCs w:val="44"/>
        </w:rPr>
      </w:pPr>
      <w:r>
        <w:rPr>
          <w:rFonts w:hint="eastAsia" w:ascii="黑体" w:hAnsi="宋体" w:eastAsia="黑体" w:cs="黑体"/>
          <w:color w:val="000000"/>
          <w:kern w:val="0"/>
          <w:sz w:val="44"/>
          <w:szCs w:val="44"/>
        </w:rPr>
        <w:t>部门概况</w:t>
      </w:r>
    </w:p>
    <w:p>
      <w:pPr>
        <w:rPr>
          <w:rFonts w:ascii="黑体" w:hAnsi="宋体" w:eastAsia="黑体" w:cs="Times New Roman"/>
          <w:color w:val="000000"/>
          <w:kern w:val="0"/>
          <w:sz w:val="44"/>
          <w:szCs w:val="44"/>
        </w:rPr>
      </w:pPr>
    </w:p>
    <w:p>
      <w:pPr>
        <w:widowControl/>
        <w:ind w:firstLine="640" w:firstLineChars="200"/>
        <w:jc w:val="left"/>
        <w:rPr>
          <w:rFonts w:ascii="黑体" w:hAnsi="宋体" w:eastAsia="黑体" w:cs="Times New Roman"/>
          <w:color w:val="000000"/>
          <w:kern w:val="0"/>
        </w:rPr>
      </w:pPr>
      <w:r>
        <w:rPr>
          <w:rFonts w:hint="eastAsia" w:ascii="黑体" w:hAnsi="宋体" w:eastAsia="黑体" w:cs="黑体"/>
          <w:color w:val="000000"/>
          <w:kern w:val="0"/>
        </w:rPr>
        <w:t>一、部门主要职责及内设机构</w:t>
      </w:r>
    </w:p>
    <w:p>
      <w:pPr>
        <w:widowControl/>
        <w:ind w:firstLine="643" w:firstLineChars="200"/>
        <w:jc w:val="left"/>
        <w:rPr>
          <w:rFonts w:ascii="楷体" w:hAnsi="楷体" w:eastAsia="楷体" w:cs="Times New Roman"/>
          <w:b/>
          <w:bCs/>
          <w:color w:val="000000"/>
          <w:kern w:val="0"/>
        </w:rPr>
      </w:pPr>
      <w:r>
        <w:rPr>
          <w:rFonts w:hint="eastAsia" w:ascii="楷体" w:hAnsi="楷体" w:eastAsia="楷体" w:cs="楷体"/>
          <w:b/>
          <w:bCs/>
          <w:color w:val="000000"/>
          <w:kern w:val="0"/>
        </w:rPr>
        <w:t>（一）主要职责</w:t>
      </w:r>
    </w:p>
    <w:p>
      <w:pPr>
        <w:spacing w:line="360" w:lineRule="auto"/>
        <w:ind w:firstLine="645"/>
        <w:rPr>
          <w:rFonts w:ascii="仿宋_GB2312" w:hAnsi="宋体" w:eastAsia="仿宋_GB2312" w:cs="Times New Roman"/>
        </w:rPr>
      </w:pPr>
      <w:r>
        <w:rPr>
          <w:rFonts w:hint="eastAsia" w:ascii="仿宋_GB2312" w:hAnsi="仿宋" w:eastAsia="仿宋_GB2312" w:cs="仿宋_GB2312"/>
        </w:rPr>
        <w:t>（</w:t>
      </w:r>
      <w:r>
        <w:rPr>
          <w:rFonts w:ascii="仿宋_GB2312" w:hAnsi="宋体" w:eastAsia="仿宋_GB2312" w:cs="仿宋_GB2312"/>
        </w:rPr>
        <w:t>1</w:t>
      </w:r>
      <w:r>
        <w:rPr>
          <w:rFonts w:hint="eastAsia" w:ascii="仿宋_GB2312" w:hAnsi="宋体" w:eastAsia="仿宋_GB2312" w:cs="仿宋_GB2312"/>
        </w:rPr>
        <w:t>）、贯彻执行党和国家关于行政管理体制改革、机构改革和机构编制管理方面的方针、政策和法律法规，拟定有关地方性规章草案；统一管理县乡党政群机关，人大、政协机关，法院、检察院机关，各民主党派、人民团体机关，县委、县政府直属事业单位及派出机构的机构编制工作。</w:t>
      </w:r>
      <w:r>
        <w:rPr>
          <w:rFonts w:ascii="仿宋_GB2312" w:hAnsi="宋体" w:eastAsia="仿宋_GB2312" w:cs="Times New Roman"/>
        </w:rPr>
        <w:br w:type="textWrapping"/>
      </w:r>
      <w:r>
        <w:rPr>
          <w:rFonts w:ascii="仿宋_GB2312" w:hAnsi="宋体" w:eastAsia="仿宋_GB2312" w:cs="Times New Roman"/>
        </w:rPr>
        <w:t>    </w:t>
      </w:r>
      <w:r>
        <w:rPr>
          <w:rFonts w:hint="eastAsia" w:ascii="仿宋_GB2312" w:hAnsi="宋体" w:eastAsia="仿宋_GB2312" w:cs="仿宋_GB2312"/>
        </w:rPr>
        <w:t>（</w:t>
      </w:r>
      <w:r>
        <w:rPr>
          <w:rFonts w:ascii="仿宋_GB2312" w:hAnsi="宋体" w:eastAsia="仿宋_GB2312" w:cs="仿宋_GB2312"/>
        </w:rPr>
        <w:t>2</w:t>
      </w:r>
      <w:r>
        <w:rPr>
          <w:rFonts w:hint="eastAsia" w:ascii="仿宋_GB2312" w:hAnsi="宋体" w:eastAsia="仿宋_GB2312" w:cs="仿宋_GB2312"/>
        </w:rPr>
        <w:t>）、拟定全县行政管理体制和机构改革的方案，并组织实施；指导乡镇、县级部门行政管理体制改革、机构改革和机构编制工作。</w:t>
      </w:r>
      <w:r>
        <w:rPr>
          <w:rFonts w:ascii="仿宋_GB2312" w:hAnsi="宋体" w:eastAsia="仿宋_GB2312" w:cs="Times New Roman"/>
        </w:rPr>
        <w:br w:type="textWrapping"/>
      </w:r>
      <w:r>
        <w:rPr>
          <w:rFonts w:ascii="仿宋_GB2312" w:hAnsi="宋体" w:eastAsia="仿宋_GB2312" w:cs="Times New Roman"/>
        </w:rPr>
        <w:t>    </w:t>
      </w:r>
      <w:r>
        <w:rPr>
          <w:rFonts w:hint="eastAsia" w:ascii="仿宋_GB2312" w:hAnsi="宋体" w:eastAsia="仿宋_GB2312" w:cs="仿宋_GB2312"/>
        </w:rPr>
        <w:t>（</w:t>
      </w:r>
      <w:r>
        <w:rPr>
          <w:rFonts w:ascii="仿宋_GB2312" w:hAnsi="宋体" w:eastAsia="仿宋_GB2312" w:cs="仿宋_GB2312"/>
        </w:rPr>
        <w:t>3</w:t>
      </w:r>
      <w:r>
        <w:rPr>
          <w:rFonts w:hint="eastAsia" w:ascii="仿宋_GB2312" w:hAnsi="宋体" w:eastAsia="仿宋_GB2312" w:cs="仿宋_GB2312"/>
        </w:rPr>
        <w:t>）、审核、审批乡镇机关及县级各部门的职责配置和调整，协调县乡机关之间、县级部门之间的职责分工。</w:t>
      </w:r>
      <w:r>
        <w:rPr>
          <w:rFonts w:ascii="仿宋_GB2312" w:hAnsi="宋体" w:eastAsia="仿宋_GB2312" w:cs="Times New Roman"/>
        </w:rPr>
        <w:br w:type="textWrapping"/>
      </w:r>
      <w:r>
        <w:rPr>
          <w:rFonts w:ascii="仿宋_GB2312" w:hAnsi="宋体" w:eastAsia="仿宋_GB2312" w:cs="Times New Roman"/>
        </w:rPr>
        <w:t>    </w:t>
      </w:r>
      <w:r>
        <w:rPr>
          <w:rFonts w:hint="eastAsia" w:ascii="仿宋_GB2312" w:hAnsi="宋体" w:eastAsia="仿宋_GB2312" w:cs="仿宋_GB2312"/>
        </w:rPr>
        <w:t>（</w:t>
      </w:r>
      <w:r>
        <w:rPr>
          <w:rFonts w:ascii="仿宋_GB2312" w:hAnsi="宋体" w:eastAsia="仿宋_GB2312" w:cs="仿宋_GB2312"/>
        </w:rPr>
        <w:t>4</w:t>
      </w:r>
      <w:r>
        <w:rPr>
          <w:rFonts w:hint="eastAsia" w:ascii="仿宋_GB2312" w:hAnsi="宋体" w:eastAsia="仿宋_GB2312" w:cs="仿宋_GB2312"/>
        </w:rPr>
        <w:t>）、审核乡镇及县级各部门主要职责、内设机构、人员编制、领导职数；研究提出县政府直属企业的机构设立及调整意见。</w:t>
      </w:r>
      <w:r>
        <w:rPr>
          <w:rFonts w:ascii="仿宋_GB2312" w:hAnsi="宋体" w:eastAsia="仿宋_GB2312" w:cs="Times New Roman"/>
        </w:rPr>
        <w:t> </w:t>
      </w:r>
      <w:r>
        <w:rPr>
          <w:rFonts w:ascii="仿宋_GB2312" w:hAnsi="宋体" w:eastAsia="仿宋_GB2312" w:cs="Times New Roman"/>
        </w:rPr>
        <w:br w:type="textWrapping"/>
      </w:r>
      <w:r>
        <w:rPr>
          <w:rFonts w:ascii="仿宋_GB2312" w:hAnsi="宋体" w:eastAsia="仿宋_GB2312" w:cs="Times New Roman"/>
        </w:rPr>
        <w:t>    </w:t>
      </w:r>
      <w:r>
        <w:rPr>
          <w:rFonts w:hint="eastAsia" w:ascii="仿宋_GB2312" w:hAnsi="宋体" w:eastAsia="仿宋_GB2312" w:cs="仿宋_GB2312"/>
        </w:rPr>
        <w:t>（</w:t>
      </w:r>
      <w:r>
        <w:rPr>
          <w:rFonts w:ascii="仿宋_GB2312" w:hAnsi="宋体" w:eastAsia="仿宋_GB2312" w:cs="仿宋_GB2312"/>
        </w:rPr>
        <w:t>5</w:t>
      </w:r>
      <w:r>
        <w:rPr>
          <w:rFonts w:hint="eastAsia" w:ascii="仿宋_GB2312" w:hAnsi="宋体" w:eastAsia="仿宋_GB2312" w:cs="仿宋_GB2312"/>
        </w:rPr>
        <w:t>）、拟定全县事业单位管理体制改革方案，并组织实施；审核审批全县事业单位的机构设置、人员编制、领导职数、人员结构比例、经费预算形式等。</w:t>
      </w:r>
      <w:r>
        <w:rPr>
          <w:rFonts w:ascii="仿宋_GB2312" w:hAnsi="宋体" w:eastAsia="仿宋_GB2312" w:cs="Times New Roman"/>
        </w:rPr>
        <w:br w:type="textWrapping"/>
      </w:r>
      <w:r>
        <w:rPr>
          <w:rFonts w:ascii="仿宋_GB2312" w:hAnsi="宋体" w:eastAsia="仿宋_GB2312" w:cs="Times New Roman"/>
        </w:rPr>
        <w:t>    </w:t>
      </w:r>
      <w:r>
        <w:rPr>
          <w:rFonts w:hint="eastAsia" w:ascii="仿宋_GB2312" w:hAnsi="宋体" w:eastAsia="仿宋_GB2312" w:cs="仿宋_GB2312"/>
        </w:rPr>
        <w:t>（</w:t>
      </w:r>
      <w:r>
        <w:rPr>
          <w:rFonts w:ascii="仿宋_GB2312" w:hAnsi="宋体" w:eastAsia="仿宋_GB2312" w:cs="仿宋_GB2312"/>
        </w:rPr>
        <w:t>6</w:t>
      </w:r>
      <w:r>
        <w:rPr>
          <w:rFonts w:hint="eastAsia" w:ascii="仿宋_GB2312" w:hAnsi="宋体" w:eastAsia="仿宋_GB2312" w:cs="仿宋_GB2312"/>
        </w:rPr>
        <w:t>）、负责全县议事协调机构设立、变更的审核工作。</w:t>
      </w:r>
      <w:r>
        <w:rPr>
          <w:rFonts w:ascii="仿宋_GB2312" w:hAnsi="宋体" w:eastAsia="仿宋_GB2312" w:cs="Times New Roman"/>
        </w:rPr>
        <w:br w:type="textWrapping"/>
      </w:r>
      <w:r>
        <w:rPr>
          <w:rFonts w:ascii="仿宋_GB2312" w:hAnsi="宋体" w:eastAsia="仿宋_GB2312" w:cs="Times New Roman"/>
        </w:rPr>
        <w:t>    </w:t>
      </w:r>
      <w:r>
        <w:rPr>
          <w:rFonts w:hint="eastAsia" w:ascii="仿宋_GB2312" w:hAnsi="宋体" w:eastAsia="仿宋_GB2312" w:cs="仿宋_GB2312"/>
        </w:rPr>
        <w:t>（</w:t>
      </w:r>
      <w:r>
        <w:rPr>
          <w:rFonts w:ascii="仿宋_GB2312" w:hAnsi="宋体" w:eastAsia="仿宋_GB2312" w:cs="仿宋_GB2312"/>
        </w:rPr>
        <w:t>7</w:t>
      </w:r>
      <w:r>
        <w:rPr>
          <w:rFonts w:hint="eastAsia" w:ascii="仿宋_GB2312" w:hAnsi="宋体" w:eastAsia="仿宋_GB2312" w:cs="仿宋_GB2312"/>
        </w:rPr>
        <w:t>）、负责县乡机关事业单位编制外聘用人员的管理工作。</w:t>
      </w:r>
      <w:r>
        <w:rPr>
          <w:rFonts w:ascii="仿宋_GB2312" w:hAnsi="宋体" w:eastAsia="仿宋_GB2312" w:cs="Times New Roman"/>
        </w:rPr>
        <w:br w:type="textWrapping"/>
      </w:r>
      <w:r>
        <w:rPr>
          <w:rFonts w:ascii="仿宋_GB2312" w:hAnsi="宋体" w:eastAsia="仿宋_GB2312" w:cs="Times New Roman"/>
        </w:rPr>
        <w:t>    </w:t>
      </w:r>
      <w:r>
        <w:rPr>
          <w:rFonts w:hint="eastAsia" w:ascii="仿宋_GB2312" w:hAnsi="宋体" w:eastAsia="仿宋_GB2312" w:cs="仿宋_GB2312"/>
        </w:rPr>
        <w:t>（</w:t>
      </w:r>
      <w:r>
        <w:rPr>
          <w:rFonts w:ascii="仿宋_GB2312" w:hAnsi="宋体" w:eastAsia="仿宋_GB2312" w:cs="仿宋_GB2312"/>
        </w:rPr>
        <w:t>8</w:t>
      </w:r>
      <w:r>
        <w:rPr>
          <w:rFonts w:hint="eastAsia" w:ascii="仿宋_GB2312" w:hAnsi="宋体" w:eastAsia="仿宋_GB2312" w:cs="仿宋_GB2312"/>
        </w:rPr>
        <w:t>）、建立健全事业单位法人登记制度，依据国务院《事业单位登记管理暂行条例》及《实施细则》，组织实施事业单位登记管理工作，监督检查事业单位法人登记的执行情况。</w:t>
      </w:r>
      <w:r>
        <w:rPr>
          <w:rFonts w:ascii="仿宋_GB2312" w:hAnsi="宋体" w:eastAsia="仿宋_GB2312" w:cs="Times New Roman"/>
        </w:rPr>
        <w:br w:type="textWrapping"/>
      </w:r>
      <w:r>
        <w:rPr>
          <w:rFonts w:ascii="仿宋_GB2312" w:hAnsi="宋体" w:eastAsia="仿宋_GB2312" w:cs="Times New Roman"/>
        </w:rPr>
        <w:t>    </w:t>
      </w:r>
      <w:r>
        <w:rPr>
          <w:rFonts w:hint="eastAsia" w:ascii="仿宋_GB2312" w:hAnsi="宋体" w:eastAsia="仿宋_GB2312" w:cs="仿宋_GB2312"/>
        </w:rPr>
        <w:t>（</w:t>
      </w:r>
      <w:r>
        <w:rPr>
          <w:rFonts w:ascii="仿宋_GB2312" w:hAnsi="宋体" w:eastAsia="仿宋_GB2312" w:cs="仿宋_GB2312"/>
        </w:rPr>
        <w:t>9</w:t>
      </w:r>
      <w:r>
        <w:rPr>
          <w:rFonts w:hint="eastAsia" w:ascii="仿宋_GB2312" w:hAnsi="宋体" w:eastAsia="仿宋_GB2312" w:cs="仿宋_GB2312"/>
        </w:rPr>
        <w:t>）、监督检查县乡行政管理体制改革、机构改革和机构编制管理的执行情况，建立健全机构编制督查和评估机制。</w:t>
      </w:r>
      <w:r>
        <w:rPr>
          <w:rFonts w:ascii="仿宋_GB2312" w:hAnsi="宋体" w:eastAsia="仿宋_GB2312" w:cs="Times New Roman"/>
        </w:rPr>
        <w:br w:type="textWrapping"/>
      </w:r>
      <w:r>
        <w:rPr>
          <w:rFonts w:ascii="仿宋_GB2312" w:hAnsi="宋体" w:eastAsia="仿宋_GB2312" w:cs="Times New Roman"/>
        </w:rPr>
        <w:t>    </w:t>
      </w:r>
      <w:r>
        <w:rPr>
          <w:rFonts w:hint="eastAsia" w:ascii="仿宋_GB2312" w:hAnsi="宋体" w:eastAsia="仿宋_GB2312" w:cs="仿宋_GB2312"/>
        </w:rPr>
        <w:t>（</w:t>
      </w:r>
      <w:r>
        <w:rPr>
          <w:rFonts w:ascii="仿宋_GB2312" w:hAnsi="宋体" w:eastAsia="仿宋_GB2312" w:cs="仿宋_GB2312"/>
        </w:rPr>
        <w:t>10</w:t>
      </w:r>
      <w:r>
        <w:rPr>
          <w:rFonts w:hint="eastAsia" w:ascii="仿宋_GB2312" w:hAnsi="宋体" w:eastAsia="仿宋_GB2312" w:cs="仿宋_GB2312"/>
        </w:rPr>
        <w:t>）、参与有关体制改革的调查研究和方案的拟定工作；承办报送县政府有关地方性法规、规章和规范性文件中涉及职责任务、机构编制内容的审核、修改工作；参与行政审批制度改革工作。</w:t>
      </w:r>
      <w:r>
        <w:rPr>
          <w:rFonts w:ascii="仿宋_GB2312" w:hAnsi="宋体" w:eastAsia="仿宋_GB2312" w:cs="Times New Roman"/>
        </w:rPr>
        <w:br w:type="textWrapping"/>
      </w:r>
      <w:r>
        <w:rPr>
          <w:rFonts w:ascii="仿宋_GB2312" w:hAnsi="宋体" w:eastAsia="仿宋_GB2312" w:cs="Times New Roman"/>
        </w:rPr>
        <w:t>    </w:t>
      </w:r>
      <w:r>
        <w:rPr>
          <w:rFonts w:hint="eastAsia" w:ascii="仿宋_GB2312" w:hAnsi="宋体" w:eastAsia="仿宋_GB2312" w:cs="仿宋_GB2312"/>
        </w:rPr>
        <w:t>（</w:t>
      </w:r>
      <w:r>
        <w:rPr>
          <w:rFonts w:ascii="仿宋_GB2312" w:hAnsi="宋体" w:eastAsia="仿宋_GB2312" w:cs="仿宋_GB2312"/>
        </w:rPr>
        <w:t>11</w:t>
      </w:r>
      <w:r>
        <w:rPr>
          <w:rFonts w:hint="eastAsia" w:ascii="仿宋_GB2312" w:hAnsi="宋体" w:eastAsia="仿宋_GB2312" w:cs="仿宋_GB2312"/>
        </w:rPr>
        <w:t>）、建立机构编制管理与财政预算相互配套协调约束机制，运用机构编制与行政经费预算挂钩等管理办法，控制机构编制膨胀，精简机构和人员。</w:t>
      </w:r>
      <w:r>
        <w:rPr>
          <w:rFonts w:ascii="仿宋_GB2312" w:hAnsi="宋体" w:eastAsia="仿宋_GB2312" w:cs="Times New Roman"/>
        </w:rPr>
        <w:br w:type="textWrapping"/>
      </w:r>
      <w:r>
        <w:rPr>
          <w:rFonts w:ascii="仿宋_GB2312" w:hAnsi="宋体" w:eastAsia="仿宋_GB2312" w:cs="Times New Roman"/>
        </w:rPr>
        <w:t>    </w:t>
      </w:r>
      <w:r>
        <w:rPr>
          <w:rFonts w:hint="eastAsia" w:ascii="仿宋_GB2312" w:hAnsi="宋体" w:eastAsia="仿宋_GB2312" w:cs="仿宋_GB2312"/>
        </w:rPr>
        <w:t>（</w:t>
      </w:r>
      <w:r>
        <w:rPr>
          <w:rFonts w:ascii="仿宋_GB2312" w:hAnsi="宋体" w:eastAsia="仿宋_GB2312" w:cs="仿宋_GB2312"/>
        </w:rPr>
        <w:t>12</w:t>
      </w:r>
      <w:r>
        <w:rPr>
          <w:rFonts w:hint="eastAsia" w:ascii="仿宋_GB2312" w:hAnsi="宋体" w:eastAsia="仿宋_GB2312" w:cs="仿宋_GB2312"/>
        </w:rPr>
        <w:t>）、负责经批准设立、撤销、合并、更名的机关事业单位印章的刻制、启用和销毁登记工作。</w:t>
      </w:r>
    </w:p>
    <w:p>
      <w:pPr>
        <w:spacing w:line="360" w:lineRule="auto"/>
        <w:ind w:firstLine="645"/>
        <w:rPr>
          <w:rFonts w:ascii="仿宋_GB2312" w:hAnsi="宋体" w:eastAsia="仿宋_GB2312" w:cs="Times New Roman"/>
        </w:rPr>
      </w:pPr>
      <w:r>
        <w:rPr>
          <w:rFonts w:hint="eastAsia" w:ascii="仿宋_GB2312" w:hAnsi="宋体" w:eastAsia="仿宋_GB2312" w:cs="仿宋_GB2312"/>
        </w:rPr>
        <w:t>（</w:t>
      </w:r>
      <w:r>
        <w:rPr>
          <w:rFonts w:ascii="仿宋_GB2312" w:hAnsi="宋体" w:eastAsia="仿宋_GB2312" w:cs="仿宋_GB2312"/>
        </w:rPr>
        <w:t>13</w:t>
      </w:r>
      <w:r>
        <w:rPr>
          <w:rFonts w:hint="eastAsia" w:ascii="仿宋_GB2312" w:hAnsi="宋体" w:eastAsia="仿宋_GB2312" w:cs="仿宋_GB2312"/>
        </w:rPr>
        <w:t>）、负责党政群机关和事业单位的政务和公益机构域名注册管理工作。</w:t>
      </w:r>
    </w:p>
    <w:p>
      <w:pPr>
        <w:widowControl/>
        <w:ind w:firstLine="643" w:firstLineChars="200"/>
        <w:jc w:val="left"/>
        <w:rPr>
          <w:rFonts w:ascii="楷体" w:hAnsi="楷体" w:eastAsia="楷体" w:cs="Times New Roman"/>
          <w:b/>
          <w:bCs/>
          <w:color w:val="000000"/>
          <w:kern w:val="0"/>
        </w:rPr>
      </w:pPr>
      <w:r>
        <w:rPr>
          <w:rFonts w:hint="eastAsia" w:ascii="楷体" w:hAnsi="楷体" w:eastAsia="楷体" w:cs="楷体"/>
          <w:b/>
          <w:bCs/>
          <w:color w:val="000000"/>
          <w:kern w:val="0"/>
        </w:rPr>
        <w:t>（二）内设机构</w:t>
      </w:r>
    </w:p>
    <w:p>
      <w:pPr>
        <w:widowControl/>
        <w:ind w:firstLine="640" w:firstLineChars="200"/>
        <w:jc w:val="left"/>
        <w:rPr>
          <w:rFonts w:cs="Times New Roman"/>
        </w:rPr>
      </w:pPr>
      <w:r>
        <w:rPr>
          <w:rFonts w:hint="eastAsia" w:ascii="黑体" w:hAnsi="宋体" w:eastAsia="黑体" w:cs="黑体"/>
          <w:color w:val="000000"/>
          <w:kern w:val="0"/>
        </w:rPr>
        <w:t>二、部门决算单位构成</w:t>
      </w:r>
    </w:p>
    <w:p>
      <w:pPr>
        <w:ind w:firstLine="640"/>
        <w:rPr>
          <w:rFonts w:ascii="仿宋_GB2312" w:hAnsi="仿宋_GB2312" w:eastAsia="仿宋_GB2312" w:cs="Times New Roman"/>
        </w:rPr>
      </w:pPr>
      <w:r>
        <w:rPr>
          <w:rFonts w:hint="eastAsia" w:ascii="仿宋_GB2312" w:hAnsi="仿宋_GB2312" w:eastAsia="仿宋_GB2312" w:cs="仿宋_GB2312"/>
        </w:rPr>
        <w:t>纳入</w:t>
      </w:r>
      <w:r>
        <w:rPr>
          <w:rFonts w:ascii="仿宋_GB2312" w:hAnsi="仿宋_GB2312" w:eastAsia="仿宋_GB2312" w:cs="仿宋_GB2312"/>
        </w:rPr>
        <w:t>2019</w:t>
      </w:r>
      <w:r>
        <w:rPr>
          <w:rFonts w:hint="eastAsia" w:ascii="仿宋_GB2312" w:hAnsi="仿宋_GB2312" w:eastAsia="仿宋_GB2312" w:cs="仿宋_GB2312"/>
        </w:rPr>
        <w:t>年度本部门决算编制范围的单位共</w:t>
      </w:r>
      <w:r>
        <w:rPr>
          <w:rFonts w:ascii="仿宋_GB2312" w:hAnsi="仿宋_GB2312" w:eastAsia="仿宋_GB2312" w:cs="仿宋_GB2312"/>
        </w:rPr>
        <w:t>1</w:t>
      </w:r>
      <w:r>
        <w:rPr>
          <w:rFonts w:hint="eastAsia" w:ascii="仿宋_GB2312" w:hAnsi="仿宋_GB2312" w:eastAsia="仿宋_GB2312" w:cs="仿宋_GB2312"/>
        </w:rPr>
        <w:t>个，</w:t>
      </w:r>
      <w:r>
        <w:rPr>
          <w:rFonts w:hint="eastAsia" w:ascii="仿宋_GB2312" w:hAnsi="仿宋" w:eastAsia="仿宋_GB2312" w:cs="仿宋_GB2312"/>
        </w:rPr>
        <w:t>无下属单位，是独立核算的一级预算单位，无二级预算部门。</w:t>
      </w:r>
    </w:p>
    <w:tbl>
      <w:tblPr>
        <w:tblStyle w:val="5"/>
        <w:tblW w:w="8959"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7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黑体" w:hAnsi="黑体" w:eastAsia="黑体" w:cs="Times New Roman"/>
              </w:rPr>
            </w:pPr>
            <w:r>
              <w:rPr>
                <w:rFonts w:hint="eastAsia" w:ascii="黑体" w:hAnsi="黑体" w:eastAsia="黑体" w:cs="黑体"/>
              </w:rPr>
              <w:t>序号</w:t>
            </w:r>
          </w:p>
        </w:tc>
        <w:tc>
          <w:tcPr>
            <w:tcW w:w="7278" w:type="dxa"/>
            <w:vAlign w:val="center"/>
          </w:tcPr>
          <w:p>
            <w:pPr>
              <w:jc w:val="center"/>
              <w:rPr>
                <w:rFonts w:ascii="黑体" w:hAnsi="黑体" w:eastAsia="黑体" w:cs="Times New Roman"/>
              </w:rPr>
            </w:pPr>
            <w:r>
              <w:rPr>
                <w:rFonts w:hint="eastAsia" w:ascii="黑体" w:hAnsi="黑体" w:eastAsia="黑体" w:cs="黑体"/>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仿宋_GB2312" w:hAnsi="仿宋_GB2312" w:eastAsia="仿宋_GB2312" w:cs="仿宋_GB2312"/>
              </w:rPr>
            </w:pPr>
            <w:r>
              <w:rPr>
                <w:rFonts w:ascii="仿宋_GB2312" w:hAnsi="仿宋_GB2312" w:eastAsia="仿宋_GB2312" w:cs="仿宋_GB2312"/>
              </w:rPr>
              <w:t>1</w:t>
            </w:r>
          </w:p>
        </w:tc>
        <w:tc>
          <w:tcPr>
            <w:tcW w:w="7278" w:type="dxa"/>
            <w:vAlign w:val="center"/>
          </w:tcPr>
          <w:p>
            <w:pPr>
              <w:jc w:val="center"/>
              <w:rPr>
                <w:rFonts w:ascii="仿宋_GB2312" w:hAnsi="仿宋_GB2312" w:eastAsia="仿宋_GB2312" w:cs="Times New Roman"/>
              </w:rPr>
            </w:pPr>
            <w:r>
              <w:rPr>
                <w:rFonts w:hint="eastAsia" w:ascii="仿宋_GB2312" w:hAnsi="仿宋_GB2312" w:eastAsia="仿宋_GB2312" w:cs="仿宋_GB2312"/>
              </w:rPr>
              <w:t>中共蓝田县委机构编制委员会办公室部门本级（机关）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仿宋_GB2312" w:hAnsi="仿宋_GB2312" w:eastAsia="仿宋_GB2312" w:cs="仿宋_GB2312"/>
              </w:rPr>
            </w:pPr>
            <w:r>
              <w:rPr>
                <w:rFonts w:ascii="仿宋_GB2312" w:hAnsi="仿宋_GB2312" w:eastAsia="仿宋_GB2312" w:cs="仿宋_GB2312"/>
              </w:rPr>
              <w:t>2</w:t>
            </w:r>
          </w:p>
        </w:tc>
        <w:tc>
          <w:tcPr>
            <w:tcW w:w="7278" w:type="dxa"/>
            <w:vAlign w:val="center"/>
          </w:tcPr>
          <w:p>
            <w:pPr>
              <w:jc w:val="center"/>
              <w:rPr>
                <w:rFonts w:ascii="仿宋_GB2312" w:hAnsi="仿宋_GB2312" w:eastAsia="仿宋_GB2312" w:cs="Times New Roman"/>
              </w:rPr>
            </w:pPr>
            <w:r>
              <w:rPr>
                <w:rFonts w:hint="eastAsia" w:ascii="仿宋_GB2312" w:hAnsi="仿宋_GB2312" w:eastAsia="仿宋_GB2312" w:cs="仿宋_GB231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仿宋_GB2312" w:hAnsi="仿宋_GB2312" w:eastAsia="仿宋_GB2312" w:cs="仿宋_GB2312"/>
              </w:rPr>
            </w:pPr>
            <w:r>
              <w:rPr>
                <w:rFonts w:ascii="仿宋_GB2312" w:hAnsi="仿宋_GB2312" w:eastAsia="仿宋_GB2312" w:cs="仿宋_GB2312"/>
              </w:rPr>
              <w:t>3</w:t>
            </w:r>
          </w:p>
        </w:tc>
        <w:tc>
          <w:tcPr>
            <w:tcW w:w="7278" w:type="dxa"/>
            <w:vAlign w:val="center"/>
          </w:tcPr>
          <w:p>
            <w:pPr>
              <w:jc w:val="center"/>
              <w:rPr>
                <w:rFonts w:ascii="仿宋_GB2312" w:hAnsi="仿宋_GB2312" w:eastAsia="仿宋_GB2312" w:cs="Times New Roman"/>
              </w:rPr>
            </w:pPr>
            <w:r>
              <w:rPr>
                <w:rFonts w:hint="eastAsia" w:ascii="仿宋_GB2312" w:hAnsi="仿宋_GB2312" w:eastAsia="仿宋_GB2312" w:cs="仿宋_GB231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681" w:type="dxa"/>
            <w:vAlign w:val="center"/>
          </w:tcPr>
          <w:p>
            <w:pPr>
              <w:jc w:val="center"/>
              <w:rPr>
                <w:rFonts w:ascii="仿宋_GB2312" w:hAnsi="仿宋_GB2312" w:eastAsia="仿宋_GB2312" w:cs="Times New Roman"/>
              </w:rPr>
            </w:pPr>
            <w:r>
              <w:rPr>
                <w:rFonts w:hint="eastAsia" w:ascii="仿宋_GB2312" w:hAnsi="仿宋_GB2312" w:eastAsia="仿宋_GB2312" w:cs="仿宋_GB2312"/>
              </w:rPr>
              <w:t>……</w:t>
            </w:r>
          </w:p>
        </w:tc>
        <w:tc>
          <w:tcPr>
            <w:tcW w:w="7278" w:type="dxa"/>
            <w:vAlign w:val="center"/>
          </w:tcPr>
          <w:p>
            <w:pPr>
              <w:jc w:val="center"/>
              <w:rPr>
                <w:rFonts w:ascii="仿宋_GB2312" w:hAnsi="仿宋_GB2312" w:eastAsia="仿宋_GB2312" w:cs="Times New Roman"/>
              </w:rPr>
            </w:pPr>
            <w:r>
              <w:rPr>
                <w:rFonts w:hint="eastAsia" w:ascii="仿宋_GB2312" w:hAnsi="仿宋_GB2312" w:eastAsia="仿宋_GB2312" w:cs="仿宋_GB2312"/>
              </w:rPr>
              <w:t>……</w:t>
            </w:r>
          </w:p>
        </w:tc>
      </w:tr>
    </w:tbl>
    <w:p>
      <w:pPr>
        <w:ind w:firstLine="640"/>
        <w:rPr>
          <w:rFonts w:ascii="黑体" w:hAnsi="黑体" w:eastAsia="黑体" w:cs="Times New Roman"/>
          <w:b/>
          <w:bCs/>
        </w:rPr>
      </w:pPr>
      <w:r>
        <w:rPr>
          <w:rFonts w:hint="eastAsia" w:ascii="黑体" w:hAnsi="黑体" w:eastAsia="黑体" w:cs="黑体"/>
          <w:b/>
          <w:bCs/>
        </w:rPr>
        <w:t>三、部门人员情况</w:t>
      </w:r>
    </w:p>
    <w:p>
      <w:pPr>
        <w:ind w:firstLine="640"/>
        <w:rPr>
          <w:rFonts w:ascii="仿宋_GB2312" w:hAnsi="仿宋_GB2312" w:eastAsia="仿宋_GB2312" w:cs="Times New Roman"/>
        </w:rPr>
      </w:pPr>
      <w:r>
        <w:rPr>
          <w:rFonts w:hint="eastAsia" w:ascii="仿宋_GB2312" w:hAnsi="仿宋_GB2312" w:eastAsia="仿宋_GB2312" w:cs="仿宋_GB2312"/>
        </w:rPr>
        <w:t>（文字说明，并列图表）</w:t>
      </w:r>
    </w:p>
    <w:p>
      <w:pPr>
        <w:ind w:firstLine="640"/>
        <w:rPr>
          <w:rFonts w:ascii="仿宋_GB2312" w:hAnsi="仿宋_GB2312" w:eastAsia="仿宋_GB2312" w:cs="Times New Roman"/>
        </w:rPr>
      </w:pPr>
      <w:r>
        <w:rPr>
          <w:rFonts w:hint="eastAsia" w:ascii="仿宋_GB2312" w:hAnsi="仿宋_GB2312" w:eastAsia="仿宋_GB2312" w:cs="仿宋_GB2312"/>
        </w:rPr>
        <w:t>截止</w:t>
      </w:r>
      <w:r>
        <w:rPr>
          <w:rFonts w:ascii="仿宋_GB2312" w:hAnsi="仿宋_GB2312" w:eastAsia="仿宋_GB2312" w:cs="仿宋_GB2312"/>
        </w:rPr>
        <w:t>2019</w:t>
      </w:r>
      <w:r>
        <w:rPr>
          <w:rFonts w:hint="eastAsia" w:ascii="仿宋_GB2312" w:hAnsi="仿宋_GB2312" w:eastAsia="仿宋_GB2312" w:cs="仿宋_GB2312"/>
        </w:rPr>
        <w:t>年底，本部门人员编制</w:t>
      </w:r>
      <w:r>
        <w:rPr>
          <w:rFonts w:ascii="仿宋_GB2312" w:hAnsi="仿宋_GB2312" w:eastAsia="仿宋_GB2312" w:cs="仿宋_GB2312"/>
        </w:rPr>
        <w:t>11</w:t>
      </w:r>
      <w:r>
        <w:rPr>
          <w:rFonts w:hint="eastAsia" w:ascii="仿宋_GB2312" w:hAnsi="仿宋_GB2312" w:eastAsia="仿宋_GB2312" w:cs="仿宋_GB2312"/>
        </w:rPr>
        <w:t>人，其中行政编制</w:t>
      </w:r>
      <w:r>
        <w:rPr>
          <w:rFonts w:ascii="仿宋_GB2312" w:hAnsi="仿宋_GB2312" w:eastAsia="仿宋_GB2312" w:cs="仿宋_GB2312"/>
        </w:rPr>
        <w:t>11</w:t>
      </w:r>
      <w:r>
        <w:rPr>
          <w:rFonts w:hint="eastAsia" w:ascii="仿宋_GB2312" w:hAnsi="仿宋_GB2312" w:eastAsia="仿宋_GB2312" w:cs="仿宋_GB2312"/>
        </w:rPr>
        <w:t>人、事业编制</w:t>
      </w:r>
      <w:r>
        <w:rPr>
          <w:rFonts w:ascii="仿宋_GB2312" w:hAnsi="仿宋_GB2312" w:eastAsia="仿宋_GB2312" w:cs="仿宋_GB2312"/>
        </w:rPr>
        <w:t>0</w:t>
      </w:r>
      <w:r>
        <w:rPr>
          <w:rFonts w:hint="eastAsia" w:ascii="仿宋_GB2312" w:hAnsi="仿宋_GB2312" w:eastAsia="仿宋_GB2312" w:cs="仿宋_GB2312"/>
        </w:rPr>
        <w:t>人；实有人员</w:t>
      </w:r>
      <w:r>
        <w:rPr>
          <w:rFonts w:ascii="仿宋_GB2312" w:hAnsi="仿宋_GB2312" w:eastAsia="仿宋_GB2312" w:cs="仿宋_GB2312"/>
        </w:rPr>
        <w:t>11</w:t>
      </w:r>
      <w:r>
        <w:rPr>
          <w:rFonts w:hint="eastAsia" w:ascii="仿宋_GB2312" w:hAnsi="仿宋_GB2312" w:eastAsia="仿宋_GB2312" w:cs="仿宋_GB2312"/>
        </w:rPr>
        <w:t>人，其中行政</w:t>
      </w:r>
      <w:r>
        <w:rPr>
          <w:rFonts w:ascii="仿宋_GB2312" w:hAnsi="仿宋_GB2312" w:eastAsia="仿宋_GB2312" w:cs="仿宋_GB2312"/>
        </w:rPr>
        <w:t>9</w:t>
      </w:r>
      <w:r>
        <w:rPr>
          <w:rFonts w:hint="eastAsia" w:ascii="仿宋_GB2312" w:hAnsi="仿宋_GB2312" w:eastAsia="仿宋_GB2312" w:cs="仿宋_GB2312"/>
        </w:rPr>
        <w:t>人、事业</w:t>
      </w:r>
      <w:r>
        <w:rPr>
          <w:rFonts w:ascii="仿宋_GB2312" w:hAnsi="仿宋_GB2312" w:eastAsia="仿宋_GB2312" w:cs="仿宋_GB2312"/>
        </w:rPr>
        <w:t>1</w:t>
      </w:r>
      <w:r>
        <w:rPr>
          <w:rFonts w:hint="eastAsia" w:ascii="仿宋_GB2312" w:hAnsi="仿宋_GB2312" w:eastAsia="仿宋_GB2312" w:cs="仿宋_GB2312"/>
        </w:rPr>
        <w:t>人，</w:t>
      </w:r>
      <w:r>
        <w:rPr>
          <w:rFonts w:hint="eastAsia" w:ascii="仿宋_GB2312" w:hAnsi="仿宋" w:eastAsia="仿宋_GB2312" w:cs="仿宋_GB2312"/>
        </w:rPr>
        <w:t>工人</w:t>
      </w:r>
      <w:r>
        <w:rPr>
          <w:rFonts w:ascii="仿宋_GB2312" w:hAnsi="仿宋" w:eastAsia="仿宋_GB2312" w:cs="仿宋_GB2312"/>
        </w:rPr>
        <w:t>1</w:t>
      </w:r>
      <w:r>
        <w:rPr>
          <w:rFonts w:hint="eastAsia" w:ascii="仿宋_GB2312" w:hAnsi="仿宋" w:eastAsia="仿宋_GB2312" w:cs="仿宋_GB2312"/>
        </w:rPr>
        <w:t>人</w:t>
      </w:r>
      <w:r>
        <w:rPr>
          <w:rFonts w:hint="eastAsia" w:ascii="仿宋_GB2312" w:hAnsi="仿宋_GB2312" w:eastAsia="仿宋_GB2312" w:cs="仿宋_GB2312"/>
        </w:rPr>
        <w:t>。单位管理的离退休人员</w:t>
      </w:r>
      <w:r>
        <w:rPr>
          <w:rFonts w:ascii="仿宋_GB2312" w:hAnsi="仿宋_GB2312" w:eastAsia="仿宋_GB2312" w:cs="仿宋_GB2312"/>
        </w:rPr>
        <w:t>1</w:t>
      </w:r>
      <w:r>
        <w:rPr>
          <w:rFonts w:hint="eastAsia" w:ascii="仿宋_GB2312" w:hAnsi="仿宋_GB2312" w:eastAsia="仿宋_GB2312" w:cs="仿宋_GB2312"/>
        </w:rPr>
        <w:t>人。</w:t>
      </w:r>
    </w:p>
    <w:p>
      <w:pPr>
        <w:widowControl/>
        <w:jc w:val="center"/>
        <w:rPr>
          <w:rFonts w:ascii="黑体" w:hAnsi="宋体" w:eastAsia="黑体" w:cs="Times New Roman"/>
          <w:color w:val="000000"/>
          <w:kern w:val="0"/>
          <w:sz w:val="44"/>
          <w:szCs w:val="44"/>
        </w:rPr>
      </w:pPr>
      <w:r>
        <w:rPr>
          <w:rFonts w:cs="Times New Roman"/>
        </w:rPr>
        <w:pict>
          <v:shape id="_x0000_i1025" o:spt="75" type="#_x0000_t75" style="height:213.75pt;width:413.25pt;" filled="f" o:preferrelative="t" stroked="f" coordsize="21600,21600">
            <v:path/>
            <v:fill on="f" focussize="0,0"/>
            <v:stroke on="f" joinstyle="miter"/>
            <v:imagedata r:id="rId4" o:title=""/>
            <o:lock v:ext="edit" aspectratio="t"/>
            <w10:wrap type="none"/>
            <w10:anchorlock/>
          </v:shape>
        </w:pict>
      </w:r>
    </w:p>
    <w:p>
      <w:pPr>
        <w:widowControl/>
        <w:jc w:val="center"/>
        <w:rPr>
          <w:rFonts w:ascii="黑体" w:hAnsi="宋体" w:eastAsia="黑体" w:cs="Times New Roman"/>
          <w:color w:val="000000"/>
          <w:kern w:val="0"/>
          <w:sz w:val="44"/>
          <w:szCs w:val="44"/>
        </w:rPr>
      </w:pPr>
    </w:p>
    <w:p>
      <w:pPr>
        <w:widowControl/>
        <w:jc w:val="center"/>
        <w:rPr>
          <w:rFonts w:ascii="黑体" w:hAnsi="宋体" w:eastAsia="黑体" w:cs="Times New Roman"/>
          <w:color w:val="000000"/>
          <w:kern w:val="0"/>
          <w:sz w:val="44"/>
          <w:szCs w:val="44"/>
        </w:rPr>
      </w:pPr>
    </w:p>
    <w:p>
      <w:pPr>
        <w:widowControl/>
        <w:jc w:val="center"/>
        <w:rPr>
          <w:rFonts w:ascii="黑体" w:hAnsi="宋体" w:eastAsia="黑体" w:cs="Times New Roman"/>
          <w:color w:val="000000"/>
          <w:kern w:val="0"/>
          <w:sz w:val="44"/>
          <w:szCs w:val="44"/>
        </w:rPr>
      </w:pPr>
    </w:p>
    <w:p>
      <w:pPr>
        <w:widowControl/>
        <w:jc w:val="center"/>
        <w:rPr>
          <w:rFonts w:cs="Times New Roman"/>
          <w:sz w:val="44"/>
          <w:szCs w:val="44"/>
        </w:rPr>
      </w:pPr>
      <w:r>
        <w:rPr>
          <w:rFonts w:hint="eastAsia" w:ascii="黑体" w:hAnsi="宋体" w:eastAsia="黑体" w:cs="黑体"/>
          <w:color w:val="000000"/>
          <w:kern w:val="0"/>
          <w:sz w:val="44"/>
          <w:szCs w:val="44"/>
        </w:rPr>
        <w:t>第二部分</w:t>
      </w:r>
      <w:r>
        <w:rPr>
          <w:rFonts w:ascii="黑体" w:hAnsi="宋体" w:eastAsia="黑体" w:cs="黑体"/>
          <w:color w:val="000000"/>
          <w:kern w:val="0"/>
          <w:sz w:val="44"/>
          <w:szCs w:val="44"/>
        </w:rPr>
        <w:t xml:space="preserve"> 2019</w:t>
      </w:r>
      <w:r>
        <w:rPr>
          <w:rFonts w:hint="eastAsia" w:ascii="黑体" w:hAnsi="宋体" w:eastAsia="黑体" w:cs="黑体"/>
          <w:color w:val="000000"/>
          <w:kern w:val="0"/>
          <w:sz w:val="44"/>
          <w:szCs w:val="44"/>
        </w:rPr>
        <w:t>年度部门决算表</w:t>
      </w:r>
    </w:p>
    <w:tbl>
      <w:tblPr>
        <w:tblStyle w:val="5"/>
        <w:tblpPr w:leftFromText="180" w:rightFromText="180" w:vertAnchor="text" w:horzAnchor="page" w:tblpX="1508" w:tblpY="1123"/>
        <w:tblOverlap w:val="never"/>
        <w:tblW w:w="9210" w:type="dxa"/>
        <w:tblInd w:w="0" w:type="dxa"/>
        <w:tblLayout w:type="fixed"/>
        <w:tblCellMar>
          <w:top w:w="0" w:type="dxa"/>
          <w:left w:w="0" w:type="dxa"/>
          <w:bottom w:w="0" w:type="dxa"/>
          <w:right w:w="0" w:type="dxa"/>
        </w:tblCellMar>
      </w:tblPr>
      <w:tblGrid>
        <w:gridCol w:w="570"/>
        <w:gridCol w:w="6240"/>
        <w:gridCol w:w="660"/>
        <w:gridCol w:w="1740"/>
      </w:tblGrid>
      <w:tr>
        <w:tblPrEx>
          <w:tblCellMar>
            <w:top w:w="0" w:type="dxa"/>
            <w:left w:w="0" w:type="dxa"/>
            <w:bottom w:w="0" w:type="dxa"/>
            <w:right w:w="0" w:type="dxa"/>
          </w:tblCellMar>
        </w:tblPrEx>
        <w:trPr>
          <w:trHeight w:val="645" w:hRule="atLeas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Times New Roman"/>
                <w:color w:val="000000"/>
                <w:sz w:val="24"/>
                <w:szCs w:val="24"/>
              </w:rPr>
            </w:pPr>
            <w:r>
              <w:rPr>
                <w:rFonts w:hint="eastAsia" w:ascii="黑体" w:hAnsi="宋体" w:eastAsia="黑体" w:cs="黑体"/>
                <w:color w:val="000000"/>
                <w:kern w:val="0"/>
                <w:sz w:val="24"/>
                <w:szCs w:val="24"/>
              </w:rPr>
              <w:t>序号</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Times New Roman"/>
                <w:color w:val="000000"/>
                <w:sz w:val="24"/>
                <w:szCs w:val="24"/>
              </w:rPr>
            </w:pPr>
            <w:r>
              <w:rPr>
                <w:rFonts w:hint="eastAsia" w:ascii="黑体" w:hAnsi="宋体" w:eastAsia="黑体" w:cs="黑体"/>
                <w:color w:val="000000"/>
                <w:kern w:val="0"/>
                <w:sz w:val="24"/>
                <w:szCs w:val="24"/>
              </w:rPr>
              <w:t>内容</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Times New Roman"/>
                <w:color w:val="000000"/>
                <w:kern w:val="0"/>
                <w:sz w:val="24"/>
                <w:szCs w:val="24"/>
              </w:rPr>
            </w:pPr>
            <w:r>
              <w:rPr>
                <w:rFonts w:hint="eastAsia" w:ascii="黑体" w:hAnsi="宋体" w:eastAsia="黑体" w:cs="黑体"/>
                <w:color w:val="000000"/>
                <w:kern w:val="0"/>
                <w:sz w:val="24"/>
                <w:szCs w:val="24"/>
              </w:rPr>
              <w:t>是否</w:t>
            </w:r>
          </w:p>
          <w:p>
            <w:pPr>
              <w:widowControl/>
              <w:jc w:val="center"/>
              <w:textAlignment w:val="center"/>
              <w:rPr>
                <w:rFonts w:ascii="黑体" w:hAnsi="宋体" w:eastAsia="黑体" w:cs="Times New Roman"/>
                <w:color w:val="000000"/>
                <w:sz w:val="24"/>
                <w:szCs w:val="24"/>
              </w:rPr>
            </w:pPr>
            <w:r>
              <w:rPr>
                <w:rFonts w:hint="eastAsia" w:ascii="黑体" w:hAnsi="宋体" w:eastAsia="黑体" w:cs="黑体"/>
                <w:color w:val="000000"/>
                <w:kern w:val="0"/>
                <w:sz w:val="24"/>
                <w:szCs w:val="24"/>
              </w:rPr>
              <w:t>空表</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Times New Roman"/>
                <w:color w:val="000000"/>
                <w:sz w:val="24"/>
                <w:szCs w:val="24"/>
              </w:rPr>
            </w:pPr>
            <w:r>
              <w:rPr>
                <w:rFonts w:hint="eastAsia" w:ascii="黑体" w:hAnsi="宋体" w:eastAsia="黑体" w:cs="黑体"/>
                <w:color w:val="000000"/>
                <w:kern w:val="0"/>
                <w:sz w:val="24"/>
                <w:szCs w:val="24"/>
              </w:rPr>
              <w:t>表格为空的理由</w:t>
            </w: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Times New Roman"/>
                <w:color w:val="000000"/>
                <w:sz w:val="21"/>
                <w:szCs w:val="21"/>
              </w:rPr>
            </w:pPr>
            <w:r>
              <w:rPr>
                <w:rFonts w:hint="eastAsia" w:ascii="宋体" w:hAnsi="宋体" w:cs="方正仿宋简体"/>
                <w:color w:val="000000"/>
                <w:kern w:val="0"/>
                <w:sz w:val="21"/>
                <w:szCs w:val="21"/>
              </w:rPr>
              <w:t>表</w:t>
            </w:r>
            <w:r>
              <w:rPr>
                <w:rFonts w:ascii="宋体" w:hAnsi="宋体" w:cs="宋体"/>
                <w:color w:val="000000"/>
                <w:kern w:val="0"/>
                <w:sz w:val="21"/>
                <w:szCs w:val="21"/>
              </w:rPr>
              <w:t>1</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eastAsia="宋体" w:cs="Times New Roman"/>
                <w:color w:val="000000"/>
                <w:kern w:val="0"/>
                <w:sz w:val="21"/>
                <w:szCs w:val="21"/>
              </w:rPr>
            </w:pPr>
            <w:r>
              <w:rPr>
                <w:rFonts w:hint="eastAsia" w:ascii="宋体" w:hAnsi="宋体" w:cs="方正仿宋简体"/>
                <w:color w:val="000000"/>
                <w:kern w:val="0"/>
                <w:sz w:val="21"/>
                <w:szCs w:val="21"/>
              </w:rPr>
              <w:t>收入支出决算总表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r>
              <w:rPr>
                <w:rFonts w:hint="eastAsia" w:ascii="宋体" w:eastAsia="宋体" w:cs="宋体"/>
                <w:color w:val="000000"/>
                <w:sz w:val="24"/>
                <w:szCs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Times New Roman"/>
                <w:color w:val="000000"/>
                <w:sz w:val="21"/>
                <w:szCs w:val="21"/>
              </w:rPr>
            </w:pPr>
            <w:r>
              <w:rPr>
                <w:rFonts w:hint="eastAsia" w:ascii="宋体" w:hAnsi="宋体" w:cs="方正仿宋简体"/>
                <w:color w:val="000000"/>
                <w:kern w:val="0"/>
                <w:sz w:val="21"/>
                <w:szCs w:val="21"/>
              </w:rPr>
              <w:t>表</w:t>
            </w:r>
            <w:r>
              <w:rPr>
                <w:rFonts w:ascii="宋体" w:hAnsi="宋体" w:cs="宋体"/>
                <w:color w:val="000000"/>
                <w:kern w:val="0"/>
                <w:sz w:val="21"/>
                <w:szCs w:val="21"/>
              </w:rPr>
              <w:t>2</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eastAsia="宋体" w:cs="Times New Roman"/>
                <w:color w:val="000000"/>
                <w:kern w:val="0"/>
                <w:sz w:val="21"/>
                <w:szCs w:val="21"/>
              </w:rPr>
            </w:pPr>
            <w:r>
              <w:rPr>
                <w:rFonts w:hint="eastAsia" w:ascii="宋体" w:hAnsi="宋体" w:cs="方正仿宋简体"/>
                <w:color w:val="000000"/>
                <w:kern w:val="0"/>
                <w:sz w:val="21"/>
                <w:szCs w:val="21"/>
              </w:rPr>
              <w:t>收入决算表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r>
              <w:rPr>
                <w:rFonts w:hint="eastAsia" w:ascii="宋体" w:eastAsia="宋体" w:cs="宋体"/>
                <w:color w:val="000000"/>
                <w:sz w:val="24"/>
                <w:szCs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Times New Roman"/>
                <w:color w:val="000000"/>
                <w:sz w:val="21"/>
                <w:szCs w:val="21"/>
              </w:rPr>
            </w:pPr>
            <w:r>
              <w:rPr>
                <w:rFonts w:hint="eastAsia" w:ascii="宋体" w:hAnsi="宋体" w:cs="方正仿宋简体"/>
                <w:color w:val="000000"/>
                <w:kern w:val="0"/>
                <w:sz w:val="21"/>
                <w:szCs w:val="21"/>
              </w:rPr>
              <w:t>表</w:t>
            </w:r>
            <w:r>
              <w:rPr>
                <w:rFonts w:ascii="宋体" w:hAnsi="宋体" w:cs="宋体"/>
                <w:color w:val="000000"/>
                <w:kern w:val="0"/>
                <w:sz w:val="21"/>
                <w:szCs w:val="21"/>
              </w:rPr>
              <w:t>3</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eastAsia="宋体" w:cs="Times New Roman"/>
                <w:color w:val="000000"/>
                <w:kern w:val="0"/>
                <w:sz w:val="21"/>
                <w:szCs w:val="21"/>
              </w:rPr>
            </w:pPr>
            <w:r>
              <w:rPr>
                <w:rFonts w:hint="eastAsia" w:ascii="宋体" w:hAnsi="宋体" w:cs="方正仿宋简体"/>
                <w:color w:val="000000"/>
                <w:kern w:val="0"/>
                <w:sz w:val="21"/>
                <w:szCs w:val="21"/>
              </w:rPr>
              <w:t>支出决算表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r>
              <w:rPr>
                <w:rFonts w:hint="eastAsia" w:ascii="宋体" w:eastAsia="宋体" w:cs="宋体"/>
                <w:color w:val="000000"/>
                <w:sz w:val="24"/>
                <w:szCs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Times New Roman"/>
                <w:color w:val="000000"/>
                <w:sz w:val="21"/>
                <w:szCs w:val="21"/>
              </w:rPr>
            </w:pPr>
            <w:r>
              <w:rPr>
                <w:rFonts w:hint="eastAsia" w:ascii="宋体" w:hAnsi="宋体" w:cs="方正仿宋简体"/>
                <w:color w:val="000000"/>
                <w:kern w:val="0"/>
                <w:sz w:val="21"/>
                <w:szCs w:val="21"/>
              </w:rPr>
              <w:t>表</w:t>
            </w:r>
            <w:r>
              <w:rPr>
                <w:rFonts w:ascii="宋体" w:hAnsi="宋体" w:cs="宋体"/>
                <w:color w:val="000000"/>
                <w:kern w:val="0"/>
                <w:sz w:val="21"/>
                <w:szCs w:val="21"/>
              </w:rPr>
              <w:t>4</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eastAsia="宋体" w:cs="Times New Roman"/>
                <w:color w:val="000000"/>
                <w:kern w:val="0"/>
                <w:sz w:val="21"/>
                <w:szCs w:val="21"/>
              </w:rPr>
            </w:pPr>
            <w:r>
              <w:rPr>
                <w:rFonts w:hint="eastAsia" w:ascii="宋体" w:hAnsi="宋体" w:cs="方正仿宋简体"/>
                <w:color w:val="000000"/>
                <w:kern w:val="0"/>
                <w:sz w:val="21"/>
                <w:szCs w:val="21"/>
              </w:rPr>
              <w:t>财政拨款收入支出决算总表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r>
              <w:rPr>
                <w:rFonts w:hint="eastAsia" w:ascii="宋体" w:eastAsia="宋体" w:cs="宋体"/>
                <w:color w:val="000000"/>
                <w:sz w:val="24"/>
                <w:szCs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p>
        </w:tc>
      </w:tr>
      <w:tr>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Times New Roman"/>
                <w:color w:val="000000"/>
                <w:sz w:val="21"/>
                <w:szCs w:val="21"/>
              </w:rPr>
            </w:pPr>
            <w:r>
              <w:rPr>
                <w:rFonts w:hint="eastAsia" w:ascii="宋体" w:hAnsi="宋体" w:cs="方正仿宋简体"/>
                <w:color w:val="000000"/>
                <w:kern w:val="0"/>
                <w:sz w:val="21"/>
                <w:szCs w:val="21"/>
              </w:rPr>
              <w:t>表</w:t>
            </w:r>
            <w:r>
              <w:rPr>
                <w:rFonts w:ascii="宋体" w:hAnsi="宋体" w:cs="宋体"/>
                <w:color w:val="000000"/>
                <w:kern w:val="0"/>
                <w:sz w:val="21"/>
                <w:szCs w:val="21"/>
              </w:rPr>
              <w:t>5</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rPr>
                <w:rFonts w:ascii="宋体" w:eastAsia="宋体" w:cs="Times New Roman"/>
                <w:color w:val="000000"/>
                <w:kern w:val="0"/>
                <w:sz w:val="21"/>
                <w:szCs w:val="21"/>
              </w:rPr>
            </w:pPr>
            <w:r>
              <w:rPr>
                <w:rFonts w:hint="eastAsia" w:ascii="宋体" w:hAnsi="宋体" w:cs="方正仿宋简体"/>
                <w:color w:val="000000"/>
                <w:kern w:val="0"/>
                <w:sz w:val="21"/>
                <w:szCs w:val="21"/>
              </w:rPr>
              <w:t>一般公共预算财政拨款支出决算表（按功能分类科目）</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r>
              <w:rPr>
                <w:rFonts w:hint="eastAsia" w:ascii="宋体" w:eastAsia="宋体" w:cs="宋体"/>
                <w:color w:val="000000"/>
                <w:sz w:val="24"/>
                <w:szCs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p>
        </w:tc>
      </w:tr>
      <w:tr>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Times New Roman"/>
                <w:color w:val="000000"/>
                <w:sz w:val="21"/>
                <w:szCs w:val="21"/>
              </w:rPr>
            </w:pPr>
            <w:r>
              <w:rPr>
                <w:rFonts w:hint="eastAsia" w:ascii="宋体" w:hAnsi="宋体" w:cs="方正仿宋简体"/>
                <w:color w:val="000000"/>
                <w:kern w:val="0"/>
                <w:sz w:val="21"/>
                <w:szCs w:val="21"/>
              </w:rPr>
              <w:t>表</w:t>
            </w:r>
            <w:r>
              <w:rPr>
                <w:rFonts w:ascii="宋体" w:hAnsi="宋体" w:cs="宋体"/>
                <w:color w:val="000000"/>
                <w:kern w:val="0"/>
                <w:sz w:val="21"/>
                <w:szCs w:val="21"/>
              </w:rPr>
              <w:t>6</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eastAsia="宋体" w:cs="Times New Roman"/>
                <w:color w:val="000000"/>
                <w:kern w:val="0"/>
                <w:sz w:val="21"/>
                <w:szCs w:val="21"/>
              </w:rPr>
            </w:pPr>
            <w:r>
              <w:rPr>
                <w:rFonts w:hint="eastAsia" w:ascii="宋体" w:hAnsi="宋体" w:cs="方正仿宋简体"/>
                <w:color w:val="000000"/>
                <w:kern w:val="0"/>
                <w:sz w:val="21"/>
                <w:szCs w:val="21"/>
              </w:rPr>
              <w:t>一般公共预算财政拨款基本支出决算表</w:t>
            </w:r>
            <w:r>
              <w:rPr>
                <w:rFonts w:ascii="宋体" w:hAnsi="宋体" w:cs="宋体"/>
                <w:color w:val="000000"/>
                <w:kern w:val="0"/>
                <w:sz w:val="21"/>
                <w:szCs w:val="21"/>
              </w:rPr>
              <w:t xml:space="preserve"> </w:t>
            </w:r>
            <w:r>
              <w:rPr>
                <w:rFonts w:hint="eastAsia" w:ascii="宋体" w:hAnsi="宋体" w:cs="方正仿宋简体"/>
                <w:color w:val="000000"/>
                <w:kern w:val="0"/>
                <w:sz w:val="21"/>
                <w:szCs w:val="21"/>
              </w:rPr>
              <w:t>（按经济分类科目）</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r>
              <w:rPr>
                <w:rFonts w:hint="eastAsia" w:ascii="宋体" w:eastAsia="宋体" w:cs="宋体"/>
                <w:color w:val="000000"/>
                <w:sz w:val="24"/>
                <w:szCs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p>
        </w:tc>
      </w:tr>
      <w:tr>
        <w:tblPrEx>
          <w:tblCellMar>
            <w:top w:w="0" w:type="dxa"/>
            <w:left w:w="0" w:type="dxa"/>
            <w:bottom w:w="0" w:type="dxa"/>
            <w:right w:w="0" w:type="dxa"/>
          </w:tblCellMar>
        </w:tblPrEx>
        <w:trPr>
          <w:trHeight w:val="786" w:hRule="exact"/>
        </w:trPr>
        <w:tc>
          <w:tcPr>
            <w:tcW w:w="57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jc w:val="center"/>
              <w:textAlignment w:val="center"/>
              <w:rPr>
                <w:rFonts w:ascii="宋体" w:eastAsia="宋体" w:cs="Times New Roman"/>
                <w:color w:val="000000"/>
                <w:sz w:val="21"/>
                <w:szCs w:val="21"/>
              </w:rPr>
            </w:pPr>
            <w:r>
              <w:rPr>
                <w:rFonts w:hint="eastAsia" w:ascii="宋体" w:hAnsi="宋体" w:cs="方正仿宋简体"/>
                <w:color w:val="000000"/>
                <w:kern w:val="0"/>
                <w:sz w:val="21"/>
                <w:szCs w:val="21"/>
              </w:rPr>
              <w:t>表</w:t>
            </w:r>
            <w:r>
              <w:rPr>
                <w:rFonts w:ascii="宋体" w:hAnsi="宋体" w:cs="宋体"/>
                <w:color w:val="000000"/>
                <w:kern w:val="0"/>
                <w:sz w:val="21"/>
                <w:szCs w:val="21"/>
              </w:rPr>
              <w:t>7</w:t>
            </w:r>
          </w:p>
        </w:tc>
        <w:tc>
          <w:tcPr>
            <w:tcW w:w="624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jc w:val="left"/>
              <w:textAlignment w:val="center"/>
              <w:rPr>
                <w:rFonts w:ascii="宋体" w:eastAsia="宋体" w:cs="Times New Roman"/>
                <w:color w:val="000000"/>
                <w:sz w:val="21"/>
                <w:szCs w:val="21"/>
              </w:rPr>
            </w:pPr>
            <w:r>
              <w:rPr>
                <w:rFonts w:hint="eastAsia" w:ascii="宋体" w:hAnsi="宋体" w:cs="方正仿宋简体"/>
                <w:color w:val="000000"/>
                <w:kern w:val="0"/>
                <w:sz w:val="21"/>
                <w:szCs w:val="21"/>
              </w:rPr>
              <w:t>一般公共预算财政拨款“三公”经费及会议费、培训费支出决算表</w:t>
            </w:r>
          </w:p>
        </w:tc>
        <w:tc>
          <w:tcPr>
            <w:tcW w:w="66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r>
              <w:rPr>
                <w:rFonts w:hint="eastAsia" w:ascii="宋体" w:eastAsia="宋体" w:cs="宋体"/>
                <w:color w:val="000000"/>
                <w:sz w:val="24"/>
                <w:szCs w:val="24"/>
              </w:rPr>
              <w:t>否</w:t>
            </w:r>
          </w:p>
        </w:tc>
        <w:tc>
          <w:tcPr>
            <w:tcW w:w="174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p>
        </w:tc>
      </w:tr>
      <w:tr>
        <w:tblPrEx>
          <w:tblCellMar>
            <w:top w:w="0" w:type="dxa"/>
            <w:left w:w="0" w:type="dxa"/>
            <w:bottom w:w="0" w:type="dxa"/>
            <w:right w:w="0" w:type="dxa"/>
          </w:tblCellMar>
        </w:tblPrEx>
        <w:trPr>
          <w:trHeight w:val="736"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Times New Roman"/>
                <w:color w:val="000000"/>
                <w:sz w:val="21"/>
                <w:szCs w:val="21"/>
              </w:rPr>
            </w:pPr>
            <w:r>
              <w:rPr>
                <w:rFonts w:hint="eastAsia" w:ascii="宋体" w:hAnsi="宋体" w:cs="方正仿宋简体"/>
                <w:color w:val="000000"/>
                <w:kern w:val="0"/>
                <w:sz w:val="21"/>
                <w:szCs w:val="21"/>
              </w:rPr>
              <w:t>表</w:t>
            </w:r>
            <w:r>
              <w:rPr>
                <w:rFonts w:ascii="宋体" w:hAnsi="宋体" w:cs="宋体"/>
                <w:color w:val="000000"/>
                <w:kern w:val="0"/>
                <w:sz w:val="21"/>
                <w:szCs w:val="21"/>
              </w:rPr>
              <w:t>8</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eastAsia="宋体" w:cs="Times New Roman"/>
                <w:color w:val="000000"/>
                <w:kern w:val="0"/>
                <w:sz w:val="21"/>
                <w:szCs w:val="21"/>
              </w:rPr>
            </w:pPr>
            <w:r>
              <w:rPr>
                <w:rFonts w:hint="eastAsia" w:ascii="宋体" w:hAnsi="宋体" w:cs="方正仿宋简体"/>
                <w:color w:val="000000"/>
                <w:kern w:val="0"/>
                <w:sz w:val="21"/>
                <w:szCs w:val="21"/>
              </w:rPr>
              <w:t>政府性基金预算财政拨款收入支出</w:t>
            </w:r>
          </w:p>
          <w:p>
            <w:pPr>
              <w:widowControl/>
              <w:jc w:val="left"/>
              <w:rPr>
                <w:rFonts w:ascii="宋体" w:eastAsia="宋体" w:cs="Times New Roman"/>
                <w:color w:val="000000"/>
                <w:sz w:val="21"/>
                <w:szCs w:val="21"/>
              </w:rPr>
            </w:pPr>
            <w:r>
              <w:rPr>
                <w:rFonts w:hint="eastAsia" w:ascii="宋体" w:hAnsi="宋体" w:cs="方正仿宋简体"/>
                <w:color w:val="000000"/>
                <w:kern w:val="0"/>
                <w:sz w:val="21"/>
                <w:szCs w:val="21"/>
              </w:rPr>
              <w:t>决算表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r>
              <w:rPr>
                <w:rFonts w:hint="eastAsia" w:ascii="宋体" w:eastAsia="宋体" w:cs="宋体"/>
                <w:color w:val="000000"/>
                <w:sz w:val="24"/>
                <w:szCs w:val="24"/>
              </w:rPr>
              <w:t>是</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r>
              <w:rPr>
                <w:rFonts w:hint="eastAsia" w:ascii="宋体" w:eastAsia="宋体" w:cs="宋体"/>
                <w:color w:val="000000"/>
                <w:sz w:val="24"/>
                <w:szCs w:val="24"/>
              </w:rPr>
              <w:t>本单位无政府性基本</w:t>
            </w:r>
          </w:p>
        </w:tc>
      </w:tr>
    </w:tbl>
    <w:p>
      <w:pPr>
        <w:widowControl/>
        <w:rPr>
          <w:rFonts w:ascii="黑体" w:hAnsi="宋体" w:eastAsia="黑体" w:cs="Times New Roman"/>
          <w:color w:val="000000"/>
          <w:kern w:val="0"/>
          <w:sz w:val="44"/>
          <w:szCs w:val="44"/>
        </w:rPr>
      </w:pPr>
    </w:p>
    <w:p>
      <w:pPr>
        <w:widowControl/>
        <w:rPr>
          <w:rFonts w:ascii="黑体" w:hAnsi="宋体" w:eastAsia="黑体" w:cs="Times New Roman"/>
          <w:color w:val="000000"/>
          <w:kern w:val="0"/>
          <w:sz w:val="44"/>
          <w:szCs w:val="44"/>
        </w:rPr>
      </w:pPr>
    </w:p>
    <w:p>
      <w:pPr>
        <w:widowControl/>
        <w:jc w:val="center"/>
        <w:textAlignment w:val="center"/>
        <w:rPr>
          <w:rFonts w:ascii="宋体" w:eastAsia="宋体" w:cs="Times New Roman"/>
          <w:b/>
          <w:bCs/>
          <w:color w:val="000000"/>
          <w:kern w:val="0"/>
          <w:sz w:val="40"/>
          <w:szCs w:val="40"/>
        </w:rPr>
      </w:pPr>
      <w:r>
        <w:rPr>
          <w:rFonts w:ascii="宋体" w:eastAsia="宋体" w:cs="Times New Roman"/>
          <w:b/>
          <w:bCs/>
          <w:color w:val="000000"/>
          <w:kern w:val="0"/>
          <w:sz w:val="40"/>
          <w:szCs w:val="40"/>
        </w:rPr>
        <w:br w:type="page"/>
      </w:r>
    </w:p>
    <w:p>
      <w:pPr>
        <w:jc w:val="center"/>
        <w:rPr>
          <w:rFonts w:ascii="宋体" w:hAnsi="宋体" w:eastAsia="宋体" w:cs="Times New Roman"/>
          <w:b/>
          <w:bCs/>
        </w:rPr>
      </w:pPr>
      <w:r>
        <w:rPr>
          <w:rFonts w:hint="eastAsia" w:ascii="宋体" w:hAnsi="宋体" w:eastAsia="宋体" w:cs="宋体"/>
          <w:b/>
          <w:bCs/>
        </w:rPr>
        <w:t>收入支出决算总表</w:t>
      </w:r>
    </w:p>
    <w:p>
      <w:pPr>
        <w:jc w:val="right"/>
        <w:rPr>
          <w:rFonts w:ascii="宋体" w:hAnsi="宋体" w:eastAsia="宋体" w:cs="Times New Roman"/>
          <w:b/>
          <w:bCs/>
          <w:sz w:val="21"/>
          <w:szCs w:val="21"/>
        </w:rPr>
      </w:pPr>
      <w:r>
        <w:rPr>
          <w:rFonts w:hint="eastAsia" w:ascii="宋体" w:hAnsi="宋体" w:eastAsia="宋体" w:cs="宋体"/>
          <w:b/>
          <w:bCs/>
          <w:sz w:val="21"/>
          <w:szCs w:val="21"/>
        </w:rPr>
        <w:t>公开</w:t>
      </w:r>
      <w:r>
        <w:rPr>
          <w:rFonts w:ascii="宋体" w:hAnsi="宋体" w:eastAsia="宋体" w:cs="宋体"/>
          <w:b/>
          <w:bCs/>
          <w:sz w:val="21"/>
          <w:szCs w:val="21"/>
        </w:rPr>
        <w:t>01</w:t>
      </w:r>
      <w:r>
        <w:rPr>
          <w:rFonts w:hint="eastAsia" w:ascii="宋体" w:hAnsi="宋体" w:eastAsia="宋体" w:cs="宋体"/>
          <w:b/>
          <w:bCs/>
          <w:sz w:val="21"/>
          <w:szCs w:val="21"/>
        </w:rPr>
        <w:t>表</w:t>
      </w:r>
    </w:p>
    <w:p>
      <w:pPr>
        <w:rPr>
          <w:rFonts w:ascii="宋体" w:hAnsi="宋体" w:eastAsia="宋体" w:cs="Times New Roman"/>
          <w:b/>
          <w:bCs/>
          <w:sz w:val="21"/>
          <w:szCs w:val="21"/>
        </w:rPr>
      </w:pPr>
      <w:r>
        <w:rPr>
          <w:rFonts w:hint="eastAsia" w:ascii="宋体" w:hAnsi="宋体" w:eastAsia="宋体" w:cs="宋体"/>
          <w:b/>
          <w:bCs/>
          <w:sz w:val="21"/>
          <w:szCs w:val="21"/>
        </w:rPr>
        <w:t>编制部门：</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5"/>
        <w:tblW w:w="8884" w:type="dxa"/>
        <w:tblInd w:w="-13" w:type="dxa"/>
        <w:tblLayout w:type="fixed"/>
        <w:tblCellMar>
          <w:top w:w="15" w:type="dxa"/>
          <w:left w:w="15" w:type="dxa"/>
          <w:bottom w:w="15" w:type="dxa"/>
          <w:right w:w="15" w:type="dxa"/>
        </w:tblCellMar>
      </w:tblPr>
      <w:tblGrid>
        <w:gridCol w:w="3388"/>
        <w:gridCol w:w="1080"/>
        <w:gridCol w:w="3090"/>
        <w:gridCol w:w="1326"/>
      </w:tblGrid>
      <w:tr>
        <w:tblPrEx>
          <w:tblCellMar>
            <w:top w:w="15" w:type="dxa"/>
            <w:left w:w="15" w:type="dxa"/>
            <w:bottom w:w="15" w:type="dxa"/>
            <w:right w:w="15" w:type="dxa"/>
          </w:tblCellMar>
        </w:tblPrEx>
        <w:trPr>
          <w:trHeight w:val="426" w:hRule="atLeast"/>
        </w:trPr>
        <w:tc>
          <w:tcPr>
            <w:tcW w:w="446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收</w:t>
            </w:r>
            <w:r>
              <w:rPr>
                <w:rFonts w:ascii="宋体" w:hAnsi="宋体" w:eastAsia="宋体" w:cs="宋体"/>
                <w:b/>
                <w:bCs/>
                <w:color w:val="000000"/>
                <w:kern w:val="0"/>
                <w:sz w:val="21"/>
                <w:szCs w:val="21"/>
              </w:rPr>
              <w:t xml:space="preserve">    </w:t>
            </w:r>
            <w:r>
              <w:rPr>
                <w:rFonts w:hint="eastAsia" w:ascii="宋体" w:hAnsi="宋体" w:eastAsia="宋体" w:cs="宋体"/>
                <w:b/>
                <w:bCs/>
                <w:color w:val="000000"/>
                <w:kern w:val="0"/>
                <w:sz w:val="21"/>
                <w:szCs w:val="21"/>
              </w:rPr>
              <w:t>入</w:t>
            </w:r>
          </w:p>
        </w:tc>
        <w:tc>
          <w:tcPr>
            <w:tcW w:w="441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支</w:t>
            </w:r>
            <w:r>
              <w:rPr>
                <w:rFonts w:ascii="宋体" w:hAnsi="宋体" w:eastAsia="宋体" w:cs="宋体"/>
                <w:b/>
                <w:bCs/>
                <w:color w:val="000000"/>
                <w:kern w:val="0"/>
                <w:sz w:val="21"/>
                <w:szCs w:val="21"/>
              </w:rPr>
              <w:t xml:space="preserve">    </w:t>
            </w:r>
            <w:r>
              <w:rPr>
                <w:rFonts w:hint="eastAsia" w:ascii="宋体" w:hAnsi="宋体" w:eastAsia="宋体" w:cs="宋体"/>
                <w:b/>
                <w:bCs/>
                <w:color w:val="000000"/>
                <w:kern w:val="0"/>
                <w:sz w:val="21"/>
                <w:szCs w:val="21"/>
              </w:rPr>
              <w:t>出</w:t>
            </w:r>
          </w:p>
        </w:tc>
      </w:tr>
      <w:tr>
        <w:tblPrEx>
          <w:tblCellMar>
            <w:top w:w="15" w:type="dxa"/>
            <w:left w:w="15" w:type="dxa"/>
            <w:bottom w:w="15" w:type="dxa"/>
            <w:right w:w="15" w:type="dxa"/>
          </w:tblCellMar>
        </w:tblPrEx>
        <w:trPr>
          <w:trHeight w:val="378"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项</w:t>
            </w:r>
            <w:r>
              <w:rPr>
                <w:rFonts w:ascii="宋体" w:hAnsi="宋体" w:eastAsia="宋体" w:cs="宋体"/>
                <w:b/>
                <w:bCs/>
                <w:color w:val="000000"/>
                <w:kern w:val="0"/>
                <w:sz w:val="21"/>
                <w:szCs w:val="21"/>
              </w:rPr>
              <w:t xml:space="preserve">    </w:t>
            </w:r>
            <w:r>
              <w:rPr>
                <w:rFonts w:hint="eastAsia" w:ascii="宋体" w:hAnsi="宋体" w:eastAsia="宋体" w:cs="宋体"/>
                <w:b/>
                <w:bCs/>
                <w:color w:val="000000"/>
                <w:kern w:val="0"/>
                <w:sz w:val="21"/>
                <w:szCs w:val="21"/>
              </w:rPr>
              <w:t>目</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决算数</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项目</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决算数</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1</w:t>
            </w:r>
            <w:r>
              <w:rPr>
                <w:rFonts w:hint="eastAsia" w:ascii="宋体" w:hAnsi="宋体" w:eastAsia="宋体" w:cs="宋体"/>
                <w:color w:val="000000"/>
                <w:kern w:val="0"/>
                <w:sz w:val="20"/>
                <w:szCs w:val="20"/>
              </w:rPr>
              <w:t>、一般公共预算财政拨款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r>
              <w:rPr>
                <w:rFonts w:ascii="宋体" w:hAnsi="宋体" w:eastAsia="宋体" w:cs="宋体"/>
                <w:color w:val="000000"/>
                <w:sz w:val="21"/>
                <w:szCs w:val="21"/>
              </w:rPr>
              <w:t>138.92</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1</w:t>
            </w:r>
            <w:r>
              <w:rPr>
                <w:rFonts w:hint="eastAsia" w:ascii="宋体" w:hAnsi="宋体" w:eastAsia="宋体" w:cs="宋体"/>
                <w:color w:val="000000"/>
                <w:kern w:val="0"/>
                <w:sz w:val="21"/>
                <w:szCs w:val="21"/>
              </w:rPr>
              <w:t>、一般公共服务支出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r>
              <w:rPr>
                <w:rFonts w:ascii="宋体" w:hAnsi="宋体" w:eastAsia="宋体" w:cs="宋体"/>
                <w:color w:val="000000"/>
                <w:sz w:val="21"/>
                <w:szCs w:val="21"/>
              </w:rPr>
              <w:t>124.33</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2</w:t>
            </w:r>
            <w:r>
              <w:rPr>
                <w:rFonts w:hint="eastAsia" w:ascii="宋体" w:hAnsi="宋体" w:eastAsia="宋体" w:cs="宋体"/>
                <w:color w:val="000000"/>
                <w:kern w:val="0"/>
                <w:sz w:val="20"/>
                <w:szCs w:val="20"/>
              </w:rPr>
              <w:t>、政府性基金预算财政拨款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r>
              <w:rPr>
                <w:rFonts w:ascii="宋体" w:hAnsi="宋体" w:eastAsia="宋体" w:cs="宋体"/>
                <w:color w:val="000000"/>
                <w:sz w:val="21"/>
                <w:szCs w:val="21"/>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2</w:t>
            </w:r>
            <w:r>
              <w:rPr>
                <w:rFonts w:hint="eastAsia" w:ascii="宋体" w:hAnsi="宋体" w:eastAsia="宋体" w:cs="宋体"/>
                <w:color w:val="000000"/>
                <w:kern w:val="0"/>
                <w:sz w:val="21"/>
                <w:szCs w:val="21"/>
              </w:rPr>
              <w:t>、外交支出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3</w:t>
            </w:r>
            <w:r>
              <w:rPr>
                <w:rFonts w:hint="eastAsia" w:ascii="宋体" w:hAnsi="宋体" w:eastAsia="宋体" w:cs="宋体"/>
                <w:color w:val="000000"/>
                <w:kern w:val="0"/>
                <w:sz w:val="20"/>
                <w:szCs w:val="20"/>
              </w:rPr>
              <w:t>、国有资本经营预算财政拨款</w:t>
            </w:r>
            <w:r>
              <w:rPr>
                <w:rFonts w:ascii="宋体" w:hAnsi="宋体" w:eastAsia="宋体" w:cs="宋体"/>
                <w:color w:val="000000"/>
                <w:kern w:val="0"/>
                <w:sz w:val="20"/>
                <w:szCs w:val="20"/>
              </w:rPr>
              <w:t xml:space="preserve"> </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r>
              <w:rPr>
                <w:rFonts w:ascii="宋体" w:hAnsi="宋体" w:eastAsia="宋体" w:cs="宋体"/>
                <w:color w:val="000000"/>
                <w:sz w:val="21"/>
                <w:szCs w:val="21"/>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3</w:t>
            </w:r>
            <w:r>
              <w:rPr>
                <w:rFonts w:hint="eastAsia" w:ascii="宋体" w:hAnsi="宋体" w:eastAsia="宋体" w:cs="宋体"/>
                <w:color w:val="000000"/>
                <w:kern w:val="0"/>
                <w:sz w:val="21"/>
                <w:szCs w:val="21"/>
              </w:rPr>
              <w:t>、国防支出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4</w:t>
            </w:r>
            <w:r>
              <w:rPr>
                <w:rFonts w:hint="eastAsia" w:ascii="宋体" w:hAnsi="宋体" w:eastAsia="宋体" w:cs="宋体"/>
                <w:color w:val="000000"/>
                <w:kern w:val="0"/>
                <w:sz w:val="20"/>
                <w:szCs w:val="20"/>
              </w:rPr>
              <w:t>、上级补助收入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Times New Roman"/>
                <w:color w:val="000000"/>
                <w:sz w:val="21"/>
                <w:szCs w:val="21"/>
              </w:rPr>
            </w:pPr>
            <w:r>
              <w:rPr>
                <w:rFonts w:ascii="宋体" w:hAnsi="宋体" w:eastAsia="宋体" w:cs="宋体"/>
                <w:color w:val="000000"/>
                <w:sz w:val="21"/>
                <w:szCs w:val="21"/>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4</w:t>
            </w:r>
            <w:r>
              <w:rPr>
                <w:rFonts w:hint="eastAsia" w:ascii="宋体" w:hAnsi="宋体" w:eastAsia="宋体" w:cs="宋体"/>
                <w:color w:val="000000"/>
                <w:kern w:val="0"/>
                <w:sz w:val="21"/>
                <w:szCs w:val="21"/>
              </w:rPr>
              <w:t>、公共安全支出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5</w:t>
            </w:r>
            <w:r>
              <w:rPr>
                <w:rFonts w:hint="eastAsia" w:ascii="宋体" w:hAnsi="宋体" w:eastAsia="宋体" w:cs="宋体"/>
                <w:color w:val="000000"/>
                <w:kern w:val="0"/>
                <w:sz w:val="20"/>
                <w:szCs w:val="20"/>
              </w:rPr>
              <w:t>、事业收入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Times New Roman"/>
                <w:color w:val="000000"/>
                <w:sz w:val="21"/>
                <w:szCs w:val="21"/>
              </w:rPr>
            </w:pPr>
            <w:r>
              <w:rPr>
                <w:rFonts w:ascii="宋体" w:hAnsi="宋体" w:eastAsia="宋体" w:cs="宋体"/>
                <w:color w:val="000000"/>
                <w:sz w:val="21"/>
                <w:szCs w:val="21"/>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5</w:t>
            </w:r>
            <w:r>
              <w:rPr>
                <w:rFonts w:hint="eastAsia" w:ascii="宋体" w:hAnsi="宋体" w:eastAsia="宋体" w:cs="宋体"/>
                <w:color w:val="000000"/>
                <w:kern w:val="0"/>
                <w:sz w:val="21"/>
                <w:szCs w:val="21"/>
              </w:rPr>
              <w:t>、教育支出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6</w:t>
            </w:r>
            <w:r>
              <w:rPr>
                <w:rFonts w:hint="eastAsia" w:ascii="宋体" w:hAnsi="宋体" w:eastAsia="宋体" w:cs="宋体"/>
                <w:color w:val="000000"/>
                <w:kern w:val="0"/>
                <w:sz w:val="20"/>
                <w:szCs w:val="20"/>
              </w:rPr>
              <w:t>、经营收入</w:t>
            </w: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r>
              <w:rPr>
                <w:rFonts w:ascii="宋体" w:hAnsi="宋体" w:eastAsia="宋体" w:cs="宋体"/>
                <w:color w:val="000000"/>
                <w:sz w:val="21"/>
                <w:szCs w:val="21"/>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6</w:t>
            </w:r>
            <w:r>
              <w:rPr>
                <w:rFonts w:hint="eastAsia" w:ascii="宋体" w:hAnsi="宋体" w:eastAsia="宋体" w:cs="宋体"/>
                <w:color w:val="000000"/>
                <w:kern w:val="0"/>
                <w:sz w:val="21"/>
                <w:szCs w:val="21"/>
              </w:rPr>
              <w:t>、科学技术支出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7</w:t>
            </w:r>
            <w:r>
              <w:rPr>
                <w:rFonts w:hint="eastAsia" w:ascii="宋体" w:hAnsi="宋体" w:eastAsia="宋体" w:cs="宋体"/>
                <w:color w:val="000000"/>
                <w:kern w:val="0"/>
                <w:sz w:val="20"/>
                <w:szCs w:val="20"/>
              </w:rPr>
              <w:t>、附属单位上缴收入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Times New Roman"/>
                <w:color w:val="000000"/>
                <w:sz w:val="21"/>
                <w:szCs w:val="21"/>
              </w:rPr>
            </w:pPr>
            <w:r>
              <w:rPr>
                <w:rFonts w:ascii="宋体" w:hAnsi="宋体" w:eastAsia="宋体" w:cs="宋体"/>
                <w:color w:val="000000"/>
                <w:sz w:val="21"/>
                <w:szCs w:val="21"/>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7</w:t>
            </w:r>
            <w:r>
              <w:rPr>
                <w:rFonts w:hint="eastAsia" w:ascii="宋体" w:hAnsi="宋体" w:eastAsia="宋体" w:cs="宋体"/>
                <w:color w:val="000000"/>
                <w:kern w:val="0"/>
                <w:sz w:val="21"/>
                <w:szCs w:val="21"/>
              </w:rPr>
              <w:t>、文化旅游体育与传媒支出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8</w:t>
            </w:r>
            <w:r>
              <w:rPr>
                <w:rFonts w:hint="eastAsia" w:ascii="宋体" w:hAnsi="宋体" w:eastAsia="宋体" w:cs="宋体"/>
                <w:color w:val="000000"/>
                <w:kern w:val="0"/>
                <w:sz w:val="20"/>
                <w:szCs w:val="20"/>
              </w:rPr>
              <w:t>、其他收入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Times New Roman"/>
                <w:color w:val="000000"/>
                <w:sz w:val="21"/>
                <w:szCs w:val="21"/>
              </w:rPr>
            </w:pPr>
            <w:r>
              <w:rPr>
                <w:rFonts w:ascii="宋体" w:hAnsi="宋体" w:eastAsia="宋体" w:cs="宋体"/>
                <w:color w:val="000000"/>
                <w:sz w:val="21"/>
                <w:szCs w:val="21"/>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8</w:t>
            </w:r>
            <w:r>
              <w:rPr>
                <w:rFonts w:hint="eastAsia" w:ascii="宋体" w:hAnsi="宋体" w:eastAsia="宋体" w:cs="宋体"/>
                <w:color w:val="000000"/>
                <w:kern w:val="0"/>
                <w:sz w:val="21"/>
                <w:szCs w:val="21"/>
              </w:rPr>
              <w:t>、社会保障和就业支出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r>
              <w:rPr>
                <w:rFonts w:ascii="宋体" w:hAnsi="宋体" w:eastAsia="宋体" w:cs="宋体"/>
                <w:color w:val="000000"/>
                <w:sz w:val="21"/>
                <w:szCs w:val="21"/>
              </w:rPr>
              <w:t>11.78</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9</w:t>
            </w:r>
            <w:r>
              <w:rPr>
                <w:rFonts w:hint="eastAsia" w:ascii="宋体" w:hAnsi="宋体" w:eastAsia="宋体" w:cs="宋体"/>
                <w:color w:val="000000"/>
                <w:kern w:val="0"/>
                <w:sz w:val="21"/>
                <w:szCs w:val="21"/>
              </w:rPr>
              <w:t>、卫生健康支出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r>
              <w:rPr>
                <w:rFonts w:ascii="宋体" w:hAnsi="宋体" w:eastAsia="宋体" w:cs="宋体"/>
                <w:color w:val="000000"/>
                <w:sz w:val="21"/>
                <w:szCs w:val="21"/>
              </w:rPr>
              <w:t>2.81</w:t>
            </w:r>
          </w:p>
        </w:tc>
      </w:tr>
      <w:tr>
        <w:tblPrEx>
          <w:tblCellMar>
            <w:top w:w="15" w:type="dxa"/>
            <w:left w:w="15" w:type="dxa"/>
            <w:bottom w:w="15" w:type="dxa"/>
            <w:right w:w="15" w:type="dxa"/>
          </w:tblCellMar>
        </w:tblPrEx>
        <w:trPr>
          <w:trHeight w:val="249"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10</w:t>
            </w:r>
            <w:r>
              <w:rPr>
                <w:rFonts w:hint="eastAsia" w:ascii="宋体" w:hAnsi="宋体" w:eastAsia="宋体" w:cs="宋体"/>
                <w:color w:val="000000"/>
                <w:kern w:val="0"/>
                <w:sz w:val="21"/>
                <w:szCs w:val="21"/>
              </w:rPr>
              <w:t>、节能环保支出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3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11</w:t>
            </w:r>
            <w:r>
              <w:rPr>
                <w:rFonts w:hint="eastAsia" w:ascii="宋体" w:hAnsi="宋体" w:eastAsia="宋体" w:cs="宋体"/>
                <w:color w:val="000000"/>
                <w:kern w:val="0"/>
                <w:sz w:val="21"/>
                <w:szCs w:val="21"/>
              </w:rPr>
              <w:t>、城乡社区支出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12</w:t>
            </w:r>
            <w:r>
              <w:rPr>
                <w:rFonts w:hint="eastAsia" w:ascii="宋体" w:hAnsi="宋体" w:eastAsia="宋体" w:cs="宋体"/>
                <w:color w:val="000000"/>
                <w:kern w:val="0"/>
                <w:sz w:val="21"/>
                <w:szCs w:val="21"/>
              </w:rPr>
              <w:t>、农林水支出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17"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13</w:t>
            </w:r>
            <w:r>
              <w:rPr>
                <w:rFonts w:hint="eastAsia" w:ascii="宋体" w:hAnsi="宋体" w:eastAsia="宋体" w:cs="宋体"/>
                <w:color w:val="000000"/>
                <w:kern w:val="0"/>
                <w:sz w:val="21"/>
                <w:szCs w:val="21"/>
              </w:rPr>
              <w:t>、交通运输支出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14</w:t>
            </w:r>
            <w:r>
              <w:rPr>
                <w:rFonts w:hint="eastAsia" w:ascii="宋体" w:hAnsi="宋体" w:eastAsia="宋体" w:cs="宋体"/>
                <w:color w:val="000000"/>
                <w:kern w:val="0"/>
                <w:sz w:val="21"/>
                <w:szCs w:val="21"/>
              </w:rPr>
              <w:t>、资源勘探信息等支出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15</w:t>
            </w:r>
            <w:r>
              <w:rPr>
                <w:rFonts w:hint="eastAsia" w:ascii="宋体" w:hAnsi="宋体" w:eastAsia="宋体" w:cs="宋体"/>
                <w:color w:val="000000"/>
                <w:kern w:val="0"/>
                <w:sz w:val="21"/>
                <w:szCs w:val="21"/>
              </w:rPr>
              <w:t>、商业服务业等支出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298"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16</w:t>
            </w:r>
            <w:r>
              <w:rPr>
                <w:rFonts w:hint="eastAsia" w:ascii="宋体" w:hAnsi="宋体" w:eastAsia="宋体" w:cs="宋体"/>
                <w:color w:val="000000"/>
                <w:kern w:val="0"/>
                <w:sz w:val="21"/>
                <w:szCs w:val="21"/>
              </w:rPr>
              <w:t>、金融支出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1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17</w:t>
            </w:r>
            <w:r>
              <w:rPr>
                <w:rFonts w:hint="eastAsia" w:ascii="宋体" w:hAnsi="宋体" w:eastAsia="宋体" w:cs="宋体"/>
                <w:color w:val="000000"/>
                <w:kern w:val="0"/>
                <w:sz w:val="21"/>
                <w:szCs w:val="21"/>
              </w:rPr>
              <w:t>、援助其他地区支出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281"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18</w:t>
            </w:r>
            <w:r>
              <w:rPr>
                <w:rFonts w:hint="eastAsia" w:ascii="宋体" w:hAnsi="宋体" w:eastAsia="宋体" w:cs="宋体"/>
                <w:color w:val="000000"/>
                <w:kern w:val="0"/>
                <w:sz w:val="21"/>
                <w:szCs w:val="21"/>
              </w:rPr>
              <w:t>、自然资源海洋气象等支出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4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19</w:t>
            </w:r>
            <w:r>
              <w:rPr>
                <w:rFonts w:hint="eastAsia" w:ascii="宋体" w:hAnsi="宋体" w:eastAsia="宋体" w:cs="宋体"/>
                <w:color w:val="000000"/>
                <w:kern w:val="0"/>
                <w:sz w:val="21"/>
                <w:szCs w:val="21"/>
              </w:rPr>
              <w:t>、住房保障支出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20</w:t>
            </w:r>
            <w:r>
              <w:rPr>
                <w:rFonts w:hint="eastAsia" w:ascii="宋体" w:hAnsi="宋体" w:eastAsia="宋体" w:cs="宋体"/>
                <w:color w:val="000000"/>
                <w:kern w:val="0"/>
                <w:sz w:val="21"/>
                <w:szCs w:val="21"/>
              </w:rPr>
              <w:t>、粮油物资储备支出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21</w:t>
            </w:r>
            <w:r>
              <w:rPr>
                <w:rFonts w:hint="eastAsia" w:ascii="宋体" w:hAnsi="宋体" w:eastAsia="宋体" w:cs="宋体"/>
                <w:color w:val="000000"/>
                <w:kern w:val="0"/>
                <w:sz w:val="21"/>
                <w:szCs w:val="21"/>
              </w:rPr>
              <w:t>、灾害防治及应急管理支出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Times New Roman"/>
                <w:color w:val="000000"/>
                <w:kern w:val="0"/>
                <w:sz w:val="21"/>
                <w:szCs w:val="21"/>
              </w:rPr>
            </w:pPr>
            <w:r>
              <w:rPr>
                <w:rFonts w:ascii="宋体" w:hAnsi="宋体" w:eastAsia="宋体" w:cs="宋体"/>
                <w:color w:val="000000"/>
                <w:kern w:val="0"/>
                <w:sz w:val="21"/>
                <w:szCs w:val="21"/>
              </w:rPr>
              <w:t>22</w:t>
            </w:r>
            <w:r>
              <w:rPr>
                <w:rFonts w:hint="eastAsia" w:ascii="宋体" w:hAnsi="宋体" w:eastAsia="宋体" w:cs="宋体"/>
                <w:color w:val="000000"/>
                <w:kern w:val="0"/>
                <w:sz w:val="21"/>
                <w:szCs w:val="21"/>
              </w:rPr>
              <w:t>、其他支出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415" w:hRule="atLeast"/>
        </w:trPr>
        <w:tc>
          <w:tcPr>
            <w:tcW w:w="3388"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本年收入合计</w:t>
            </w:r>
          </w:p>
        </w:tc>
        <w:tc>
          <w:tcPr>
            <w:tcW w:w="1080" w:type="dxa"/>
            <w:tcBorders>
              <w:top w:val="single" w:color="000000" w:sz="4" w:space="0"/>
              <w:left w:val="single" w:color="000000" w:sz="4" w:space="0"/>
              <w:right w:val="single" w:color="000000" w:sz="4" w:space="0"/>
            </w:tcBorders>
            <w:vAlign w:val="center"/>
          </w:tcPr>
          <w:p>
            <w:pPr>
              <w:widowControl/>
              <w:jc w:val="right"/>
              <w:textAlignment w:val="center"/>
              <w:rPr>
                <w:rFonts w:ascii="宋体" w:hAnsi="宋体" w:eastAsia="宋体" w:cs="Times New Roman"/>
                <w:color w:val="000000"/>
                <w:sz w:val="21"/>
                <w:szCs w:val="21"/>
              </w:rPr>
            </w:pPr>
            <w:r>
              <w:rPr>
                <w:rFonts w:ascii="宋体" w:hAnsi="宋体" w:eastAsia="宋体" w:cs="宋体"/>
                <w:color w:val="000000"/>
                <w:sz w:val="21"/>
                <w:szCs w:val="21"/>
              </w:rPr>
              <w:t>138.92</w:t>
            </w:r>
          </w:p>
        </w:tc>
        <w:tc>
          <w:tcPr>
            <w:tcW w:w="3090"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本年支出合计</w:t>
            </w:r>
          </w:p>
        </w:tc>
        <w:tc>
          <w:tcPr>
            <w:tcW w:w="1326" w:type="dxa"/>
            <w:tcBorders>
              <w:top w:val="single" w:color="000000" w:sz="4" w:space="0"/>
              <w:left w:val="single" w:color="000000" w:sz="4" w:space="0"/>
              <w:right w:val="single" w:color="000000" w:sz="4" w:space="0"/>
            </w:tcBorders>
            <w:vAlign w:val="center"/>
          </w:tcPr>
          <w:p>
            <w:pPr>
              <w:widowControl/>
              <w:jc w:val="right"/>
              <w:textAlignment w:val="center"/>
              <w:rPr>
                <w:rFonts w:ascii="宋体" w:hAnsi="宋体" w:eastAsia="宋体" w:cs="Times New Roman"/>
                <w:b/>
                <w:bCs/>
                <w:color w:val="000000"/>
                <w:sz w:val="21"/>
                <w:szCs w:val="21"/>
              </w:rPr>
            </w:pPr>
            <w:r>
              <w:rPr>
                <w:rFonts w:ascii="宋体" w:hAnsi="宋体" w:eastAsia="宋体" w:cs="宋体"/>
                <w:color w:val="000000"/>
                <w:sz w:val="21"/>
                <w:szCs w:val="21"/>
              </w:rPr>
              <w:t>138.92</w:t>
            </w:r>
          </w:p>
        </w:tc>
      </w:tr>
      <w:tr>
        <w:tblPrEx>
          <w:tblCellMar>
            <w:top w:w="15" w:type="dxa"/>
            <w:left w:w="15" w:type="dxa"/>
            <w:bottom w:w="15" w:type="dxa"/>
            <w:right w:w="15" w:type="dxa"/>
          </w:tblCellMar>
        </w:tblPrEx>
        <w:trPr>
          <w:trHeight w:val="355"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hint="eastAsia" w:ascii="宋体" w:hAnsi="宋体" w:eastAsia="宋体" w:cs="宋体"/>
                <w:color w:val="000000"/>
                <w:kern w:val="0"/>
                <w:sz w:val="21"/>
                <w:szCs w:val="21"/>
              </w:rPr>
              <w:t>用事业基金弥补收支差额</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r>
              <w:rPr>
                <w:rFonts w:ascii="宋体" w:hAnsi="宋体" w:eastAsia="宋体" w:cs="宋体"/>
                <w:color w:val="000000"/>
                <w:sz w:val="21"/>
                <w:szCs w:val="21"/>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hint="eastAsia" w:ascii="宋体" w:hAnsi="宋体" w:eastAsia="宋体" w:cs="宋体"/>
                <w:color w:val="000000"/>
                <w:kern w:val="0"/>
                <w:sz w:val="21"/>
                <w:szCs w:val="21"/>
              </w:rPr>
              <w:t>结余分配</w:t>
            </w:r>
            <w:r>
              <w:rPr>
                <w:rFonts w:ascii="宋体" w:hAnsi="宋体" w:eastAsia="宋体" w:cs="宋体"/>
                <w:color w:val="000000"/>
                <w:kern w:val="0"/>
                <w:sz w:val="21"/>
                <w:szCs w:val="21"/>
              </w:rPr>
              <w:t xml:space="preserve"> </w:t>
            </w:r>
          </w:p>
        </w:tc>
        <w:tc>
          <w:tcPr>
            <w:tcW w:w="1326" w:type="dxa"/>
            <w:tcBorders>
              <w:top w:val="single" w:color="000000" w:sz="4" w:space="0"/>
              <w:left w:val="single" w:color="000000" w:sz="4" w:space="0"/>
              <w:bottom w:val="single" w:color="000000" w:sz="4" w:space="0"/>
              <w:right w:val="single" w:color="000000" w:sz="4" w:space="0"/>
            </w:tcBorders>
            <w:vAlign w:val="bottom"/>
          </w:tcPr>
          <w:p>
            <w:pPr>
              <w:jc w:val="right"/>
              <w:rPr>
                <w:rFonts w:ascii="宋体" w:hAnsi="宋体" w:eastAsia="宋体" w:cs="Times New Roman"/>
                <w:b/>
                <w:bCs/>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71"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hint="eastAsia" w:ascii="宋体" w:hAnsi="宋体" w:eastAsia="宋体" w:cs="宋体"/>
                <w:color w:val="000000"/>
                <w:kern w:val="0"/>
                <w:sz w:val="21"/>
                <w:szCs w:val="21"/>
              </w:rPr>
              <w:t>年初结转和结余</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r>
              <w:rPr>
                <w:rFonts w:ascii="宋体" w:hAnsi="宋体" w:eastAsia="宋体" w:cs="宋体"/>
                <w:color w:val="000000"/>
                <w:sz w:val="21"/>
                <w:szCs w:val="21"/>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hint="eastAsia" w:ascii="宋体" w:hAnsi="宋体" w:eastAsia="宋体" w:cs="宋体"/>
                <w:color w:val="000000"/>
                <w:kern w:val="0"/>
                <w:sz w:val="21"/>
                <w:szCs w:val="21"/>
              </w:rPr>
              <w:t>年末结转和结余</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b/>
                <w:bCs/>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382"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收入总计</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r>
              <w:rPr>
                <w:rFonts w:ascii="宋体" w:hAnsi="宋体" w:eastAsia="宋体" w:cs="宋体"/>
                <w:color w:val="000000"/>
                <w:sz w:val="21"/>
                <w:szCs w:val="21"/>
              </w:rPr>
              <w:t>138.92</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支出总计</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Times New Roman"/>
                <w:b/>
                <w:bCs/>
                <w:color w:val="000000"/>
                <w:sz w:val="21"/>
                <w:szCs w:val="21"/>
              </w:rPr>
            </w:pPr>
            <w:r>
              <w:rPr>
                <w:rFonts w:ascii="宋体" w:hAnsi="宋体" w:eastAsia="宋体" w:cs="宋体"/>
                <w:color w:val="000000"/>
                <w:sz w:val="21"/>
                <w:szCs w:val="21"/>
              </w:rPr>
              <w:t>138.92</w:t>
            </w:r>
          </w:p>
        </w:tc>
      </w:tr>
    </w:tbl>
    <w:p>
      <w:pPr>
        <w:widowControl/>
        <w:ind w:left="31680" w:hanging="420" w:hangingChars="200"/>
        <w:jc w:val="left"/>
        <w:rPr>
          <w:rFonts w:ascii="宋体" w:hAnsi="宋体" w:eastAsia="宋体" w:cs="Times New Roman"/>
          <w:sz w:val="48"/>
          <w:szCs w:val="48"/>
        </w:rPr>
      </w:pPr>
      <w:r>
        <w:rPr>
          <w:rFonts w:hint="eastAsia" w:ascii="宋体" w:hAnsi="宋体" w:eastAsia="宋体" w:cs="宋体"/>
          <w:color w:val="000000"/>
          <w:kern w:val="0"/>
          <w:sz w:val="21"/>
          <w:szCs w:val="21"/>
        </w:rPr>
        <w:t>注：本表反映部门本年度的总收支和年末结转结余情况。本表金额转换为万元时，因四舍五入可能存在尾差。</w:t>
      </w:r>
    </w:p>
    <w:p>
      <w:pPr>
        <w:rPr>
          <w:rFonts w:cs="Times New Roman"/>
        </w:rPr>
      </w:pPr>
    </w:p>
    <w:p>
      <w:pPr>
        <w:jc w:val="center"/>
        <w:rPr>
          <w:rFonts w:ascii="宋体" w:hAnsi="宋体" w:eastAsia="宋体" w:cs="Times New Roman"/>
          <w:b/>
          <w:bCs/>
        </w:rPr>
      </w:pPr>
      <w:r>
        <w:rPr>
          <w:rFonts w:hint="eastAsia" w:ascii="宋体" w:hAnsi="宋体" w:eastAsia="宋体" w:cs="宋体"/>
          <w:b/>
          <w:bCs/>
        </w:rPr>
        <w:t>收入决算表</w:t>
      </w:r>
    </w:p>
    <w:p>
      <w:pPr>
        <w:rPr>
          <w:rFonts w:ascii="宋体" w:hAnsi="宋体" w:eastAsia="宋体" w:cs="Times New Roman"/>
          <w:b/>
          <w:bCs/>
          <w:sz w:val="21"/>
          <w:szCs w:val="21"/>
        </w:rPr>
      </w:pPr>
      <w:r>
        <w:rPr>
          <w:rFonts w:hint="eastAsia" w:ascii="宋体" w:hAnsi="宋体" w:eastAsia="宋体" w:cs="宋体"/>
          <w:b/>
          <w:bCs/>
          <w:sz w:val="21"/>
          <w:szCs w:val="21"/>
        </w:rPr>
        <w:t>公开</w:t>
      </w:r>
      <w:r>
        <w:rPr>
          <w:rFonts w:ascii="宋体" w:hAnsi="宋体" w:eastAsia="宋体" w:cs="宋体"/>
          <w:b/>
          <w:bCs/>
          <w:sz w:val="21"/>
          <w:szCs w:val="21"/>
        </w:rPr>
        <w:t>02</w:t>
      </w:r>
      <w:r>
        <w:rPr>
          <w:rFonts w:hint="eastAsia" w:ascii="宋体" w:hAnsi="宋体" w:eastAsia="宋体" w:cs="宋体"/>
          <w:b/>
          <w:bCs/>
          <w:sz w:val="21"/>
          <w:szCs w:val="21"/>
        </w:rPr>
        <w:t>表</w:t>
      </w:r>
    </w:p>
    <w:p>
      <w:pPr>
        <w:rPr>
          <w:rFonts w:ascii="宋体" w:hAnsi="宋体" w:eastAsia="宋体" w:cs="Times New Roman"/>
          <w:b/>
          <w:bCs/>
          <w:sz w:val="48"/>
          <w:szCs w:val="48"/>
        </w:rPr>
      </w:pPr>
      <w:r>
        <w:rPr>
          <w:rFonts w:hint="eastAsia" w:ascii="宋体" w:hAnsi="宋体" w:eastAsia="宋体" w:cs="宋体"/>
          <w:b/>
          <w:bCs/>
          <w:sz w:val="21"/>
          <w:szCs w:val="21"/>
        </w:rPr>
        <w:t>编制部门：</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5"/>
        <w:tblW w:w="9265" w:type="dxa"/>
        <w:tblInd w:w="-106" w:type="dxa"/>
        <w:tblLayout w:type="autofit"/>
        <w:tblCellMar>
          <w:top w:w="0" w:type="dxa"/>
          <w:left w:w="108" w:type="dxa"/>
          <w:bottom w:w="0" w:type="dxa"/>
          <w:right w:w="108" w:type="dxa"/>
        </w:tblCellMar>
      </w:tblPr>
      <w:tblGrid>
        <w:gridCol w:w="1023"/>
        <w:gridCol w:w="2063"/>
        <w:gridCol w:w="1185"/>
        <w:gridCol w:w="853"/>
        <w:gridCol w:w="696"/>
        <w:gridCol w:w="657"/>
        <w:gridCol w:w="697"/>
        <w:gridCol w:w="697"/>
        <w:gridCol w:w="697"/>
        <w:gridCol w:w="697"/>
      </w:tblGrid>
      <w:tr>
        <w:tblPrEx>
          <w:tblCellMar>
            <w:top w:w="0" w:type="dxa"/>
            <w:left w:w="108" w:type="dxa"/>
            <w:bottom w:w="0" w:type="dxa"/>
            <w:right w:w="108" w:type="dxa"/>
          </w:tblCellMar>
        </w:tblPrEx>
        <w:trPr>
          <w:trHeight w:val="382" w:hRule="atLeast"/>
        </w:trPr>
        <w:tc>
          <w:tcPr>
            <w:tcW w:w="3086" w:type="dxa"/>
            <w:gridSpan w:val="2"/>
            <w:tcBorders>
              <w:top w:val="single" w:color="000000" w:sz="4" w:space="0"/>
              <w:left w:val="single" w:color="000000" w:sz="4" w:space="0"/>
              <w:bottom w:val="single" w:color="000000" w:sz="4" w:space="0"/>
              <w:right w:val="single" w:color="000000" w:sz="4" w:space="0"/>
            </w:tcBorders>
            <w:shd w:val="clear" w:color="FFFFFF" w:fill="C0C0C0"/>
            <w:noWrap/>
            <w:vAlign w:val="center"/>
          </w:tcPr>
          <w:p>
            <w:pPr>
              <w:jc w:val="center"/>
              <w:rPr>
                <w:rFonts w:ascii="宋体" w:eastAsia="宋体" w:cs="Times New Roman"/>
                <w:sz w:val="22"/>
                <w:szCs w:val="22"/>
              </w:rPr>
            </w:pPr>
            <w:r>
              <w:rPr>
                <w:rFonts w:hint="eastAsia" w:cs="方正仿宋简体"/>
                <w:sz w:val="22"/>
                <w:szCs w:val="22"/>
              </w:rPr>
              <w:t>项目</w:t>
            </w:r>
          </w:p>
        </w:tc>
        <w:tc>
          <w:tcPr>
            <w:tcW w:w="1185" w:type="dxa"/>
            <w:vMerge w:val="restart"/>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eastAsia="宋体" w:cs="Times New Roman"/>
                <w:sz w:val="22"/>
                <w:szCs w:val="22"/>
              </w:rPr>
            </w:pPr>
            <w:r>
              <w:rPr>
                <w:rFonts w:hint="eastAsia" w:cs="方正仿宋简体"/>
                <w:sz w:val="22"/>
                <w:szCs w:val="22"/>
              </w:rPr>
              <w:t>本年收入合计</w:t>
            </w:r>
          </w:p>
        </w:tc>
        <w:tc>
          <w:tcPr>
            <w:tcW w:w="853" w:type="dxa"/>
            <w:vMerge w:val="restart"/>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eastAsia="宋体" w:cs="Times New Roman"/>
                <w:sz w:val="22"/>
                <w:szCs w:val="22"/>
              </w:rPr>
            </w:pPr>
            <w:r>
              <w:rPr>
                <w:rFonts w:hint="eastAsia" w:cs="方正仿宋简体"/>
                <w:sz w:val="22"/>
                <w:szCs w:val="22"/>
              </w:rPr>
              <w:t>财政拨款收入</w:t>
            </w:r>
          </w:p>
        </w:tc>
        <w:tc>
          <w:tcPr>
            <w:tcW w:w="696" w:type="dxa"/>
            <w:vMerge w:val="restart"/>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eastAsia="宋体" w:cs="Times New Roman"/>
                <w:sz w:val="22"/>
                <w:szCs w:val="22"/>
              </w:rPr>
            </w:pPr>
            <w:r>
              <w:rPr>
                <w:rFonts w:hint="eastAsia" w:cs="方正仿宋简体"/>
                <w:sz w:val="22"/>
                <w:szCs w:val="22"/>
              </w:rPr>
              <w:t>上级补助收入</w:t>
            </w:r>
          </w:p>
        </w:tc>
        <w:tc>
          <w:tcPr>
            <w:tcW w:w="1354" w:type="dxa"/>
            <w:gridSpan w:val="2"/>
            <w:vMerge w:val="restart"/>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eastAsia="宋体" w:cs="Times New Roman"/>
                <w:sz w:val="22"/>
                <w:szCs w:val="22"/>
              </w:rPr>
            </w:pPr>
            <w:r>
              <w:rPr>
                <w:rFonts w:hint="eastAsia" w:cs="方正仿宋简体"/>
                <w:sz w:val="22"/>
                <w:szCs w:val="22"/>
              </w:rPr>
              <w:t>事业收入</w:t>
            </w:r>
          </w:p>
        </w:tc>
        <w:tc>
          <w:tcPr>
            <w:tcW w:w="697" w:type="dxa"/>
            <w:vMerge w:val="restart"/>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eastAsia="宋体" w:cs="Times New Roman"/>
                <w:sz w:val="22"/>
                <w:szCs w:val="22"/>
              </w:rPr>
            </w:pPr>
            <w:r>
              <w:rPr>
                <w:rFonts w:hint="eastAsia" w:cs="方正仿宋简体"/>
                <w:sz w:val="22"/>
                <w:szCs w:val="22"/>
              </w:rPr>
              <w:t>经营收入</w:t>
            </w:r>
          </w:p>
        </w:tc>
        <w:tc>
          <w:tcPr>
            <w:tcW w:w="697" w:type="dxa"/>
            <w:vMerge w:val="restart"/>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eastAsia="宋体" w:cs="Times New Roman"/>
                <w:sz w:val="22"/>
                <w:szCs w:val="22"/>
              </w:rPr>
            </w:pPr>
            <w:r>
              <w:rPr>
                <w:rFonts w:hint="eastAsia" w:cs="方正仿宋简体"/>
                <w:sz w:val="22"/>
                <w:szCs w:val="22"/>
              </w:rPr>
              <w:t>附属单位上缴收入</w:t>
            </w:r>
          </w:p>
        </w:tc>
        <w:tc>
          <w:tcPr>
            <w:tcW w:w="697" w:type="dxa"/>
            <w:vMerge w:val="restart"/>
            <w:tcBorders>
              <w:top w:val="single" w:color="000000" w:sz="4" w:space="0"/>
              <w:left w:val="nil"/>
              <w:bottom w:val="single" w:color="000000" w:sz="4" w:space="0"/>
              <w:right w:val="single" w:color="000000" w:sz="8" w:space="0"/>
            </w:tcBorders>
            <w:shd w:val="clear" w:color="FFFFFF" w:fill="C0C0C0"/>
            <w:vAlign w:val="center"/>
          </w:tcPr>
          <w:p>
            <w:pPr>
              <w:jc w:val="center"/>
              <w:rPr>
                <w:rFonts w:ascii="宋体" w:eastAsia="宋体" w:cs="Times New Roman"/>
                <w:color w:val="000000"/>
                <w:sz w:val="22"/>
                <w:szCs w:val="22"/>
              </w:rPr>
            </w:pPr>
            <w:r>
              <w:rPr>
                <w:rFonts w:hint="eastAsia" w:cs="方正仿宋简体"/>
                <w:color w:val="000000"/>
                <w:sz w:val="22"/>
                <w:szCs w:val="22"/>
              </w:rPr>
              <w:t>其他收入</w:t>
            </w:r>
          </w:p>
        </w:tc>
      </w:tr>
      <w:tr>
        <w:tblPrEx>
          <w:tblCellMar>
            <w:top w:w="0" w:type="dxa"/>
            <w:left w:w="108" w:type="dxa"/>
            <w:bottom w:w="0" w:type="dxa"/>
            <w:right w:w="108" w:type="dxa"/>
          </w:tblCellMar>
        </w:tblPrEx>
        <w:trPr>
          <w:trHeight w:val="397" w:hRule="atLeast"/>
        </w:trPr>
        <w:tc>
          <w:tcPr>
            <w:tcW w:w="1023" w:type="dxa"/>
            <w:vMerge w:val="restart"/>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eastAsia="宋体" w:cs="Times New Roman"/>
                <w:color w:val="000000"/>
                <w:sz w:val="22"/>
                <w:szCs w:val="22"/>
              </w:rPr>
            </w:pPr>
            <w:r>
              <w:rPr>
                <w:rFonts w:hint="eastAsia" w:cs="方正仿宋简体"/>
                <w:color w:val="000000"/>
                <w:sz w:val="22"/>
                <w:szCs w:val="22"/>
              </w:rPr>
              <w:t>功能分类科目编码</w:t>
            </w:r>
          </w:p>
        </w:tc>
        <w:tc>
          <w:tcPr>
            <w:tcW w:w="2063" w:type="dxa"/>
            <w:vMerge w:val="restart"/>
            <w:tcBorders>
              <w:top w:val="nil"/>
              <w:left w:val="nil"/>
              <w:bottom w:val="single" w:color="000000" w:sz="4" w:space="0"/>
              <w:right w:val="single" w:color="000000" w:sz="4" w:space="0"/>
            </w:tcBorders>
            <w:shd w:val="clear" w:color="FFFFFF" w:fill="C0C0C0"/>
            <w:noWrap/>
            <w:vAlign w:val="center"/>
          </w:tcPr>
          <w:p>
            <w:pPr>
              <w:jc w:val="center"/>
              <w:rPr>
                <w:rFonts w:ascii="宋体" w:eastAsia="宋体" w:cs="Times New Roman"/>
                <w:color w:val="000000"/>
                <w:sz w:val="22"/>
                <w:szCs w:val="22"/>
              </w:rPr>
            </w:pPr>
            <w:r>
              <w:rPr>
                <w:rFonts w:hint="eastAsia" w:cs="方正仿宋简体"/>
                <w:color w:val="000000"/>
                <w:sz w:val="22"/>
                <w:szCs w:val="22"/>
              </w:rPr>
              <w:t>科目名称</w:t>
            </w:r>
          </w:p>
        </w:tc>
        <w:tc>
          <w:tcPr>
            <w:tcW w:w="1185" w:type="dxa"/>
            <w:vMerge w:val="continue"/>
            <w:tcBorders>
              <w:top w:val="single" w:color="000000" w:sz="4" w:space="0"/>
              <w:left w:val="nil"/>
              <w:bottom w:val="single" w:color="000000" w:sz="4" w:space="0"/>
              <w:right w:val="single" w:color="000000" w:sz="4" w:space="0"/>
            </w:tcBorders>
            <w:vAlign w:val="center"/>
          </w:tcPr>
          <w:p>
            <w:pPr>
              <w:rPr>
                <w:rFonts w:ascii="宋体" w:eastAsia="宋体" w:cs="Times New Roman"/>
                <w:color w:val="000000"/>
                <w:sz w:val="22"/>
                <w:szCs w:val="22"/>
              </w:rPr>
            </w:pPr>
          </w:p>
        </w:tc>
        <w:tc>
          <w:tcPr>
            <w:tcW w:w="853" w:type="dxa"/>
            <w:vMerge w:val="continue"/>
            <w:tcBorders>
              <w:top w:val="single" w:color="000000" w:sz="4" w:space="0"/>
              <w:left w:val="nil"/>
              <w:bottom w:val="single" w:color="000000" w:sz="4" w:space="0"/>
              <w:right w:val="single" w:color="000000" w:sz="4" w:space="0"/>
            </w:tcBorders>
            <w:vAlign w:val="center"/>
          </w:tcPr>
          <w:p>
            <w:pPr>
              <w:rPr>
                <w:rFonts w:ascii="宋体" w:eastAsia="宋体" w:cs="Times New Roman"/>
                <w:color w:val="000000"/>
                <w:sz w:val="22"/>
                <w:szCs w:val="22"/>
              </w:rPr>
            </w:pPr>
          </w:p>
        </w:tc>
        <w:tc>
          <w:tcPr>
            <w:tcW w:w="696" w:type="dxa"/>
            <w:vMerge w:val="continue"/>
            <w:tcBorders>
              <w:top w:val="single" w:color="000000" w:sz="4" w:space="0"/>
              <w:left w:val="nil"/>
              <w:bottom w:val="single" w:color="000000" w:sz="4" w:space="0"/>
              <w:right w:val="single" w:color="000000" w:sz="4" w:space="0"/>
            </w:tcBorders>
            <w:vAlign w:val="center"/>
          </w:tcPr>
          <w:p>
            <w:pPr>
              <w:rPr>
                <w:rFonts w:ascii="宋体" w:eastAsia="宋体" w:cs="Times New Roman"/>
                <w:color w:val="000000"/>
                <w:sz w:val="22"/>
                <w:szCs w:val="22"/>
              </w:rPr>
            </w:pPr>
          </w:p>
        </w:tc>
        <w:tc>
          <w:tcPr>
            <w:tcW w:w="1354" w:type="dxa"/>
            <w:gridSpan w:val="2"/>
            <w:vMerge w:val="continue"/>
            <w:tcBorders>
              <w:top w:val="single" w:color="000000" w:sz="4" w:space="0"/>
              <w:left w:val="nil"/>
              <w:bottom w:val="single" w:color="000000" w:sz="4" w:space="0"/>
              <w:right w:val="single" w:color="000000" w:sz="4" w:space="0"/>
            </w:tcBorders>
            <w:vAlign w:val="center"/>
          </w:tcPr>
          <w:p>
            <w:pPr>
              <w:rPr>
                <w:rFonts w:ascii="宋体" w:eastAsia="宋体" w:cs="Times New Roman"/>
                <w:color w:val="000000"/>
                <w:sz w:val="22"/>
                <w:szCs w:val="22"/>
              </w:rPr>
            </w:pPr>
          </w:p>
        </w:tc>
        <w:tc>
          <w:tcPr>
            <w:tcW w:w="697" w:type="dxa"/>
            <w:vMerge w:val="continue"/>
            <w:tcBorders>
              <w:top w:val="single" w:color="000000" w:sz="4" w:space="0"/>
              <w:left w:val="nil"/>
              <w:bottom w:val="single" w:color="000000" w:sz="4" w:space="0"/>
              <w:right w:val="single" w:color="000000" w:sz="4" w:space="0"/>
            </w:tcBorders>
            <w:vAlign w:val="center"/>
          </w:tcPr>
          <w:p>
            <w:pPr>
              <w:rPr>
                <w:rFonts w:ascii="宋体" w:eastAsia="宋体" w:cs="Times New Roman"/>
                <w:color w:val="000000"/>
                <w:sz w:val="22"/>
                <w:szCs w:val="22"/>
              </w:rPr>
            </w:pPr>
          </w:p>
        </w:tc>
        <w:tc>
          <w:tcPr>
            <w:tcW w:w="697" w:type="dxa"/>
            <w:vMerge w:val="continue"/>
            <w:tcBorders>
              <w:top w:val="single" w:color="000000" w:sz="4" w:space="0"/>
              <w:left w:val="nil"/>
              <w:bottom w:val="single" w:color="000000" w:sz="4" w:space="0"/>
              <w:right w:val="single" w:color="000000" w:sz="4" w:space="0"/>
            </w:tcBorders>
            <w:vAlign w:val="center"/>
          </w:tcPr>
          <w:p>
            <w:pPr>
              <w:rPr>
                <w:rFonts w:ascii="宋体" w:eastAsia="宋体" w:cs="Times New Roman"/>
                <w:color w:val="000000"/>
                <w:sz w:val="22"/>
                <w:szCs w:val="22"/>
              </w:rPr>
            </w:pPr>
          </w:p>
        </w:tc>
        <w:tc>
          <w:tcPr>
            <w:tcW w:w="697" w:type="dxa"/>
            <w:vMerge w:val="continue"/>
            <w:tcBorders>
              <w:top w:val="single" w:color="000000" w:sz="4" w:space="0"/>
              <w:left w:val="nil"/>
              <w:bottom w:val="single" w:color="000000" w:sz="4" w:space="0"/>
              <w:right w:val="single" w:color="000000" w:sz="8" w:space="0"/>
            </w:tcBorders>
            <w:vAlign w:val="center"/>
          </w:tcPr>
          <w:p>
            <w:pPr>
              <w:rPr>
                <w:rFonts w:ascii="宋体" w:eastAsia="宋体" w:cs="Times New Roman"/>
                <w:color w:val="000000"/>
                <w:sz w:val="22"/>
                <w:szCs w:val="22"/>
              </w:rPr>
            </w:pPr>
          </w:p>
        </w:tc>
      </w:tr>
      <w:tr>
        <w:tblPrEx>
          <w:tblCellMar>
            <w:top w:w="0" w:type="dxa"/>
            <w:left w:w="108" w:type="dxa"/>
            <w:bottom w:w="0" w:type="dxa"/>
            <w:right w:w="108" w:type="dxa"/>
          </w:tblCellMar>
        </w:tblPrEx>
        <w:trPr>
          <w:trHeight w:val="397" w:hRule="atLeast"/>
        </w:trPr>
        <w:tc>
          <w:tcPr>
            <w:tcW w:w="1023" w:type="dxa"/>
            <w:vMerge w:val="continue"/>
            <w:tcBorders>
              <w:top w:val="nil"/>
              <w:left w:val="single" w:color="000000" w:sz="4" w:space="0"/>
              <w:bottom w:val="single" w:color="000000" w:sz="4" w:space="0"/>
              <w:right w:val="single" w:color="000000" w:sz="4" w:space="0"/>
            </w:tcBorders>
            <w:vAlign w:val="center"/>
          </w:tcPr>
          <w:p>
            <w:pPr>
              <w:rPr>
                <w:rFonts w:ascii="宋体" w:eastAsia="宋体" w:cs="Times New Roman"/>
                <w:color w:val="000000"/>
                <w:sz w:val="22"/>
                <w:szCs w:val="22"/>
              </w:rPr>
            </w:pPr>
          </w:p>
        </w:tc>
        <w:tc>
          <w:tcPr>
            <w:tcW w:w="2063" w:type="dxa"/>
            <w:vMerge w:val="continue"/>
            <w:tcBorders>
              <w:top w:val="nil"/>
              <w:left w:val="nil"/>
              <w:bottom w:val="single" w:color="000000" w:sz="4" w:space="0"/>
              <w:right w:val="single" w:color="000000" w:sz="4" w:space="0"/>
            </w:tcBorders>
            <w:vAlign w:val="center"/>
          </w:tcPr>
          <w:p>
            <w:pPr>
              <w:rPr>
                <w:rFonts w:ascii="宋体" w:eastAsia="宋体" w:cs="Times New Roman"/>
                <w:color w:val="000000"/>
                <w:sz w:val="22"/>
                <w:szCs w:val="22"/>
              </w:rPr>
            </w:pPr>
          </w:p>
        </w:tc>
        <w:tc>
          <w:tcPr>
            <w:tcW w:w="1185" w:type="dxa"/>
            <w:vMerge w:val="continue"/>
            <w:tcBorders>
              <w:top w:val="single" w:color="000000" w:sz="4" w:space="0"/>
              <w:left w:val="nil"/>
              <w:bottom w:val="single" w:color="000000" w:sz="4" w:space="0"/>
              <w:right w:val="single" w:color="000000" w:sz="4" w:space="0"/>
            </w:tcBorders>
            <w:vAlign w:val="center"/>
          </w:tcPr>
          <w:p>
            <w:pPr>
              <w:rPr>
                <w:rFonts w:ascii="宋体" w:eastAsia="宋体" w:cs="Times New Roman"/>
                <w:color w:val="000000"/>
                <w:sz w:val="22"/>
                <w:szCs w:val="22"/>
              </w:rPr>
            </w:pPr>
          </w:p>
        </w:tc>
        <w:tc>
          <w:tcPr>
            <w:tcW w:w="853" w:type="dxa"/>
            <w:vMerge w:val="continue"/>
            <w:tcBorders>
              <w:top w:val="single" w:color="000000" w:sz="4" w:space="0"/>
              <w:left w:val="nil"/>
              <w:bottom w:val="single" w:color="000000" w:sz="4" w:space="0"/>
              <w:right w:val="single" w:color="000000" w:sz="4" w:space="0"/>
            </w:tcBorders>
            <w:vAlign w:val="center"/>
          </w:tcPr>
          <w:p>
            <w:pPr>
              <w:rPr>
                <w:rFonts w:ascii="宋体" w:eastAsia="宋体" w:cs="Times New Roman"/>
                <w:color w:val="000000"/>
                <w:sz w:val="22"/>
                <w:szCs w:val="22"/>
              </w:rPr>
            </w:pPr>
          </w:p>
        </w:tc>
        <w:tc>
          <w:tcPr>
            <w:tcW w:w="696" w:type="dxa"/>
            <w:vMerge w:val="continue"/>
            <w:tcBorders>
              <w:top w:val="single" w:color="000000" w:sz="4" w:space="0"/>
              <w:left w:val="nil"/>
              <w:bottom w:val="single" w:color="000000" w:sz="4" w:space="0"/>
              <w:right w:val="single" w:color="000000" w:sz="4" w:space="0"/>
            </w:tcBorders>
            <w:vAlign w:val="center"/>
          </w:tcPr>
          <w:p>
            <w:pPr>
              <w:rPr>
                <w:rFonts w:ascii="宋体" w:eastAsia="宋体" w:cs="Times New Roman"/>
                <w:color w:val="000000"/>
                <w:sz w:val="22"/>
                <w:szCs w:val="22"/>
              </w:rPr>
            </w:pPr>
          </w:p>
        </w:tc>
        <w:tc>
          <w:tcPr>
            <w:tcW w:w="657" w:type="dxa"/>
            <w:vMerge w:val="restart"/>
            <w:tcBorders>
              <w:top w:val="nil"/>
              <w:left w:val="nil"/>
              <w:bottom w:val="single" w:color="000000" w:sz="4" w:space="0"/>
              <w:right w:val="single" w:color="000000" w:sz="4" w:space="0"/>
            </w:tcBorders>
            <w:shd w:val="clear" w:color="FFFFFF" w:fill="C0C0C0"/>
            <w:vAlign w:val="center"/>
          </w:tcPr>
          <w:p>
            <w:pPr>
              <w:jc w:val="center"/>
              <w:rPr>
                <w:rFonts w:ascii="宋体" w:eastAsia="宋体" w:cs="Times New Roman"/>
                <w:color w:val="000000"/>
                <w:sz w:val="22"/>
                <w:szCs w:val="22"/>
              </w:rPr>
            </w:pPr>
            <w:r>
              <w:rPr>
                <w:rFonts w:hint="eastAsia" w:cs="方正仿宋简体"/>
                <w:color w:val="000000"/>
                <w:sz w:val="22"/>
                <w:szCs w:val="22"/>
              </w:rPr>
              <w:t>小计</w:t>
            </w:r>
          </w:p>
        </w:tc>
        <w:tc>
          <w:tcPr>
            <w:tcW w:w="697" w:type="dxa"/>
            <w:vMerge w:val="restart"/>
            <w:tcBorders>
              <w:top w:val="nil"/>
              <w:left w:val="nil"/>
              <w:bottom w:val="single" w:color="000000" w:sz="4" w:space="0"/>
              <w:right w:val="single" w:color="000000" w:sz="4" w:space="0"/>
            </w:tcBorders>
            <w:shd w:val="clear" w:color="FFFFFF" w:fill="C0C0C0"/>
            <w:vAlign w:val="center"/>
          </w:tcPr>
          <w:p>
            <w:pPr>
              <w:jc w:val="center"/>
              <w:rPr>
                <w:rFonts w:ascii="宋体" w:eastAsia="宋体" w:cs="Times New Roman"/>
                <w:color w:val="000000"/>
                <w:sz w:val="22"/>
                <w:szCs w:val="22"/>
              </w:rPr>
            </w:pPr>
            <w:r>
              <w:rPr>
                <w:rFonts w:hint="eastAsia" w:cs="方正仿宋简体"/>
                <w:color w:val="000000"/>
                <w:sz w:val="22"/>
                <w:szCs w:val="22"/>
              </w:rPr>
              <w:t>其中：教育收费</w:t>
            </w:r>
          </w:p>
        </w:tc>
        <w:tc>
          <w:tcPr>
            <w:tcW w:w="697" w:type="dxa"/>
            <w:vMerge w:val="continue"/>
            <w:tcBorders>
              <w:top w:val="single" w:color="000000" w:sz="4" w:space="0"/>
              <w:left w:val="nil"/>
              <w:bottom w:val="single" w:color="000000" w:sz="4" w:space="0"/>
              <w:right w:val="single" w:color="000000" w:sz="4" w:space="0"/>
            </w:tcBorders>
            <w:vAlign w:val="center"/>
          </w:tcPr>
          <w:p>
            <w:pPr>
              <w:rPr>
                <w:rFonts w:ascii="宋体" w:eastAsia="宋体" w:cs="Times New Roman"/>
                <w:color w:val="000000"/>
                <w:sz w:val="22"/>
                <w:szCs w:val="22"/>
              </w:rPr>
            </w:pPr>
          </w:p>
        </w:tc>
        <w:tc>
          <w:tcPr>
            <w:tcW w:w="697" w:type="dxa"/>
            <w:vMerge w:val="continue"/>
            <w:tcBorders>
              <w:top w:val="single" w:color="000000" w:sz="4" w:space="0"/>
              <w:left w:val="nil"/>
              <w:bottom w:val="single" w:color="000000" w:sz="4" w:space="0"/>
              <w:right w:val="single" w:color="000000" w:sz="4" w:space="0"/>
            </w:tcBorders>
            <w:vAlign w:val="center"/>
          </w:tcPr>
          <w:p>
            <w:pPr>
              <w:rPr>
                <w:rFonts w:ascii="宋体" w:eastAsia="宋体" w:cs="Times New Roman"/>
                <w:color w:val="000000"/>
                <w:sz w:val="22"/>
                <w:szCs w:val="22"/>
              </w:rPr>
            </w:pPr>
          </w:p>
        </w:tc>
        <w:tc>
          <w:tcPr>
            <w:tcW w:w="697" w:type="dxa"/>
            <w:vMerge w:val="continue"/>
            <w:tcBorders>
              <w:top w:val="single" w:color="000000" w:sz="4" w:space="0"/>
              <w:left w:val="nil"/>
              <w:bottom w:val="single" w:color="000000" w:sz="4" w:space="0"/>
              <w:right w:val="single" w:color="000000" w:sz="8" w:space="0"/>
            </w:tcBorders>
            <w:vAlign w:val="center"/>
          </w:tcPr>
          <w:p>
            <w:pPr>
              <w:rPr>
                <w:rFonts w:ascii="宋体" w:eastAsia="宋体" w:cs="Times New Roman"/>
                <w:color w:val="000000"/>
                <w:sz w:val="22"/>
                <w:szCs w:val="22"/>
              </w:rPr>
            </w:pPr>
          </w:p>
        </w:tc>
      </w:tr>
      <w:tr>
        <w:tblPrEx>
          <w:tblCellMar>
            <w:top w:w="0" w:type="dxa"/>
            <w:left w:w="108" w:type="dxa"/>
            <w:bottom w:w="0" w:type="dxa"/>
            <w:right w:w="108" w:type="dxa"/>
          </w:tblCellMar>
        </w:tblPrEx>
        <w:trPr>
          <w:trHeight w:val="397" w:hRule="atLeast"/>
        </w:trPr>
        <w:tc>
          <w:tcPr>
            <w:tcW w:w="1023" w:type="dxa"/>
            <w:vMerge w:val="continue"/>
            <w:tcBorders>
              <w:top w:val="nil"/>
              <w:left w:val="single" w:color="000000" w:sz="4" w:space="0"/>
              <w:bottom w:val="single" w:color="000000" w:sz="4" w:space="0"/>
              <w:right w:val="single" w:color="000000" w:sz="4" w:space="0"/>
            </w:tcBorders>
            <w:vAlign w:val="center"/>
          </w:tcPr>
          <w:p>
            <w:pPr>
              <w:rPr>
                <w:rFonts w:ascii="宋体" w:eastAsia="宋体" w:cs="Times New Roman"/>
                <w:color w:val="000000"/>
                <w:sz w:val="22"/>
                <w:szCs w:val="22"/>
              </w:rPr>
            </w:pPr>
          </w:p>
        </w:tc>
        <w:tc>
          <w:tcPr>
            <w:tcW w:w="2063" w:type="dxa"/>
            <w:vMerge w:val="continue"/>
            <w:tcBorders>
              <w:top w:val="nil"/>
              <w:left w:val="nil"/>
              <w:bottom w:val="single" w:color="000000" w:sz="4" w:space="0"/>
              <w:right w:val="single" w:color="000000" w:sz="4" w:space="0"/>
            </w:tcBorders>
            <w:vAlign w:val="center"/>
          </w:tcPr>
          <w:p>
            <w:pPr>
              <w:rPr>
                <w:rFonts w:ascii="宋体" w:eastAsia="宋体" w:cs="Times New Roman"/>
                <w:color w:val="000000"/>
                <w:sz w:val="22"/>
                <w:szCs w:val="22"/>
              </w:rPr>
            </w:pPr>
          </w:p>
        </w:tc>
        <w:tc>
          <w:tcPr>
            <w:tcW w:w="1185" w:type="dxa"/>
            <w:vMerge w:val="continue"/>
            <w:tcBorders>
              <w:top w:val="single" w:color="000000" w:sz="4" w:space="0"/>
              <w:left w:val="nil"/>
              <w:bottom w:val="single" w:color="000000" w:sz="4" w:space="0"/>
              <w:right w:val="single" w:color="000000" w:sz="4" w:space="0"/>
            </w:tcBorders>
            <w:vAlign w:val="center"/>
          </w:tcPr>
          <w:p>
            <w:pPr>
              <w:rPr>
                <w:rFonts w:ascii="宋体" w:eastAsia="宋体" w:cs="Times New Roman"/>
                <w:color w:val="000000"/>
                <w:sz w:val="22"/>
                <w:szCs w:val="22"/>
              </w:rPr>
            </w:pPr>
          </w:p>
        </w:tc>
        <w:tc>
          <w:tcPr>
            <w:tcW w:w="853" w:type="dxa"/>
            <w:vMerge w:val="continue"/>
            <w:tcBorders>
              <w:top w:val="single" w:color="000000" w:sz="4" w:space="0"/>
              <w:left w:val="nil"/>
              <w:bottom w:val="single" w:color="000000" w:sz="4" w:space="0"/>
              <w:right w:val="single" w:color="000000" w:sz="4" w:space="0"/>
            </w:tcBorders>
            <w:vAlign w:val="center"/>
          </w:tcPr>
          <w:p>
            <w:pPr>
              <w:rPr>
                <w:rFonts w:ascii="宋体" w:eastAsia="宋体" w:cs="Times New Roman"/>
                <w:color w:val="000000"/>
                <w:sz w:val="22"/>
                <w:szCs w:val="22"/>
              </w:rPr>
            </w:pPr>
          </w:p>
        </w:tc>
        <w:tc>
          <w:tcPr>
            <w:tcW w:w="696" w:type="dxa"/>
            <w:vMerge w:val="continue"/>
            <w:tcBorders>
              <w:top w:val="single" w:color="000000" w:sz="4" w:space="0"/>
              <w:left w:val="nil"/>
              <w:bottom w:val="single" w:color="000000" w:sz="4" w:space="0"/>
              <w:right w:val="single" w:color="000000" w:sz="4" w:space="0"/>
            </w:tcBorders>
            <w:vAlign w:val="center"/>
          </w:tcPr>
          <w:p>
            <w:pPr>
              <w:rPr>
                <w:rFonts w:ascii="宋体" w:eastAsia="宋体" w:cs="Times New Roman"/>
                <w:color w:val="000000"/>
                <w:sz w:val="22"/>
                <w:szCs w:val="22"/>
              </w:rPr>
            </w:pPr>
          </w:p>
        </w:tc>
        <w:tc>
          <w:tcPr>
            <w:tcW w:w="657" w:type="dxa"/>
            <w:vMerge w:val="continue"/>
            <w:tcBorders>
              <w:top w:val="nil"/>
              <w:left w:val="nil"/>
              <w:bottom w:val="single" w:color="000000" w:sz="4" w:space="0"/>
              <w:right w:val="single" w:color="000000" w:sz="4" w:space="0"/>
            </w:tcBorders>
            <w:vAlign w:val="center"/>
          </w:tcPr>
          <w:p>
            <w:pPr>
              <w:rPr>
                <w:rFonts w:ascii="宋体" w:eastAsia="宋体" w:cs="Times New Roman"/>
                <w:color w:val="000000"/>
                <w:sz w:val="22"/>
                <w:szCs w:val="22"/>
              </w:rPr>
            </w:pPr>
          </w:p>
        </w:tc>
        <w:tc>
          <w:tcPr>
            <w:tcW w:w="697" w:type="dxa"/>
            <w:vMerge w:val="continue"/>
            <w:tcBorders>
              <w:top w:val="nil"/>
              <w:left w:val="nil"/>
              <w:bottom w:val="single" w:color="000000" w:sz="4" w:space="0"/>
              <w:right w:val="single" w:color="000000" w:sz="4" w:space="0"/>
            </w:tcBorders>
            <w:vAlign w:val="center"/>
          </w:tcPr>
          <w:p>
            <w:pPr>
              <w:rPr>
                <w:rFonts w:ascii="宋体" w:eastAsia="宋体" w:cs="Times New Roman"/>
                <w:color w:val="000000"/>
                <w:sz w:val="22"/>
                <w:szCs w:val="22"/>
              </w:rPr>
            </w:pPr>
          </w:p>
        </w:tc>
        <w:tc>
          <w:tcPr>
            <w:tcW w:w="697" w:type="dxa"/>
            <w:vMerge w:val="continue"/>
            <w:tcBorders>
              <w:top w:val="single" w:color="000000" w:sz="4" w:space="0"/>
              <w:left w:val="nil"/>
              <w:bottom w:val="single" w:color="000000" w:sz="4" w:space="0"/>
              <w:right w:val="single" w:color="000000" w:sz="4" w:space="0"/>
            </w:tcBorders>
            <w:vAlign w:val="center"/>
          </w:tcPr>
          <w:p>
            <w:pPr>
              <w:rPr>
                <w:rFonts w:ascii="宋体" w:eastAsia="宋体" w:cs="Times New Roman"/>
                <w:color w:val="000000"/>
                <w:sz w:val="22"/>
                <w:szCs w:val="22"/>
              </w:rPr>
            </w:pPr>
          </w:p>
        </w:tc>
        <w:tc>
          <w:tcPr>
            <w:tcW w:w="697" w:type="dxa"/>
            <w:vMerge w:val="continue"/>
            <w:tcBorders>
              <w:top w:val="single" w:color="000000" w:sz="4" w:space="0"/>
              <w:left w:val="nil"/>
              <w:bottom w:val="single" w:color="000000" w:sz="4" w:space="0"/>
              <w:right w:val="single" w:color="000000" w:sz="4" w:space="0"/>
            </w:tcBorders>
            <w:vAlign w:val="center"/>
          </w:tcPr>
          <w:p>
            <w:pPr>
              <w:rPr>
                <w:rFonts w:ascii="宋体" w:eastAsia="宋体" w:cs="Times New Roman"/>
                <w:color w:val="000000"/>
                <w:sz w:val="22"/>
                <w:szCs w:val="22"/>
              </w:rPr>
            </w:pPr>
          </w:p>
        </w:tc>
        <w:tc>
          <w:tcPr>
            <w:tcW w:w="697" w:type="dxa"/>
            <w:vMerge w:val="continue"/>
            <w:tcBorders>
              <w:top w:val="single" w:color="000000" w:sz="4" w:space="0"/>
              <w:left w:val="nil"/>
              <w:bottom w:val="single" w:color="000000" w:sz="4" w:space="0"/>
              <w:right w:val="single" w:color="000000" w:sz="8" w:space="0"/>
            </w:tcBorders>
            <w:vAlign w:val="center"/>
          </w:tcPr>
          <w:p>
            <w:pPr>
              <w:rPr>
                <w:rFonts w:ascii="宋体" w:eastAsia="宋体" w:cs="Times New Roman"/>
                <w:color w:val="000000"/>
                <w:sz w:val="22"/>
                <w:szCs w:val="22"/>
              </w:rPr>
            </w:pPr>
          </w:p>
        </w:tc>
      </w:tr>
      <w:tr>
        <w:tblPrEx>
          <w:tblCellMar>
            <w:top w:w="0" w:type="dxa"/>
            <w:left w:w="108" w:type="dxa"/>
            <w:bottom w:w="0" w:type="dxa"/>
            <w:right w:w="108" w:type="dxa"/>
          </w:tblCellMar>
        </w:tblPrEx>
        <w:trPr>
          <w:trHeight w:val="382" w:hRule="atLeast"/>
        </w:trPr>
        <w:tc>
          <w:tcPr>
            <w:tcW w:w="3086" w:type="dxa"/>
            <w:gridSpan w:val="2"/>
            <w:tcBorders>
              <w:top w:val="nil"/>
              <w:left w:val="single" w:color="000000" w:sz="4" w:space="0"/>
              <w:bottom w:val="single" w:color="000000" w:sz="4" w:space="0"/>
              <w:right w:val="single" w:color="000000" w:sz="4" w:space="0"/>
            </w:tcBorders>
            <w:shd w:val="clear" w:color="FFFFFF" w:fill="C0C0C0"/>
            <w:noWrap/>
            <w:vAlign w:val="center"/>
          </w:tcPr>
          <w:p>
            <w:pPr>
              <w:jc w:val="center"/>
              <w:rPr>
                <w:rFonts w:ascii="宋体" w:eastAsia="宋体" w:cs="Times New Roman"/>
                <w:color w:val="000000"/>
                <w:sz w:val="22"/>
                <w:szCs w:val="22"/>
              </w:rPr>
            </w:pPr>
            <w:r>
              <w:rPr>
                <w:rFonts w:hint="eastAsia" w:cs="方正仿宋简体"/>
                <w:color w:val="000000"/>
                <w:sz w:val="22"/>
                <w:szCs w:val="22"/>
              </w:rPr>
              <w:t>合计</w:t>
            </w:r>
          </w:p>
        </w:tc>
        <w:tc>
          <w:tcPr>
            <w:tcW w:w="1185"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138.92</w:t>
            </w:r>
          </w:p>
        </w:tc>
        <w:tc>
          <w:tcPr>
            <w:tcW w:w="853"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138.92</w:t>
            </w:r>
          </w:p>
        </w:tc>
        <w:tc>
          <w:tcPr>
            <w:tcW w:w="696"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5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0"/>
                <w:szCs w:val="20"/>
              </w:rPr>
            </w:pPr>
            <w:r>
              <w:rPr>
                <w:color w:val="000000"/>
                <w:sz w:val="20"/>
                <w:szCs w:val="20"/>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8" w:space="0"/>
            </w:tcBorders>
            <w:noWrap/>
            <w:vAlign w:val="center"/>
          </w:tcPr>
          <w:p>
            <w:pPr>
              <w:jc w:val="right"/>
              <w:rPr>
                <w:rFonts w:ascii="宋体" w:eastAsia="宋体" w:cs="Times New Roman"/>
                <w:color w:val="000000"/>
                <w:sz w:val="22"/>
                <w:szCs w:val="22"/>
              </w:rPr>
            </w:pPr>
            <w:r>
              <w:rPr>
                <w:color w:val="000000"/>
                <w:sz w:val="22"/>
                <w:szCs w:val="22"/>
              </w:rPr>
              <w:t>0.00</w:t>
            </w:r>
          </w:p>
        </w:tc>
      </w:tr>
      <w:tr>
        <w:tblPrEx>
          <w:tblCellMar>
            <w:top w:w="0" w:type="dxa"/>
            <w:left w:w="108" w:type="dxa"/>
            <w:bottom w:w="0" w:type="dxa"/>
            <w:right w:w="108" w:type="dxa"/>
          </w:tblCellMar>
        </w:tblPrEx>
        <w:trPr>
          <w:trHeight w:val="443" w:hRule="atLeast"/>
        </w:trPr>
        <w:tc>
          <w:tcPr>
            <w:tcW w:w="1023" w:type="dxa"/>
            <w:tcBorders>
              <w:top w:val="nil"/>
              <w:left w:val="single" w:color="000000" w:sz="4" w:space="0"/>
              <w:bottom w:val="single" w:color="000000" w:sz="4" w:space="0"/>
              <w:right w:val="single" w:color="000000" w:sz="4" w:space="0"/>
            </w:tcBorders>
            <w:noWrap/>
            <w:vAlign w:val="center"/>
          </w:tcPr>
          <w:p>
            <w:pPr>
              <w:rPr>
                <w:rFonts w:ascii="宋体" w:eastAsia="宋体" w:cs="Times New Roman"/>
                <w:color w:val="000000"/>
                <w:sz w:val="22"/>
                <w:szCs w:val="22"/>
              </w:rPr>
            </w:pPr>
            <w:r>
              <w:rPr>
                <w:color w:val="000000"/>
                <w:sz w:val="22"/>
                <w:szCs w:val="22"/>
              </w:rPr>
              <w:t>201</w:t>
            </w:r>
          </w:p>
        </w:tc>
        <w:tc>
          <w:tcPr>
            <w:tcW w:w="2063" w:type="dxa"/>
            <w:tcBorders>
              <w:top w:val="nil"/>
              <w:left w:val="nil"/>
              <w:bottom w:val="single" w:color="000000" w:sz="4" w:space="0"/>
              <w:right w:val="single" w:color="000000" w:sz="4" w:space="0"/>
            </w:tcBorders>
            <w:noWrap/>
            <w:vAlign w:val="center"/>
          </w:tcPr>
          <w:p>
            <w:pPr>
              <w:rPr>
                <w:rFonts w:cs="Times New Roman"/>
                <w:color w:val="000000"/>
                <w:sz w:val="18"/>
                <w:szCs w:val="18"/>
              </w:rPr>
            </w:pPr>
            <w:r>
              <w:rPr>
                <w:rFonts w:hint="eastAsia" w:cs="方正仿宋简体"/>
                <w:color w:val="000000"/>
                <w:sz w:val="18"/>
                <w:szCs w:val="18"/>
              </w:rPr>
              <w:t>一般公共服务支出</w:t>
            </w:r>
          </w:p>
        </w:tc>
        <w:tc>
          <w:tcPr>
            <w:tcW w:w="1185"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124.33</w:t>
            </w:r>
          </w:p>
        </w:tc>
        <w:tc>
          <w:tcPr>
            <w:tcW w:w="853"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124.33</w:t>
            </w:r>
          </w:p>
        </w:tc>
        <w:tc>
          <w:tcPr>
            <w:tcW w:w="696"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5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0"/>
                <w:szCs w:val="20"/>
              </w:rPr>
            </w:pPr>
            <w:r>
              <w:rPr>
                <w:color w:val="000000"/>
                <w:sz w:val="20"/>
                <w:szCs w:val="20"/>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8" w:space="0"/>
            </w:tcBorders>
            <w:noWrap/>
            <w:vAlign w:val="center"/>
          </w:tcPr>
          <w:p>
            <w:pPr>
              <w:jc w:val="right"/>
              <w:rPr>
                <w:rFonts w:ascii="宋体" w:eastAsia="宋体" w:cs="Times New Roman"/>
                <w:color w:val="000000"/>
                <w:sz w:val="22"/>
                <w:szCs w:val="22"/>
              </w:rPr>
            </w:pPr>
            <w:r>
              <w:rPr>
                <w:color w:val="000000"/>
                <w:sz w:val="22"/>
                <w:szCs w:val="22"/>
              </w:rPr>
              <w:t>0.00</w:t>
            </w:r>
          </w:p>
        </w:tc>
      </w:tr>
      <w:tr>
        <w:tblPrEx>
          <w:tblCellMar>
            <w:top w:w="0" w:type="dxa"/>
            <w:left w:w="108" w:type="dxa"/>
            <w:bottom w:w="0" w:type="dxa"/>
            <w:right w:w="108" w:type="dxa"/>
          </w:tblCellMar>
        </w:tblPrEx>
        <w:trPr>
          <w:trHeight w:val="462" w:hRule="atLeast"/>
        </w:trPr>
        <w:tc>
          <w:tcPr>
            <w:tcW w:w="1023" w:type="dxa"/>
            <w:tcBorders>
              <w:top w:val="nil"/>
              <w:left w:val="single" w:color="000000" w:sz="4" w:space="0"/>
              <w:bottom w:val="single" w:color="000000" w:sz="4" w:space="0"/>
              <w:right w:val="single" w:color="000000" w:sz="4" w:space="0"/>
            </w:tcBorders>
            <w:noWrap/>
            <w:vAlign w:val="center"/>
          </w:tcPr>
          <w:p>
            <w:pPr>
              <w:rPr>
                <w:rFonts w:ascii="宋体" w:eastAsia="宋体" w:cs="Times New Roman"/>
                <w:color w:val="000000"/>
                <w:sz w:val="22"/>
                <w:szCs w:val="22"/>
              </w:rPr>
            </w:pPr>
            <w:r>
              <w:rPr>
                <w:color w:val="000000"/>
                <w:sz w:val="22"/>
                <w:szCs w:val="22"/>
              </w:rPr>
              <w:t>20136</w:t>
            </w:r>
          </w:p>
        </w:tc>
        <w:tc>
          <w:tcPr>
            <w:tcW w:w="2063" w:type="dxa"/>
            <w:tcBorders>
              <w:top w:val="nil"/>
              <w:left w:val="nil"/>
              <w:bottom w:val="single" w:color="000000" w:sz="4" w:space="0"/>
              <w:right w:val="single" w:color="000000" w:sz="4" w:space="0"/>
            </w:tcBorders>
            <w:noWrap/>
            <w:vAlign w:val="center"/>
          </w:tcPr>
          <w:p>
            <w:pPr>
              <w:rPr>
                <w:rFonts w:cs="Times New Roman"/>
                <w:color w:val="000000"/>
                <w:sz w:val="18"/>
                <w:szCs w:val="18"/>
              </w:rPr>
            </w:pPr>
            <w:r>
              <w:rPr>
                <w:rFonts w:hint="eastAsia" w:cs="方正仿宋简体"/>
                <w:color w:val="000000"/>
                <w:sz w:val="18"/>
                <w:szCs w:val="18"/>
              </w:rPr>
              <w:t>其他共产党事务支出</w:t>
            </w:r>
          </w:p>
        </w:tc>
        <w:tc>
          <w:tcPr>
            <w:tcW w:w="1185"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124.33</w:t>
            </w:r>
          </w:p>
        </w:tc>
        <w:tc>
          <w:tcPr>
            <w:tcW w:w="853"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124.33</w:t>
            </w:r>
          </w:p>
        </w:tc>
        <w:tc>
          <w:tcPr>
            <w:tcW w:w="696"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5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0"/>
                <w:szCs w:val="20"/>
              </w:rPr>
            </w:pPr>
            <w:r>
              <w:rPr>
                <w:color w:val="000000"/>
                <w:sz w:val="20"/>
                <w:szCs w:val="20"/>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8" w:space="0"/>
            </w:tcBorders>
            <w:noWrap/>
            <w:vAlign w:val="center"/>
          </w:tcPr>
          <w:p>
            <w:pPr>
              <w:jc w:val="right"/>
              <w:rPr>
                <w:rFonts w:ascii="宋体" w:eastAsia="宋体" w:cs="Times New Roman"/>
                <w:color w:val="000000"/>
                <w:sz w:val="22"/>
                <w:szCs w:val="22"/>
              </w:rPr>
            </w:pPr>
            <w:r>
              <w:rPr>
                <w:color w:val="000000"/>
                <w:sz w:val="22"/>
                <w:szCs w:val="22"/>
              </w:rPr>
              <w:t>0.00</w:t>
            </w:r>
          </w:p>
        </w:tc>
      </w:tr>
      <w:tr>
        <w:tblPrEx>
          <w:tblCellMar>
            <w:top w:w="0" w:type="dxa"/>
            <w:left w:w="108" w:type="dxa"/>
            <w:bottom w:w="0" w:type="dxa"/>
            <w:right w:w="108" w:type="dxa"/>
          </w:tblCellMar>
        </w:tblPrEx>
        <w:trPr>
          <w:trHeight w:val="382" w:hRule="atLeast"/>
        </w:trPr>
        <w:tc>
          <w:tcPr>
            <w:tcW w:w="1023" w:type="dxa"/>
            <w:tcBorders>
              <w:top w:val="nil"/>
              <w:left w:val="single" w:color="000000" w:sz="4" w:space="0"/>
              <w:bottom w:val="single" w:color="000000" w:sz="4" w:space="0"/>
              <w:right w:val="single" w:color="000000" w:sz="4" w:space="0"/>
            </w:tcBorders>
            <w:noWrap/>
            <w:vAlign w:val="center"/>
          </w:tcPr>
          <w:p>
            <w:pPr>
              <w:rPr>
                <w:rFonts w:ascii="宋体" w:eastAsia="宋体" w:cs="Times New Roman"/>
                <w:color w:val="000000"/>
                <w:sz w:val="22"/>
                <w:szCs w:val="22"/>
              </w:rPr>
            </w:pPr>
            <w:r>
              <w:rPr>
                <w:color w:val="000000"/>
                <w:sz w:val="22"/>
                <w:szCs w:val="22"/>
              </w:rPr>
              <w:t>2013601</w:t>
            </w:r>
          </w:p>
        </w:tc>
        <w:tc>
          <w:tcPr>
            <w:tcW w:w="2063" w:type="dxa"/>
            <w:tcBorders>
              <w:top w:val="nil"/>
              <w:left w:val="nil"/>
              <w:bottom w:val="single" w:color="000000" w:sz="4" w:space="0"/>
              <w:right w:val="single" w:color="000000" w:sz="4" w:space="0"/>
            </w:tcBorders>
            <w:noWrap/>
            <w:vAlign w:val="center"/>
          </w:tcPr>
          <w:p>
            <w:pPr>
              <w:rPr>
                <w:rFonts w:ascii="宋体" w:eastAsia="宋体" w:cs="Times New Roman"/>
                <w:color w:val="000000"/>
                <w:sz w:val="21"/>
                <w:szCs w:val="21"/>
              </w:rPr>
            </w:pPr>
            <w:r>
              <w:rPr>
                <w:color w:val="000000"/>
                <w:sz w:val="21"/>
                <w:szCs w:val="21"/>
              </w:rPr>
              <w:t xml:space="preserve">  </w:t>
            </w:r>
            <w:r>
              <w:rPr>
                <w:rFonts w:hint="eastAsia" w:cs="方正仿宋简体"/>
                <w:color w:val="000000"/>
                <w:sz w:val="21"/>
                <w:szCs w:val="21"/>
              </w:rPr>
              <w:t>行政运行</w:t>
            </w:r>
          </w:p>
        </w:tc>
        <w:tc>
          <w:tcPr>
            <w:tcW w:w="1185"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105.33</w:t>
            </w:r>
          </w:p>
        </w:tc>
        <w:tc>
          <w:tcPr>
            <w:tcW w:w="853"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105.33</w:t>
            </w:r>
          </w:p>
        </w:tc>
        <w:tc>
          <w:tcPr>
            <w:tcW w:w="696"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5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0"/>
                <w:szCs w:val="20"/>
              </w:rPr>
            </w:pPr>
            <w:r>
              <w:rPr>
                <w:color w:val="000000"/>
                <w:sz w:val="20"/>
                <w:szCs w:val="20"/>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8" w:space="0"/>
            </w:tcBorders>
            <w:noWrap/>
            <w:vAlign w:val="center"/>
          </w:tcPr>
          <w:p>
            <w:pPr>
              <w:jc w:val="right"/>
              <w:rPr>
                <w:rFonts w:ascii="宋体" w:eastAsia="宋体" w:cs="Times New Roman"/>
                <w:color w:val="000000"/>
                <w:sz w:val="22"/>
                <w:szCs w:val="22"/>
              </w:rPr>
            </w:pPr>
            <w:r>
              <w:rPr>
                <w:color w:val="000000"/>
                <w:sz w:val="22"/>
                <w:szCs w:val="22"/>
              </w:rPr>
              <w:t>0.00</w:t>
            </w:r>
          </w:p>
        </w:tc>
      </w:tr>
      <w:tr>
        <w:tblPrEx>
          <w:tblCellMar>
            <w:top w:w="0" w:type="dxa"/>
            <w:left w:w="108" w:type="dxa"/>
            <w:bottom w:w="0" w:type="dxa"/>
            <w:right w:w="108" w:type="dxa"/>
          </w:tblCellMar>
        </w:tblPrEx>
        <w:trPr>
          <w:trHeight w:val="618" w:hRule="atLeast"/>
        </w:trPr>
        <w:tc>
          <w:tcPr>
            <w:tcW w:w="1023" w:type="dxa"/>
            <w:tcBorders>
              <w:top w:val="nil"/>
              <w:left w:val="single" w:color="000000" w:sz="4" w:space="0"/>
              <w:bottom w:val="single" w:color="000000" w:sz="4" w:space="0"/>
              <w:right w:val="single" w:color="000000" w:sz="4" w:space="0"/>
            </w:tcBorders>
            <w:noWrap/>
            <w:vAlign w:val="center"/>
          </w:tcPr>
          <w:p>
            <w:pPr>
              <w:rPr>
                <w:rFonts w:ascii="宋体" w:eastAsia="宋体" w:cs="Times New Roman"/>
                <w:color w:val="000000"/>
                <w:sz w:val="22"/>
                <w:szCs w:val="22"/>
              </w:rPr>
            </w:pPr>
            <w:r>
              <w:rPr>
                <w:color w:val="000000"/>
                <w:sz w:val="22"/>
                <w:szCs w:val="22"/>
              </w:rPr>
              <w:t>2013602</w:t>
            </w:r>
          </w:p>
        </w:tc>
        <w:tc>
          <w:tcPr>
            <w:tcW w:w="2063" w:type="dxa"/>
            <w:tcBorders>
              <w:top w:val="nil"/>
              <w:left w:val="nil"/>
              <w:bottom w:val="single" w:color="000000" w:sz="4" w:space="0"/>
              <w:right w:val="single" w:color="000000" w:sz="4" w:space="0"/>
            </w:tcBorders>
            <w:noWrap/>
            <w:vAlign w:val="center"/>
          </w:tcPr>
          <w:p>
            <w:pPr>
              <w:rPr>
                <w:rFonts w:ascii="宋体" w:eastAsia="宋体" w:cs="Times New Roman"/>
                <w:color w:val="000000"/>
                <w:sz w:val="18"/>
                <w:szCs w:val="18"/>
              </w:rPr>
            </w:pPr>
            <w:r>
              <w:rPr>
                <w:rFonts w:hint="eastAsia" w:cs="方正仿宋简体"/>
                <w:color w:val="000000"/>
                <w:sz w:val="18"/>
                <w:szCs w:val="18"/>
              </w:rPr>
              <w:t>一般行政管理事务</w:t>
            </w:r>
          </w:p>
        </w:tc>
        <w:tc>
          <w:tcPr>
            <w:tcW w:w="1185"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10.00</w:t>
            </w:r>
          </w:p>
        </w:tc>
        <w:tc>
          <w:tcPr>
            <w:tcW w:w="853"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10.00</w:t>
            </w:r>
          </w:p>
        </w:tc>
        <w:tc>
          <w:tcPr>
            <w:tcW w:w="696"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5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0"/>
                <w:szCs w:val="20"/>
              </w:rPr>
            </w:pPr>
            <w:r>
              <w:rPr>
                <w:color w:val="000000"/>
                <w:sz w:val="20"/>
                <w:szCs w:val="20"/>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8" w:space="0"/>
            </w:tcBorders>
            <w:noWrap/>
            <w:vAlign w:val="center"/>
          </w:tcPr>
          <w:p>
            <w:pPr>
              <w:jc w:val="right"/>
              <w:rPr>
                <w:rFonts w:ascii="宋体" w:eastAsia="宋体" w:cs="Times New Roman"/>
                <w:color w:val="000000"/>
                <w:sz w:val="22"/>
                <w:szCs w:val="22"/>
              </w:rPr>
            </w:pPr>
            <w:r>
              <w:rPr>
                <w:color w:val="000000"/>
                <w:sz w:val="22"/>
                <w:szCs w:val="22"/>
              </w:rPr>
              <w:t>0.00</w:t>
            </w:r>
          </w:p>
        </w:tc>
      </w:tr>
      <w:tr>
        <w:tblPrEx>
          <w:tblCellMar>
            <w:top w:w="0" w:type="dxa"/>
            <w:left w:w="108" w:type="dxa"/>
            <w:bottom w:w="0" w:type="dxa"/>
            <w:right w:w="108" w:type="dxa"/>
          </w:tblCellMar>
        </w:tblPrEx>
        <w:trPr>
          <w:trHeight w:val="604" w:hRule="atLeast"/>
        </w:trPr>
        <w:tc>
          <w:tcPr>
            <w:tcW w:w="1023" w:type="dxa"/>
            <w:tcBorders>
              <w:top w:val="nil"/>
              <w:left w:val="single" w:color="000000" w:sz="4" w:space="0"/>
              <w:bottom w:val="single" w:color="000000" w:sz="4" w:space="0"/>
              <w:right w:val="single" w:color="000000" w:sz="4" w:space="0"/>
            </w:tcBorders>
            <w:noWrap/>
            <w:vAlign w:val="center"/>
          </w:tcPr>
          <w:p>
            <w:pPr>
              <w:rPr>
                <w:rFonts w:ascii="宋体" w:eastAsia="宋体" w:cs="Times New Roman"/>
                <w:color w:val="000000"/>
                <w:sz w:val="22"/>
                <w:szCs w:val="22"/>
              </w:rPr>
            </w:pPr>
            <w:r>
              <w:rPr>
                <w:color w:val="000000"/>
                <w:sz w:val="22"/>
                <w:szCs w:val="22"/>
              </w:rPr>
              <w:t>2013699</w:t>
            </w:r>
          </w:p>
        </w:tc>
        <w:tc>
          <w:tcPr>
            <w:tcW w:w="2063" w:type="dxa"/>
            <w:tcBorders>
              <w:top w:val="nil"/>
              <w:left w:val="nil"/>
              <w:bottom w:val="single" w:color="000000" w:sz="4" w:space="0"/>
              <w:right w:val="single" w:color="000000" w:sz="4" w:space="0"/>
            </w:tcBorders>
            <w:noWrap/>
            <w:vAlign w:val="center"/>
          </w:tcPr>
          <w:p>
            <w:pPr>
              <w:rPr>
                <w:rFonts w:cs="Times New Roman"/>
                <w:color w:val="000000"/>
                <w:sz w:val="18"/>
                <w:szCs w:val="18"/>
              </w:rPr>
            </w:pPr>
            <w:r>
              <w:rPr>
                <w:rFonts w:hint="eastAsia" w:cs="方正仿宋简体"/>
                <w:color w:val="000000"/>
                <w:sz w:val="18"/>
                <w:szCs w:val="18"/>
              </w:rPr>
              <w:t>其他共产党事务支出</w:t>
            </w:r>
          </w:p>
        </w:tc>
        <w:tc>
          <w:tcPr>
            <w:tcW w:w="1185"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9.00</w:t>
            </w:r>
          </w:p>
        </w:tc>
        <w:tc>
          <w:tcPr>
            <w:tcW w:w="853"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9.00</w:t>
            </w:r>
          </w:p>
        </w:tc>
        <w:tc>
          <w:tcPr>
            <w:tcW w:w="696"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5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0"/>
                <w:szCs w:val="20"/>
              </w:rPr>
            </w:pPr>
            <w:r>
              <w:rPr>
                <w:color w:val="000000"/>
                <w:sz w:val="20"/>
                <w:szCs w:val="20"/>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8" w:space="0"/>
            </w:tcBorders>
            <w:noWrap/>
            <w:vAlign w:val="center"/>
          </w:tcPr>
          <w:p>
            <w:pPr>
              <w:jc w:val="right"/>
              <w:rPr>
                <w:rFonts w:ascii="宋体" w:eastAsia="宋体" w:cs="Times New Roman"/>
                <w:color w:val="000000"/>
                <w:sz w:val="22"/>
                <w:szCs w:val="22"/>
              </w:rPr>
            </w:pPr>
            <w:r>
              <w:rPr>
                <w:color w:val="000000"/>
                <w:sz w:val="22"/>
                <w:szCs w:val="22"/>
              </w:rPr>
              <w:t>0.00</w:t>
            </w:r>
          </w:p>
        </w:tc>
      </w:tr>
      <w:tr>
        <w:tblPrEx>
          <w:tblCellMar>
            <w:top w:w="0" w:type="dxa"/>
            <w:left w:w="108" w:type="dxa"/>
            <w:bottom w:w="0" w:type="dxa"/>
            <w:right w:w="108" w:type="dxa"/>
          </w:tblCellMar>
        </w:tblPrEx>
        <w:trPr>
          <w:trHeight w:val="612" w:hRule="atLeast"/>
        </w:trPr>
        <w:tc>
          <w:tcPr>
            <w:tcW w:w="1023" w:type="dxa"/>
            <w:tcBorders>
              <w:top w:val="nil"/>
              <w:left w:val="single" w:color="000000" w:sz="4" w:space="0"/>
              <w:bottom w:val="single" w:color="000000" w:sz="4" w:space="0"/>
              <w:right w:val="single" w:color="000000" w:sz="4" w:space="0"/>
            </w:tcBorders>
            <w:noWrap/>
            <w:vAlign w:val="center"/>
          </w:tcPr>
          <w:p>
            <w:pPr>
              <w:rPr>
                <w:rFonts w:ascii="宋体" w:eastAsia="宋体" w:cs="Times New Roman"/>
                <w:color w:val="000000"/>
                <w:sz w:val="22"/>
                <w:szCs w:val="22"/>
              </w:rPr>
            </w:pPr>
            <w:r>
              <w:rPr>
                <w:color w:val="000000"/>
                <w:sz w:val="22"/>
                <w:szCs w:val="22"/>
              </w:rPr>
              <w:t>208</w:t>
            </w:r>
          </w:p>
        </w:tc>
        <w:tc>
          <w:tcPr>
            <w:tcW w:w="2063" w:type="dxa"/>
            <w:tcBorders>
              <w:top w:val="nil"/>
              <w:left w:val="nil"/>
              <w:bottom w:val="single" w:color="000000" w:sz="4" w:space="0"/>
              <w:right w:val="single" w:color="000000" w:sz="4" w:space="0"/>
            </w:tcBorders>
            <w:noWrap/>
            <w:vAlign w:val="center"/>
          </w:tcPr>
          <w:p>
            <w:pPr>
              <w:rPr>
                <w:rFonts w:cs="Times New Roman"/>
                <w:color w:val="000000"/>
                <w:sz w:val="18"/>
                <w:szCs w:val="18"/>
              </w:rPr>
            </w:pPr>
            <w:r>
              <w:rPr>
                <w:rFonts w:hint="eastAsia" w:cs="方正仿宋简体"/>
                <w:color w:val="000000"/>
                <w:sz w:val="18"/>
                <w:szCs w:val="18"/>
              </w:rPr>
              <w:t>社会保障和就业支出</w:t>
            </w:r>
          </w:p>
        </w:tc>
        <w:tc>
          <w:tcPr>
            <w:tcW w:w="1185"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11.78</w:t>
            </w:r>
          </w:p>
        </w:tc>
        <w:tc>
          <w:tcPr>
            <w:tcW w:w="853"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11.78</w:t>
            </w:r>
          </w:p>
        </w:tc>
        <w:tc>
          <w:tcPr>
            <w:tcW w:w="696"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5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0"/>
                <w:szCs w:val="20"/>
              </w:rPr>
            </w:pPr>
            <w:r>
              <w:rPr>
                <w:color w:val="000000"/>
                <w:sz w:val="20"/>
                <w:szCs w:val="20"/>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8" w:space="0"/>
            </w:tcBorders>
            <w:noWrap/>
            <w:vAlign w:val="center"/>
          </w:tcPr>
          <w:p>
            <w:pPr>
              <w:jc w:val="right"/>
              <w:rPr>
                <w:rFonts w:ascii="宋体" w:eastAsia="宋体" w:cs="Times New Roman"/>
                <w:color w:val="000000"/>
                <w:sz w:val="22"/>
                <w:szCs w:val="22"/>
              </w:rPr>
            </w:pPr>
            <w:r>
              <w:rPr>
                <w:color w:val="000000"/>
                <w:sz w:val="22"/>
                <w:szCs w:val="22"/>
              </w:rPr>
              <w:t>0.00</w:t>
            </w:r>
          </w:p>
        </w:tc>
      </w:tr>
      <w:tr>
        <w:tblPrEx>
          <w:tblCellMar>
            <w:top w:w="0" w:type="dxa"/>
            <w:left w:w="108" w:type="dxa"/>
            <w:bottom w:w="0" w:type="dxa"/>
            <w:right w:w="108" w:type="dxa"/>
          </w:tblCellMar>
        </w:tblPrEx>
        <w:trPr>
          <w:trHeight w:val="620" w:hRule="atLeast"/>
        </w:trPr>
        <w:tc>
          <w:tcPr>
            <w:tcW w:w="1023" w:type="dxa"/>
            <w:tcBorders>
              <w:top w:val="nil"/>
              <w:left w:val="single" w:color="000000" w:sz="4" w:space="0"/>
              <w:bottom w:val="single" w:color="000000" w:sz="4" w:space="0"/>
              <w:right w:val="single" w:color="000000" w:sz="4" w:space="0"/>
            </w:tcBorders>
            <w:noWrap/>
            <w:vAlign w:val="center"/>
          </w:tcPr>
          <w:p>
            <w:pPr>
              <w:rPr>
                <w:rFonts w:ascii="宋体" w:eastAsia="宋体" w:cs="Times New Roman"/>
                <w:color w:val="000000"/>
                <w:sz w:val="22"/>
                <w:szCs w:val="22"/>
              </w:rPr>
            </w:pPr>
            <w:r>
              <w:rPr>
                <w:color w:val="000000"/>
                <w:sz w:val="22"/>
                <w:szCs w:val="22"/>
              </w:rPr>
              <w:t>20805</w:t>
            </w:r>
          </w:p>
        </w:tc>
        <w:tc>
          <w:tcPr>
            <w:tcW w:w="2063" w:type="dxa"/>
            <w:tcBorders>
              <w:top w:val="nil"/>
              <w:left w:val="nil"/>
              <w:bottom w:val="single" w:color="000000" w:sz="4" w:space="0"/>
              <w:right w:val="single" w:color="000000" w:sz="4" w:space="0"/>
            </w:tcBorders>
            <w:noWrap/>
            <w:vAlign w:val="center"/>
          </w:tcPr>
          <w:p>
            <w:pPr>
              <w:rPr>
                <w:rFonts w:cs="Times New Roman"/>
                <w:color w:val="000000"/>
                <w:sz w:val="18"/>
                <w:szCs w:val="18"/>
              </w:rPr>
            </w:pPr>
            <w:r>
              <w:rPr>
                <w:rFonts w:hint="eastAsia" w:cs="方正仿宋简体"/>
                <w:color w:val="000000"/>
                <w:sz w:val="18"/>
                <w:szCs w:val="18"/>
              </w:rPr>
              <w:t>行政事业单位离退休</w:t>
            </w:r>
          </w:p>
        </w:tc>
        <w:tc>
          <w:tcPr>
            <w:tcW w:w="1185"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11.78</w:t>
            </w:r>
          </w:p>
        </w:tc>
        <w:tc>
          <w:tcPr>
            <w:tcW w:w="853"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11.78</w:t>
            </w:r>
          </w:p>
        </w:tc>
        <w:tc>
          <w:tcPr>
            <w:tcW w:w="696"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5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0"/>
                <w:szCs w:val="20"/>
              </w:rPr>
            </w:pPr>
            <w:r>
              <w:rPr>
                <w:color w:val="000000"/>
                <w:sz w:val="20"/>
                <w:szCs w:val="20"/>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8" w:space="0"/>
            </w:tcBorders>
            <w:noWrap/>
            <w:vAlign w:val="center"/>
          </w:tcPr>
          <w:p>
            <w:pPr>
              <w:jc w:val="right"/>
              <w:rPr>
                <w:rFonts w:ascii="宋体" w:eastAsia="宋体" w:cs="Times New Roman"/>
                <w:color w:val="000000"/>
                <w:sz w:val="22"/>
                <w:szCs w:val="22"/>
              </w:rPr>
            </w:pPr>
            <w:r>
              <w:rPr>
                <w:color w:val="000000"/>
                <w:sz w:val="22"/>
                <w:szCs w:val="22"/>
              </w:rPr>
              <w:t>0.00</w:t>
            </w:r>
          </w:p>
        </w:tc>
      </w:tr>
      <w:tr>
        <w:tblPrEx>
          <w:tblCellMar>
            <w:top w:w="0" w:type="dxa"/>
            <w:left w:w="108" w:type="dxa"/>
            <w:bottom w:w="0" w:type="dxa"/>
            <w:right w:w="108" w:type="dxa"/>
          </w:tblCellMar>
        </w:tblPrEx>
        <w:trPr>
          <w:trHeight w:val="736" w:hRule="atLeast"/>
        </w:trPr>
        <w:tc>
          <w:tcPr>
            <w:tcW w:w="1023" w:type="dxa"/>
            <w:tcBorders>
              <w:top w:val="nil"/>
              <w:left w:val="single" w:color="000000" w:sz="4" w:space="0"/>
              <w:bottom w:val="single" w:color="000000" w:sz="4" w:space="0"/>
              <w:right w:val="single" w:color="000000" w:sz="4" w:space="0"/>
            </w:tcBorders>
            <w:noWrap/>
            <w:vAlign w:val="center"/>
          </w:tcPr>
          <w:p>
            <w:pPr>
              <w:rPr>
                <w:rFonts w:ascii="宋体" w:eastAsia="宋体" w:cs="Times New Roman"/>
                <w:color w:val="000000"/>
                <w:sz w:val="22"/>
                <w:szCs w:val="22"/>
              </w:rPr>
            </w:pPr>
            <w:r>
              <w:rPr>
                <w:color w:val="000000"/>
                <w:sz w:val="22"/>
                <w:szCs w:val="22"/>
              </w:rPr>
              <w:t>2080505</w:t>
            </w:r>
          </w:p>
        </w:tc>
        <w:tc>
          <w:tcPr>
            <w:tcW w:w="2063" w:type="dxa"/>
            <w:tcBorders>
              <w:top w:val="nil"/>
              <w:left w:val="nil"/>
              <w:bottom w:val="single" w:color="000000" w:sz="4" w:space="0"/>
              <w:right w:val="single" w:color="000000" w:sz="4" w:space="0"/>
            </w:tcBorders>
            <w:noWrap/>
            <w:vAlign w:val="center"/>
          </w:tcPr>
          <w:p>
            <w:pPr>
              <w:rPr>
                <w:rFonts w:cs="Times New Roman"/>
                <w:color w:val="000000"/>
                <w:sz w:val="18"/>
                <w:szCs w:val="18"/>
              </w:rPr>
            </w:pPr>
            <w:r>
              <w:rPr>
                <w:rFonts w:hint="eastAsia" w:cs="方正仿宋简体"/>
                <w:color w:val="000000"/>
                <w:sz w:val="18"/>
                <w:szCs w:val="18"/>
              </w:rPr>
              <w:t>机关事业单位基本养老保险缴费支出</w:t>
            </w:r>
          </w:p>
        </w:tc>
        <w:tc>
          <w:tcPr>
            <w:tcW w:w="1185"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11.78</w:t>
            </w:r>
          </w:p>
        </w:tc>
        <w:tc>
          <w:tcPr>
            <w:tcW w:w="853"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11.78</w:t>
            </w:r>
          </w:p>
        </w:tc>
        <w:tc>
          <w:tcPr>
            <w:tcW w:w="696"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5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0"/>
                <w:szCs w:val="20"/>
              </w:rPr>
            </w:pPr>
            <w:r>
              <w:rPr>
                <w:color w:val="000000"/>
                <w:sz w:val="20"/>
                <w:szCs w:val="20"/>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8" w:space="0"/>
            </w:tcBorders>
            <w:noWrap/>
            <w:vAlign w:val="center"/>
          </w:tcPr>
          <w:p>
            <w:pPr>
              <w:jc w:val="right"/>
              <w:rPr>
                <w:rFonts w:ascii="宋体" w:eastAsia="宋体" w:cs="Times New Roman"/>
                <w:color w:val="000000"/>
                <w:sz w:val="22"/>
                <w:szCs w:val="22"/>
              </w:rPr>
            </w:pPr>
            <w:r>
              <w:rPr>
                <w:color w:val="000000"/>
                <w:sz w:val="22"/>
                <w:szCs w:val="22"/>
              </w:rPr>
              <w:t>0.00</w:t>
            </w:r>
          </w:p>
        </w:tc>
      </w:tr>
      <w:tr>
        <w:tblPrEx>
          <w:tblCellMar>
            <w:top w:w="0" w:type="dxa"/>
            <w:left w:w="108" w:type="dxa"/>
            <w:bottom w:w="0" w:type="dxa"/>
            <w:right w:w="108" w:type="dxa"/>
          </w:tblCellMar>
        </w:tblPrEx>
        <w:trPr>
          <w:trHeight w:val="382" w:hRule="atLeast"/>
        </w:trPr>
        <w:tc>
          <w:tcPr>
            <w:tcW w:w="1023" w:type="dxa"/>
            <w:tcBorders>
              <w:top w:val="nil"/>
              <w:left w:val="single" w:color="000000" w:sz="4" w:space="0"/>
              <w:bottom w:val="single" w:color="000000" w:sz="4" w:space="0"/>
              <w:right w:val="single" w:color="000000" w:sz="4" w:space="0"/>
            </w:tcBorders>
            <w:noWrap/>
            <w:vAlign w:val="center"/>
          </w:tcPr>
          <w:p>
            <w:pPr>
              <w:rPr>
                <w:rFonts w:ascii="宋体" w:eastAsia="宋体" w:cs="Times New Roman"/>
                <w:color w:val="000000"/>
                <w:sz w:val="22"/>
                <w:szCs w:val="22"/>
              </w:rPr>
            </w:pPr>
            <w:r>
              <w:rPr>
                <w:color w:val="000000"/>
                <w:sz w:val="22"/>
                <w:szCs w:val="22"/>
              </w:rPr>
              <w:t>210</w:t>
            </w:r>
          </w:p>
        </w:tc>
        <w:tc>
          <w:tcPr>
            <w:tcW w:w="2063" w:type="dxa"/>
            <w:tcBorders>
              <w:top w:val="nil"/>
              <w:left w:val="nil"/>
              <w:bottom w:val="single" w:color="000000" w:sz="4" w:space="0"/>
              <w:right w:val="single" w:color="000000" w:sz="4" w:space="0"/>
            </w:tcBorders>
            <w:noWrap/>
            <w:vAlign w:val="center"/>
          </w:tcPr>
          <w:p>
            <w:pPr>
              <w:rPr>
                <w:rFonts w:cs="Times New Roman"/>
                <w:color w:val="000000"/>
                <w:sz w:val="18"/>
                <w:szCs w:val="18"/>
              </w:rPr>
            </w:pPr>
            <w:r>
              <w:rPr>
                <w:rFonts w:hint="eastAsia" w:cs="方正仿宋简体"/>
                <w:color w:val="000000"/>
                <w:sz w:val="18"/>
                <w:szCs w:val="18"/>
              </w:rPr>
              <w:t>卫生健康支出</w:t>
            </w:r>
          </w:p>
        </w:tc>
        <w:tc>
          <w:tcPr>
            <w:tcW w:w="1185"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2.81</w:t>
            </w:r>
          </w:p>
        </w:tc>
        <w:tc>
          <w:tcPr>
            <w:tcW w:w="853"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2.81</w:t>
            </w:r>
          </w:p>
        </w:tc>
        <w:tc>
          <w:tcPr>
            <w:tcW w:w="696"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5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0"/>
                <w:szCs w:val="20"/>
              </w:rPr>
            </w:pPr>
            <w:r>
              <w:rPr>
                <w:color w:val="000000"/>
                <w:sz w:val="20"/>
                <w:szCs w:val="20"/>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8" w:space="0"/>
            </w:tcBorders>
            <w:noWrap/>
            <w:vAlign w:val="center"/>
          </w:tcPr>
          <w:p>
            <w:pPr>
              <w:jc w:val="right"/>
              <w:rPr>
                <w:rFonts w:ascii="宋体" w:eastAsia="宋体" w:cs="Times New Roman"/>
                <w:color w:val="000000"/>
                <w:sz w:val="22"/>
                <w:szCs w:val="22"/>
              </w:rPr>
            </w:pPr>
            <w:r>
              <w:rPr>
                <w:color w:val="000000"/>
                <w:sz w:val="22"/>
                <w:szCs w:val="22"/>
              </w:rPr>
              <w:t>0.00</w:t>
            </w:r>
          </w:p>
        </w:tc>
      </w:tr>
      <w:tr>
        <w:tblPrEx>
          <w:tblCellMar>
            <w:top w:w="0" w:type="dxa"/>
            <w:left w:w="108" w:type="dxa"/>
            <w:bottom w:w="0" w:type="dxa"/>
            <w:right w:w="108" w:type="dxa"/>
          </w:tblCellMar>
        </w:tblPrEx>
        <w:trPr>
          <w:trHeight w:val="382" w:hRule="atLeast"/>
        </w:trPr>
        <w:tc>
          <w:tcPr>
            <w:tcW w:w="1023" w:type="dxa"/>
            <w:tcBorders>
              <w:top w:val="nil"/>
              <w:left w:val="single" w:color="000000" w:sz="4" w:space="0"/>
              <w:bottom w:val="single" w:color="000000" w:sz="4" w:space="0"/>
              <w:right w:val="single" w:color="000000" w:sz="4" w:space="0"/>
            </w:tcBorders>
            <w:noWrap/>
            <w:vAlign w:val="center"/>
          </w:tcPr>
          <w:p>
            <w:pPr>
              <w:rPr>
                <w:rFonts w:ascii="宋体" w:eastAsia="宋体" w:cs="Times New Roman"/>
                <w:color w:val="000000"/>
                <w:sz w:val="22"/>
                <w:szCs w:val="22"/>
              </w:rPr>
            </w:pPr>
            <w:r>
              <w:rPr>
                <w:color w:val="000000"/>
                <w:sz w:val="22"/>
                <w:szCs w:val="22"/>
              </w:rPr>
              <w:t>21011</w:t>
            </w:r>
          </w:p>
        </w:tc>
        <w:tc>
          <w:tcPr>
            <w:tcW w:w="2063" w:type="dxa"/>
            <w:tcBorders>
              <w:top w:val="nil"/>
              <w:left w:val="nil"/>
              <w:bottom w:val="single" w:color="000000" w:sz="4" w:space="0"/>
              <w:right w:val="single" w:color="000000" w:sz="4" w:space="0"/>
            </w:tcBorders>
            <w:noWrap/>
            <w:vAlign w:val="center"/>
          </w:tcPr>
          <w:p>
            <w:pPr>
              <w:rPr>
                <w:rFonts w:cs="Times New Roman"/>
                <w:color w:val="000000"/>
                <w:sz w:val="18"/>
                <w:szCs w:val="18"/>
              </w:rPr>
            </w:pPr>
            <w:r>
              <w:rPr>
                <w:rFonts w:hint="eastAsia" w:cs="方正仿宋简体"/>
                <w:color w:val="000000"/>
                <w:sz w:val="18"/>
                <w:szCs w:val="18"/>
              </w:rPr>
              <w:t>行政事业单位医疗</w:t>
            </w:r>
          </w:p>
        </w:tc>
        <w:tc>
          <w:tcPr>
            <w:tcW w:w="1185"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2.56</w:t>
            </w:r>
          </w:p>
        </w:tc>
        <w:tc>
          <w:tcPr>
            <w:tcW w:w="853"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2.56</w:t>
            </w:r>
          </w:p>
        </w:tc>
        <w:tc>
          <w:tcPr>
            <w:tcW w:w="696"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5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0"/>
                <w:szCs w:val="20"/>
              </w:rPr>
            </w:pPr>
            <w:r>
              <w:rPr>
                <w:color w:val="000000"/>
                <w:sz w:val="20"/>
                <w:szCs w:val="20"/>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8" w:space="0"/>
            </w:tcBorders>
            <w:noWrap/>
            <w:vAlign w:val="center"/>
          </w:tcPr>
          <w:p>
            <w:pPr>
              <w:jc w:val="right"/>
              <w:rPr>
                <w:rFonts w:ascii="宋体" w:eastAsia="宋体" w:cs="Times New Roman"/>
                <w:color w:val="000000"/>
                <w:sz w:val="22"/>
                <w:szCs w:val="22"/>
              </w:rPr>
            </w:pPr>
            <w:r>
              <w:rPr>
                <w:color w:val="000000"/>
                <w:sz w:val="22"/>
                <w:szCs w:val="22"/>
              </w:rPr>
              <w:t>0.00</w:t>
            </w:r>
          </w:p>
        </w:tc>
      </w:tr>
      <w:tr>
        <w:tblPrEx>
          <w:tblCellMar>
            <w:top w:w="0" w:type="dxa"/>
            <w:left w:w="108" w:type="dxa"/>
            <w:bottom w:w="0" w:type="dxa"/>
            <w:right w:w="108" w:type="dxa"/>
          </w:tblCellMar>
        </w:tblPrEx>
        <w:trPr>
          <w:trHeight w:val="382" w:hRule="atLeast"/>
        </w:trPr>
        <w:tc>
          <w:tcPr>
            <w:tcW w:w="1023" w:type="dxa"/>
            <w:tcBorders>
              <w:top w:val="nil"/>
              <w:left w:val="single" w:color="000000" w:sz="4" w:space="0"/>
              <w:bottom w:val="single" w:color="000000" w:sz="4" w:space="0"/>
              <w:right w:val="single" w:color="000000" w:sz="4" w:space="0"/>
            </w:tcBorders>
            <w:noWrap/>
            <w:vAlign w:val="center"/>
          </w:tcPr>
          <w:p>
            <w:pPr>
              <w:rPr>
                <w:rFonts w:ascii="宋体" w:eastAsia="宋体" w:cs="Times New Roman"/>
                <w:color w:val="000000"/>
                <w:sz w:val="22"/>
                <w:szCs w:val="22"/>
              </w:rPr>
            </w:pPr>
            <w:r>
              <w:rPr>
                <w:color w:val="000000"/>
                <w:sz w:val="22"/>
                <w:szCs w:val="22"/>
              </w:rPr>
              <w:t>2101101</w:t>
            </w:r>
          </w:p>
        </w:tc>
        <w:tc>
          <w:tcPr>
            <w:tcW w:w="2063" w:type="dxa"/>
            <w:tcBorders>
              <w:top w:val="nil"/>
              <w:left w:val="nil"/>
              <w:bottom w:val="single" w:color="000000" w:sz="4" w:space="0"/>
              <w:right w:val="single" w:color="000000" w:sz="4" w:space="0"/>
            </w:tcBorders>
            <w:noWrap/>
            <w:vAlign w:val="center"/>
          </w:tcPr>
          <w:p>
            <w:pPr>
              <w:rPr>
                <w:rFonts w:cs="Times New Roman"/>
                <w:color w:val="000000"/>
                <w:sz w:val="18"/>
                <w:szCs w:val="18"/>
              </w:rPr>
            </w:pPr>
            <w:r>
              <w:rPr>
                <w:color w:val="000000"/>
                <w:sz w:val="18"/>
                <w:szCs w:val="18"/>
              </w:rPr>
              <w:t xml:space="preserve">  </w:t>
            </w:r>
            <w:r>
              <w:rPr>
                <w:rFonts w:hint="eastAsia" w:cs="方正仿宋简体"/>
                <w:color w:val="000000"/>
                <w:sz w:val="18"/>
                <w:szCs w:val="18"/>
              </w:rPr>
              <w:t>行政单位医疗</w:t>
            </w:r>
          </w:p>
        </w:tc>
        <w:tc>
          <w:tcPr>
            <w:tcW w:w="1185"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2.44</w:t>
            </w:r>
          </w:p>
        </w:tc>
        <w:tc>
          <w:tcPr>
            <w:tcW w:w="853"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2.44</w:t>
            </w:r>
          </w:p>
        </w:tc>
        <w:tc>
          <w:tcPr>
            <w:tcW w:w="696"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5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0"/>
                <w:szCs w:val="20"/>
              </w:rPr>
            </w:pPr>
            <w:r>
              <w:rPr>
                <w:color w:val="000000"/>
                <w:sz w:val="20"/>
                <w:szCs w:val="20"/>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8" w:space="0"/>
            </w:tcBorders>
            <w:noWrap/>
            <w:vAlign w:val="center"/>
          </w:tcPr>
          <w:p>
            <w:pPr>
              <w:jc w:val="right"/>
              <w:rPr>
                <w:rFonts w:ascii="宋体" w:eastAsia="宋体" w:cs="Times New Roman"/>
                <w:color w:val="000000"/>
                <w:sz w:val="22"/>
                <w:szCs w:val="22"/>
              </w:rPr>
            </w:pPr>
            <w:r>
              <w:rPr>
                <w:color w:val="000000"/>
                <w:sz w:val="22"/>
                <w:szCs w:val="22"/>
              </w:rPr>
              <w:t>0.00</w:t>
            </w:r>
          </w:p>
        </w:tc>
      </w:tr>
      <w:tr>
        <w:tblPrEx>
          <w:tblCellMar>
            <w:top w:w="0" w:type="dxa"/>
            <w:left w:w="108" w:type="dxa"/>
            <w:bottom w:w="0" w:type="dxa"/>
            <w:right w:w="108" w:type="dxa"/>
          </w:tblCellMar>
        </w:tblPrEx>
        <w:trPr>
          <w:trHeight w:val="382" w:hRule="atLeast"/>
        </w:trPr>
        <w:tc>
          <w:tcPr>
            <w:tcW w:w="1023" w:type="dxa"/>
            <w:tcBorders>
              <w:top w:val="nil"/>
              <w:left w:val="single" w:color="000000" w:sz="4" w:space="0"/>
              <w:bottom w:val="single" w:color="000000" w:sz="4" w:space="0"/>
              <w:right w:val="single" w:color="000000" w:sz="4" w:space="0"/>
            </w:tcBorders>
            <w:noWrap/>
            <w:vAlign w:val="center"/>
          </w:tcPr>
          <w:p>
            <w:pPr>
              <w:rPr>
                <w:rFonts w:ascii="宋体" w:eastAsia="宋体" w:cs="Times New Roman"/>
                <w:color w:val="000000"/>
                <w:sz w:val="22"/>
                <w:szCs w:val="22"/>
              </w:rPr>
            </w:pPr>
            <w:r>
              <w:rPr>
                <w:color w:val="000000"/>
                <w:sz w:val="22"/>
                <w:szCs w:val="22"/>
              </w:rPr>
              <w:t>2101103</w:t>
            </w:r>
          </w:p>
        </w:tc>
        <w:tc>
          <w:tcPr>
            <w:tcW w:w="2063" w:type="dxa"/>
            <w:tcBorders>
              <w:top w:val="nil"/>
              <w:left w:val="nil"/>
              <w:bottom w:val="single" w:color="000000" w:sz="4" w:space="0"/>
              <w:right w:val="single" w:color="000000" w:sz="4" w:space="0"/>
            </w:tcBorders>
            <w:noWrap/>
            <w:vAlign w:val="center"/>
          </w:tcPr>
          <w:p>
            <w:pPr>
              <w:rPr>
                <w:rFonts w:cs="Times New Roman"/>
                <w:color w:val="000000"/>
                <w:sz w:val="18"/>
                <w:szCs w:val="18"/>
              </w:rPr>
            </w:pPr>
            <w:r>
              <w:rPr>
                <w:color w:val="000000"/>
                <w:sz w:val="18"/>
                <w:szCs w:val="18"/>
              </w:rPr>
              <w:t xml:space="preserve">  </w:t>
            </w:r>
            <w:r>
              <w:rPr>
                <w:rFonts w:hint="eastAsia" w:cs="方正仿宋简体"/>
                <w:color w:val="000000"/>
                <w:sz w:val="18"/>
                <w:szCs w:val="18"/>
              </w:rPr>
              <w:t>公务员医疗补助</w:t>
            </w:r>
          </w:p>
        </w:tc>
        <w:tc>
          <w:tcPr>
            <w:tcW w:w="1185"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0.12</w:t>
            </w:r>
          </w:p>
        </w:tc>
        <w:tc>
          <w:tcPr>
            <w:tcW w:w="853"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0.12</w:t>
            </w:r>
          </w:p>
        </w:tc>
        <w:tc>
          <w:tcPr>
            <w:tcW w:w="696"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5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0"/>
                <w:szCs w:val="20"/>
              </w:rPr>
            </w:pPr>
            <w:r>
              <w:rPr>
                <w:color w:val="000000"/>
                <w:sz w:val="20"/>
                <w:szCs w:val="20"/>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8" w:space="0"/>
            </w:tcBorders>
            <w:noWrap/>
            <w:vAlign w:val="center"/>
          </w:tcPr>
          <w:p>
            <w:pPr>
              <w:jc w:val="right"/>
              <w:rPr>
                <w:rFonts w:ascii="宋体" w:eastAsia="宋体" w:cs="Times New Roman"/>
                <w:color w:val="000000"/>
                <w:sz w:val="22"/>
                <w:szCs w:val="22"/>
              </w:rPr>
            </w:pPr>
            <w:r>
              <w:rPr>
                <w:color w:val="000000"/>
                <w:sz w:val="22"/>
                <w:szCs w:val="22"/>
              </w:rPr>
              <w:t>0.00</w:t>
            </w:r>
          </w:p>
        </w:tc>
      </w:tr>
      <w:tr>
        <w:tblPrEx>
          <w:tblCellMar>
            <w:top w:w="0" w:type="dxa"/>
            <w:left w:w="108" w:type="dxa"/>
            <w:bottom w:w="0" w:type="dxa"/>
            <w:right w:w="108" w:type="dxa"/>
          </w:tblCellMar>
        </w:tblPrEx>
        <w:trPr>
          <w:trHeight w:val="382" w:hRule="atLeast"/>
        </w:trPr>
        <w:tc>
          <w:tcPr>
            <w:tcW w:w="1023" w:type="dxa"/>
            <w:tcBorders>
              <w:top w:val="nil"/>
              <w:left w:val="single" w:color="000000" w:sz="4" w:space="0"/>
              <w:bottom w:val="single" w:color="000000" w:sz="4" w:space="0"/>
              <w:right w:val="single" w:color="000000" w:sz="4" w:space="0"/>
            </w:tcBorders>
            <w:noWrap/>
            <w:vAlign w:val="center"/>
          </w:tcPr>
          <w:p>
            <w:pPr>
              <w:rPr>
                <w:rFonts w:ascii="宋体" w:eastAsia="宋体" w:cs="Times New Roman"/>
                <w:color w:val="000000"/>
                <w:sz w:val="22"/>
                <w:szCs w:val="22"/>
              </w:rPr>
            </w:pPr>
            <w:r>
              <w:rPr>
                <w:color w:val="000000"/>
                <w:sz w:val="22"/>
                <w:szCs w:val="22"/>
              </w:rPr>
              <w:t>21099</w:t>
            </w:r>
          </w:p>
        </w:tc>
        <w:tc>
          <w:tcPr>
            <w:tcW w:w="2063" w:type="dxa"/>
            <w:tcBorders>
              <w:top w:val="nil"/>
              <w:left w:val="nil"/>
              <w:bottom w:val="single" w:color="000000" w:sz="4" w:space="0"/>
              <w:right w:val="single" w:color="000000" w:sz="4" w:space="0"/>
            </w:tcBorders>
            <w:noWrap/>
            <w:vAlign w:val="center"/>
          </w:tcPr>
          <w:p>
            <w:pPr>
              <w:rPr>
                <w:rFonts w:cs="Times New Roman"/>
                <w:color w:val="000000"/>
                <w:sz w:val="18"/>
                <w:szCs w:val="18"/>
              </w:rPr>
            </w:pPr>
            <w:r>
              <w:rPr>
                <w:rFonts w:hint="eastAsia" w:cs="方正仿宋简体"/>
                <w:color w:val="000000"/>
                <w:sz w:val="18"/>
                <w:szCs w:val="18"/>
              </w:rPr>
              <w:t>其他卫生健康支出</w:t>
            </w:r>
          </w:p>
        </w:tc>
        <w:tc>
          <w:tcPr>
            <w:tcW w:w="1185"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0.25</w:t>
            </w:r>
          </w:p>
        </w:tc>
        <w:tc>
          <w:tcPr>
            <w:tcW w:w="853"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0.25</w:t>
            </w:r>
          </w:p>
        </w:tc>
        <w:tc>
          <w:tcPr>
            <w:tcW w:w="696"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5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0"/>
                <w:szCs w:val="20"/>
              </w:rPr>
            </w:pPr>
            <w:r>
              <w:rPr>
                <w:color w:val="000000"/>
                <w:sz w:val="20"/>
                <w:szCs w:val="20"/>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4" w:space="0"/>
              <w:right w:val="single" w:color="000000" w:sz="8" w:space="0"/>
            </w:tcBorders>
            <w:noWrap/>
            <w:vAlign w:val="center"/>
          </w:tcPr>
          <w:p>
            <w:pPr>
              <w:jc w:val="right"/>
              <w:rPr>
                <w:rFonts w:ascii="宋体" w:eastAsia="宋体" w:cs="Times New Roman"/>
                <w:color w:val="000000"/>
                <w:sz w:val="22"/>
                <w:szCs w:val="22"/>
              </w:rPr>
            </w:pPr>
            <w:r>
              <w:rPr>
                <w:color w:val="000000"/>
                <w:sz w:val="22"/>
                <w:szCs w:val="22"/>
              </w:rPr>
              <w:t>0.00</w:t>
            </w:r>
          </w:p>
        </w:tc>
      </w:tr>
      <w:tr>
        <w:tblPrEx>
          <w:tblCellMar>
            <w:top w:w="0" w:type="dxa"/>
            <w:left w:w="108" w:type="dxa"/>
            <w:bottom w:w="0" w:type="dxa"/>
            <w:right w:w="108" w:type="dxa"/>
          </w:tblCellMar>
        </w:tblPrEx>
        <w:trPr>
          <w:trHeight w:val="382" w:hRule="atLeast"/>
        </w:trPr>
        <w:tc>
          <w:tcPr>
            <w:tcW w:w="1023" w:type="dxa"/>
            <w:tcBorders>
              <w:top w:val="nil"/>
              <w:left w:val="single" w:color="000000" w:sz="4" w:space="0"/>
              <w:bottom w:val="single" w:color="000000" w:sz="8" w:space="0"/>
              <w:right w:val="single" w:color="000000" w:sz="4" w:space="0"/>
            </w:tcBorders>
            <w:noWrap/>
            <w:vAlign w:val="center"/>
          </w:tcPr>
          <w:p>
            <w:pPr>
              <w:rPr>
                <w:rFonts w:ascii="宋体" w:eastAsia="宋体" w:cs="Times New Roman"/>
                <w:color w:val="000000"/>
                <w:sz w:val="22"/>
                <w:szCs w:val="22"/>
              </w:rPr>
            </w:pPr>
            <w:r>
              <w:rPr>
                <w:color w:val="000000"/>
                <w:sz w:val="22"/>
                <w:szCs w:val="22"/>
              </w:rPr>
              <w:t>2109901</w:t>
            </w:r>
          </w:p>
        </w:tc>
        <w:tc>
          <w:tcPr>
            <w:tcW w:w="2063" w:type="dxa"/>
            <w:tcBorders>
              <w:top w:val="nil"/>
              <w:left w:val="nil"/>
              <w:bottom w:val="single" w:color="000000" w:sz="8" w:space="0"/>
              <w:right w:val="single" w:color="000000" w:sz="4" w:space="0"/>
            </w:tcBorders>
            <w:noWrap/>
            <w:vAlign w:val="center"/>
          </w:tcPr>
          <w:p>
            <w:pPr>
              <w:rPr>
                <w:rFonts w:cs="Times New Roman"/>
                <w:color w:val="000000"/>
                <w:sz w:val="18"/>
                <w:szCs w:val="18"/>
              </w:rPr>
            </w:pPr>
            <w:r>
              <w:rPr>
                <w:color w:val="000000"/>
                <w:sz w:val="18"/>
                <w:szCs w:val="18"/>
              </w:rPr>
              <w:t xml:space="preserve"> </w:t>
            </w:r>
            <w:r>
              <w:rPr>
                <w:rFonts w:hint="eastAsia" w:cs="方正仿宋简体"/>
                <w:color w:val="000000"/>
                <w:sz w:val="18"/>
                <w:szCs w:val="18"/>
              </w:rPr>
              <w:t>其他卫生健康支出</w:t>
            </w:r>
          </w:p>
        </w:tc>
        <w:tc>
          <w:tcPr>
            <w:tcW w:w="1185" w:type="dxa"/>
            <w:tcBorders>
              <w:top w:val="nil"/>
              <w:left w:val="nil"/>
              <w:bottom w:val="single" w:color="000000" w:sz="8"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0.25</w:t>
            </w:r>
          </w:p>
        </w:tc>
        <w:tc>
          <w:tcPr>
            <w:tcW w:w="853" w:type="dxa"/>
            <w:tcBorders>
              <w:top w:val="nil"/>
              <w:left w:val="nil"/>
              <w:bottom w:val="single" w:color="000000" w:sz="8"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0.25</w:t>
            </w:r>
          </w:p>
        </w:tc>
        <w:tc>
          <w:tcPr>
            <w:tcW w:w="696" w:type="dxa"/>
            <w:tcBorders>
              <w:top w:val="nil"/>
              <w:left w:val="nil"/>
              <w:bottom w:val="single" w:color="000000" w:sz="8"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57" w:type="dxa"/>
            <w:tcBorders>
              <w:top w:val="nil"/>
              <w:left w:val="nil"/>
              <w:bottom w:val="single" w:color="000000" w:sz="8"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8" w:space="0"/>
              <w:right w:val="single" w:color="000000" w:sz="4" w:space="0"/>
            </w:tcBorders>
            <w:noWrap/>
            <w:vAlign w:val="center"/>
          </w:tcPr>
          <w:p>
            <w:pPr>
              <w:jc w:val="right"/>
              <w:rPr>
                <w:rFonts w:ascii="宋体" w:eastAsia="宋体" w:cs="Times New Roman"/>
                <w:color w:val="000000"/>
                <w:sz w:val="20"/>
                <w:szCs w:val="20"/>
              </w:rPr>
            </w:pPr>
            <w:r>
              <w:rPr>
                <w:color w:val="000000"/>
                <w:sz w:val="20"/>
                <w:szCs w:val="20"/>
              </w:rPr>
              <w:t>0.00</w:t>
            </w:r>
          </w:p>
        </w:tc>
        <w:tc>
          <w:tcPr>
            <w:tcW w:w="697" w:type="dxa"/>
            <w:tcBorders>
              <w:top w:val="nil"/>
              <w:left w:val="nil"/>
              <w:bottom w:val="single" w:color="000000" w:sz="8"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8" w:space="0"/>
              <w:right w:val="single" w:color="000000" w:sz="4" w:space="0"/>
            </w:tcBorders>
            <w:noWrap/>
            <w:vAlign w:val="center"/>
          </w:tcPr>
          <w:p>
            <w:pPr>
              <w:jc w:val="right"/>
              <w:rPr>
                <w:rFonts w:ascii="宋体" w:eastAsia="宋体" w:cs="Times New Roman"/>
                <w:color w:val="000000"/>
                <w:sz w:val="22"/>
                <w:szCs w:val="22"/>
              </w:rPr>
            </w:pPr>
            <w:r>
              <w:rPr>
                <w:color w:val="000000"/>
                <w:sz w:val="22"/>
                <w:szCs w:val="22"/>
              </w:rPr>
              <w:t>0.00</w:t>
            </w:r>
          </w:p>
        </w:tc>
        <w:tc>
          <w:tcPr>
            <w:tcW w:w="697" w:type="dxa"/>
            <w:tcBorders>
              <w:top w:val="nil"/>
              <w:left w:val="nil"/>
              <w:bottom w:val="single" w:color="000000" w:sz="8" w:space="0"/>
              <w:right w:val="single" w:color="000000" w:sz="8" w:space="0"/>
            </w:tcBorders>
            <w:noWrap/>
            <w:vAlign w:val="center"/>
          </w:tcPr>
          <w:p>
            <w:pPr>
              <w:jc w:val="right"/>
              <w:rPr>
                <w:rFonts w:ascii="宋体" w:eastAsia="宋体" w:cs="Times New Roman"/>
                <w:color w:val="000000"/>
                <w:sz w:val="22"/>
                <w:szCs w:val="22"/>
              </w:rPr>
            </w:pPr>
            <w:r>
              <w:rPr>
                <w:color w:val="000000"/>
                <w:sz w:val="22"/>
                <w:szCs w:val="22"/>
              </w:rPr>
              <w:t>0.00</w:t>
            </w:r>
          </w:p>
        </w:tc>
      </w:tr>
    </w:tbl>
    <w:p>
      <w:pPr>
        <w:widowControl/>
        <w:ind w:left="31680" w:hanging="420" w:hangingChars="200"/>
        <w:jc w:val="left"/>
        <w:rPr>
          <w:rFonts w:eastAsia="宋体" w:cs="Times New Roman"/>
          <w:sz w:val="21"/>
          <w:szCs w:val="21"/>
        </w:rPr>
      </w:pPr>
      <w:r>
        <w:rPr>
          <w:rFonts w:hint="eastAsia" w:ascii="宋体" w:hAnsi="宋体" w:eastAsia="宋体" w:cs="宋体"/>
          <w:sz w:val="21"/>
          <w:szCs w:val="21"/>
        </w:rPr>
        <w:t>注：本表反映部门本年度取得的各项收入情况。</w:t>
      </w:r>
      <w:r>
        <w:rPr>
          <w:rFonts w:hint="eastAsia" w:ascii="宋体" w:hAnsi="宋体" w:eastAsia="宋体" w:cs="宋体"/>
          <w:color w:val="000000"/>
          <w:kern w:val="0"/>
          <w:sz w:val="21"/>
          <w:szCs w:val="21"/>
        </w:rPr>
        <w:t>本表金额转换为万元时，因四舍五入可能存在尾差。</w:t>
      </w:r>
    </w:p>
    <w:p>
      <w:pPr>
        <w:rPr>
          <w:rFonts w:cs="Times New Roman"/>
        </w:rPr>
      </w:pPr>
    </w:p>
    <w:p>
      <w:pPr>
        <w:jc w:val="center"/>
        <w:rPr>
          <w:rFonts w:ascii="宋体" w:hAnsi="宋体" w:eastAsia="宋体" w:cs="Times New Roman"/>
          <w:b/>
          <w:bCs/>
        </w:rPr>
      </w:pPr>
    </w:p>
    <w:p>
      <w:pPr>
        <w:jc w:val="center"/>
        <w:rPr>
          <w:rFonts w:ascii="宋体" w:hAnsi="宋体" w:eastAsia="宋体" w:cs="Times New Roman"/>
          <w:b/>
          <w:bCs/>
        </w:rPr>
      </w:pPr>
    </w:p>
    <w:p>
      <w:pPr>
        <w:jc w:val="center"/>
        <w:rPr>
          <w:rFonts w:ascii="宋体" w:hAnsi="宋体" w:eastAsia="宋体" w:cs="Times New Roman"/>
          <w:b/>
          <w:bCs/>
        </w:rPr>
      </w:pPr>
    </w:p>
    <w:p>
      <w:pPr>
        <w:jc w:val="center"/>
        <w:rPr>
          <w:rFonts w:ascii="宋体" w:hAnsi="宋体" w:eastAsia="宋体" w:cs="Times New Roman"/>
          <w:b/>
          <w:bCs/>
        </w:rPr>
      </w:pPr>
      <w:r>
        <w:rPr>
          <w:rFonts w:hint="eastAsia" w:ascii="宋体" w:hAnsi="宋体" w:eastAsia="宋体" w:cs="宋体"/>
          <w:b/>
          <w:bCs/>
        </w:rPr>
        <w:t>支出决算表</w:t>
      </w:r>
    </w:p>
    <w:p>
      <w:pPr>
        <w:rPr>
          <w:rFonts w:ascii="宋体" w:hAnsi="宋体" w:eastAsia="宋体" w:cs="Times New Roman"/>
          <w:b/>
          <w:bCs/>
          <w:sz w:val="21"/>
          <w:szCs w:val="21"/>
        </w:rPr>
      </w:pPr>
      <w:r>
        <w:rPr>
          <w:rFonts w:ascii="宋体" w:hAnsi="宋体" w:eastAsia="宋体" w:cs="宋体"/>
          <w:b/>
          <w:bCs/>
          <w:sz w:val="21"/>
          <w:szCs w:val="21"/>
        </w:rPr>
        <w:t xml:space="preserve">                                          </w:t>
      </w:r>
      <w:r>
        <w:rPr>
          <w:rFonts w:hint="eastAsia" w:ascii="宋体" w:hAnsi="宋体" w:eastAsia="宋体" w:cs="宋体"/>
          <w:b/>
          <w:bCs/>
          <w:sz w:val="21"/>
          <w:szCs w:val="21"/>
        </w:rPr>
        <w:t>公开</w:t>
      </w:r>
      <w:r>
        <w:rPr>
          <w:rFonts w:ascii="宋体" w:hAnsi="宋体" w:eastAsia="宋体" w:cs="宋体"/>
          <w:b/>
          <w:bCs/>
          <w:sz w:val="21"/>
          <w:szCs w:val="21"/>
        </w:rPr>
        <w:t>03</w:t>
      </w:r>
      <w:r>
        <w:rPr>
          <w:rFonts w:hint="eastAsia" w:ascii="宋体" w:hAnsi="宋体" w:eastAsia="宋体" w:cs="宋体"/>
          <w:b/>
          <w:bCs/>
          <w:sz w:val="21"/>
          <w:szCs w:val="21"/>
        </w:rPr>
        <w:t>表</w:t>
      </w:r>
    </w:p>
    <w:p>
      <w:pPr>
        <w:rPr>
          <w:rFonts w:ascii="宋体" w:hAnsi="宋体" w:eastAsia="宋体" w:cs="Times New Roman"/>
          <w:b/>
          <w:bCs/>
          <w:sz w:val="48"/>
          <w:szCs w:val="48"/>
        </w:rPr>
      </w:pPr>
      <w:r>
        <w:rPr>
          <w:rFonts w:hint="eastAsia" w:ascii="宋体" w:hAnsi="宋体" w:eastAsia="宋体" w:cs="宋体"/>
          <w:b/>
          <w:bCs/>
          <w:sz w:val="21"/>
          <w:szCs w:val="21"/>
        </w:rPr>
        <w:t>编制部门：</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5"/>
        <w:tblW w:w="0" w:type="auto"/>
        <w:tblInd w:w="-106" w:type="dxa"/>
        <w:tblLayout w:type="fixed"/>
        <w:tblCellMar>
          <w:top w:w="0" w:type="dxa"/>
          <w:left w:w="108" w:type="dxa"/>
          <w:bottom w:w="0" w:type="dxa"/>
          <w:right w:w="108" w:type="dxa"/>
        </w:tblCellMar>
      </w:tblPr>
      <w:tblGrid>
        <w:gridCol w:w="986"/>
        <w:gridCol w:w="2291"/>
        <w:gridCol w:w="1053"/>
        <w:gridCol w:w="1053"/>
        <w:gridCol w:w="1053"/>
        <w:gridCol w:w="1053"/>
        <w:gridCol w:w="1053"/>
        <w:gridCol w:w="1053"/>
      </w:tblGrid>
      <w:tr>
        <w:tblPrEx>
          <w:tblCellMar>
            <w:top w:w="0" w:type="dxa"/>
            <w:left w:w="108" w:type="dxa"/>
            <w:bottom w:w="0" w:type="dxa"/>
            <w:right w:w="108" w:type="dxa"/>
          </w:tblCellMar>
        </w:tblPrEx>
        <w:trPr>
          <w:trHeight w:val="336" w:hRule="atLeast"/>
        </w:trPr>
        <w:tc>
          <w:tcPr>
            <w:tcW w:w="3277" w:type="dxa"/>
            <w:gridSpan w:val="2"/>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项目</w:t>
            </w:r>
          </w:p>
        </w:tc>
        <w:tc>
          <w:tcPr>
            <w:tcW w:w="1053"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本年支出合计</w:t>
            </w:r>
          </w:p>
        </w:tc>
        <w:tc>
          <w:tcPr>
            <w:tcW w:w="1053"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基本支出</w:t>
            </w:r>
          </w:p>
        </w:tc>
        <w:tc>
          <w:tcPr>
            <w:tcW w:w="1053"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项目支出</w:t>
            </w:r>
          </w:p>
        </w:tc>
        <w:tc>
          <w:tcPr>
            <w:tcW w:w="1053"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上缴上级支出</w:t>
            </w:r>
          </w:p>
        </w:tc>
        <w:tc>
          <w:tcPr>
            <w:tcW w:w="1053"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经营支出</w:t>
            </w:r>
          </w:p>
        </w:tc>
        <w:tc>
          <w:tcPr>
            <w:tcW w:w="1053" w:type="dxa"/>
            <w:vMerge w:val="restart"/>
            <w:tcBorders>
              <w:top w:val="single" w:color="000000" w:sz="4" w:space="0"/>
              <w:left w:val="nil"/>
              <w:bottom w:val="single" w:color="000000" w:sz="4" w:space="0"/>
              <w:right w:val="single" w:color="000000" w:sz="8"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对附属单位补助支出</w:t>
            </w:r>
          </w:p>
        </w:tc>
      </w:tr>
      <w:tr>
        <w:tblPrEx>
          <w:tblCellMar>
            <w:top w:w="0" w:type="dxa"/>
            <w:left w:w="108" w:type="dxa"/>
            <w:bottom w:w="0" w:type="dxa"/>
            <w:right w:w="108" w:type="dxa"/>
          </w:tblCellMar>
        </w:tblPrEx>
        <w:trPr>
          <w:trHeight w:val="340" w:hRule="atLeast"/>
        </w:trPr>
        <w:tc>
          <w:tcPr>
            <w:tcW w:w="986" w:type="dxa"/>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功能分类科目编码</w:t>
            </w:r>
          </w:p>
        </w:tc>
        <w:tc>
          <w:tcPr>
            <w:tcW w:w="2291" w:type="dxa"/>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科目名称</w:t>
            </w:r>
          </w:p>
        </w:tc>
        <w:tc>
          <w:tcPr>
            <w:tcW w:w="105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05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05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05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05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053"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Times New Roman"/>
                <w:color w:val="000000"/>
                <w:kern w:val="0"/>
                <w:sz w:val="22"/>
                <w:szCs w:val="22"/>
              </w:rPr>
            </w:pPr>
          </w:p>
        </w:tc>
      </w:tr>
      <w:tr>
        <w:tblPrEx>
          <w:tblCellMar>
            <w:top w:w="0" w:type="dxa"/>
            <w:left w:w="108" w:type="dxa"/>
            <w:bottom w:w="0" w:type="dxa"/>
            <w:right w:w="108" w:type="dxa"/>
          </w:tblCellMar>
        </w:tblPrEx>
        <w:trPr>
          <w:trHeight w:val="340" w:hRule="atLeast"/>
        </w:trPr>
        <w:tc>
          <w:tcPr>
            <w:tcW w:w="98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2291"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05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05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05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05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05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053"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Times New Roman"/>
                <w:color w:val="000000"/>
                <w:kern w:val="0"/>
                <w:sz w:val="22"/>
                <w:szCs w:val="22"/>
              </w:rPr>
            </w:pPr>
          </w:p>
        </w:tc>
      </w:tr>
      <w:tr>
        <w:tblPrEx>
          <w:tblCellMar>
            <w:top w:w="0" w:type="dxa"/>
            <w:left w:w="108" w:type="dxa"/>
            <w:bottom w:w="0" w:type="dxa"/>
            <w:right w:w="108" w:type="dxa"/>
          </w:tblCellMar>
        </w:tblPrEx>
        <w:trPr>
          <w:trHeight w:val="340" w:hRule="atLeast"/>
        </w:trPr>
        <w:tc>
          <w:tcPr>
            <w:tcW w:w="98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2291"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05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05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05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05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05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053"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Times New Roman"/>
                <w:color w:val="000000"/>
                <w:kern w:val="0"/>
                <w:sz w:val="22"/>
                <w:szCs w:val="22"/>
              </w:rPr>
            </w:pPr>
          </w:p>
        </w:tc>
      </w:tr>
      <w:tr>
        <w:tblPrEx>
          <w:tblCellMar>
            <w:top w:w="0" w:type="dxa"/>
            <w:left w:w="108" w:type="dxa"/>
            <w:bottom w:w="0" w:type="dxa"/>
            <w:right w:w="108" w:type="dxa"/>
          </w:tblCellMar>
        </w:tblPrEx>
        <w:trPr>
          <w:trHeight w:val="336" w:hRule="atLeast"/>
        </w:trPr>
        <w:tc>
          <w:tcPr>
            <w:tcW w:w="3277" w:type="dxa"/>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合计</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138.92</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119.92</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19.00</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630" w:hRule="atLeast"/>
        </w:trPr>
        <w:tc>
          <w:tcPr>
            <w:tcW w:w="986"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201</w:t>
            </w:r>
          </w:p>
        </w:tc>
        <w:tc>
          <w:tcPr>
            <w:tcW w:w="2291"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一般公共服务支出</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124.33</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105.33</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19.00</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630" w:hRule="atLeast"/>
        </w:trPr>
        <w:tc>
          <w:tcPr>
            <w:tcW w:w="986"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20136</w:t>
            </w:r>
          </w:p>
        </w:tc>
        <w:tc>
          <w:tcPr>
            <w:tcW w:w="2291"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其他共产党事务支出</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124.33</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105.33</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19.00</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630" w:hRule="atLeast"/>
        </w:trPr>
        <w:tc>
          <w:tcPr>
            <w:tcW w:w="986"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2013601</w:t>
            </w:r>
          </w:p>
        </w:tc>
        <w:tc>
          <w:tcPr>
            <w:tcW w:w="2291"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行政运行</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105.33</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105.33</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630" w:hRule="atLeast"/>
        </w:trPr>
        <w:tc>
          <w:tcPr>
            <w:tcW w:w="986"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2013602</w:t>
            </w:r>
          </w:p>
        </w:tc>
        <w:tc>
          <w:tcPr>
            <w:tcW w:w="2291"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一般行政管理事务</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10.00</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10.00</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630" w:hRule="atLeast"/>
        </w:trPr>
        <w:tc>
          <w:tcPr>
            <w:tcW w:w="986"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2013699</w:t>
            </w:r>
          </w:p>
        </w:tc>
        <w:tc>
          <w:tcPr>
            <w:tcW w:w="2291"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其他共产党事务支出</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9.00</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9.00</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630" w:hRule="atLeast"/>
        </w:trPr>
        <w:tc>
          <w:tcPr>
            <w:tcW w:w="986"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208</w:t>
            </w:r>
          </w:p>
        </w:tc>
        <w:tc>
          <w:tcPr>
            <w:tcW w:w="2291"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社会保障和就业支出</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11.78</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11.78</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630" w:hRule="atLeast"/>
        </w:trPr>
        <w:tc>
          <w:tcPr>
            <w:tcW w:w="986"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20805</w:t>
            </w:r>
          </w:p>
        </w:tc>
        <w:tc>
          <w:tcPr>
            <w:tcW w:w="2291"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行政事业单位离退休</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11.78</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11.78</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630" w:hRule="atLeast"/>
        </w:trPr>
        <w:tc>
          <w:tcPr>
            <w:tcW w:w="986"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2080505</w:t>
            </w:r>
          </w:p>
        </w:tc>
        <w:tc>
          <w:tcPr>
            <w:tcW w:w="2291"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机关事业单位基本养老保险缴费支出</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11.78</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11.78</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630" w:hRule="atLeast"/>
        </w:trPr>
        <w:tc>
          <w:tcPr>
            <w:tcW w:w="986"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210</w:t>
            </w:r>
          </w:p>
        </w:tc>
        <w:tc>
          <w:tcPr>
            <w:tcW w:w="2291"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卫生健康支出</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2.81</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2.81</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630" w:hRule="atLeast"/>
        </w:trPr>
        <w:tc>
          <w:tcPr>
            <w:tcW w:w="986"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21011</w:t>
            </w:r>
          </w:p>
        </w:tc>
        <w:tc>
          <w:tcPr>
            <w:tcW w:w="2291"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行政事业单位医疗</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2.56</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2.56</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630" w:hRule="atLeast"/>
        </w:trPr>
        <w:tc>
          <w:tcPr>
            <w:tcW w:w="986"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2101101</w:t>
            </w:r>
          </w:p>
        </w:tc>
        <w:tc>
          <w:tcPr>
            <w:tcW w:w="2291"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行政单位医疗</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2.44</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2.44</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630" w:hRule="atLeast"/>
        </w:trPr>
        <w:tc>
          <w:tcPr>
            <w:tcW w:w="986"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2101103</w:t>
            </w:r>
          </w:p>
        </w:tc>
        <w:tc>
          <w:tcPr>
            <w:tcW w:w="2291"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公务员医疗补助</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0.12</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0.12</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630" w:hRule="atLeast"/>
        </w:trPr>
        <w:tc>
          <w:tcPr>
            <w:tcW w:w="986"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21099</w:t>
            </w:r>
          </w:p>
        </w:tc>
        <w:tc>
          <w:tcPr>
            <w:tcW w:w="2291"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其他卫生健康支出</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0.25</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0.25</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630" w:hRule="atLeast"/>
        </w:trPr>
        <w:tc>
          <w:tcPr>
            <w:tcW w:w="986" w:type="dxa"/>
            <w:tcBorders>
              <w:top w:val="nil"/>
              <w:left w:val="single" w:color="000000" w:sz="4" w:space="0"/>
              <w:bottom w:val="single" w:color="000000" w:sz="8"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2109901</w:t>
            </w:r>
          </w:p>
        </w:tc>
        <w:tc>
          <w:tcPr>
            <w:tcW w:w="2291" w:type="dxa"/>
            <w:tcBorders>
              <w:top w:val="nil"/>
              <w:left w:val="nil"/>
              <w:bottom w:val="single" w:color="000000" w:sz="8"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其他卫生健康支出</w:t>
            </w:r>
          </w:p>
        </w:tc>
        <w:tc>
          <w:tcPr>
            <w:tcW w:w="1053" w:type="dxa"/>
            <w:tcBorders>
              <w:top w:val="nil"/>
              <w:left w:val="nil"/>
              <w:bottom w:val="single" w:color="000000" w:sz="8"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0.25</w:t>
            </w:r>
          </w:p>
        </w:tc>
        <w:tc>
          <w:tcPr>
            <w:tcW w:w="1053" w:type="dxa"/>
            <w:tcBorders>
              <w:top w:val="nil"/>
              <w:left w:val="nil"/>
              <w:bottom w:val="single" w:color="000000" w:sz="8"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0.25</w:t>
            </w:r>
          </w:p>
        </w:tc>
        <w:tc>
          <w:tcPr>
            <w:tcW w:w="1053" w:type="dxa"/>
            <w:tcBorders>
              <w:top w:val="nil"/>
              <w:left w:val="nil"/>
              <w:bottom w:val="single" w:color="000000" w:sz="8"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8"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8"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53" w:type="dxa"/>
            <w:tcBorders>
              <w:top w:val="nil"/>
              <w:left w:val="nil"/>
              <w:bottom w:val="single" w:color="000000" w:sz="8"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bl>
    <w:p>
      <w:pPr>
        <w:widowControl/>
        <w:jc w:val="left"/>
        <w:rPr>
          <w:rFonts w:ascii="宋体" w:hAnsi="宋体" w:eastAsia="宋体" w:cs="Times New Roman"/>
          <w:sz w:val="21"/>
          <w:szCs w:val="21"/>
        </w:rPr>
      </w:pPr>
    </w:p>
    <w:p>
      <w:pPr>
        <w:widowControl/>
        <w:jc w:val="left"/>
        <w:rPr>
          <w:rFonts w:eastAsia="宋体" w:cs="Times New Roman"/>
          <w:sz w:val="21"/>
          <w:szCs w:val="21"/>
        </w:rPr>
      </w:pPr>
      <w:r>
        <w:rPr>
          <w:rFonts w:hint="eastAsia" w:ascii="宋体" w:hAnsi="宋体" w:eastAsia="宋体" w:cs="宋体"/>
          <w:sz w:val="21"/>
          <w:szCs w:val="21"/>
        </w:rPr>
        <w:t>注：本表反映部门本年度各项支出情况。</w:t>
      </w:r>
      <w:r>
        <w:rPr>
          <w:rFonts w:hint="eastAsia" w:ascii="宋体" w:hAnsi="宋体" w:eastAsia="宋体" w:cs="宋体"/>
          <w:color w:val="000000"/>
          <w:kern w:val="0"/>
          <w:sz w:val="21"/>
          <w:szCs w:val="21"/>
        </w:rPr>
        <w:t>本表金额转换为万元时，因四舍五入可能存在尾差。</w:t>
      </w:r>
    </w:p>
    <w:p>
      <w:pPr>
        <w:rPr>
          <w:rFonts w:cs="Times New Roman"/>
        </w:rPr>
      </w:pPr>
    </w:p>
    <w:p>
      <w:pPr>
        <w:rPr>
          <w:rFonts w:cs="Times New Roman"/>
        </w:rPr>
      </w:pPr>
    </w:p>
    <w:p>
      <w:pPr>
        <w:jc w:val="center"/>
        <w:rPr>
          <w:rFonts w:ascii="宋体" w:hAnsi="宋体" w:eastAsia="宋体" w:cs="Times New Roman"/>
          <w:b/>
          <w:bCs/>
        </w:rPr>
      </w:pPr>
      <w:r>
        <w:rPr>
          <w:rFonts w:hint="eastAsia" w:ascii="宋体" w:hAnsi="宋体" w:eastAsia="宋体" w:cs="宋体"/>
          <w:b/>
          <w:bCs/>
        </w:rPr>
        <w:t>财政拨款收入支出决算总表</w:t>
      </w:r>
    </w:p>
    <w:p>
      <w:pPr>
        <w:rPr>
          <w:rFonts w:ascii="宋体" w:hAnsi="宋体" w:eastAsia="宋体" w:cs="Times New Roman"/>
          <w:b/>
          <w:bCs/>
          <w:sz w:val="21"/>
          <w:szCs w:val="21"/>
        </w:rPr>
      </w:pPr>
      <w:r>
        <w:rPr>
          <w:rFonts w:hint="eastAsia" w:ascii="宋体" w:hAnsi="宋体" w:eastAsia="宋体" w:cs="宋体"/>
          <w:b/>
          <w:bCs/>
          <w:sz w:val="21"/>
          <w:szCs w:val="21"/>
        </w:rPr>
        <w:t>公开</w:t>
      </w:r>
      <w:r>
        <w:rPr>
          <w:rFonts w:ascii="宋体" w:hAnsi="宋体" w:eastAsia="宋体" w:cs="宋体"/>
          <w:b/>
          <w:bCs/>
          <w:sz w:val="21"/>
          <w:szCs w:val="21"/>
        </w:rPr>
        <w:t>04</w:t>
      </w:r>
      <w:r>
        <w:rPr>
          <w:rFonts w:hint="eastAsia" w:ascii="宋体" w:hAnsi="宋体" w:eastAsia="宋体" w:cs="宋体"/>
          <w:b/>
          <w:bCs/>
          <w:sz w:val="21"/>
          <w:szCs w:val="21"/>
        </w:rPr>
        <w:t>表</w:t>
      </w:r>
    </w:p>
    <w:p>
      <w:pPr>
        <w:rPr>
          <w:rFonts w:ascii="宋体" w:hAnsi="宋体" w:eastAsia="宋体" w:cs="Times New Roman"/>
          <w:b/>
          <w:bCs/>
          <w:sz w:val="21"/>
          <w:szCs w:val="21"/>
        </w:rPr>
      </w:pPr>
      <w:r>
        <w:rPr>
          <w:rFonts w:hint="eastAsia" w:ascii="宋体" w:hAnsi="宋体" w:eastAsia="宋体" w:cs="宋体"/>
          <w:b/>
          <w:bCs/>
          <w:sz w:val="21"/>
          <w:szCs w:val="21"/>
        </w:rPr>
        <w:t>编制部门：</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5"/>
        <w:tblW w:w="9569" w:type="dxa"/>
        <w:tblInd w:w="-106" w:type="dxa"/>
        <w:tblLayout w:type="autofit"/>
        <w:tblCellMar>
          <w:top w:w="0" w:type="dxa"/>
          <w:left w:w="108" w:type="dxa"/>
          <w:bottom w:w="0" w:type="dxa"/>
          <w:right w:w="108" w:type="dxa"/>
        </w:tblCellMar>
      </w:tblPr>
      <w:tblGrid>
        <w:gridCol w:w="2685"/>
        <w:gridCol w:w="1050"/>
        <w:gridCol w:w="3284"/>
        <w:gridCol w:w="876"/>
        <w:gridCol w:w="1009"/>
        <w:gridCol w:w="872"/>
      </w:tblGrid>
      <w:tr>
        <w:trPr>
          <w:trHeight w:val="308" w:hRule="atLeast"/>
        </w:trPr>
        <w:tc>
          <w:tcPr>
            <w:tcW w:w="3735" w:type="dxa"/>
            <w:gridSpan w:val="2"/>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收</w:t>
            </w: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入</w:t>
            </w:r>
          </w:p>
        </w:tc>
        <w:tc>
          <w:tcPr>
            <w:tcW w:w="5834" w:type="dxa"/>
            <w:gridSpan w:val="4"/>
            <w:tcBorders>
              <w:top w:val="single" w:color="000000" w:sz="4" w:space="0"/>
              <w:left w:val="nil"/>
              <w:bottom w:val="single" w:color="000000" w:sz="4" w:space="0"/>
              <w:right w:val="single" w:color="000000" w:sz="8" w:space="0"/>
            </w:tcBorders>
            <w:shd w:val="clear" w:color="FFFFFF" w:fill="C0C0C0"/>
            <w:noWrap/>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支</w:t>
            </w: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出</w:t>
            </w:r>
          </w:p>
        </w:tc>
      </w:tr>
      <w:tr>
        <w:tblPrEx>
          <w:tblCellMar>
            <w:top w:w="0" w:type="dxa"/>
            <w:left w:w="108" w:type="dxa"/>
            <w:bottom w:w="0" w:type="dxa"/>
            <w:right w:w="108" w:type="dxa"/>
          </w:tblCellMar>
        </w:tblPrEx>
        <w:trPr>
          <w:trHeight w:val="293" w:hRule="atLeast"/>
        </w:trPr>
        <w:tc>
          <w:tcPr>
            <w:tcW w:w="2685" w:type="dxa"/>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项</w:t>
            </w: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目</w:t>
            </w:r>
          </w:p>
        </w:tc>
        <w:tc>
          <w:tcPr>
            <w:tcW w:w="1049"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决算数</w:t>
            </w:r>
          </w:p>
        </w:tc>
        <w:tc>
          <w:tcPr>
            <w:tcW w:w="3284"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项目</w:t>
            </w:r>
          </w:p>
        </w:tc>
        <w:tc>
          <w:tcPr>
            <w:tcW w:w="2549" w:type="dxa"/>
            <w:gridSpan w:val="3"/>
            <w:tcBorders>
              <w:top w:val="nil"/>
              <w:left w:val="nil"/>
              <w:bottom w:val="single" w:color="000000" w:sz="4" w:space="0"/>
              <w:right w:val="single" w:color="000000" w:sz="8" w:space="0"/>
            </w:tcBorders>
            <w:shd w:val="clear" w:color="FFFFFF" w:fill="C0C0C0"/>
            <w:noWrap/>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决算数</w:t>
            </w:r>
          </w:p>
        </w:tc>
      </w:tr>
      <w:tr>
        <w:tblPrEx>
          <w:tblCellMar>
            <w:top w:w="0" w:type="dxa"/>
            <w:left w:w="108" w:type="dxa"/>
            <w:bottom w:w="0" w:type="dxa"/>
            <w:right w:w="108" w:type="dxa"/>
          </w:tblCellMar>
        </w:tblPrEx>
        <w:trPr>
          <w:trHeight w:val="616" w:hRule="atLeast"/>
        </w:trPr>
        <w:tc>
          <w:tcPr>
            <w:tcW w:w="268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049"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3284"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66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合计</w:t>
            </w:r>
          </w:p>
        </w:tc>
        <w:tc>
          <w:tcPr>
            <w:tcW w:w="1009"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一般公共预算财政拨款</w:t>
            </w:r>
          </w:p>
        </w:tc>
        <w:tc>
          <w:tcPr>
            <w:tcW w:w="872" w:type="dxa"/>
            <w:tcBorders>
              <w:top w:val="nil"/>
              <w:left w:val="nil"/>
              <w:bottom w:val="single" w:color="000000" w:sz="4" w:space="0"/>
              <w:right w:val="single" w:color="000000" w:sz="8"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政府性基金预算财政拨款</w:t>
            </w:r>
          </w:p>
        </w:tc>
      </w:tr>
      <w:tr>
        <w:tblPrEx>
          <w:tblCellMar>
            <w:top w:w="0" w:type="dxa"/>
            <w:left w:w="108" w:type="dxa"/>
            <w:bottom w:w="0" w:type="dxa"/>
            <w:right w:w="108" w:type="dxa"/>
          </w:tblCellMar>
        </w:tblPrEx>
        <w:trPr>
          <w:trHeight w:val="308" w:hRule="atLeast"/>
        </w:trPr>
        <w:tc>
          <w:tcPr>
            <w:tcW w:w="268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1</w:t>
            </w:r>
            <w:r>
              <w:rPr>
                <w:rFonts w:hint="eastAsia" w:ascii="宋体" w:hAnsi="宋体" w:eastAsia="宋体" w:cs="宋体"/>
                <w:color w:val="000000"/>
                <w:kern w:val="0"/>
                <w:sz w:val="22"/>
                <w:szCs w:val="22"/>
              </w:rPr>
              <w:t>、一般公共预算财政拨款</w:t>
            </w:r>
          </w:p>
        </w:tc>
        <w:tc>
          <w:tcPr>
            <w:tcW w:w="104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138.92</w:t>
            </w:r>
          </w:p>
        </w:tc>
        <w:tc>
          <w:tcPr>
            <w:tcW w:w="328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1</w:t>
            </w:r>
            <w:r>
              <w:rPr>
                <w:rFonts w:hint="eastAsia" w:ascii="宋体" w:hAnsi="宋体" w:eastAsia="宋体" w:cs="宋体"/>
                <w:color w:val="000000"/>
                <w:kern w:val="0"/>
                <w:sz w:val="22"/>
                <w:szCs w:val="22"/>
              </w:rPr>
              <w:t>、一般公共服务支出</w:t>
            </w:r>
          </w:p>
        </w:tc>
        <w:tc>
          <w:tcPr>
            <w:tcW w:w="668"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124.33</w:t>
            </w:r>
          </w:p>
        </w:tc>
        <w:tc>
          <w:tcPr>
            <w:tcW w:w="100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124.33</w:t>
            </w:r>
          </w:p>
        </w:tc>
        <w:tc>
          <w:tcPr>
            <w:tcW w:w="87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268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2</w:t>
            </w:r>
            <w:r>
              <w:rPr>
                <w:rFonts w:hint="eastAsia" w:ascii="宋体" w:hAnsi="宋体" w:eastAsia="宋体" w:cs="宋体"/>
                <w:color w:val="000000"/>
                <w:kern w:val="0"/>
                <w:sz w:val="22"/>
                <w:szCs w:val="22"/>
              </w:rPr>
              <w:t>、政府性基金预算财政拨款</w:t>
            </w:r>
          </w:p>
        </w:tc>
        <w:tc>
          <w:tcPr>
            <w:tcW w:w="104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328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2</w:t>
            </w:r>
            <w:r>
              <w:rPr>
                <w:rFonts w:hint="eastAsia" w:ascii="宋体" w:hAnsi="宋体" w:eastAsia="宋体" w:cs="宋体"/>
                <w:color w:val="000000"/>
                <w:kern w:val="0"/>
                <w:sz w:val="22"/>
                <w:szCs w:val="22"/>
              </w:rPr>
              <w:t>、外交支出</w:t>
            </w:r>
          </w:p>
        </w:tc>
        <w:tc>
          <w:tcPr>
            <w:tcW w:w="668"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0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87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268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3</w:t>
            </w:r>
            <w:r>
              <w:rPr>
                <w:rFonts w:hint="eastAsia" w:ascii="宋体" w:hAnsi="宋体" w:eastAsia="宋体" w:cs="宋体"/>
                <w:color w:val="000000"/>
                <w:kern w:val="0"/>
                <w:sz w:val="22"/>
                <w:szCs w:val="22"/>
              </w:rPr>
              <w:t>、国有资本经营预算收入</w:t>
            </w:r>
          </w:p>
        </w:tc>
        <w:tc>
          <w:tcPr>
            <w:tcW w:w="104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328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3</w:t>
            </w:r>
            <w:r>
              <w:rPr>
                <w:rFonts w:hint="eastAsia" w:ascii="宋体" w:hAnsi="宋体" w:eastAsia="宋体" w:cs="宋体"/>
                <w:color w:val="000000"/>
                <w:kern w:val="0"/>
                <w:sz w:val="22"/>
                <w:szCs w:val="22"/>
              </w:rPr>
              <w:t>、国防支出</w:t>
            </w:r>
          </w:p>
        </w:tc>
        <w:tc>
          <w:tcPr>
            <w:tcW w:w="668"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0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87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268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04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328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4</w:t>
            </w:r>
            <w:r>
              <w:rPr>
                <w:rFonts w:hint="eastAsia" w:ascii="宋体" w:hAnsi="宋体" w:eastAsia="宋体" w:cs="宋体"/>
                <w:color w:val="000000"/>
                <w:kern w:val="0"/>
                <w:sz w:val="22"/>
                <w:szCs w:val="22"/>
              </w:rPr>
              <w:t>、公共安全支出</w:t>
            </w:r>
          </w:p>
        </w:tc>
        <w:tc>
          <w:tcPr>
            <w:tcW w:w="668"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0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87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268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04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328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5</w:t>
            </w:r>
            <w:r>
              <w:rPr>
                <w:rFonts w:hint="eastAsia" w:ascii="宋体" w:hAnsi="宋体" w:eastAsia="宋体" w:cs="宋体"/>
                <w:color w:val="000000"/>
                <w:kern w:val="0"/>
                <w:sz w:val="22"/>
                <w:szCs w:val="22"/>
              </w:rPr>
              <w:t>、教育支出</w:t>
            </w:r>
          </w:p>
        </w:tc>
        <w:tc>
          <w:tcPr>
            <w:tcW w:w="668"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0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87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268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04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328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6</w:t>
            </w:r>
            <w:r>
              <w:rPr>
                <w:rFonts w:hint="eastAsia" w:ascii="宋体" w:hAnsi="宋体" w:eastAsia="宋体" w:cs="宋体"/>
                <w:color w:val="000000"/>
                <w:kern w:val="0"/>
                <w:sz w:val="22"/>
                <w:szCs w:val="22"/>
              </w:rPr>
              <w:t>、科学技术支出</w:t>
            </w:r>
          </w:p>
        </w:tc>
        <w:tc>
          <w:tcPr>
            <w:tcW w:w="668"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0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87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268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04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328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7</w:t>
            </w:r>
            <w:r>
              <w:rPr>
                <w:rFonts w:hint="eastAsia" w:ascii="宋体" w:hAnsi="宋体" w:eastAsia="宋体" w:cs="宋体"/>
                <w:color w:val="000000"/>
                <w:kern w:val="0"/>
                <w:sz w:val="22"/>
                <w:szCs w:val="22"/>
              </w:rPr>
              <w:t>、文化旅游体育与传媒支出</w:t>
            </w:r>
          </w:p>
        </w:tc>
        <w:tc>
          <w:tcPr>
            <w:tcW w:w="668"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0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87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268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04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328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8</w:t>
            </w:r>
            <w:r>
              <w:rPr>
                <w:rFonts w:hint="eastAsia" w:ascii="宋体" w:hAnsi="宋体" w:eastAsia="宋体" w:cs="宋体"/>
                <w:color w:val="000000"/>
                <w:kern w:val="0"/>
                <w:sz w:val="22"/>
                <w:szCs w:val="22"/>
              </w:rPr>
              <w:t>、社会保障和就业支出</w:t>
            </w:r>
          </w:p>
        </w:tc>
        <w:tc>
          <w:tcPr>
            <w:tcW w:w="668"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11.78</w:t>
            </w:r>
          </w:p>
        </w:tc>
        <w:tc>
          <w:tcPr>
            <w:tcW w:w="100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11.78</w:t>
            </w:r>
          </w:p>
        </w:tc>
        <w:tc>
          <w:tcPr>
            <w:tcW w:w="87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268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04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328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9</w:t>
            </w:r>
            <w:r>
              <w:rPr>
                <w:rFonts w:hint="eastAsia" w:ascii="宋体" w:hAnsi="宋体" w:eastAsia="宋体" w:cs="宋体"/>
                <w:color w:val="000000"/>
                <w:kern w:val="0"/>
                <w:sz w:val="22"/>
                <w:szCs w:val="22"/>
              </w:rPr>
              <w:t>、卫生健康支出</w:t>
            </w:r>
          </w:p>
        </w:tc>
        <w:tc>
          <w:tcPr>
            <w:tcW w:w="668"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2.81</w:t>
            </w:r>
          </w:p>
        </w:tc>
        <w:tc>
          <w:tcPr>
            <w:tcW w:w="100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2.81</w:t>
            </w:r>
          </w:p>
        </w:tc>
        <w:tc>
          <w:tcPr>
            <w:tcW w:w="87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268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04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328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10</w:t>
            </w:r>
            <w:r>
              <w:rPr>
                <w:rFonts w:hint="eastAsia" w:ascii="宋体" w:hAnsi="宋体" w:eastAsia="宋体" w:cs="宋体"/>
                <w:color w:val="000000"/>
                <w:kern w:val="0"/>
                <w:sz w:val="22"/>
                <w:szCs w:val="22"/>
              </w:rPr>
              <w:t>、节能环保支出</w:t>
            </w:r>
          </w:p>
        </w:tc>
        <w:tc>
          <w:tcPr>
            <w:tcW w:w="668"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0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87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268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04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328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11</w:t>
            </w:r>
            <w:r>
              <w:rPr>
                <w:rFonts w:hint="eastAsia" w:ascii="宋体" w:hAnsi="宋体" w:eastAsia="宋体" w:cs="宋体"/>
                <w:color w:val="000000"/>
                <w:kern w:val="0"/>
                <w:sz w:val="22"/>
                <w:szCs w:val="22"/>
              </w:rPr>
              <w:t>、城乡社区支出</w:t>
            </w:r>
          </w:p>
        </w:tc>
        <w:tc>
          <w:tcPr>
            <w:tcW w:w="668"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0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87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268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04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328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12</w:t>
            </w:r>
            <w:r>
              <w:rPr>
                <w:rFonts w:hint="eastAsia" w:ascii="宋体" w:hAnsi="宋体" w:eastAsia="宋体" w:cs="宋体"/>
                <w:color w:val="000000"/>
                <w:kern w:val="0"/>
                <w:sz w:val="22"/>
                <w:szCs w:val="22"/>
              </w:rPr>
              <w:t>、农林水支出</w:t>
            </w:r>
          </w:p>
        </w:tc>
        <w:tc>
          <w:tcPr>
            <w:tcW w:w="668"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0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87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268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04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328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13</w:t>
            </w:r>
            <w:r>
              <w:rPr>
                <w:rFonts w:hint="eastAsia" w:ascii="宋体" w:hAnsi="宋体" w:eastAsia="宋体" w:cs="宋体"/>
                <w:color w:val="000000"/>
                <w:kern w:val="0"/>
                <w:sz w:val="22"/>
                <w:szCs w:val="22"/>
              </w:rPr>
              <w:t>、交通运输支出</w:t>
            </w:r>
          </w:p>
        </w:tc>
        <w:tc>
          <w:tcPr>
            <w:tcW w:w="668"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0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87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268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04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328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14</w:t>
            </w:r>
            <w:r>
              <w:rPr>
                <w:rFonts w:hint="eastAsia" w:ascii="宋体" w:hAnsi="宋体" w:eastAsia="宋体" w:cs="宋体"/>
                <w:color w:val="000000"/>
                <w:kern w:val="0"/>
                <w:sz w:val="22"/>
                <w:szCs w:val="22"/>
              </w:rPr>
              <w:t>、资源勘探信息等支出</w:t>
            </w:r>
          </w:p>
        </w:tc>
        <w:tc>
          <w:tcPr>
            <w:tcW w:w="668"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0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87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268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04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328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15</w:t>
            </w:r>
            <w:r>
              <w:rPr>
                <w:rFonts w:hint="eastAsia" w:ascii="宋体" w:hAnsi="宋体" w:eastAsia="宋体" w:cs="宋体"/>
                <w:color w:val="000000"/>
                <w:kern w:val="0"/>
                <w:sz w:val="22"/>
                <w:szCs w:val="22"/>
              </w:rPr>
              <w:t>、商业服务业等支出</w:t>
            </w:r>
          </w:p>
        </w:tc>
        <w:tc>
          <w:tcPr>
            <w:tcW w:w="668"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0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87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268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04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328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16</w:t>
            </w:r>
            <w:r>
              <w:rPr>
                <w:rFonts w:hint="eastAsia" w:ascii="宋体" w:hAnsi="宋体" w:eastAsia="宋体" w:cs="宋体"/>
                <w:color w:val="000000"/>
                <w:kern w:val="0"/>
                <w:sz w:val="22"/>
                <w:szCs w:val="22"/>
              </w:rPr>
              <w:t>、金融支出</w:t>
            </w:r>
          </w:p>
        </w:tc>
        <w:tc>
          <w:tcPr>
            <w:tcW w:w="668"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0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87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268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04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328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17</w:t>
            </w:r>
            <w:r>
              <w:rPr>
                <w:rFonts w:hint="eastAsia" w:ascii="宋体" w:hAnsi="宋体" w:eastAsia="宋体" w:cs="宋体"/>
                <w:color w:val="000000"/>
                <w:kern w:val="0"/>
                <w:sz w:val="22"/>
                <w:szCs w:val="22"/>
              </w:rPr>
              <w:t>、援助其他地区支出</w:t>
            </w:r>
          </w:p>
        </w:tc>
        <w:tc>
          <w:tcPr>
            <w:tcW w:w="668"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0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87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268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04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328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18</w:t>
            </w:r>
            <w:r>
              <w:rPr>
                <w:rFonts w:hint="eastAsia" w:ascii="宋体" w:hAnsi="宋体" w:eastAsia="宋体" w:cs="宋体"/>
                <w:color w:val="000000"/>
                <w:kern w:val="0"/>
                <w:sz w:val="22"/>
                <w:szCs w:val="22"/>
              </w:rPr>
              <w:t>、自然资源海洋气象等支出</w:t>
            </w:r>
          </w:p>
        </w:tc>
        <w:tc>
          <w:tcPr>
            <w:tcW w:w="668"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0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87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268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04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328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19</w:t>
            </w:r>
            <w:r>
              <w:rPr>
                <w:rFonts w:hint="eastAsia" w:ascii="宋体" w:hAnsi="宋体" w:eastAsia="宋体" w:cs="宋体"/>
                <w:color w:val="000000"/>
                <w:kern w:val="0"/>
                <w:sz w:val="22"/>
                <w:szCs w:val="22"/>
              </w:rPr>
              <w:t>、住房保障支出</w:t>
            </w:r>
          </w:p>
        </w:tc>
        <w:tc>
          <w:tcPr>
            <w:tcW w:w="668"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0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87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268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04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328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20</w:t>
            </w:r>
            <w:r>
              <w:rPr>
                <w:rFonts w:hint="eastAsia" w:ascii="宋体" w:hAnsi="宋体" w:eastAsia="宋体" w:cs="宋体"/>
                <w:color w:val="000000"/>
                <w:kern w:val="0"/>
                <w:sz w:val="22"/>
                <w:szCs w:val="22"/>
              </w:rPr>
              <w:t>、粮油物资储备支出</w:t>
            </w:r>
          </w:p>
        </w:tc>
        <w:tc>
          <w:tcPr>
            <w:tcW w:w="668"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0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87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268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04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328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21</w:t>
            </w:r>
            <w:r>
              <w:rPr>
                <w:rFonts w:hint="eastAsia" w:ascii="宋体" w:hAnsi="宋体" w:eastAsia="宋体" w:cs="宋体"/>
                <w:color w:val="000000"/>
                <w:kern w:val="0"/>
                <w:sz w:val="22"/>
                <w:szCs w:val="22"/>
              </w:rPr>
              <w:t>、灾害防治及应急管理支出</w:t>
            </w:r>
          </w:p>
        </w:tc>
        <w:tc>
          <w:tcPr>
            <w:tcW w:w="668"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0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87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268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04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328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22</w:t>
            </w:r>
            <w:r>
              <w:rPr>
                <w:rFonts w:hint="eastAsia" w:ascii="宋体" w:hAnsi="宋体" w:eastAsia="宋体" w:cs="宋体"/>
                <w:color w:val="000000"/>
                <w:kern w:val="0"/>
                <w:sz w:val="22"/>
                <w:szCs w:val="22"/>
              </w:rPr>
              <w:t>、其他支出</w:t>
            </w:r>
          </w:p>
        </w:tc>
        <w:tc>
          <w:tcPr>
            <w:tcW w:w="668"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0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87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268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Times New Roman"/>
                <w:b/>
                <w:bCs/>
                <w:color w:val="000000"/>
                <w:kern w:val="0"/>
                <w:sz w:val="22"/>
                <w:szCs w:val="22"/>
              </w:rPr>
            </w:pPr>
            <w:r>
              <w:rPr>
                <w:rFonts w:hint="eastAsia" w:ascii="宋体" w:hAnsi="宋体" w:eastAsia="宋体" w:cs="宋体"/>
                <w:b/>
                <w:bCs/>
                <w:color w:val="000000"/>
                <w:kern w:val="0"/>
                <w:sz w:val="22"/>
                <w:szCs w:val="22"/>
              </w:rPr>
              <w:t>本年收入合计</w:t>
            </w:r>
          </w:p>
        </w:tc>
        <w:tc>
          <w:tcPr>
            <w:tcW w:w="104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138.92</w:t>
            </w:r>
          </w:p>
        </w:tc>
        <w:tc>
          <w:tcPr>
            <w:tcW w:w="328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Times New Roman"/>
                <w:b/>
                <w:bCs/>
                <w:color w:val="000000"/>
                <w:kern w:val="0"/>
                <w:sz w:val="22"/>
                <w:szCs w:val="22"/>
              </w:rPr>
            </w:pPr>
            <w:r>
              <w:rPr>
                <w:rFonts w:hint="eastAsia" w:ascii="宋体" w:hAnsi="宋体" w:eastAsia="宋体" w:cs="宋体"/>
                <w:b/>
                <w:bCs/>
                <w:color w:val="000000"/>
                <w:kern w:val="0"/>
                <w:sz w:val="22"/>
                <w:szCs w:val="22"/>
              </w:rPr>
              <w:t>本年支出合计</w:t>
            </w:r>
          </w:p>
        </w:tc>
        <w:tc>
          <w:tcPr>
            <w:tcW w:w="668"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138.92</w:t>
            </w:r>
          </w:p>
        </w:tc>
        <w:tc>
          <w:tcPr>
            <w:tcW w:w="100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138.92</w:t>
            </w:r>
          </w:p>
        </w:tc>
        <w:tc>
          <w:tcPr>
            <w:tcW w:w="87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268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年初财政拨款结转和结余</w:t>
            </w:r>
          </w:p>
        </w:tc>
        <w:tc>
          <w:tcPr>
            <w:tcW w:w="104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328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年末财政拨款结转和结余</w:t>
            </w:r>
          </w:p>
        </w:tc>
        <w:tc>
          <w:tcPr>
            <w:tcW w:w="668"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00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87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268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一、一般公共预算财政拨款</w:t>
            </w:r>
          </w:p>
        </w:tc>
        <w:tc>
          <w:tcPr>
            <w:tcW w:w="104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328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Times New Roman"/>
                <w:b/>
                <w:bCs/>
                <w:color w:val="000000"/>
                <w:kern w:val="0"/>
                <w:sz w:val="22"/>
                <w:szCs w:val="22"/>
              </w:rPr>
            </w:pPr>
            <w:r>
              <w:rPr>
                <w:rFonts w:hint="eastAsia" w:ascii="宋体" w:hAnsi="宋体" w:eastAsia="宋体" w:cs="宋体"/>
                <w:b/>
                <w:bCs/>
                <w:color w:val="000000"/>
                <w:kern w:val="0"/>
                <w:sz w:val="22"/>
                <w:szCs w:val="22"/>
              </w:rPr>
              <w:t>　</w:t>
            </w:r>
          </w:p>
        </w:tc>
        <w:tc>
          <w:tcPr>
            <w:tcW w:w="668"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00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87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268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二、政府性基金预算财政拨款</w:t>
            </w:r>
          </w:p>
        </w:tc>
        <w:tc>
          <w:tcPr>
            <w:tcW w:w="104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328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668"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00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87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2685" w:type="dxa"/>
            <w:tcBorders>
              <w:top w:val="nil"/>
              <w:left w:val="single" w:color="000000" w:sz="4" w:space="0"/>
              <w:bottom w:val="single" w:color="000000" w:sz="8" w:space="0"/>
              <w:right w:val="single" w:color="000000" w:sz="4" w:space="0"/>
            </w:tcBorders>
            <w:shd w:val="clear" w:color="FFFFFF" w:fill="C0C0C0"/>
            <w:noWrap/>
            <w:vAlign w:val="center"/>
          </w:tcPr>
          <w:p>
            <w:pPr>
              <w:widowControl/>
              <w:jc w:val="center"/>
              <w:rPr>
                <w:rFonts w:ascii="宋体" w:hAnsi="宋体" w:eastAsia="宋体" w:cs="Times New Roman"/>
                <w:b/>
                <w:bCs/>
                <w:color w:val="000000"/>
                <w:kern w:val="0"/>
                <w:sz w:val="22"/>
                <w:szCs w:val="22"/>
              </w:rPr>
            </w:pPr>
            <w:r>
              <w:rPr>
                <w:rFonts w:hint="eastAsia" w:ascii="宋体" w:hAnsi="宋体" w:eastAsia="宋体" w:cs="宋体"/>
                <w:b/>
                <w:bCs/>
                <w:color w:val="000000"/>
                <w:kern w:val="0"/>
                <w:sz w:val="22"/>
                <w:szCs w:val="22"/>
              </w:rPr>
              <w:t>总计</w:t>
            </w:r>
          </w:p>
        </w:tc>
        <w:tc>
          <w:tcPr>
            <w:tcW w:w="1049" w:type="dxa"/>
            <w:tcBorders>
              <w:top w:val="nil"/>
              <w:left w:val="nil"/>
              <w:bottom w:val="single" w:color="000000" w:sz="8"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138.92</w:t>
            </w:r>
          </w:p>
        </w:tc>
        <w:tc>
          <w:tcPr>
            <w:tcW w:w="3284" w:type="dxa"/>
            <w:tcBorders>
              <w:top w:val="nil"/>
              <w:left w:val="nil"/>
              <w:bottom w:val="single" w:color="000000" w:sz="8" w:space="0"/>
              <w:right w:val="single" w:color="000000" w:sz="4" w:space="0"/>
            </w:tcBorders>
            <w:shd w:val="clear" w:color="FFFFFF" w:fill="C0C0C0"/>
            <w:noWrap/>
            <w:vAlign w:val="center"/>
          </w:tcPr>
          <w:p>
            <w:pPr>
              <w:widowControl/>
              <w:jc w:val="center"/>
              <w:rPr>
                <w:rFonts w:ascii="宋体" w:hAnsi="宋体" w:eastAsia="宋体" w:cs="Times New Roman"/>
                <w:b/>
                <w:bCs/>
                <w:color w:val="000000"/>
                <w:kern w:val="0"/>
                <w:sz w:val="22"/>
                <w:szCs w:val="22"/>
              </w:rPr>
            </w:pPr>
            <w:r>
              <w:rPr>
                <w:rFonts w:hint="eastAsia" w:ascii="宋体" w:hAnsi="宋体" w:eastAsia="宋体" w:cs="宋体"/>
                <w:b/>
                <w:bCs/>
                <w:color w:val="000000"/>
                <w:kern w:val="0"/>
                <w:sz w:val="22"/>
                <w:szCs w:val="22"/>
              </w:rPr>
              <w:t>总计</w:t>
            </w:r>
          </w:p>
        </w:tc>
        <w:tc>
          <w:tcPr>
            <w:tcW w:w="668" w:type="dxa"/>
            <w:tcBorders>
              <w:top w:val="nil"/>
              <w:left w:val="nil"/>
              <w:bottom w:val="single" w:color="000000" w:sz="8"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138.92</w:t>
            </w:r>
          </w:p>
        </w:tc>
        <w:tc>
          <w:tcPr>
            <w:tcW w:w="1009" w:type="dxa"/>
            <w:tcBorders>
              <w:top w:val="nil"/>
              <w:left w:val="nil"/>
              <w:bottom w:val="single" w:color="000000" w:sz="8"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138.92</w:t>
            </w:r>
          </w:p>
        </w:tc>
        <w:tc>
          <w:tcPr>
            <w:tcW w:w="872" w:type="dxa"/>
            <w:tcBorders>
              <w:top w:val="nil"/>
              <w:left w:val="nil"/>
              <w:bottom w:val="single" w:color="000000" w:sz="8"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r>
    </w:tbl>
    <w:p>
      <w:pPr>
        <w:rPr>
          <w:rFonts w:ascii="宋体" w:hAnsi="宋体" w:eastAsia="宋体" w:cs="Times New Roman"/>
          <w:b/>
          <w:bCs/>
        </w:rPr>
      </w:pPr>
    </w:p>
    <w:p>
      <w:pPr>
        <w:jc w:val="center"/>
        <w:rPr>
          <w:rFonts w:ascii="宋体" w:hAnsi="宋体" w:eastAsia="宋体" w:cs="宋体"/>
          <w:b/>
          <w:bCs/>
        </w:rPr>
      </w:pPr>
      <w:r>
        <w:rPr>
          <w:rFonts w:hint="eastAsia" w:ascii="宋体" w:hAnsi="宋体" w:eastAsia="宋体" w:cs="宋体"/>
          <w:b/>
          <w:bCs/>
        </w:rPr>
        <w:t>财政拨款收入支出决算总表</w:t>
      </w:r>
      <w:r>
        <w:rPr>
          <w:rFonts w:ascii="宋体" w:hAnsi="宋体" w:eastAsia="宋体" w:cs="宋体"/>
          <w:b/>
          <w:bCs/>
        </w:rPr>
        <w:t xml:space="preserve"> </w:t>
      </w:r>
    </w:p>
    <w:p>
      <w:pPr>
        <w:rPr>
          <w:rFonts w:ascii="宋体" w:hAnsi="宋体" w:eastAsia="宋体" w:cs="Times New Roman"/>
          <w:b/>
          <w:bCs/>
          <w:sz w:val="21"/>
          <w:szCs w:val="21"/>
        </w:rPr>
      </w:pPr>
      <w:r>
        <w:rPr>
          <w:rFonts w:ascii="宋体" w:hAnsi="宋体" w:eastAsia="宋体" w:cs="宋体"/>
          <w:b/>
          <w:bCs/>
          <w:sz w:val="21"/>
          <w:szCs w:val="21"/>
        </w:rPr>
        <w:t xml:space="preserve"> </w:t>
      </w:r>
      <w:r>
        <w:rPr>
          <w:rFonts w:hint="eastAsia" w:ascii="宋体" w:hAnsi="宋体" w:eastAsia="宋体" w:cs="宋体"/>
          <w:b/>
          <w:bCs/>
          <w:sz w:val="21"/>
          <w:szCs w:val="21"/>
        </w:rPr>
        <w:t>公开</w:t>
      </w:r>
      <w:r>
        <w:rPr>
          <w:rFonts w:ascii="宋体" w:hAnsi="宋体" w:eastAsia="宋体" w:cs="宋体"/>
          <w:b/>
          <w:bCs/>
          <w:sz w:val="21"/>
          <w:szCs w:val="21"/>
        </w:rPr>
        <w:t>04</w:t>
      </w:r>
      <w:r>
        <w:rPr>
          <w:rFonts w:hint="eastAsia" w:ascii="宋体" w:hAnsi="宋体" w:eastAsia="宋体" w:cs="宋体"/>
          <w:b/>
          <w:bCs/>
          <w:sz w:val="21"/>
          <w:szCs w:val="21"/>
        </w:rPr>
        <w:t>表</w:t>
      </w:r>
    </w:p>
    <w:p>
      <w:pPr>
        <w:rPr>
          <w:rFonts w:ascii="宋体" w:hAnsi="宋体" w:eastAsia="宋体" w:cs="Times New Roman"/>
          <w:b/>
          <w:bCs/>
          <w:sz w:val="21"/>
          <w:szCs w:val="21"/>
        </w:rPr>
      </w:pPr>
      <w:r>
        <w:rPr>
          <w:rFonts w:hint="eastAsia" w:ascii="宋体" w:hAnsi="宋体" w:eastAsia="宋体" w:cs="宋体"/>
          <w:b/>
          <w:bCs/>
          <w:sz w:val="21"/>
          <w:szCs w:val="21"/>
        </w:rPr>
        <w:t>编制部门：</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5"/>
        <w:tblW w:w="8860" w:type="dxa"/>
        <w:tblInd w:w="-13" w:type="dxa"/>
        <w:tblLayout w:type="fixed"/>
        <w:tblCellMar>
          <w:top w:w="15" w:type="dxa"/>
          <w:left w:w="15" w:type="dxa"/>
          <w:bottom w:w="15" w:type="dxa"/>
          <w:right w:w="15" w:type="dxa"/>
        </w:tblCellMar>
      </w:tblPr>
      <w:tblGrid>
        <w:gridCol w:w="2003"/>
        <w:gridCol w:w="1554"/>
        <w:gridCol w:w="1815"/>
        <w:gridCol w:w="1230"/>
        <w:gridCol w:w="1061"/>
        <w:gridCol w:w="1197"/>
      </w:tblGrid>
      <w:tr>
        <w:tblPrEx>
          <w:tblCellMar>
            <w:top w:w="15" w:type="dxa"/>
            <w:left w:w="15" w:type="dxa"/>
            <w:bottom w:w="15" w:type="dxa"/>
            <w:right w:w="15" w:type="dxa"/>
          </w:tblCellMar>
        </w:tblPrEx>
        <w:trPr>
          <w:trHeight w:val="578" w:hRule="atLeast"/>
        </w:trPr>
        <w:tc>
          <w:tcPr>
            <w:tcW w:w="355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sz w:val="21"/>
                <w:szCs w:val="21"/>
              </w:rPr>
              <w:t>收入</w:t>
            </w:r>
          </w:p>
        </w:tc>
        <w:tc>
          <w:tcPr>
            <w:tcW w:w="5303"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sz w:val="21"/>
                <w:szCs w:val="21"/>
              </w:rPr>
              <w:t>支出</w:t>
            </w:r>
          </w:p>
        </w:tc>
      </w:tr>
      <w:tr>
        <w:tblPrEx>
          <w:tblCellMar>
            <w:top w:w="15" w:type="dxa"/>
            <w:left w:w="15" w:type="dxa"/>
            <w:bottom w:w="15" w:type="dxa"/>
            <w:right w:w="15" w:type="dxa"/>
          </w:tblCellMar>
        </w:tblPrEx>
        <w:trPr>
          <w:trHeight w:val="999"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项</w:t>
            </w:r>
            <w:r>
              <w:rPr>
                <w:rFonts w:ascii="宋体" w:hAnsi="宋体" w:eastAsia="宋体" w:cs="宋体"/>
                <w:b/>
                <w:bCs/>
                <w:color w:val="000000"/>
                <w:kern w:val="0"/>
                <w:sz w:val="21"/>
                <w:szCs w:val="21"/>
              </w:rPr>
              <w:t xml:space="preserve">    </w:t>
            </w:r>
            <w:r>
              <w:rPr>
                <w:rFonts w:hint="eastAsia" w:ascii="宋体" w:hAnsi="宋体" w:eastAsia="宋体" w:cs="宋体"/>
                <w:b/>
                <w:bCs/>
                <w:color w:val="000000"/>
                <w:kern w:val="0"/>
                <w:sz w:val="21"/>
                <w:szCs w:val="21"/>
              </w:rPr>
              <w:t>目</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决算数</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项目</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合计</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一般公共预算财政拨款</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政府性基金预算财政拨款</w:t>
            </w: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本年收入合计</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Times New Roman"/>
                <w:color w:val="00000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本年支出合计</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kern w:val="0"/>
                <w:sz w:val="21"/>
                <w:szCs w:val="21"/>
              </w:rPr>
            </w:pPr>
            <w:r>
              <w:rPr>
                <w:rFonts w:hint="eastAsia" w:ascii="宋体" w:hAnsi="宋体" w:eastAsia="宋体" w:cs="宋体"/>
                <w:color w:val="000000"/>
                <w:kern w:val="0"/>
                <w:sz w:val="21"/>
                <w:szCs w:val="21"/>
              </w:rPr>
              <w:t>年初财政拨款结转和结余</w:t>
            </w:r>
          </w:p>
        </w:tc>
        <w:tc>
          <w:tcPr>
            <w:tcW w:w="155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b/>
                <w:bCs/>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kern w:val="0"/>
                <w:sz w:val="21"/>
                <w:szCs w:val="21"/>
              </w:rPr>
            </w:pPr>
            <w:r>
              <w:rPr>
                <w:rFonts w:hint="eastAsia" w:ascii="宋体" w:hAnsi="宋体" w:eastAsia="宋体" w:cs="宋体"/>
                <w:color w:val="000000"/>
                <w:kern w:val="0"/>
                <w:sz w:val="21"/>
                <w:szCs w:val="21"/>
              </w:rPr>
              <w:t>年末财政拨款</w:t>
            </w:r>
          </w:p>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color w:val="000000"/>
                <w:kern w:val="0"/>
                <w:sz w:val="21"/>
                <w:szCs w:val="21"/>
              </w:rPr>
              <w:t>结转和结余</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kern w:val="0"/>
                <w:sz w:val="21"/>
                <w:szCs w:val="21"/>
              </w:rPr>
            </w:pPr>
            <w:r>
              <w:rPr>
                <w:rFonts w:hint="eastAsia" w:ascii="宋体" w:hAnsi="宋体" w:eastAsia="宋体" w:cs="宋体"/>
                <w:color w:val="000000"/>
                <w:kern w:val="0"/>
                <w:sz w:val="21"/>
                <w:szCs w:val="21"/>
              </w:rPr>
              <w:t>一、一般公共预</w:t>
            </w:r>
          </w:p>
          <w:p>
            <w:pPr>
              <w:widowControl/>
              <w:ind w:firstLine="420" w:firstLineChars="200"/>
              <w:textAlignment w:val="center"/>
              <w:rPr>
                <w:rFonts w:ascii="宋体" w:hAnsi="宋体" w:eastAsia="宋体" w:cs="Times New Roman"/>
                <w:b/>
                <w:bCs/>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kern w:val="0"/>
                <w:sz w:val="21"/>
                <w:szCs w:val="21"/>
              </w:rPr>
            </w:pPr>
            <w:r>
              <w:rPr>
                <w:rFonts w:hint="eastAsia" w:ascii="宋体" w:hAnsi="宋体" w:eastAsia="宋体" w:cs="宋体"/>
                <w:color w:val="000000"/>
                <w:kern w:val="0"/>
                <w:sz w:val="21"/>
                <w:szCs w:val="21"/>
              </w:rPr>
              <w:t>二、政府性基金预</w:t>
            </w:r>
          </w:p>
          <w:p>
            <w:pPr>
              <w:widowControl/>
              <w:ind w:firstLine="420" w:firstLineChars="200"/>
              <w:textAlignment w:val="center"/>
              <w:rPr>
                <w:rFonts w:ascii="宋体" w:hAnsi="宋体" w:eastAsia="宋体" w:cs="Times New Roman"/>
                <w:b/>
                <w:bCs/>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r>
      <w:tr>
        <w:tblPrEx>
          <w:tblCellMar>
            <w:top w:w="15" w:type="dxa"/>
            <w:left w:w="15" w:type="dxa"/>
            <w:bottom w:w="15" w:type="dxa"/>
            <w:right w:w="15" w:type="dxa"/>
          </w:tblCellMar>
        </w:tblPrEx>
        <w:trPr>
          <w:trHeight w:val="562"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收入总计</w:t>
            </w:r>
          </w:p>
        </w:tc>
        <w:tc>
          <w:tcPr>
            <w:tcW w:w="155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b/>
                <w:bCs/>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支出总计</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r>
    </w:tbl>
    <w:p>
      <w:pPr>
        <w:rPr>
          <w:rFonts w:ascii="宋体" w:hAnsi="宋体" w:eastAsia="宋体" w:cs="Times New Roman"/>
          <w:sz w:val="21"/>
          <w:szCs w:val="21"/>
        </w:rPr>
      </w:pPr>
    </w:p>
    <w:p>
      <w:pPr>
        <w:widowControl/>
        <w:ind w:left="31680" w:hanging="210" w:hangingChars="100"/>
        <w:jc w:val="left"/>
        <w:rPr>
          <w:rFonts w:eastAsia="宋体" w:cs="Times New Roman"/>
          <w:sz w:val="21"/>
          <w:szCs w:val="21"/>
        </w:rPr>
      </w:pPr>
      <w:r>
        <w:rPr>
          <w:rFonts w:hint="eastAsia" w:ascii="宋体" w:hAnsi="宋体" w:eastAsia="宋体" w:cs="宋体"/>
          <w:sz w:val="21"/>
          <w:szCs w:val="21"/>
        </w:rPr>
        <w:t>注：本表反映部门本年度一般公共预算财政拨款和政府性基金预算财政拨款的总收支和年末结转结余情况。</w:t>
      </w:r>
      <w:r>
        <w:rPr>
          <w:rFonts w:hint="eastAsia" w:ascii="宋体" w:hAnsi="宋体" w:eastAsia="宋体" w:cs="宋体"/>
          <w:color w:val="000000"/>
          <w:kern w:val="0"/>
          <w:sz w:val="21"/>
          <w:szCs w:val="21"/>
        </w:rPr>
        <w:t>本表金额转换为万元时，因四舍五入可能存在尾差。</w:t>
      </w:r>
    </w:p>
    <w:p>
      <w:pPr>
        <w:rPr>
          <w:rFonts w:ascii="仿宋_GB2312" w:hAnsi="仿宋_GB2312" w:eastAsia="仿宋_GB2312"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ascii="宋体" w:hAnsi="宋体" w:eastAsia="宋体" w:cs="Times New Roman"/>
          <w:b/>
          <w:bCs/>
        </w:rPr>
      </w:pPr>
    </w:p>
    <w:p>
      <w:pPr>
        <w:jc w:val="center"/>
        <w:rPr>
          <w:rFonts w:ascii="宋体" w:hAnsi="宋体" w:eastAsia="宋体" w:cs="Times New Roman"/>
          <w:b/>
          <w:bCs/>
        </w:rPr>
      </w:pPr>
      <w:r>
        <w:rPr>
          <w:rFonts w:hint="eastAsia" w:ascii="宋体" w:hAnsi="宋体" w:eastAsia="宋体" w:cs="宋体"/>
          <w:b/>
          <w:bCs/>
        </w:rPr>
        <w:t>一般公共预算财政拨款支出决算表（按功能分类科目）</w:t>
      </w:r>
    </w:p>
    <w:p>
      <w:pPr>
        <w:rPr>
          <w:rFonts w:ascii="宋体" w:hAnsi="宋体" w:eastAsia="宋体" w:cs="Times New Roman"/>
          <w:b/>
          <w:bCs/>
          <w:sz w:val="21"/>
          <w:szCs w:val="21"/>
        </w:rPr>
      </w:pPr>
      <w:r>
        <w:rPr>
          <w:rFonts w:ascii="宋体" w:hAnsi="宋体" w:eastAsia="宋体" w:cs="宋体"/>
          <w:b/>
          <w:bCs/>
          <w:sz w:val="21"/>
          <w:szCs w:val="21"/>
        </w:rPr>
        <w:t xml:space="preserve">                                                                      </w:t>
      </w:r>
      <w:r>
        <w:rPr>
          <w:rFonts w:hint="eastAsia" w:ascii="宋体" w:hAnsi="宋体" w:eastAsia="宋体" w:cs="宋体"/>
          <w:b/>
          <w:bCs/>
          <w:sz w:val="21"/>
          <w:szCs w:val="21"/>
        </w:rPr>
        <w:t>公开</w:t>
      </w:r>
      <w:r>
        <w:rPr>
          <w:rFonts w:ascii="宋体" w:hAnsi="宋体" w:eastAsia="宋体" w:cs="宋体"/>
          <w:b/>
          <w:bCs/>
          <w:sz w:val="21"/>
          <w:szCs w:val="21"/>
        </w:rPr>
        <w:t>05</w:t>
      </w:r>
      <w:r>
        <w:rPr>
          <w:rFonts w:hint="eastAsia" w:ascii="宋体" w:hAnsi="宋体" w:eastAsia="宋体" w:cs="宋体"/>
          <w:b/>
          <w:bCs/>
          <w:sz w:val="21"/>
          <w:szCs w:val="21"/>
        </w:rPr>
        <w:t>表</w:t>
      </w:r>
    </w:p>
    <w:p>
      <w:pPr>
        <w:rPr>
          <w:rFonts w:ascii="宋体" w:hAnsi="宋体" w:eastAsia="宋体" w:cs="Times New Roman"/>
          <w:b/>
          <w:bCs/>
          <w:sz w:val="21"/>
          <w:szCs w:val="21"/>
        </w:rPr>
      </w:pPr>
      <w:r>
        <w:rPr>
          <w:rFonts w:hint="eastAsia" w:ascii="宋体" w:hAnsi="宋体" w:eastAsia="宋体" w:cs="宋体"/>
          <w:b/>
          <w:bCs/>
          <w:sz w:val="21"/>
          <w:szCs w:val="21"/>
        </w:rPr>
        <w:t>编制部门：</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5"/>
        <w:tblW w:w="9718" w:type="dxa"/>
        <w:tblInd w:w="-106" w:type="dxa"/>
        <w:tblLayout w:type="autofit"/>
        <w:tblCellMar>
          <w:top w:w="0" w:type="dxa"/>
          <w:left w:w="108" w:type="dxa"/>
          <w:bottom w:w="0" w:type="dxa"/>
          <w:right w:w="108" w:type="dxa"/>
        </w:tblCellMar>
      </w:tblPr>
      <w:tblGrid>
        <w:gridCol w:w="986"/>
        <w:gridCol w:w="3736"/>
        <w:gridCol w:w="876"/>
        <w:gridCol w:w="876"/>
        <w:gridCol w:w="876"/>
        <w:gridCol w:w="766"/>
        <w:gridCol w:w="766"/>
        <w:gridCol w:w="836"/>
      </w:tblGrid>
      <w:tr>
        <w:tblPrEx>
          <w:tblCellMar>
            <w:top w:w="0" w:type="dxa"/>
            <w:left w:w="108" w:type="dxa"/>
            <w:bottom w:w="0" w:type="dxa"/>
            <w:right w:w="108" w:type="dxa"/>
          </w:tblCellMar>
        </w:tblPrEx>
        <w:trPr>
          <w:trHeight w:val="32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项目</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本年支</w:t>
            </w:r>
          </w:p>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出合计</w:t>
            </w:r>
          </w:p>
        </w:tc>
        <w:tc>
          <w:tcPr>
            <w:tcW w:w="0" w:type="auto"/>
            <w:gridSpan w:val="3"/>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基本支出</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项目支出</w:t>
            </w:r>
          </w:p>
        </w:tc>
        <w:tc>
          <w:tcPr>
            <w:tcW w:w="836" w:type="dxa"/>
            <w:vMerge w:val="restart"/>
            <w:tcBorders>
              <w:top w:val="single" w:color="000000" w:sz="4" w:space="0"/>
              <w:left w:val="nil"/>
              <w:bottom w:val="single" w:color="000000" w:sz="4" w:space="0"/>
              <w:right w:val="single" w:color="000000" w:sz="8"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备注</w:t>
            </w:r>
          </w:p>
        </w:tc>
      </w:tr>
      <w:tr>
        <w:tblPrEx>
          <w:tblCellMar>
            <w:top w:w="0" w:type="dxa"/>
            <w:left w:w="108" w:type="dxa"/>
            <w:bottom w:w="0" w:type="dxa"/>
            <w:right w:w="108" w:type="dxa"/>
          </w:tblCellMar>
        </w:tblPrEx>
        <w:trPr>
          <w:trHeight w:val="329" w:hRule="atLeast"/>
        </w:trPr>
        <w:tc>
          <w:tcPr>
            <w:tcW w:w="0" w:type="auto"/>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功能分类科目编码</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科目名称</w:t>
            </w: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小计</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人员经费</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公用经费</w:t>
            </w: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836"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Times New Roman"/>
                <w:color w:val="000000"/>
                <w:kern w:val="0"/>
                <w:sz w:val="22"/>
                <w:szCs w:val="22"/>
              </w:rPr>
            </w:pPr>
          </w:p>
        </w:tc>
      </w:tr>
      <w:tr>
        <w:tblPrEx>
          <w:tblCellMar>
            <w:top w:w="0" w:type="dxa"/>
            <w:left w:w="108" w:type="dxa"/>
            <w:bottom w:w="0" w:type="dxa"/>
            <w:right w:w="108" w:type="dxa"/>
          </w:tblCellMar>
        </w:tblPrEx>
        <w:trPr>
          <w:trHeight w:val="329" w:hRule="atLeast"/>
        </w:trPr>
        <w:tc>
          <w:tcPr>
            <w:tcW w:w="0" w:type="auto"/>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836"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Times New Roman"/>
                <w:color w:val="000000"/>
                <w:kern w:val="0"/>
                <w:sz w:val="22"/>
                <w:szCs w:val="22"/>
              </w:rPr>
            </w:pPr>
          </w:p>
        </w:tc>
      </w:tr>
      <w:tr>
        <w:tblPrEx>
          <w:tblCellMar>
            <w:top w:w="0" w:type="dxa"/>
            <w:left w:w="108" w:type="dxa"/>
            <w:bottom w:w="0" w:type="dxa"/>
            <w:right w:w="108" w:type="dxa"/>
          </w:tblCellMar>
        </w:tblPrEx>
        <w:trPr>
          <w:trHeight w:val="647" w:hRule="atLeast"/>
        </w:trPr>
        <w:tc>
          <w:tcPr>
            <w:tcW w:w="0" w:type="auto"/>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836"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Times New Roman"/>
                <w:color w:val="000000"/>
                <w:kern w:val="0"/>
                <w:sz w:val="22"/>
                <w:szCs w:val="22"/>
              </w:rPr>
            </w:pPr>
          </w:p>
        </w:tc>
      </w:tr>
      <w:tr>
        <w:tblPrEx>
          <w:tblCellMar>
            <w:top w:w="0" w:type="dxa"/>
            <w:left w:w="108" w:type="dxa"/>
            <w:bottom w:w="0" w:type="dxa"/>
            <w:right w:w="108" w:type="dxa"/>
          </w:tblCellMar>
        </w:tblPrEx>
        <w:trPr>
          <w:trHeight w:val="325" w:hRule="atLeast"/>
        </w:trPr>
        <w:tc>
          <w:tcPr>
            <w:tcW w:w="0" w:type="auto"/>
            <w:gridSpan w:val="2"/>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合计</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138.92</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119.92</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107.69</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12.23</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19.00</w:t>
            </w:r>
          </w:p>
        </w:tc>
        <w:tc>
          <w:tcPr>
            <w:tcW w:w="836"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0" w:type="auto"/>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201</w:t>
            </w:r>
          </w:p>
        </w:tc>
        <w:tc>
          <w:tcPr>
            <w:tcW w:w="0" w:type="auto"/>
            <w:tcBorders>
              <w:top w:val="nil"/>
              <w:left w:val="nil"/>
              <w:bottom w:val="single" w:color="000000" w:sz="4" w:space="0"/>
              <w:right w:val="single" w:color="000000" w:sz="4" w:space="0"/>
            </w:tcBorders>
            <w:noWrap/>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一般公共服务支出</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124.33</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105.33</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93.10</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12.23</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19.00</w:t>
            </w:r>
          </w:p>
        </w:tc>
        <w:tc>
          <w:tcPr>
            <w:tcW w:w="836"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0" w:type="auto"/>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20136</w:t>
            </w:r>
          </w:p>
        </w:tc>
        <w:tc>
          <w:tcPr>
            <w:tcW w:w="0" w:type="auto"/>
            <w:tcBorders>
              <w:top w:val="nil"/>
              <w:left w:val="nil"/>
              <w:bottom w:val="single" w:color="000000" w:sz="4" w:space="0"/>
              <w:right w:val="single" w:color="000000" w:sz="4" w:space="0"/>
            </w:tcBorders>
            <w:noWrap/>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其他共产党事务支出</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124.33</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105.33</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93.10</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12.23</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19.00</w:t>
            </w:r>
          </w:p>
        </w:tc>
        <w:tc>
          <w:tcPr>
            <w:tcW w:w="836"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0" w:type="auto"/>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2013601</w:t>
            </w:r>
          </w:p>
        </w:tc>
        <w:tc>
          <w:tcPr>
            <w:tcW w:w="0" w:type="auto"/>
            <w:tcBorders>
              <w:top w:val="nil"/>
              <w:left w:val="nil"/>
              <w:bottom w:val="single" w:color="000000" w:sz="4" w:space="0"/>
              <w:right w:val="single" w:color="000000" w:sz="4" w:space="0"/>
            </w:tcBorders>
            <w:noWrap/>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行政运行</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105.33</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105.33</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93.10</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12.23</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836"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0" w:type="auto"/>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2013602</w:t>
            </w:r>
          </w:p>
        </w:tc>
        <w:tc>
          <w:tcPr>
            <w:tcW w:w="0" w:type="auto"/>
            <w:tcBorders>
              <w:top w:val="nil"/>
              <w:left w:val="nil"/>
              <w:bottom w:val="single" w:color="000000" w:sz="4" w:space="0"/>
              <w:right w:val="single" w:color="000000" w:sz="4" w:space="0"/>
            </w:tcBorders>
            <w:noWrap/>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一般行政管理事务</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10.00</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10.00</w:t>
            </w:r>
          </w:p>
        </w:tc>
        <w:tc>
          <w:tcPr>
            <w:tcW w:w="836"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0" w:type="auto"/>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2013699</w:t>
            </w:r>
          </w:p>
        </w:tc>
        <w:tc>
          <w:tcPr>
            <w:tcW w:w="0" w:type="auto"/>
            <w:tcBorders>
              <w:top w:val="nil"/>
              <w:left w:val="nil"/>
              <w:bottom w:val="single" w:color="000000" w:sz="4" w:space="0"/>
              <w:right w:val="single" w:color="000000" w:sz="4" w:space="0"/>
            </w:tcBorders>
            <w:noWrap/>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其他共产党事务支出</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9.00</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9.00</w:t>
            </w:r>
          </w:p>
        </w:tc>
        <w:tc>
          <w:tcPr>
            <w:tcW w:w="836"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0" w:type="auto"/>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208</w:t>
            </w:r>
          </w:p>
        </w:tc>
        <w:tc>
          <w:tcPr>
            <w:tcW w:w="0" w:type="auto"/>
            <w:tcBorders>
              <w:top w:val="nil"/>
              <w:left w:val="nil"/>
              <w:bottom w:val="single" w:color="000000" w:sz="4" w:space="0"/>
              <w:right w:val="single" w:color="000000" w:sz="4" w:space="0"/>
            </w:tcBorders>
            <w:noWrap/>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社会保障和就业支出</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11.78</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11.78</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11.78</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836"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0" w:type="auto"/>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20805</w:t>
            </w:r>
          </w:p>
        </w:tc>
        <w:tc>
          <w:tcPr>
            <w:tcW w:w="0" w:type="auto"/>
            <w:tcBorders>
              <w:top w:val="nil"/>
              <w:left w:val="nil"/>
              <w:bottom w:val="single" w:color="000000" w:sz="4" w:space="0"/>
              <w:right w:val="single" w:color="000000" w:sz="4" w:space="0"/>
            </w:tcBorders>
            <w:noWrap/>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行政事业单位离退休</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11.78</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11.78</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11.78</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836"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0" w:type="auto"/>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2080505</w:t>
            </w:r>
          </w:p>
        </w:tc>
        <w:tc>
          <w:tcPr>
            <w:tcW w:w="0" w:type="auto"/>
            <w:tcBorders>
              <w:top w:val="nil"/>
              <w:left w:val="nil"/>
              <w:bottom w:val="single" w:color="000000" w:sz="4" w:space="0"/>
              <w:right w:val="single" w:color="000000" w:sz="4" w:space="0"/>
            </w:tcBorders>
            <w:noWrap/>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机关事业单位基本养老保险缴费支出</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11.78</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11.78</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11.78</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836"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0" w:type="auto"/>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210</w:t>
            </w:r>
          </w:p>
        </w:tc>
        <w:tc>
          <w:tcPr>
            <w:tcW w:w="0" w:type="auto"/>
            <w:tcBorders>
              <w:top w:val="nil"/>
              <w:left w:val="nil"/>
              <w:bottom w:val="single" w:color="000000" w:sz="4" w:space="0"/>
              <w:right w:val="single" w:color="000000" w:sz="4" w:space="0"/>
            </w:tcBorders>
            <w:noWrap/>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卫生健康支出</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2.81</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2.81</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2.81</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836"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0" w:type="auto"/>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21011</w:t>
            </w:r>
          </w:p>
        </w:tc>
        <w:tc>
          <w:tcPr>
            <w:tcW w:w="0" w:type="auto"/>
            <w:tcBorders>
              <w:top w:val="nil"/>
              <w:left w:val="nil"/>
              <w:bottom w:val="single" w:color="000000" w:sz="4" w:space="0"/>
              <w:right w:val="single" w:color="000000" w:sz="4" w:space="0"/>
            </w:tcBorders>
            <w:noWrap/>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行政事业单位医疗</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2.56</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2.56</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2.56</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836"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0" w:type="auto"/>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2101101</w:t>
            </w:r>
          </w:p>
        </w:tc>
        <w:tc>
          <w:tcPr>
            <w:tcW w:w="0" w:type="auto"/>
            <w:tcBorders>
              <w:top w:val="nil"/>
              <w:left w:val="nil"/>
              <w:bottom w:val="single" w:color="000000" w:sz="4" w:space="0"/>
              <w:right w:val="single" w:color="000000" w:sz="4" w:space="0"/>
            </w:tcBorders>
            <w:noWrap/>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行政单位医疗</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2.44</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2.44</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2.44</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836"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0" w:type="auto"/>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2101103</w:t>
            </w:r>
          </w:p>
        </w:tc>
        <w:tc>
          <w:tcPr>
            <w:tcW w:w="0" w:type="auto"/>
            <w:tcBorders>
              <w:top w:val="nil"/>
              <w:left w:val="nil"/>
              <w:bottom w:val="single" w:color="000000" w:sz="4" w:space="0"/>
              <w:right w:val="single" w:color="000000" w:sz="4" w:space="0"/>
            </w:tcBorders>
            <w:noWrap/>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公务员医疗补助</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0.12</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0.12</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0.12</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836"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0" w:type="auto"/>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21099</w:t>
            </w:r>
          </w:p>
        </w:tc>
        <w:tc>
          <w:tcPr>
            <w:tcW w:w="0" w:type="auto"/>
            <w:tcBorders>
              <w:top w:val="nil"/>
              <w:left w:val="nil"/>
              <w:bottom w:val="single" w:color="000000" w:sz="4" w:space="0"/>
              <w:right w:val="single" w:color="000000" w:sz="4" w:space="0"/>
            </w:tcBorders>
            <w:noWrap/>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其他卫生健康支出</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0.25</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0.25</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0.25</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0" w:type="auto"/>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836"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0" w:type="auto"/>
            <w:tcBorders>
              <w:top w:val="nil"/>
              <w:left w:val="single" w:color="000000" w:sz="4" w:space="0"/>
              <w:bottom w:val="single" w:color="000000" w:sz="8"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2109901</w:t>
            </w:r>
          </w:p>
        </w:tc>
        <w:tc>
          <w:tcPr>
            <w:tcW w:w="0" w:type="auto"/>
            <w:tcBorders>
              <w:top w:val="nil"/>
              <w:left w:val="nil"/>
              <w:bottom w:val="single" w:color="000000" w:sz="8" w:space="0"/>
              <w:right w:val="single" w:color="000000" w:sz="4" w:space="0"/>
            </w:tcBorders>
            <w:noWrap/>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其他卫生健康支出</w:t>
            </w:r>
          </w:p>
        </w:tc>
        <w:tc>
          <w:tcPr>
            <w:tcW w:w="0" w:type="auto"/>
            <w:tcBorders>
              <w:top w:val="nil"/>
              <w:left w:val="nil"/>
              <w:bottom w:val="single" w:color="000000" w:sz="8"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0.25</w:t>
            </w:r>
          </w:p>
        </w:tc>
        <w:tc>
          <w:tcPr>
            <w:tcW w:w="0" w:type="auto"/>
            <w:tcBorders>
              <w:top w:val="nil"/>
              <w:left w:val="nil"/>
              <w:bottom w:val="single" w:color="000000" w:sz="8"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0.25</w:t>
            </w:r>
          </w:p>
        </w:tc>
        <w:tc>
          <w:tcPr>
            <w:tcW w:w="0" w:type="auto"/>
            <w:tcBorders>
              <w:top w:val="nil"/>
              <w:left w:val="nil"/>
              <w:bottom w:val="single" w:color="000000" w:sz="8"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0.25</w:t>
            </w:r>
          </w:p>
        </w:tc>
        <w:tc>
          <w:tcPr>
            <w:tcW w:w="0" w:type="auto"/>
            <w:tcBorders>
              <w:top w:val="nil"/>
              <w:left w:val="nil"/>
              <w:bottom w:val="single" w:color="000000" w:sz="8"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0" w:type="auto"/>
            <w:tcBorders>
              <w:top w:val="nil"/>
              <w:left w:val="nil"/>
              <w:bottom w:val="single" w:color="000000" w:sz="8"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836" w:type="dxa"/>
            <w:tcBorders>
              <w:top w:val="nil"/>
              <w:left w:val="nil"/>
              <w:bottom w:val="single" w:color="000000" w:sz="8"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bl>
    <w:p>
      <w:pPr>
        <w:widowControl/>
        <w:ind w:left="31680" w:hanging="420" w:hangingChars="200"/>
        <w:jc w:val="left"/>
        <w:rPr>
          <w:rFonts w:ascii="宋体" w:hAnsi="宋体" w:eastAsia="宋体" w:cs="Times New Roman"/>
          <w:sz w:val="21"/>
          <w:szCs w:val="21"/>
        </w:rPr>
      </w:pPr>
    </w:p>
    <w:p>
      <w:pPr>
        <w:widowControl/>
        <w:ind w:left="31680" w:hanging="420" w:hangingChars="200"/>
        <w:jc w:val="left"/>
        <w:rPr>
          <w:rFonts w:eastAsia="宋体" w:cs="Times New Roman"/>
          <w:sz w:val="21"/>
          <w:szCs w:val="21"/>
        </w:rPr>
      </w:pPr>
      <w:r>
        <w:rPr>
          <w:rFonts w:hint="eastAsia" w:ascii="宋体" w:hAnsi="宋体" w:eastAsia="宋体" w:cs="宋体"/>
          <w:sz w:val="21"/>
          <w:szCs w:val="21"/>
        </w:rPr>
        <w:t>注：本表反映部门本年度一般公共预算财政拨款实际支出情况。</w:t>
      </w:r>
      <w:r>
        <w:rPr>
          <w:rFonts w:hint="eastAsia" w:ascii="宋体" w:hAnsi="宋体" w:eastAsia="宋体" w:cs="宋体"/>
          <w:color w:val="000000"/>
          <w:kern w:val="0"/>
          <w:sz w:val="21"/>
          <w:szCs w:val="21"/>
        </w:rPr>
        <w:t>本表金额转换为万元时，因四舍五入可能存在尾差。</w:t>
      </w: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ascii="宋体" w:hAnsi="宋体" w:eastAsia="宋体" w:cs="Times New Roman"/>
          <w:b/>
          <w:bCs/>
        </w:rPr>
      </w:pPr>
    </w:p>
    <w:p>
      <w:pPr>
        <w:rPr>
          <w:rFonts w:ascii="宋体" w:hAnsi="宋体" w:eastAsia="宋体" w:cs="Times New Roman"/>
          <w:b/>
          <w:bCs/>
        </w:rPr>
      </w:pPr>
      <w:r>
        <w:rPr>
          <w:rFonts w:hint="eastAsia" w:ascii="宋体" w:hAnsi="宋体" w:eastAsia="宋体" w:cs="宋体"/>
          <w:b/>
          <w:bCs/>
        </w:rPr>
        <w:t>一般公共预算财政拨款基本支出决算表（按经济分类科目）</w:t>
      </w:r>
    </w:p>
    <w:p>
      <w:pPr>
        <w:rPr>
          <w:rFonts w:ascii="宋体" w:hAnsi="宋体" w:eastAsia="宋体" w:cs="Times New Roman"/>
          <w:b/>
          <w:bCs/>
          <w:sz w:val="21"/>
          <w:szCs w:val="21"/>
        </w:rPr>
      </w:pPr>
      <w:r>
        <w:rPr>
          <w:rFonts w:hint="eastAsia" w:ascii="宋体" w:hAnsi="宋体" w:eastAsia="宋体" w:cs="宋体"/>
          <w:b/>
          <w:bCs/>
          <w:sz w:val="21"/>
          <w:szCs w:val="21"/>
        </w:rPr>
        <w:t>公开</w:t>
      </w:r>
      <w:r>
        <w:rPr>
          <w:rFonts w:ascii="宋体" w:hAnsi="宋体" w:eastAsia="宋体" w:cs="宋体"/>
          <w:b/>
          <w:bCs/>
          <w:sz w:val="21"/>
          <w:szCs w:val="21"/>
        </w:rPr>
        <w:t>06</w:t>
      </w:r>
      <w:r>
        <w:rPr>
          <w:rFonts w:hint="eastAsia" w:ascii="宋体" w:hAnsi="宋体" w:eastAsia="宋体" w:cs="宋体"/>
          <w:b/>
          <w:bCs/>
          <w:sz w:val="21"/>
          <w:szCs w:val="21"/>
        </w:rPr>
        <w:t>表</w:t>
      </w:r>
    </w:p>
    <w:p>
      <w:pPr>
        <w:rPr>
          <w:rFonts w:ascii="宋体" w:hAnsi="宋体" w:eastAsia="宋体" w:cs="Times New Roman"/>
          <w:b/>
          <w:bCs/>
          <w:sz w:val="21"/>
          <w:szCs w:val="21"/>
        </w:rPr>
      </w:pPr>
      <w:r>
        <w:rPr>
          <w:rFonts w:hint="eastAsia" w:ascii="宋体" w:hAnsi="宋体" w:eastAsia="宋体" w:cs="宋体"/>
          <w:b/>
          <w:bCs/>
          <w:sz w:val="21"/>
          <w:szCs w:val="21"/>
        </w:rPr>
        <w:t>编制部门：</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5"/>
        <w:tblW w:w="8835" w:type="dxa"/>
        <w:tblInd w:w="-106" w:type="dxa"/>
        <w:tblLayout w:type="autofit"/>
        <w:tblCellMar>
          <w:top w:w="0" w:type="dxa"/>
          <w:left w:w="108" w:type="dxa"/>
          <w:bottom w:w="0" w:type="dxa"/>
          <w:right w:w="108" w:type="dxa"/>
        </w:tblCellMar>
      </w:tblPr>
      <w:tblGrid>
        <w:gridCol w:w="818"/>
        <w:gridCol w:w="2698"/>
        <w:gridCol w:w="1339"/>
        <w:gridCol w:w="1339"/>
        <w:gridCol w:w="1337"/>
        <w:gridCol w:w="1304"/>
      </w:tblGrid>
      <w:tr>
        <w:tblPrEx>
          <w:tblCellMar>
            <w:top w:w="0" w:type="dxa"/>
            <w:left w:w="108" w:type="dxa"/>
            <w:bottom w:w="0" w:type="dxa"/>
            <w:right w:w="108" w:type="dxa"/>
          </w:tblCellMar>
        </w:tblPrEx>
        <w:trPr>
          <w:trHeight w:val="316" w:hRule="atLeast"/>
        </w:trPr>
        <w:tc>
          <w:tcPr>
            <w:tcW w:w="3516" w:type="dxa"/>
            <w:gridSpan w:val="2"/>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项目</w:t>
            </w:r>
          </w:p>
        </w:tc>
        <w:tc>
          <w:tcPr>
            <w:tcW w:w="1339"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本年支出合计</w:t>
            </w:r>
          </w:p>
        </w:tc>
        <w:tc>
          <w:tcPr>
            <w:tcW w:w="1339"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人员经费</w:t>
            </w:r>
          </w:p>
        </w:tc>
        <w:tc>
          <w:tcPr>
            <w:tcW w:w="1337"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公用经费</w:t>
            </w:r>
          </w:p>
        </w:tc>
        <w:tc>
          <w:tcPr>
            <w:tcW w:w="1304" w:type="dxa"/>
            <w:vMerge w:val="restart"/>
            <w:tcBorders>
              <w:top w:val="single" w:color="000000" w:sz="4" w:space="0"/>
              <w:left w:val="nil"/>
              <w:bottom w:val="single" w:color="000000" w:sz="4" w:space="0"/>
              <w:right w:val="single" w:color="000000" w:sz="8"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备注</w:t>
            </w:r>
          </w:p>
        </w:tc>
      </w:tr>
      <w:tr>
        <w:tblPrEx>
          <w:tblCellMar>
            <w:top w:w="0" w:type="dxa"/>
            <w:left w:w="108" w:type="dxa"/>
            <w:bottom w:w="0" w:type="dxa"/>
            <w:right w:w="108" w:type="dxa"/>
          </w:tblCellMar>
        </w:tblPrEx>
        <w:trPr>
          <w:trHeight w:val="320" w:hRule="atLeast"/>
        </w:trPr>
        <w:tc>
          <w:tcPr>
            <w:tcW w:w="818" w:type="dxa"/>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经济分类科目编码</w:t>
            </w:r>
          </w:p>
        </w:tc>
        <w:tc>
          <w:tcPr>
            <w:tcW w:w="2698"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科目名称</w:t>
            </w:r>
          </w:p>
        </w:tc>
        <w:tc>
          <w:tcPr>
            <w:tcW w:w="1339"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339"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33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304"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Times New Roman"/>
                <w:color w:val="000000"/>
                <w:kern w:val="0"/>
                <w:sz w:val="22"/>
                <w:szCs w:val="22"/>
              </w:rPr>
            </w:pPr>
          </w:p>
        </w:tc>
      </w:tr>
      <w:tr>
        <w:tblPrEx>
          <w:tblCellMar>
            <w:top w:w="0" w:type="dxa"/>
            <w:left w:w="108" w:type="dxa"/>
            <w:bottom w:w="0" w:type="dxa"/>
            <w:right w:w="108" w:type="dxa"/>
          </w:tblCellMar>
        </w:tblPrEx>
        <w:trPr>
          <w:trHeight w:val="320" w:hRule="atLeast"/>
        </w:trPr>
        <w:tc>
          <w:tcPr>
            <w:tcW w:w="8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2698"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339"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339"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33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304"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Times New Roman"/>
                <w:color w:val="000000"/>
                <w:kern w:val="0"/>
                <w:sz w:val="22"/>
                <w:szCs w:val="22"/>
              </w:rPr>
            </w:pPr>
          </w:p>
        </w:tc>
      </w:tr>
      <w:tr>
        <w:tblPrEx>
          <w:tblCellMar>
            <w:top w:w="0" w:type="dxa"/>
            <w:left w:w="108" w:type="dxa"/>
            <w:bottom w:w="0" w:type="dxa"/>
            <w:right w:w="108" w:type="dxa"/>
          </w:tblCellMar>
        </w:tblPrEx>
        <w:trPr>
          <w:trHeight w:val="630" w:hRule="atLeast"/>
        </w:trPr>
        <w:tc>
          <w:tcPr>
            <w:tcW w:w="8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2698"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339"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339"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33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304"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Times New Roman"/>
                <w:color w:val="000000"/>
                <w:kern w:val="0"/>
                <w:sz w:val="22"/>
                <w:szCs w:val="22"/>
              </w:rPr>
            </w:pPr>
          </w:p>
        </w:tc>
      </w:tr>
      <w:tr>
        <w:tblPrEx>
          <w:tblCellMar>
            <w:top w:w="0" w:type="dxa"/>
            <w:left w:w="108" w:type="dxa"/>
            <w:bottom w:w="0" w:type="dxa"/>
            <w:right w:w="108" w:type="dxa"/>
          </w:tblCellMar>
        </w:tblPrEx>
        <w:trPr>
          <w:trHeight w:val="316" w:hRule="atLeast"/>
        </w:trPr>
        <w:tc>
          <w:tcPr>
            <w:tcW w:w="3516" w:type="dxa"/>
            <w:gridSpan w:val="2"/>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合计</w:t>
            </w:r>
          </w:p>
        </w:tc>
        <w:tc>
          <w:tcPr>
            <w:tcW w:w="133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119.92</w:t>
            </w:r>
          </w:p>
        </w:tc>
        <w:tc>
          <w:tcPr>
            <w:tcW w:w="133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107.69</w:t>
            </w:r>
          </w:p>
        </w:tc>
        <w:tc>
          <w:tcPr>
            <w:tcW w:w="1337"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12.23</w:t>
            </w:r>
          </w:p>
        </w:tc>
        <w:tc>
          <w:tcPr>
            <w:tcW w:w="1304"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6" w:hRule="atLeast"/>
        </w:trPr>
        <w:tc>
          <w:tcPr>
            <w:tcW w:w="818"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301</w:t>
            </w:r>
          </w:p>
        </w:tc>
        <w:tc>
          <w:tcPr>
            <w:tcW w:w="269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工资福利支出</w:t>
            </w:r>
          </w:p>
        </w:tc>
        <w:tc>
          <w:tcPr>
            <w:tcW w:w="133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107.70</w:t>
            </w:r>
          </w:p>
        </w:tc>
        <w:tc>
          <w:tcPr>
            <w:tcW w:w="133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107.70</w:t>
            </w:r>
          </w:p>
        </w:tc>
        <w:tc>
          <w:tcPr>
            <w:tcW w:w="1337"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304"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6" w:hRule="atLeast"/>
        </w:trPr>
        <w:tc>
          <w:tcPr>
            <w:tcW w:w="818"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30101</w:t>
            </w:r>
          </w:p>
        </w:tc>
        <w:tc>
          <w:tcPr>
            <w:tcW w:w="269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基本工资</w:t>
            </w:r>
          </w:p>
        </w:tc>
        <w:tc>
          <w:tcPr>
            <w:tcW w:w="133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45.91</w:t>
            </w:r>
          </w:p>
        </w:tc>
        <w:tc>
          <w:tcPr>
            <w:tcW w:w="133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45.91</w:t>
            </w:r>
          </w:p>
        </w:tc>
        <w:tc>
          <w:tcPr>
            <w:tcW w:w="1337"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304"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6" w:hRule="atLeast"/>
        </w:trPr>
        <w:tc>
          <w:tcPr>
            <w:tcW w:w="818"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30102</w:t>
            </w:r>
          </w:p>
        </w:tc>
        <w:tc>
          <w:tcPr>
            <w:tcW w:w="269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津贴补贴</w:t>
            </w:r>
          </w:p>
        </w:tc>
        <w:tc>
          <w:tcPr>
            <w:tcW w:w="133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30.44</w:t>
            </w:r>
          </w:p>
        </w:tc>
        <w:tc>
          <w:tcPr>
            <w:tcW w:w="133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30.44</w:t>
            </w:r>
          </w:p>
        </w:tc>
        <w:tc>
          <w:tcPr>
            <w:tcW w:w="1337"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304"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6" w:hRule="atLeast"/>
        </w:trPr>
        <w:tc>
          <w:tcPr>
            <w:tcW w:w="818"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30103</w:t>
            </w:r>
          </w:p>
        </w:tc>
        <w:tc>
          <w:tcPr>
            <w:tcW w:w="269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奖金</w:t>
            </w:r>
          </w:p>
        </w:tc>
        <w:tc>
          <w:tcPr>
            <w:tcW w:w="133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16.76</w:t>
            </w:r>
          </w:p>
        </w:tc>
        <w:tc>
          <w:tcPr>
            <w:tcW w:w="133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16.76</w:t>
            </w:r>
          </w:p>
        </w:tc>
        <w:tc>
          <w:tcPr>
            <w:tcW w:w="1337"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304"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6" w:hRule="atLeast"/>
        </w:trPr>
        <w:tc>
          <w:tcPr>
            <w:tcW w:w="818"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30108</w:t>
            </w:r>
          </w:p>
        </w:tc>
        <w:tc>
          <w:tcPr>
            <w:tcW w:w="269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机关事业单位基本养老保险缴费</w:t>
            </w:r>
          </w:p>
        </w:tc>
        <w:tc>
          <w:tcPr>
            <w:tcW w:w="133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11.78</w:t>
            </w:r>
          </w:p>
        </w:tc>
        <w:tc>
          <w:tcPr>
            <w:tcW w:w="133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11.78</w:t>
            </w:r>
          </w:p>
        </w:tc>
        <w:tc>
          <w:tcPr>
            <w:tcW w:w="1337"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304"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6" w:hRule="atLeast"/>
        </w:trPr>
        <w:tc>
          <w:tcPr>
            <w:tcW w:w="818"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30110</w:t>
            </w:r>
          </w:p>
        </w:tc>
        <w:tc>
          <w:tcPr>
            <w:tcW w:w="269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职工基本医疗保险缴费</w:t>
            </w:r>
          </w:p>
        </w:tc>
        <w:tc>
          <w:tcPr>
            <w:tcW w:w="133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2.44</w:t>
            </w:r>
          </w:p>
        </w:tc>
        <w:tc>
          <w:tcPr>
            <w:tcW w:w="133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2.44</w:t>
            </w:r>
          </w:p>
        </w:tc>
        <w:tc>
          <w:tcPr>
            <w:tcW w:w="1337"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304"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6" w:hRule="atLeast"/>
        </w:trPr>
        <w:tc>
          <w:tcPr>
            <w:tcW w:w="818"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30111</w:t>
            </w:r>
          </w:p>
        </w:tc>
        <w:tc>
          <w:tcPr>
            <w:tcW w:w="269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公务员医疗补助缴费</w:t>
            </w:r>
          </w:p>
        </w:tc>
        <w:tc>
          <w:tcPr>
            <w:tcW w:w="133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0.12</w:t>
            </w:r>
          </w:p>
        </w:tc>
        <w:tc>
          <w:tcPr>
            <w:tcW w:w="133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0.12</w:t>
            </w:r>
          </w:p>
        </w:tc>
        <w:tc>
          <w:tcPr>
            <w:tcW w:w="1337"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304"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6" w:hRule="atLeast"/>
        </w:trPr>
        <w:tc>
          <w:tcPr>
            <w:tcW w:w="818"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30112</w:t>
            </w:r>
          </w:p>
        </w:tc>
        <w:tc>
          <w:tcPr>
            <w:tcW w:w="269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其他社会保障缴费</w:t>
            </w:r>
          </w:p>
        </w:tc>
        <w:tc>
          <w:tcPr>
            <w:tcW w:w="133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0.25</w:t>
            </w:r>
          </w:p>
        </w:tc>
        <w:tc>
          <w:tcPr>
            <w:tcW w:w="133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0.25</w:t>
            </w:r>
          </w:p>
        </w:tc>
        <w:tc>
          <w:tcPr>
            <w:tcW w:w="1337"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304"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6" w:hRule="atLeast"/>
        </w:trPr>
        <w:tc>
          <w:tcPr>
            <w:tcW w:w="818"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302</w:t>
            </w:r>
          </w:p>
        </w:tc>
        <w:tc>
          <w:tcPr>
            <w:tcW w:w="269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商品和服务支出</w:t>
            </w:r>
          </w:p>
        </w:tc>
        <w:tc>
          <w:tcPr>
            <w:tcW w:w="133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12.23</w:t>
            </w:r>
          </w:p>
        </w:tc>
        <w:tc>
          <w:tcPr>
            <w:tcW w:w="133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337"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12.23</w:t>
            </w:r>
          </w:p>
        </w:tc>
        <w:tc>
          <w:tcPr>
            <w:tcW w:w="1304"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6" w:hRule="atLeast"/>
        </w:trPr>
        <w:tc>
          <w:tcPr>
            <w:tcW w:w="818"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30201</w:t>
            </w:r>
          </w:p>
        </w:tc>
        <w:tc>
          <w:tcPr>
            <w:tcW w:w="269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办公费</w:t>
            </w:r>
          </w:p>
        </w:tc>
        <w:tc>
          <w:tcPr>
            <w:tcW w:w="133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2.24</w:t>
            </w:r>
          </w:p>
        </w:tc>
        <w:tc>
          <w:tcPr>
            <w:tcW w:w="133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337"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2.24</w:t>
            </w:r>
          </w:p>
        </w:tc>
        <w:tc>
          <w:tcPr>
            <w:tcW w:w="1304"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6" w:hRule="atLeast"/>
        </w:trPr>
        <w:tc>
          <w:tcPr>
            <w:tcW w:w="818"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30213</w:t>
            </w:r>
          </w:p>
        </w:tc>
        <w:tc>
          <w:tcPr>
            <w:tcW w:w="269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维修</w:t>
            </w:r>
            <w:r>
              <w:rPr>
                <w:rFonts w:ascii="宋体" w:hAnsi="宋体" w:eastAsia="宋体" w:cs="宋体"/>
                <w:color w:val="000000"/>
                <w:kern w:val="0"/>
                <w:sz w:val="22"/>
                <w:szCs w:val="22"/>
              </w:rPr>
              <w:t>(</w:t>
            </w:r>
            <w:r>
              <w:rPr>
                <w:rFonts w:hint="eastAsia" w:ascii="宋体" w:hAnsi="宋体" w:eastAsia="宋体" w:cs="宋体"/>
                <w:color w:val="000000"/>
                <w:kern w:val="0"/>
                <w:sz w:val="22"/>
                <w:szCs w:val="22"/>
              </w:rPr>
              <w:t>护</w:t>
            </w:r>
            <w:r>
              <w:rPr>
                <w:rFonts w:ascii="宋体" w:hAnsi="宋体" w:eastAsia="宋体" w:cs="宋体"/>
                <w:color w:val="000000"/>
                <w:kern w:val="0"/>
                <w:sz w:val="22"/>
                <w:szCs w:val="22"/>
              </w:rPr>
              <w:t>)</w:t>
            </w:r>
            <w:r>
              <w:rPr>
                <w:rFonts w:hint="eastAsia" w:ascii="宋体" w:hAnsi="宋体" w:eastAsia="宋体" w:cs="宋体"/>
                <w:color w:val="000000"/>
                <w:kern w:val="0"/>
                <w:sz w:val="22"/>
                <w:szCs w:val="22"/>
              </w:rPr>
              <w:t>费</w:t>
            </w:r>
          </w:p>
        </w:tc>
        <w:tc>
          <w:tcPr>
            <w:tcW w:w="133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0.30</w:t>
            </w:r>
          </w:p>
        </w:tc>
        <w:tc>
          <w:tcPr>
            <w:tcW w:w="133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337"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0.30</w:t>
            </w:r>
          </w:p>
        </w:tc>
        <w:tc>
          <w:tcPr>
            <w:tcW w:w="1304"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6" w:hRule="atLeast"/>
        </w:trPr>
        <w:tc>
          <w:tcPr>
            <w:tcW w:w="818"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30215</w:t>
            </w:r>
          </w:p>
        </w:tc>
        <w:tc>
          <w:tcPr>
            <w:tcW w:w="269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会议费</w:t>
            </w:r>
          </w:p>
        </w:tc>
        <w:tc>
          <w:tcPr>
            <w:tcW w:w="133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0.40</w:t>
            </w:r>
          </w:p>
        </w:tc>
        <w:tc>
          <w:tcPr>
            <w:tcW w:w="133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337"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0.40</w:t>
            </w:r>
          </w:p>
        </w:tc>
        <w:tc>
          <w:tcPr>
            <w:tcW w:w="1304"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6" w:hRule="atLeast"/>
        </w:trPr>
        <w:tc>
          <w:tcPr>
            <w:tcW w:w="818"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30216</w:t>
            </w:r>
          </w:p>
        </w:tc>
        <w:tc>
          <w:tcPr>
            <w:tcW w:w="269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培训费</w:t>
            </w:r>
          </w:p>
        </w:tc>
        <w:tc>
          <w:tcPr>
            <w:tcW w:w="133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0.23</w:t>
            </w:r>
          </w:p>
        </w:tc>
        <w:tc>
          <w:tcPr>
            <w:tcW w:w="133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337"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0.23</w:t>
            </w:r>
          </w:p>
        </w:tc>
        <w:tc>
          <w:tcPr>
            <w:tcW w:w="1304"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6" w:hRule="atLeast"/>
        </w:trPr>
        <w:tc>
          <w:tcPr>
            <w:tcW w:w="818"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30227</w:t>
            </w:r>
          </w:p>
        </w:tc>
        <w:tc>
          <w:tcPr>
            <w:tcW w:w="269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委托业务费</w:t>
            </w:r>
          </w:p>
        </w:tc>
        <w:tc>
          <w:tcPr>
            <w:tcW w:w="133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0.20</w:t>
            </w:r>
          </w:p>
        </w:tc>
        <w:tc>
          <w:tcPr>
            <w:tcW w:w="133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337"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0.20</w:t>
            </w:r>
          </w:p>
        </w:tc>
        <w:tc>
          <w:tcPr>
            <w:tcW w:w="1304"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6" w:hRule="atLeast"/>
        </w:trPr>
        <w:tc>
          <w:tcPr>
            <w:tcW w:w="818"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30228</w:t>
            </w:r>
          </w:p>
        </w:tc>
        <w:tc>
          <w:tcPr>
            <w:tcW w:w="269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工会经费</w:t>
            </w:r>
          </w:p>
        </w:tc>
        <w:tc>
          <w:tcPr>
            <w:tcW w:w="133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1.36</w:t>
            </w:r>
          </w:p>
        </w:tc>
        <w:tc>
          <w:tcPr>
            <w:tcW w:w="133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337"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1.36</w:t>
            </w:r>
          </w:p>
        </w:tc>
        <w:tc>
          <w:tcPr>
            <w:tcW w:w="1304"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6" w:hRule="atLeast"/>
        </w:trPr>
        <w:tc>
          <w:tcPr>
            <w:tcW w:w="818" w:type="dxa"/>
            <w:tcBorders>
              <w:top w:val="nil"/>
              <w:left w:val="single" w:color="000000" w:sz="4" w:space="0"/>
              <w:bottom w:val="single" w:color="000000" w:sz="8"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30239</w:t>
            </w:r>
          </w:p>
        </w:tc>
        <w:tc>
          <w:tcPr>
            <w:tcW w:w="2698" w:type="dxa"/>
            <w:tcBorders>
              <w:top w:val="nil"/>
              <w:left w:val="nil"/>
              <w:bottom w:val="single" w:color="000000" w:sz="8"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其他交通费用</w:t>
            </w:r>
          </w:p>
        </w:tc>
        <w:tc>
          <w:tcPr>
            <w:tcW w:w="1339" w:type="dxa"/>
            <w:tcBorders>
              <w:top w:val="nil"/>
              <w:left w:val="nil"/>
              <w:bottom w:val="single" w:color="000000" w:sz="8"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7.50</w:t>
            </w:r>
          </w:p>
        </w:tc>
        <w:tc>
          <w:tcPr>
            <w:tcW w:w="1339" w:type="dxa"/>
            <w:tcBorders>
              <w:top w:val="nil"/>
              <w:left w:val="nil"/>
              <w:bottom w:val="single" w:color="000000" w:sz="8"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0.00</w:t>
            </w:r>
          </w:p>
        </w:tc>
        <w:tc>
          <w:tcPr>
            <w:tcW w:w="1337" w:type="dxa"/>
            <w:tcBorders>
              <w:top w:val="nil"/>
              <w:left w:val="nil"/>
              <w:bottom w:val="single" w:color="000000" w:sz="8"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ascii="宋体" w:hAnsi="宋体" w:eastAsia="宋体" w:cs="宋体"/>
                <w:color w:val="000000"/>
                <w:kern w:val="0"/>
                <w:sz w:val="22"/>
                <w:szCs w:val="22"/>
              </w:rPr>
              <w:t>7.50</w:t>
            </w:r>
          </w:p>
        </w:tc>
        <w:tc>
          <w:tcPr>
            <w:tcW w:w="1304" w:type="dxa"/>
            <w:tcBorders>
              <w:top w:val="nil"/>
              <w:left w:val="nil"/>
              <w:bottom w:val="single" w:color="000000" w:sz="8"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bl>
    <w:p>
      <w:pPr>
        <w:widowControl/>
        <w:ind w:left="31680" w:hanging="420" w:hangingChars="200"/>
        <w:jc w:val="left"/>
        <w:rPr>
          <w:rFonts w:ascii="宋体" w:hAnsi="宋体" w:eastAsia="宋体" w:cs="Times New Roman"/>
          <w:sz w:val="21"/>
          <w:szCs w:val="21"/>
        </w:rPr>
      </w:pPr>
    </w:p>
    <w:p>
      <w:pPr>
        <w:widowControl/>
        <w:ind w:left="31680" w:hanging="420" w:hangingChars="200"/>
        <w:jc w:val="left"/>
        <w:rPr>
          <w:rFonts w:eastAsia="宋体" w:cs="Times New Roman"/>
          <w:sz w:val="21"/>
          <w:szCs w:val="21"/>
        </w:rPr>
      </w:pPr>
      <w:r>
        <w:rPr>
          <w:rFonts w:hint="eastAsia" w:ascii="宋体" w:hAnsi="宋体" w:eastAsia="宋体" w:cs="宋体"/>
          <w:sz w:val="21"/>
          <w:szCs w:val="21"/>
        </w:rPr>
        <w:t>注：本表反映部门本年度一般公共预算财政拨款基本支出明细情况。</w:t>
      </w:r>
      <w:r>
        <w:rPr>
          <w:rFonts w:hint="eastAsia" w:ascii="宋体" w:hAnsi="宋体" w:eastAsia="宋体" w:cs="宋体"/>
          <w:color w:val="000000"/>
          <w:kern w:val="0"/>
          <w:sz w:val="21"/>
          <w:szCs w:val="21"/>
        </w:rPr>
        <w:t>本表金额转换为万元时，因四舍五入可能存在尾差。</w:t>
      </w: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ascii="宋体" w:hAnsi="宋体" w:eastAsia="宋体" w:cs="Times New Roman"/>
          <w:b/>
          <w:bCs/>
        </w:rPr>
      </w:pPr>
    </w:p>
    <w:p>
      <w:pPr>
        <w:jc w:val="center"/>
        <w:rPr>
          <w:rFonts w:ascii="宋体" w:hAnsi="宋体" w:eastAsia="宋体" w:cs="Times New Roman"/>
          <w:b/>
          <w:bCs/>
        </w:rPr>
      </w:pPr>
      <w:r>
        <w:rPr>
          <w:rFonts w:hint="eastAsia" w:ascii="宋体" w:hAnsi="宋体" w:eastAsia="宋体" w:cs="宋体"/>
          <w:b/>
          <w:bCs/>
        </w:rPr>
        <w:t>一般公共预算财政拨款“三公”经费</w:t>
      </w:r>
    </w:p>
    <w:p>
      <w:pPr>
        <w:spacing w:line="520" w:lineRule="exact"/>
        <w:jc w:val="center"/>
        <w:rPr>
          <w:rFonts w:ascii="宋体" w:hAnsi="宋体" w:eastAsia="宋体" w:cs="Times New Roman"/>
          <w:b/>
          <w:bCs/>
        </w:rPr>
      </w:pPr>
      <w:r>
        <w:rPr>
          <w:rFonts w:hint="eastAsia" w:ascii="宋体" w:hAnsi="宋体" w:eastAsia="宋体" w:cs="宋体"/>
          <w:b/>
          <w:bCs/>
        </w:rPr>
        <w:t>及会议费、培训费支出决算表</w:t>
      </w:r>
    </w:p>
    <w:p>
      <w:pPr>
        <w:rPr>
          <w:rFonts w:ascii="宋体" w:hAnsi="宋体" w:eastAsia="宋体" w:cs="Times New Roman"/>
          <w:b/>
          <w:bCs/>
          <w:sz w:val="21"/>
          <w:szCs w:val="21"/>
        </w:rPr>
      </w:pPr>
      <w:r>
        <w:rPr>
          <w:rFonts w:ascii="宋体" w:hAnsi="宋体" w:eastAsia="宋体" w:cs="宋体"/>
          <w:b/>
          <w:bCs/>
          <w:sz w:val="21"/>
          <w:szCs w:val="21"/>
        </w:rPr>
        <w:t xml:space="preserve">   </w:t>
      </w:r>
      <w:r>
        <w:rPr>
          <w:rFonts w:hint="eastAsia" w:ascii="宋体" w:hAnsi="宋体" w:eastAsia="宋体" w:cs="宋体"/>
          <w:b/>
          <w:bCs/>
          <w:sz w:val="21"/>
          <w:szCs w:val="21"/>
        </w:rPr>
        <w:t>公开</w:t>
      </w:r>
      <w:r>
        <w:rPr>
          <w:rFonts w:ascii="宋体" w:hAnsi="宋体" w:eastAsia="宋体" w:cs="宋体"/>
          <w:b/>
          <w:bCs/>
          <w:sz w:val="21"/>
          <w:szCs w:val="21"/>
        </w:rPr>
        <w:t>07</w:t>
      </w:r>
      <w:r>
        <w:rPr>
          <w:rFonts w:hint="eastAsia" w:ascii="宋体" w:hAnsi="宋体" w:eastAsia="宋体" w:cs="宋体"/>
          <w:b/>
          <w:bCs/>
          <w:sz w:val="21"/>
          <w:szCs w:val="21"/>
        </w:rPr>
        <w:t>表</w:t>
      </w:r>
    </w:p>
    <w:p>
      <w:pPr>
        <w:rPr>
          <w:rFonts w:ascii="宋体" w:hAnsi="宋体" w:eastAsia="宋体" w:cs="Times New Roman"/>
          <w:b/>
          <w:bCs/>
          <w:sz w:val="21"/>
          <w:szCs w:val="21"/>
        </w:rPr>
      </w:pPr>
      <w:r>
        <w:rPr>
          <w:rFonts w:hint="eastAsia" w:ascii="宋体" w:hAnsi="宋体" w:eastAsia="宋体" w:cs="宋体"/>
          <w:b/>
          <w:bCs/>
          <w:sz w:val="21"/>
          <w:szCs w:val="21"/>
        </w:rPr>
        <w:t>编制部门：</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5"/>
        <w:tblW w:w="8858" w:type="dxa"/>
        <w:tblInd w:w="-13" w:type="dxa"/>
        <w:tblLayout w:type="fixed"/>
        <w:tblCellMar>
          <w:top w:w="15" w:type="dxa"/>
          <w:left w:w="15" w:type="dxa"/>
          <w:bottom w:w="15" w:type="dxa"/>
          <w:right w:w="15" w:type="dxa"/>
        </w:tblCellMar>
      </w:tblPr>
      <w:tblGrid>
        <w:gridCol w:w="1079"/>
        <w:gridCol w:w="985"/>
        <w:gridCol w:w="1117"/>
        <w:gridCol w:w="878"/>
        <w:gridCol w:w="878"/>
        <w:gridCol w:w="998"/>
        <w:gridCol w:w="1189"/>
        <w:gridCol w:w="772"/>
        <w:gridCol w:w="962"/>
      </w:tblGrid>
      <w:tr>
        <w:tblPrEx>
          <w:tblCellMar>
            <w:top w:w="15" w:type="dxa"/>
            <w:left w:w="15" w:type="dxa"/>
            <w:bottom w:w="15" w:type="dxa"/>
            <w:right w:w="15" w:type="dxa"/>
          </w:tblCellMar>
        </w:tblPrEx>
        <w:trPr>
          <w:trHeight w:val="726" w:hRule="atLeast"/>
        </w:trPr>
        <w:tc>
          <w:tcPr>
            <w:tcW w:w="107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项目</w:t>
            </w:r>
          </w:p>
        </w:tc>
        <w:tc>
          <w:tcPr>
            <w:tcW w:w="6045"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一般公共预算财政拨款安排的“三公”经费</w:t>
            </w:r>
          </w:p>
        </w:tc>
        <w:tc>
          <w:tcPr>
            <w:tcW w:w="7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会议费</w:t>
            </w:r>
          </w:p>
        </w:tc>
        <w:tc>
          <w:tcPr>
            <w:tcW w:w="9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培训费</w:t>
            </w:r>
          </w:p>
        </w:tc>
      </w:tr>
      <w:tr>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小计</w:t>
            </w:r>
          </w:p>
        </w:tc>
        <w:tc>
          <w:tcPr>
            <w:tcW w:w="11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因公出国（境）费用</w:t>
            </w:r>
          </w:p>
        </w:tc>
        <w:tc>
          <w:tcPr>
            <w:tcW w:w="87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公务接待费</w:t>
            </w:r>
          </w:p>
        </w:tc>
        <w:tc>
          <w:tcPr>
            <w:tcW w:w="306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公务用车购置及运行维护费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r>
      <w:tr>
        <w:tblPrEx>
          <w:tblCellMar>
            <w:top w:w="15" w:type="dxa"/>
            <w:left w:w="15" w:type="dxa"/>
            <w:bottom w:w="15" w:type="dxa"/>
            <w:right w:w="15" w:type="dxa"/>
          </w:tblCellMar>
        </w:tblPrEx>
        <w:trPr>
          <w:trHeight w:val="753"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98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11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8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小计</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公务用车购置费</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公务用车运行维护费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r>
      <w:tr>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9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1</w:t>
            </w:r>
          </w:p>
        </w:tc>
        <w:tc>
          <w:tcPr>
            <w:tcW w:w="11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2</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3</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4</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5</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6</w:t>
            </w:r>
          </w:p>
        </w:tc>
        <w:tc>
          <w:tcPr>
            <w:tcW w:w="7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7</w:t>
            </w:r>
          </w:p>
        </w:tc>
        <w:tc>
          <w:tcPr>
            <w:tcW w:w="9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8</w:t>
            </w:r>
          </w:p>
        </w:tc>
      </w:tr>
      <w:tr>
        <w:tblPrEx>
          <w:tblCellMar>
            <w:top w:w="15" w:type="dxa"/>
            <w:left w:w="15" w:type="dxa"/>
            <w:bottom w:w="15" w:type="dxa"/>
            <w:right w:w="15" w:type="dxa"/>
          </w:tblCellMar>
        </w:tblPrEx>
        <w:trPr>
          <w:trHeight w:val="726"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预算数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1"/>
                <w:szCs w:val="21"/>
              </w:rPr>
            </w:pPr>
            <w:r>
              <w:rPr>
                <w:rFonts w:ascii="宋体" w:hAnsi="宋体" w:eastAsia="宋体" w:cs="宋体"/>
                <w:color w:val="000000"/>
                <w:sz w:val="21"/>
                <w:szCs w:val="21"/>
              </w:rPr>
              <w:t>0.00</w:t>
            </w: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1"/>
                <w:szCs w:val="21"/>
              </w:rPr>
            </w:pPr>
            <w:r>
              <w:rPr>
                <w:rFonts w:ascii="宋体" w:hAnsi="宋体" w:eastAsia="宋体" w:cs="宋体"/>
                <w:color w:val="000000"/>
                <w:sz w:val="21"/>
                <w:szCs w:val="21"/>
              </w:rPr>
              <w:t>0.00</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1"/>
                <w:szCs w:val="21"/>
              </w:rPr>
            </w:pPr>
            <w:r>
              <w:rPr>
                <w:rFonts w:ascii="宋体" w:hAnsi="宋体" w:eastAsia="宋体" w:cs="宋体"/>
                <w:color w:val="000000"/>
                <w:sz w:val="21"/>
                <w:szCs w:val="21"/>
              </w:rPr>
              <w:t>0.00</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1"/>
                <w:szCs w:val="21"/>
              </w:rPr>
            </w:pPr>
            <w:r>
              <w:rPr>
                <w:rFonts w:ascii="宋体" w:hAnsi="宋体" w:eastAsia="宋体" w:cs="宋体"/>
                <w:color w:val="000000"/>
                <w:sz w:val="21"/>
                <w:szCs w:val="21"/>
              </w:rPr>
              <w:t>0.00</w:t>
            </w: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1"/>
                <w:szCs w:val="21"/>
              </w:rPr>
            </w:pPr>
            <w:r>
              <w:rPr>
                <w:rFonts w:ascii="宋体" w:hAnsi="宋体" w:eastAsia="宋体" w:cs="宋体"/>
                <w:color w:val="000000"/>
                <w:sz w:val="21"/>
                <w:szCs w:val="21"/>
              </w:rPr>
              <w:t>0.00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1"/>
                <w:szCs w:val="21"/>
              </w:rPr>
            </w:pPr>
            <w:r>
              <w:rPr>
                <w:rFonts w:ascii="宋体" w:hAnsi="宋体" w:eastAsia="宋体" w:cs="宋体"/>
                <w:color w:val="000000"/>
                <w:sz w:val="21"/>
                <w:szCs w:val="21"/>
              </w:rPr>
              <w:t>0.00</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1"/>
                <w:szCs w:val="21"/>
              </w:rPr>
            </w:pPr>
            <w:r>
              <w:rPr>
                <w:rFonts w:ascii="宋体" w:hAnsi="宋体" w:eastAsia="宋体" w:cs="宋体"/>
                <w:color w:val="000000"/>
                <w:sz w:val="21"/>
                <w:szCs w:val="21"/>
              </w:rPr>
              <w:t>0.30</w:t>
            </w:r>
          </w:p>
        </w:tc>
        <w:tc>
          <w:tcPr>
            <w:tcW w:w="96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1"/>
                <w:szCs w:val="21"/>
              </w:rPr>
            </w:pPr>
            <w:r>
              <w:rPr>
                <w:rFonts w:ascii="宋体" w:hAnsi="宋体" w:eastAsia="宋体" w:cs="宋体"/>
                <w:color w:val="000000"/>
                <w:sz w:val="21"/>
                <w:szCs w:val="21"/>
              </w:rPr>
              <w:t>0.00</w:t>
            </w:r>
          </w:p>
        </w:tc>
      </w:tr>
      <w:tr>
        <w:tblPrEx>
          <w:tblCellMar>
            <w:top w:w="15" w:type="dxa"/>
            <w:left w:w="15" w:type="dxa"/>
            <w:bottom w:w="15" w:type="dxa"/>
            <w:right w:w="15" w:type="dxa"/>
          </w:tblCellMar>
        </w:tblPrEx>
        <w:trPr>
          <w:trHeight w:val="738"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决算数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1"/>
                <w:szCs w:val="21"/>
              </w:rPr>
            </w:pPr>
            <w:r>
              <w:rPr>
                <w:rFonts w:ascii="宋体" w:hAnsi="宋体" w:eastAsia="宋体" w:cs="宋体"/>
                <w:color w:val="000000"/>
                <w:sz w:val="21"/>
                <w:szCs w:val="21"/>
              </w:rPr>
              <w:t>0.00</w:t>
            </w: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1"/>
                <w:szCs w:val="21"/>
              </w:rPr>
            </w:pPr>
            <w:r>
              <w:rPr>
                <w:rFonts w:ascii="宋体" w:hAnsi="宋体" w:eastAsia="宋体" w:cs="宋体"/>
                <w:color w:val="000000"/>
                <w:sz w:val="21"/>
                <w:szCs w:val="21"/>
              </w:rPr>
              <w:t>0.00</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1"/>
                <w:szCs w:val="21"/>
              </w:rPr>
            </w:pPr>
            <w:r>
              <w:rPr>
                <w:rFonts w:ascii="宋体" w:hAnsi="宋体" w:eastAsia="宋体" w:cs="宋体"/>
                <w:color w:val="000000"/>
                <w:sz w:val="21"/>
                <w:szCs w:val="21"/>
              </w:rPr>
              <w:t>0.00</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1"/>
                <w:szCs w:val="21"/>
              </w:rPr>
            </w:pPr>
            <w:r>
              <w:rPr>
                <w:rFonts w:ascii="宋体" w:hAnsi="宋体" w:eastAsia="宋体" w:cs="宋体"/>
                <w:color w:val="000000"/>
                <w:sz w:val="21"/>
                <w:szCs w:val="21"/>
              </w:rPr>
              <w:t>0.00</w:t>
            </w: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1"/>
                <w:szCs w:val="21"/>
              </w:rPr>
            </w:pPr>
            <w:r>
              <w:rPr>
                <w:rFonts w:ascii="宋体" w:hAnsi="宋体" w:eastAsia="宋体" w:cs="宋体"/>
                <w:color w:val="000000"/>
                <w:sz w:val="21"/>
                <w:szCs w:val="21"/>
              </w:rPr>
              <w:t>0.00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1"/>
                <w:szCs w:val="21"/>
              </w:rPr>
            </w:pPr>
            <w:r>
              <w:rPr>
                <w:rFonts w:ascii="宋体" w:hAnsi="宋体" w:eastAsia="宋体" w:cs="宋体"/>
                <w:color w:val="000000"/>
                <w:sz w:val="21"/>
                <w:szCs w:val="21"/>
              </w:rPr>
              <w:t>0.00</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1"/>
                <w:szCs w:val="21"/>
              </w:rPr>
            </w:pPr>
            <w:r>
              <w:rPr>
                <w:rFonts w:ascii="宋体" w:hAnsi="宋体" w:eastAsia="宋体" w:cs="宋体"/>
                <w:color w:val="000000"/>
                <w:sz w:val="21"/>
                <w:szCs w:val="21"/>
              </w:rPr>
              <w:t>0.40</w:t>
            </w:r>
          </w:p>
        </w:tc>
        <w:tc>
          <w:tcPr>
            <w:tcW w:w="96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1"/>
                <w:szCs w:val="21"/>
              </w:rPr>
            </w:pPr>
            <w:r>
              <w:rPr>
                <w:rFonts w:ascii="宋体" w:hAnsi="宋体" w:eastAsia="宋体" w:cs="宋体"/>
                <w:color w:val="000000"/>
                <w:sz w:val="21"/>
                <w:szCs w:val="21"/>
              </w:rPr>
              <w:t>0.23</w:t>
            </w:r>
          </w:p>
        </w:tc>
      </w:tr>
    </w:tbl>
    <w:p>
      <w:pPr>
        <w:widowControl/>
        <w:ind w:left="31680" w:hanging="420" w:hangingChars="200"/>
        <w:jc w:val="left"/>
        <w:rPr>
          <w:rFonts w:eastAsia="宋体" w:cs="Times New Roman"/>
          <w:sz w:val="21"/>
          <w:szCs w:val="21"/>
        </w:rPr>
      </w:pPr>
      <w:r>
        <w:rPr>
          <w:rFonts w:hint="eastAsia" w:ascii="宋体" w:hAnsi="宋体" w:eastAsia="宋体" w:cs="宋体"/>
          <w:sz w:val="21"/>
          <w:szCs w:val="21"/>
        </w:rPr>
        <w:t>注：本表反映部门本年度一般公共预算财政拨款“三公”经费、会议费、培训费的预算数和实际支出。预算数为调整预算数。</w:t>
      </w:r>
      <w:r>
        <w:rPr>
          <w:rFonts w:hint="eastAsia" w:ascii="宋体" w:hAnsi="宋体" w:eastAsia="宋体" w:cs="宋体"/>
          <w:color w:val="000000"/>
          <w:kern w:val="0"/>
          <w:sz w:val="21"/>
          <w:szCs w:val="21"/>
        </w:rPr>
        <w:t>本表金额转换为万元时，因四舍五入可能存在尾差。</w:t>
      </w: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ascii="宋体" w:hAnsi="宋体" w:eastAsia="宋体" w:cs="Times New Roman"/>
          <w:b/>
          <w:bCs/>
        </w:rPr>
      </w:pPr>
    </w:p>
    <w:p>
      <w:pPr>
        <w:jc w:val="center"/>
        <w:rPr>
          <w:rFonts w:ascii="宋体" w:hAnsi="宋体" w:eastAsia="宋体" w:cs="Times New Roman"/>
          <w:b/>
          <w:bCs/>
        </w:rPr>
      </w:pPr>
      <w:r>
        <w:rPr>
          <w:rFonts w:hint="eastAsia" w:ascii="宋体" w:hAnsi="宋体" w:eastAsia="宋体" w:cs="宋体"/>
          <w:b/>
          <w:bCs/>
        </w:rPr>
        <w:t>政府性基金预算财政拨款收入支出决算表</w:t>
      </w:r>
    </w:p>
    <w:p>
      <w:pPr>
        <w:rPr>
          <w:rFonts w:ascii="宋体" w:hAnsi="宋体" w:eastAsia="宋体" w:cs="Times New Roman"/>
          <w:b/>
          <w:bCs/>
          <w:sz w:val="21"/>
          <w:szCs w:val="21"/>
        </w:rPr>
      </w:pPr>
      <w:r>
        <w:rPr>
          <w:rFonts w:hint="eastAsia" w:ascii="宋体" w:hAnsi="宋体" w:eastAsia="宋体" w:cs="宋体"/>
          <w:b/>
          <w:bCs/>
          <w:sz w:val="21"/>
          <w:szCs w:val="21"/>
        </w:rPr>
        <w:t>公开</w:t>
      </w:r>
      <w:r>
        <w:rPr>
          <w:rFonts w:ascii="宋体" w:hAnsi="宋体" w:eastAsia="宋体" w:cs="宋体"/>
          <w:b/>
          <w:bCs/>
          <w:sz w:val="21"/>
          <w:szCs w:val="21"/>
        </w:rPr>
        <w:t>08</w:t>
      </w:r>
      <w:r>
        <w:rPr>
          <w:rFonts w:hint="eastAsia" w:ascii="宋体" w:hAnsi="宋体" w:eastAsia="宋体" w:cs="宋体"/>
          <w:b/>
          <w:bCs/>
          <w:sz w:val="21"/>
          <w:szCs w:val="21"/>
        </w:rPr>
        <w:t>表</w:t>
      </w:r>
    </w:p>
    <w:p>
      <w:pPr>
        <w:rPr>
          <w:rFonts w:ascii="宋体" w:hAnsi="宋体" w:eastAsia="宋体" w:cs="Times New Roman"/>
          <w:b/>
          <w:bCs/>
          <w:sz w:val="21"/>
          <w:szCs w:val="21"/>
        </w:rPr>
      </w:pPr>
      <w:r>
        <w:rPr>
          <w:rFonts w:hint="eastAsia" w:ascii="宋体" w:hAnsi="宋体" w:eastAsia="宋体" w:cs="宋体"/>
          <w:b/>
          <w:bCs/>
          <w:sz w:val="21"/>
          <w:szCs w:val="21"/>
        </w:rPr>
        <w:t>编制部门：</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5"/>
        <w:tblW w:w="8877" w:type="dxa"/>
        <w:tblInd w:w="-13" w:type="dxa"/>
        <w:tblLayout w:type="fixed"/>
        <w:tblCellMar>
          <w:top w:w="15" w:type="dxa"/>
          <w:left w:w="15" w:type="dxa"/>
          <w:bottom w:w="15" w:type="dxa"/>
          <w:right w:w="15" w:type="dxa"/>
        </w:tblCellMar>
      </w:tblPr>
      <w:tblGrid>
        <w:gridCol w:w="1023"/>
        <w:gridCol w:w="1341"/>
        <w:gridCol w:w="1049"/>
        <w:gridCol w:w="990"/>
        <w:gridCol w:w="930"/>
        <w:gridCol w:w="1049"/>
        <w:gridCol w:w="1024"/>
        <w:gridCol w:w="1471"/>
      </w:tblGrid>
      <w:tr>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项</w:t>
            </w:r>
            <w:r>
              <w:rPr>
                <w:rFonts w:ascii="宋体" w:hAnsi="宋体" w:eastAsia="宋体" w:cs="宋体"/>
                <w:b/>
                <w:bCs/>
                <w:color w:val="000000"/>
                <w:kern w:val="0"/>
                <w:sz w:val="21"/>
                <w:szCs w:val="21"/>
              </w:rPr>
              <w:t xml:space="preserve">    </w:t>
            </w:r>
            <w:r>
              <w:rPr>
                <w:rFonts w:hint="eastAsia" w:ascii="宋体" w:hAnsi="宋体" w:eastAsia="宋体" w:cs="宋体"/>
                <w:b/>
                <w:bCs/>
                <w:color w:val="000000"/>
                <w:kern w:val="0"/>
                <w:sz w:val="21"/>
                <w:szCs w:val="21"/>
              </w:rPr>
              <w:t>目</w:t>
            </w: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年初结转和结余</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本年收入</w:t>
            </w:r>
          </w:p>
        </w:tc>
        <w:tc>
          <w:tcPr>
            <w:tcW w:w="3003"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本年支出</w:t>
            </w:r>
          </w:p>
        </w:tc>
        <w:tc>
          <w:tcPr>
            <w:tcW w:w="147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年末结转和结余</w:t>
            </w:r>
          </w:p>
        </w:tc>
      </w:tr>
      <w:tr>
        <w:tblPrEx>
          <w:tblCellMar>
            <w:top w:w="15" w:type="dxa"/>
            <w:left w:w="15" w:type="dxa"/>
            <w:bottom w:w="15" w:type="dxa"/>
            <w:right w:w="15" w:type="dxa"/>
          </w:tblCellMar>
        </w:tblPrEx>
        <w:trPr>
          <w:trHeight w:val="889"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功能分类科目编码</w:t>
            </w:r>
          </w:p>
        </w:tc>
        <w:tc>
          <w:tcPr>
            <w:tcW w:w="13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科目名称</w:t>
            </w: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小计</w:t>
            </w:r>
          </w:p>
        </w:tc>
        <w:tc>
          <w:tcPr>
            <w:tcW w:w="10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基本支出</w:t>
            </w:r>
          </w:p>
        </w:tc>
        <w:tc>
          <w:tcPr>
            <w:tcW w:w="10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项目支出</w:t>
            </w:r>
          </w:p>
        </w:tc>
        <w:tc>
          <w:tcPr>
            <w:tcW w:w="14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r>
      <w:tr>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合计</w:t>
            </w:r>
          </w:p>
        </w:tc>
        <w:tc>
          <w:tcPr>
            <w:tcW w:w="1049" w:type="dxa"/>
            <w:tcBorders>
              <w:top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b/>
                <w:bCs/>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514"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bl>
    <w:p>
      <w:pPr>
        <w:widowControl/>
        <w:ind w:left="31680" w:hanging="420" w:hangingChars="200"/>
        <w:jc w:val="left"/>
        <w:rPr>
          <w:rFonts w:eastAsia="宋体" w:cs="Times New Roman"/>
          <w:sz w:val="21"/>
          <w:szCs w:val="21"/>
        </w:rPr>
      </w:pPr>
      <w:r>
        <w:rPr>
          <w:rFonts w:hint="eastAsia" w:ascii="宋体" w:hAnsi="宋体" w:eastAsia="宋体" w:cs="宋体"/>
          <w:sz w:val="21"/>
          <w:szCs w:val="21"/>
        </w:rPr>
        <w:t>注：本表反映部门本年度政府性基金预算财政拨款收入支出及结转和结余情况。</w:t>
      </w:r>
      <w:r>
        <w:rPr>
          <w:rFonts w:hint="eastAsia" w:ascii="宋体" w:hAnsi="宋体" w:eastAsia="宋体" w:cs="宋体"/>
          <w:color w:val="000000"/>
          <w:kern w:val="0"/>
          <w:sz w:val="21"/>
          <w:szCs w:val="21"/>
        </w:rPr>
        <w:t>本表金额转换为万元时，因四舍五入可能存在尾差。</w:t>
      </w:r>
    </w:p>
    <w:p>
      <w:pPr>
        <w:rPr>
          <w:rFonts w:cs="Times New Roman"/>
        </w:rPr>
      </w:pPr>
    </w:p>
    <w:p>
      <w:pPr>
        <w:rPr>
          <w:rFonts w:cs="Times New Roman"/>
        </w:rPr>
      </w:pPr>
    </w:p>
    <w:p>
      <w:pPr>
        <w:jc w:val="center"/>
        <w:rPr>
          <w:rFonts w:ascii="黑体" w:hAnsi="宋体" w:eastAsia="黑体" w:cs="Times New Roman"/>
          <w:color w:val="000000"/>
          <w:kern w:val="0"/>
          <w:sz w:val="44"/>
          <w:szCs w:val="44"/>
        </w:rPr>
      </w:pPr>
      <w:r>
        <w:rPr>
          <w:rFonts w:hint="eastAsia" w:ascii="黑体" w:hAnsi="宋体" w:eastAsia="黑体" w:cs="黑体"/>
          <w:color w:val="000000"/>
          <w:kern w:val="0"/>
          <w:sz w:val="44"/>
          <w:szCs w:val="44"/>
        </w:rPr>
        <w:t>第三部分</w:t>
      </w:r>
      <w:r>
        <w:rPr>
          <w:rFonts w:ascii="黑体" w:hAnsi="宋体" w:eastAsia="黑体" w:cs="黑体"/>
          <w:color w:val="000000"/>
          <w:kern w:val="0"/>
          <w:sz w:val="44"/>
          <w:szCs w:val="44"/>
        </w:rPr>
        <w:t xml:space="preserve"> 2019</w:t>
      </w:r>
      <w:r>
        <w:rPr>
          <w:rFonts w:hint="eastAsia" w:ascii="黑体" w:hAnsi="宋体" w:eastAsia="黑体" w:cs="黑体"/>
          <w:color w:val="000000"/>
          <w:kern w:val="0"/>
          <w:sz w:val="44"/>
          <w:szCs w:val="44"/>
        </w:rPr>
        <w:t>年度部门决算情况说明</w:t>
      </w:r>
    </w:p>
    <w:p>
      <w:pPr>
        <w:widowControl/>
        <w:rPr>
          <w:rFonts w:ascii="黑体" w:hAnsi="宋体" w:eastAsia="黑体" w:cs="Times New Roman"/>
          <w:color w:val="000000"/>
          <w:kern w:val="0"/>
          <w:sz w:val="44"/>
          <w:szCs w:val="44"/>
        </w:rPr>
      </w:pPr>
    </w:p>
    <w:p>
      <w:pPr>
        <w:widowControl/>
        <w:ind w:firstLine="640" w:firstLineChars="200"/>
        <w:jc w:val="left"/>
        <w:rPr>
          <w:rFonts w:ascii="黑体" w:hAnsi="黑体" w:eastAsia="黑体" w:cs="Times New Roman"/>
          <w:color w:val="000000"/>
          <w:kern w:val="0"/>
        </w:rPr>
      </w:pPr>
      <w:r>
        <w:rPr>
          <w:rFonts w:hint="eastAsia" w:ascii="黑体" w:hAnsi="黑体" w:eastAsia="黑体" w:cs="黑体"/>
          <w:color w:val="000000"/>
          <w:kern w:val="0"/>
        </w:rPr>
        <w:t>一、收入支出决算总体情况说明</w:t>
      </w:r>
    </w:p>
    <w:p>
      <w:pPr>
        <w:widowControl/>
        <w:ind w:firstLine="640" w:firstLineChars="200"/>
        <w:jc w:val="left"/>
        <w:rPr>
          <w:rFonts w:ascii="仿宋_GB2312" w:hAnsi="仿宋" w:eastAsia="仿宋_GB2312" w:cs="Times New Roman"/>
        </w:rPr>
      </w:pPr>
      <w:r>
        <w:rPr>
          <w:rFonts w:ascii="仿宋_GB2312" w:hAnsi="仿宋" w:eastAsia="仿宋_GB2312" w:cs="仿宋_GB2312"/>
        </w:rPr>
        <w:t>2019</w:t>
      </w:r>
      <w:r>
        <w:rPr>
          <w:rFonts w:hint="eastAsia" w:ascii="仿宋_GB2312" w:hAnsi="仿宋" w:eastAsia="仿宋_GB2312" w:cs="仿宋_GB2312"/>
        </w:rPr>
        <w:t>年度收入总体情况及比上年增长（减少）情况，分析增减变化的主要原因。</w:t>
      </w:r>
    </w:p>
    <w:p>
      <w:pPr>
        <w:autoSpaceDE w:val="0"/>
        <w:autoSpaceDN w:val="0"/>
        <w:spacing w:line="360" w:lineRule="auto"/>
        <w:ind w:firstLine="640"/>
        <w:rPr>
          <w:rFonts w:ascii="仿宋_GB2312" w:eastAsia="仿宋_GB2312" w:cs="Times New Roman"/>
          <w:lang w:val="zh-CN"/>
        </w:rPr>
      </w:pPr>
      <w:r>
        <w:rPr>
          <w:rFonts w:hint="eastAsia" w:ascii="仿宋_GB2312" w:eastAsia="仿宋_GB2312" w:cs="仿宋_GB2312"/>
          <w:lang w:val="zh-CN"/>
        </w:rPr>
        <w:t>本部门</w:t>
      </w:r>
      <w:r>
        <w:rPr>
          <w:rFonts w:ascii="仿宋_GB2312" w:eastAsia="仿宋_GB2312" w:cs="仿宋_GB2312"/>
          <w:lang w:val="zh-CN"/>
        </w:rPr>
        <w:t>2019</w:t>
      </w:r>
      <w:r>
        <w:rPr>
          <w:rFonts w:hint="eastAsia" w:ascii="仿宋_GB2312" w:eastAsia="仿宋_GB2312" w:cs="仿宋_GB2312"/>
          <w:lang w:val="zh-CN"/>
        </w:rPr>
        <w:t>年财政拨款执行收入为</w:t>
      </w:r>
      <w:r>
        <w:rPr>
          <w:rFonts w:ascii="仿宋_GB2312" w:eastAsia="仿宋_GB2312" w:cs="仿宋_GB2312"/>
        </w:rPr>
        <w:t>138.92</w:t>
      </w:r>
      <w:r>
        <w:rPr>
          <w:rFonts w:hint="eastAsia" w:ascii="仿宋_GB2312" w:eastAsia="仿宋_GB2312" w:cs="仿宋_GB2312"/>
        </w:rPr>
        <w:t>万</w:t>
      </w:r>
      <w:r>
        <w:rPr>
          <w:rFonts w:hint="eastAsia" w:ascii="仿宋_GB2312" w:eastAsia="仿宋_GB2312" w:cs="仿宋_GB2312"/>
          <w:lang w:val="zh-CN"/>
        </w:rPr>
        <w:t>元，</w:t>
      </w:r>
      <w:r>
        <w:rPr>
          <w:rFonts w:ascii="仿宋_GB2312" w:eastAsia="仿宋_GB2312" w:cs="仿宋_GB2312"/>
          <w:lang w:val="zh-CN"/>
        </w:rPr>
        <w:t>201</w:t>
      </w:r>
      <w:r>
        <w:rPr>
          <w:rFonts w:ascii="仿宋_GB2312" w:eastAsia="仿宋_GB2312" w:cs="仿宋_GB2312"/>
        </w:rPr>
        <w:t>8</w:t>
      </w:r>
      <w:r>
        <w:rPr>
          <w:rFonts w:hint="eastAsia" w:ascii="仿宋_GB2312" w:eastAsia="仿宋_GB2312" w:cs="仿宋_GB2312"/>
          <w:lang w:val="zh-CN"/>
        </w:rPr>
        <w:t>年财政拨款执行收入为</w:t>
      </w:r>
      <w:r>
        <w:rPr>
          <w:rFonts w:ascii="仿宋_GB2312" w:eastAsia="仿宋_GB2312" w:cs="仿宋_GB2312"/>
        </w:rPr>
        <w:t>162.07</w:t>
      </w:r>
      <w:r>
        <w:rPr>
          <w:rFonts w:hint="eastAsia" w:ascii="仿宋_GB2312" w:eastAsia="仿宋_GB2312" w:cs="仿宋_GB2312"/>
        </w:rPr>
        <w:t>万</w:t>
      </w:r>
      <w:r>
        <w:rPr>
          <w:rFonts w:hint="eastAsia" w:ascii="仿宋_GB2312" w:eastAsia="仿宋_GB2312" w:cs="仿宋_GB2312"/>
          <w:lang w:val="zh-CN"/>
        </w:rPr>
        <w:t>元。与上年收入调整预算数相比较减少</w:t>
      </w:r>
      <w:r>
        <w:rPr>
          <w:rFonts w:ascii="仿宋_GB2312" w:eastAsia="仿宋_GB2312" w:cs="仿宋_GB2312"/>
          <w:lang w:val="zh-CN"/>
        </w:rPr>
        <w:t>14.28%</w:t>
      </w:r>
      <w:r>
        <w:rPr>
          <w:rFonts w:hint="eastAsia" w:ascii="仿宋_GB2312" w:eastAsia="仿宋_GB2312" w:cs="仿宋_GB2312"/>
          <w:lang w:val="zh-CN"/>
        </w:rPr>
        <w:t>，主要原因为公用经费和项目费用支出减少。</w:t>
      </w:r>
    </w:p>
    <w:p>
      <w:pPr>
        <w:autoSpaceDE w:val="0"/>
        <w:autoSpaceDN w:val="0"/>
        <w:spacing w:line="360" w:lineRule="auto"/>
        <w:ind w:firstLine="640"/>
        <w:rPr>
          <w:rFonts w:ascii="仿宋_GB2312" w:eastAsia="仿宋_GB2312" w:cs="Times New Roman"/>
          <w:lang w:val="zh-CN"/>
        </w:rPr>
      </w:pPr>
      <w:r>
        <w:rPr>
          <w:rFonts w:hint="eastAsia" w:ascii="仿宋_GB2312" w:eastAsia="仿宋_GB2312" w:cs="仿宋_GB2312"/>
          <w:lang w:val="zh-CN"/>
        </w:rPr>
        <w:t>本部门</w:t>
      </w:r>
      <w:r>
        <w:rPr>
          <w:rFonts w:ascii="仿宋_GB2312" w:eastAsia="仿宋_GB2312" w:cs="仿宋_GB2312"/>
          <w:lang w:val="zh-CN"/>
        </w:rPr>
        <w:t>2019</w:t>
      </w:r>
      <w:r>
        <w:rPr>
          <w:rFonts w:hint="eastAsia" w:ascii="仿宋_GB2312" w:eastAsia="仿宋_GB2312" w:cs="仿宋_GB2312"/>
          <w:lang w:val="zh-CN"/>
        </w:rPr>
        <w:t>年财政拨款执行支出为</w:t>
      </w:r>
      <w:r>
        <w:rPr>
          <w:rFonts w:ascii="仿宋_GB2312" w:eastAsia="仿宋_GB2312" w:cs="仿宋_GB2312"/>
        </w:rPr>
        <w:t>138.92</w:t>
      </w:r>
      <w:r>
        <w:rPr>
          <w:rFonts w:hint="eastAsia" w:ascii="仿宋_GB2312" w:eastAsia="仿宋_GB2312" w:cs="仿宋_GB2312"/>
        </w:rPr>
        <w:t>万</w:t>
      </w:r>
      <w:r>
        <w:rPr>
          <w:rFonts w:hint="eastAsia" w:ascii="仿宋_GB2312" w:eastAsia="仿宋_GB2312" w:cs="仿宋_GB2312"/>
          <w:lang w:val="zh-CN"/>
        </w:rPr>
        <w:t>元，</w:t>
      </w:r>
      <w:r>
        <w:rPr>
          <w:rFonts w:ascii="仿宋_GB2312" w:eastAsia="仿宋_GB2312" w:cs="仿宋_GB2312"/>
          <w:lang w:val="zh-CN"/>
        </w:rPr>
        <w:t>201</w:t>
      </w:r>
      <w:r>
        <w:rPr>
          <w:rFonts w:ascii="仿宋_GB2312" w:eastAsia="仿宋_GB2312" w:cs="仿宋_GB2312"/>
        </w:rPr>
        <w:t>8</w:t>
      </w:r>
      <w:r>
        <w:rPr>
          <w:rFonts w:hint="eastAsia" w:ascii="仿宋_GB2312" w:eastAsia="仿宋_GB2312" w:cs="仿宋_GB2312"/>
          <w:lang w:val="zh-CN"/>
        </w:rPr>
        <w:t>年财政拨款执行支出为</w:t>
      </w:r>
      <w:r>
        <w:rPr>
          <w:rFonts w:ascii="仿宋_GB2312" w:eastAsia="仿宋_GB2312" w:cs="仿宋_GB2312"/>
        </w:rPr>
        <w:t>162.07</w:t>
      </w:r>
      <w:r>
        <w:rPr>
          <w:rFonts w:hint="eastAsia" w:ascii="仿宋_GB2312" w:eastAsia="仿宋_GB2312" w:cs="仿宋_GB2312"/>
        </w:rPr>
        <w:t>万</w:t>
      </w:r>
      <w:r>
        <w:rPr>
          <w:rFonts w:hint="eastAsia" w:ascii="仿宋_GB2312" w:eastAsia="仿宋_GB2312" w:cs="仿宋_GB2312"/>
          <w:lang w:val="zh-CN"/>
        </w:rPr>
        <w:t>元。与上年收入调整预算数相比较减少</w:t>
      </w:r>
      <w:r>
        <w:rPr>
          <w:rFonts w:ascii="仿宋_GB2312" w:eastAsia="仿宋_GB2312" w:cs="仿宋_GB2312"/>
          <w:lang w:val="zh-CN"/>
        </w:rPr>
        <w:t>14.28%</w:t>
      </w:r>
      <w:r>
        <w:rPr>
          <w:rFonts w:hint="eastAsia" w:ascii="仿宋_GB2312" w:eastAsia="仿宋_GB2312" w:cs="仿宋_GB2312"/>
          <w:lang w:val="zh-CN"/>
        </w:rPr>
        <w:t>，主要原因为公用经费和项目费用支出减少。</w:t>
      </w:r>
    </w:p>
    <w:p>
      <w:pPr>
        <w:autoSpaceDE w:val="0"/>
        <w:autoSpaceDN w:val="0"/>
        <w:spacing w:line="360" w:lineRule="auto"/>
        <w:ind w:firstLine="640"/>
        <w:rPr>
          <w:rFonts w:cs="Times New Roman"/>
        </w:rPr>
      </w:pPr>
      <w:r>
        <w:rPr>
          <w:rFonts w:cs="Times New Roman"/>
        </w:rPr>
        <w:pict>
          <v:shape id="_x0000_i1026" o:spt="75" type="#_x0000_t75" style="height:213.75pt;width:413.25pt;" filled="f" o:preferrelative="t" stroked="f" coordsize="21600,21600">
            <v:path/>
            <v:fill on="f" focussize="0,0"/>
            <v:stroke on="f" joinstyle="miter"/>
            <v:imagedata r:id="rId5" o:title=""/>
            <o:lock v:ext="edit" aspectratio="t"/>
            <w10:wrap type="none"/>
            <w10:anchorlock/>
          </v:shape>
        </w:pict>
      </w:r>
    </w:p>
    <w:p>
      <w:pPr>
        <w:widowControl/>
        <w:ind w:firstLine="640" w:firstLineChars="200"/>
        <w:jc w:val="left"/>
        <w:rPr>
          <w:rFonts w:ascii="黑体" w:hAnsi="黑体" w:eastAsia="黑体" w:cs="Times New Roman"/>
          <w:color w:val="000000"/>
          <w:kern w:val="0"/>
        </w:rPr>
      </w:pPr>
    </w:p>
    <w:p>
      <w:pPr>
        <w:widowControl/>
        <w:ind w:firstLine="640" w:firstLineChars="200"/>
        <w:jc w:val="left"/>
        <w:rPr>
          <w:rFonts w:ascii="黑体" w:hAnsi="黑体" w:eastAsia="黑体" w:cs="Times New Roman"/>
          <w:color w:val="000000"/>
          <w:kern w:val="0"/>
        </w:rPr>
      </w:pPr>
      <w:r>
        <w:rPr>
          <w:rFonts w:hint="eastAsia" w:ascii="黑体" w:hAnsi="黑体" w:eastAsia="黑体" w:cs="黑体"/>
          <w:color w:val="000000"/>
          <w:kern w:val="0"/>
        </w:rPr>
        <w:t>二、收入决算情况说明</w:t>
      </w:r>
    </w:p>
    <w:p>
      <w:pPr>
        <w:widowControl/>
        <w:ind w:firstLine="640" w:firstLineChars="200"/>
        <w:jc w:val="left"/>
        <w:rPr>
          <w:rFonts w:cs="Times New Roman"/>
        </w:rPr>
      </w:pPr>
      <w:r>
        <w:rPr>
          <w:rFonts w:hint="eastAsia" w:ascii="仿宋_GB2312" w:hAnsi="宋体" w:eastAsia="仿宋_GB2312" w:cs="仿宋_GB2312"/>
          <w:color w:val="000000"/>
          <w:kern w:val="0"/>
        </w:rPr>
        <w:t>本部门</w:t>
      </w:r>
      <w:r>
        <w:rPr>
          <w:rFonts w:ascii="仿宋_GB2312" w:hAnsi="宋体" w:eastAsia="仿宋_GB2312" w:cs="仿宋_GB2312"/>
          <w:color w:val="000000"/>
          <w:kern w:val="0"/>
        </w:rPr>
        <w:t>2019</w:t>
      </w:r>
      <w:r>
        <w:rPr>
          <w:rFonts w:hint="eastAsia" w:ascii="仿宋_GB2312" w:hAnsi="宋体" w:eastAsia="仿宋_GB2312" w:cs="仿宋_GB2312"/>
          <w:color w:val="000000"/>
          <w:kern w:val="0"/>
        </w:rPr>
        <w:t>年</w:t>
      </w:r>
      <w:r>
        <w:rPr>
          <w:rFonts w:hint="eastAsia" w:ascii="仿宋_GB2312" w:hAnsi="仿宋" w:eastAsia="仿宋_GB2312" w:cs="仿宋_GB2312"/>
        </w:rPr>
        <w:t>度</w:t>
      </w:r>
      <w:r>
        <w:rPr>
          <w:rFonts w:hint="eastAsia" w:ascii="仿宋_GB2312" w:hAnsi="宋体" w:eastAsia="仿宋_GB2312" w:cs="仿宋_GB2312"/>
          <w:color w:val="000000"/>
          <w:kern w:val="0"/>
        </w:rPr>
        <w:t>收入合计</w:t>
      </w:r>
      <w:r>
        <w:rPr>
          <w:rFonts w:ascii="仿宋_GB2312" w:hAnsi="宋体" w:eastAsia="仿宋_GB2312" w:cs="仿宋_GB2312"/>
          <w:color w:val="000000"/>
          <w:kern w:val="0"/>
        </w:rPr>
        <w:t>138.92</w:t>
      </w:r>
      <w:r>
        <w:rPr>
          <w:rFonts w:hint="eastAsia" w:ascii="仿宋_GB2312" w:hAnsi="宋体" w:eastAsia="仿宋_GB2312" w:cs="仿宋_GB2312"/>
          <w:color w:val="000000"/>
          <w:kern w:val="0"/>
        </w:rPr>
        <w:t>万元，其中：财政拨款收入</w:t>
      </w:r>
      <w:r>
        <w:rPr>
          <w:rFonts w:ascii="仿宋_GB2312" w:hAnsi="宋体" w:eastAsia="仿宋_GB2312" w:cs="仿宋_GB2312"/>
          <w:color w:val="000000"/>
          <w:kern w:val="0"/>
        </w:rPr>
        <w:t>138.92</w:t>
      </w:r>
      <w:r>
        <w:rPr>
          <w:rFonts w:hint="eastAsia" w:ascii="仿宋_GB2312" w:hAnsi="宋体" w:eastAsia="仿宋_GB2312" w:cs="仿宋_GB2312"/>
          <w:color w:val="000000"/>
          <w:kern w:val="0"/>
        </w:rPr>
        <w:t>万元，占</w:t>
      </w:r>
      <w:r>
        <w:rPr>
          <w:rFonts w:ascii="仿宋_GB2312" w:hAnsi="宋体" w:eastAsia="仿宋_GB2312" w:cs="仿宋_GB2312"/>
          <w:color w:val="000000"/>
          <w:kern w:val="0"/>
        </w:rPr>
        <w:t>100%</w:t>
      </w:r>
      <w:r>
        <w:rPr>
          <w:rFonts w:hint="eastAsia" w:ascii="仿宋_GB2312" w:hAnsi="宋体" w:eastAsia="仿宋_GB2312" w:cs="仿宋_GB2312"/>
          <w:color w:val="000000"/>
          <w:kern w:val="0"/>
        </w:rPr>
        <w:t>；事业收入</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万元，占</w:t>
      </w:r>
      <w:r>
        <w:rPr>
          <w:rFonts w:ascii="仿宋_GB2312" w:hAnsi="宋体" w:eastAsia="仿宋_GB2312" w:cs="仿宋_GB2312"/>
          <w:color w:val="000000"/>
          <w:kern w:val="0"/>
        </w:rPr>
        <w:t>0%</w:t>
      </w:r>
      <w:r>
        <w:rPr>
          <w:rFonts w:hint="eastAsia" w:ascii="仿宋_GB2312" w:hAnsi="宋体" w:eastAsia="仿宋_GB2312" w:cs="仿宋_GB2312"/>
          <w:color w:val="000000"/>
          <w:kern w:val="0"/>
        </w:rPr>
        <w:t>；经营收入</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万元，占</w:t>
      </w:r>
      <w:r>
        <w:rPr>
          <w:rFonts w:ascii="仿宋_GB2312" w:hAnsi="宋体" w:eastAsia="仿宋_GB2312" w:cs="仿宋_GB2312"/>
          <w:color w:val="000000"/>
          <w:kern w:val="0"/>
        </w:rPr>
        <w:t>0%</w:t>
      </w:r>
      <w:r>
        <w:rPr>
          <w:rFonts w:hint="eastAsia" w:ascii="仿宋_GB2312" w:hAnsi="宋体" w:eastAsia="仿宋_GB2312" w:cs="仿宋_GB2312"/>
          <w:color w:val="000000"/>
          <w:kern w:val="0"/>
        </w:rPr>
        <w:t>；其他收入</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万元，占</w:t>
      </w:r>
      <w:r>
        <w:rPr>
          <w:rFonts w:ascii="仿宋_GB2312" w:hAnsi="宋体" w:eastAsia="仿宋_GB2312" w:cs="仿宋_GB2312"/>
          <w:color w:val="000000"/>
          <w:kern w:val="0"/>
        </w:rPr>
        <w:t>0%</w:t>
      </w:r>
      <w:r>
        <w:rPr>
          <w:rFonts w:hint="eastAsia" w:ascii="仿宋_GB2312" w:hAnsi="宋体" w:eastAsia="仿宋_GB2312" w:cs="仿宋_GB2312"/>
          <w:color w:val="000000"/>
          <w:kern w:val="0"/>
        </w:rPr>
        <w:t>。</w:t>
      </w:r>
    </w:p>
    <w:p>
      <w:pPr>
        <w:widowControl/>
        <w:ind w:firstLine="640" w:firstLineChars="200"/>
        <w:jc w:val="left"/>
        <w:rPr>
          <w:rFonts w:ascii="黑体" w:hAnsi="黑体" w:eastAsia="黑体" w:cs="Times New Roman"/>
        </w:rPr>
      </w:pPr>
      <w:r>
        <w:rPr>
          <w:rFonts w:hint="eastAsia" w:ascii="黑体" w:hAnsi="黑体" w:eastAsia="黑体" w:cs="黑体"/>
          <w:color w:val="000000"/>
          <w:kern w:val="0"/>
        </w:rPr>
        <w:t>三、支出决算情况说明</w:t>
      </w:r>
    </w:p>
    <w:p>
      <w:pPr>
        <w:widowControl/>
        <w:ind w:firstLine="640" w:firstLineChars="200"/>
        <w:jc w:val="left"/>
        <w:rPr>
          <w:rFonts w:ascii="仿宋_GB2312" w:hAnsi="宋体" w:eastAsia="仿宋_GB2312" w:cs="Times New Roman"/>
          <w:color w:val="000000"/>
          <w:kern w:val="0"/>
        </w:rPr>
      </w:pPr>
      <w:r>
        <w:rPr>
          <w:rFonts w:ascii="仿宋_GB2312" w:hAnsi="宋体" w:eastAsia="仿宋_GB2312" w:cs="仿宋_GB2312"/>
          <w:color w:val="000000"/>
          <w:kern w:val="0"/>
        </w:rPr>
        <w:t>2019</w:t>
      </w:r>
      <w:r>
        <w:rPr>
          <w:rFonts w:hint="eastAsia" w:ascii="仿宋_GB2312" w:hAnsi="宋体" w:eastAsia="仿宋_GB2312" w:cs="仿宋_GB2312"/>
          <w:color w:val="000000"/>
          <w:kern w:val="0"/>
        </w:rPr>
        <w:t>年</w:t>
      </w:r>
      <w:r>
        <w:rPr>
          <w:rFonts w:hint="eastAsia" w:ascii="仿宋_GB2312" w:hAnsi="仿宋" w:eastAsia="仿宋_GB2312" w:cs="仿宋_GB2312"/>
        </w:rPr>
        <w:t>度</w:t>
      </w:r>
      <w:r>
        <w:rPr>
          <w:rFonts w:hint="eastAsia" w:ascii="仿宋_GB2312" w:hAnsi="宋体" w:eastAsia="仿宋_GB2312" w:cs="仿宋_GB2312"/>
          <w:color w:val="000000"/>
          <w:kern w:val="0"/>
        </w:rPr>
        <w:t>支出合计</w:t>
      </w:r>
      <w:r>
        <w:rPr>
          <w:rFonts w:ascii="仿宋_GB2312" w:hAnsi="宋体" w:eastAsia="仿宋_GB2312" w:cs="仿宋_GB2312"/>
          <w:color w:val="000000"/>
          <w:kern w:val="0"/>
        </w:rPr>
        <w:t>138.92</w:t>
      </w:r>
      <w:r>
        <w:rPr>
          <w:rFonts w:hint="eastAsia" w:ascii="仿宋_GB2312" w:hAnsi="宋体" w:eastAsia="仿宋_GB2312" w:cs="仿宋_GB2312"/>
          <w:color w:val="000000"/>
          <w:kern w:val="0"/>
        </w:rPr>
        <w:t>万元，其中：基本支出</w:t>
      </w:r>
      <w:r>
        <w:rPr>
          <w:rFonts w:ascii="仿宋_GB2312" w:hAnsi="宋体" w:eastAsia="仿宋_GB2312" w:cs="仿宋_GB2312"/>
          <w:color w:val="000000"/>
          <w:kern w:val="0"/>
        </w:rPr>
        <w:t>119.92</w:t>
      </w:r>
      <w:r>
        <w:rPr>
          <w:rFonts w:hint="eastAsia" w:ascii="仿宋_GB2312" w:hAnsi="宋体" w:eastAsia="仿宋_GB2312" w:cs="仿宋_GB2312"/>
          <w:color w:val="000000"/>
          <w:kern w:val="0"/>
        </w:rPr>
        <w:t>万元，占</w:t>
      </w:r>
      <w:r>
        <w:rPr>
          <w:rFonts w:ascii="仿宋_GB2312" w:hAnsi="宋体" w:eastAsia="仿宋_GB2312" w:cs="仿宋_GB2312"/>
          <w:color w:val="000000"/>
          <w:kern w:val="0"/>
        </w:rPr>
        <w:t>86.32%</w:t>
      </w:r>
      <w:r>
        <w:rPr>
          <w:rFonts w:hint="eastAsia" w:ascii="仿宋_GB2312" w:hAnsi="宋体" w:eastAsia="仿宋_GB2312" w:cs="仿宋_GB2312"/>
          <w:color w:val="000000"/>
          <w:kern w:val="0"/>
        </w:rPr>
        <w:t>；项目支出</w:t>
      </w:r>
      <w:r>
        <w:rPr>
          <w:rFonts w:ascii="仿宋_GB2312" w:hAnsi="宋体" w:eastAsia="仿宋_GB2312" w:cs="仿宋_GB2312"/>
          <w:color w:val="000000"/>
          <w:kern w:val="0"/>
        </w:rPr>
        <w:t>19</w:t>
      </w:r>
      <w:r>
        <w:rPr>
          <w:rFonts w:hint="eastAsia" w:ascii="仿宋_GB2312" w:hAnsi="宋体" w:eastAsia="仿宋_GB2312" w:cs="仿宋_GB2312"/>
          <w:color w:val="000000"/>
          <w:kern w:val="0"/>
        </w:rPr>
        <w:t>万元，占</w:t>
      </w:r>
      <w:r>
        <w:rPr>
          <w:rFonts w:ascii="仿宋_GB2312" w:hAnsi="宋体" w:eastAsia="仿宋_GB2312" w:cs="仿宋_GB2312"/>
          <w:color w:val="000000"/>
          <w:kern w:val="0"/>
        </w:rPr>
        <w:t>13.68%</w:t>
      </w:r>
      <w:r>
        <w:rPr>
          <w:rFonts w:hint="eastAsia" w:ascii="仿宋_GB2312" w:hAnsi="宋体" w:eastAsia="仿宋_GB2312" w:cs="仿宋_GB2312"/>
          <w:color w:val="000000"/>
          <w:kern w:val="0"/>
        </w:rPr>
        <w:t>；经营支出</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万元，占</w:t>
      </w:r>
      <w:r>
        <w:rPr>
          <w:rFonts w:ascii="仿宋_GB2312" w:hAnsi="宋体" w:eastAsia="仿宋_GB2312" w:cs="仿宋_GB2312"/>
          <w:color w:val="000000"/>
          <w:kern w:val="0"/>
        </w:rPr>
        <w:t>0%</w:t>
      </w:r>
      <w:r>
        <w:rPr>
          <w:rFonts w:hint="eastAsia" w:ascii="仿宋_GB2312" w:hAnsi="宋体" w:eastAsia="仿宋_GB2312" w:cs="仿宋_GB2312"/>
          <w:color w:val="000000"/>
          <w:kern w:val="0"/>
        </w:rPr>
        <w:t>。</w:t>
      </w:r>
    </w:p>
    <w:p>
      <w:pPr>
        <w:widowControl/>
        <w:ind w:firstLine="640" w:firstLineChars="200"/>
        <w:jc w:val="left"/>
        <w:rPr>
          <w:rFonts w:cs="Times New Roman"/>
        </w:rPr>
      </w:pPr>
      <w:r>
        <w:rPr>
          <w:rFonts w:cs="Times New Roman"/>
        </w:rPr>
        <w:pict>
          <v:shape id="_x0000_i1027" o:spt="75" type="#_x0000_t75" style="height:213.75pt;width:413.25pt;" filled="f" o:preferrelative="t" stroked="f" coordsize="21600,21600">
            <v:path/>
            <v:fill on="f" focussize="0,0"/>
            <v:stroke on="f" joinstyle="miter"/>
            <v:imagedata r:id="rId6" o:title=""/>
            <o:lock v:ext="edit" aspectratio="t"/>
            <w10:wrap type="none"/>
            <w10:anchorlock/>
          </v:shape>
        </w:pict>
      </w:r>
    </w:p>
    <w:p>
      <w:pPr>
        <w:widowControl/>
        <w:ind w:firstLine="640" w:firstLineChars="200"/>
        <w:jc w:val="left"/>
        <w:rPr>
          <w:rFonts w:ascii="黑体" w:hAnsi="黑体" w:eastAsia="黑体" w:cs="Times New Roman"/>
          <w:color w:val="000000"/>
          <w:kern w:val="0"/>
        </w:rPr>
      </w:pPr>
      <w:r>
        <w:rPr>
          <w:rFonts w:hint="eastAsia" w:ascii="黑体" w:hAnsi="黑体" w:eastAsia="黑体" w:cs="黑体"/>
          <w:color w:val="000000"/>
          <w:kern w:val="0"/>
        </w:rPr>
        <w:t>四、财政拨款收入支出决算总体情况说明</w:t>
      </w:r>
    </w:p>
    <w:p>
      <w:pPr>
        <w:autoSpaceDE w:val="0"/>
        <w:autoSpaceDN w:val="0"/>
        <w:spacing w:line="360" w:lineRule="auto"/>
        <w:ind w:firstLine="640"/>
        <w:rPr>
          <w:rFonts w:ascii="仿宋_GB2312" w:eastAsia="仿宋_GB2312" w:cs="Times New Roman"/>
          <w:lang w:val="zh-CN"/>
        </w:rPr>
      </w:pPr>
      <w:r>
        <w:rPr>
          <w:rFonts w:hint="eastAsia" w:ascii="仿宋_GB2312" w:eastAsia="仿宋_GB2312" w:cs="仿宋_GB2312"/>
          <w:lang w:val="zh-CN"/>
        </w:rPr>
        <w:t>本部门</w:t>
      </w:r>
      <w:r>
        <w:rPr>
          <w:rFonts w:ascii="仿宋_GB2312" w:hAnsi="仿宋" w:eastAsia="仿宋_GB2312" w:cs="仿宋_GB2312"/>
        </w:rPr>
        <w:t>2019</w:t>
      </w:r>
      <w:r>
        <w:rPr>
          <w:rFonts w:hint="eastAsia" w:ascii="仿宋_GB2312" w:hAnsi="仿宋" w:eastAsia="仿宋_GB2312" w:cs="仿宋_GB2312"/>
        </w:rPr>
        <w:t>年度</w:t>
      </w:r>
      <w:r>
        <w:rPr>
          <w:rFonts w:hint="eastAsia" w:ascii="仿宋_GB2312" w:hAnsi="宋体" w:eastAsia="仿宋_GB2312" w:cs="仿宋_GB2312"/>
          <w:color w:val="000000"/>
          <w:kern w:val="0"/>
        </w:rPr>
        <w:t>财政拨款</w:t>
      </w:r>
      <w:r>
        <w:rPr>
          <w:rFonts w:hint="eastAsia" w:ascii="仿宋_GB2312" w:hAnsi="仿宋" w:eastAsia="仿宋_GB2312" w:cs="仿宋_GB2312"/>
        </w:rPr>
        <w:t>收入</w:t>
      </w:r>
      <w:r>
        <w:rPr>
          <w:rFonts w:hint="eastAsia" w:ascii="仿宋_GB2312" w:eastAsia="仿宋_GB2312" w:cs="仿宋_GB2312"/>
          <w:lang w:val="zh-CN"/>
        </w:rPr>
        <w:t>为</w:t>
      </w:r>
      <w:r>
        <w:rPr>
          <w:rFonts w:ascii="仿宋_GB2312" w:eastAsia="仿宋_GB2312" w:cs="仿宋_GB2312"/>
        </w:rPr>
        <w:t>138.92</w:t>
      </w:r>
      <w:r>
        <w:rPr>
          <w:rFonts w:hint="eastAsia" w:ascii="仿宋_GB2312" w:eastAsia="仿宋_GB2312" w:cs="仿宋_GB2312"/>
        </w:rPr>
        <w:t>万</w:t>
      </w:r>
      <w:r>
        <w:rPr>
          <w:rFonts w:hint="eastAsia" w:ascii="仿宋_GB2312" w:eastAsia="仿宋_GB2312" w:cs="仿宋_GB2312"/>
          <w:lang w:val="zh-CN"/>
        </w:rPr>
        <w:t>元，</w:t>
      </w:r>
      <w:r>
        <w:rPr>
          <w:rFonts w:ascii="仿宋_GB2312" w:eastAsia="仿宋_GB2312" w:cs="仿宋_GB2312"/>
          <w:lang w:val="zh-CN"/>
        </w:rPr>
        <w:t>201</w:t>
      </w:r>
      <w:r>
        <w:rPr>
          <w:rFonts w:ascii="仿宋_GB2312" w:eastAsia="仿宋_GB2312" w:cs="仿宋_GB2312"/>
        </w:rPr>
        <w:t>8</w:t>
      </w:r>
      <w:r>
        <w:rPr>
          <w:rFonts w:hint="eastAsia" w:ascii="仿宋_GB2312" w:eastAsia="仿宋_GB2312" w:cs="仿宋_GB2312"/>
          <w:lang w:val="zh-CN"/>
        </w:rPr>
        <w:t>年财政拨款执行收入为</w:t>
      </w:r>
      <w:r>
        <w:rPr>
          <w:rFonts w:ascii="仿宋_GB2312" w:eastAsia="仿宋_GB2312" w:cs="仿宋_GB2312"/>
        </w:rPr>
        <w:t>162.07</w:t>
      </w:r>
      <w:r>
        <w:rPr>
          <w:rFonts w:hint="eastAsia" w:ascii="仿宋_GB2312" w:eastAsia="仿宋_GB2312" w:cs="仿宋_GB2312"/>
        </w:rPr>
        <w:t>万</w:t>
      </w:r>
      <w:r>
        <w:rPr>
          <w:rFonts w:hint="eastAsia" w:ascii="仿宋_GB2312" w:eastAsia="仿宋_GB2312" w:cs="仿宋_GB2312"/>
          <w:lang w:val="zh-CN"/>
        </w:rPr>
        <w:t>元。与上年收入调整预算数相比较减少</w:t>
      </w:r>
      <w:r>
        <w:rPr>
          <w:rFonts w:ascii="仿宋_GB2312" w:eastAsia="仿宋_GB2312" w:cs="仿宋_GB2312"/>
          <w:lang w:val="zh-CN"/>
        </w:rPr>
        <w:t>14.28%</w:t>
      </w:r>
      <w:r>
        <w:rPr>
          <w:rFonts w:hint="eastAsia" w:ascii="仿宋_GB2312" w:eastAsia="仿宋_GB2312" w:cs="仿宋_GB2312"/>
          <w:lang w:val="zh-CN"/>
        </w:rPr>
        <w:t>，主要原因为公用经费和项目费用支出减少。</w:t>
      </w:r>
    </w:p>
    <w:p>
      <w:pPr>
        <w:autoSpaceDE w:val="0"/>
        <w:autoSpaceDN w:val="0"/>
        <w:spacing w:line="360" w:lineRule="auto"/>
        <w:ind w:firstLine="640"/>
        <w:rPr>
          <w:rFonts w:ascii="仿宋_GB2312" w:eastAsia="仿宋_GB2312" w:cs="Times New Roman"/>
          <w:lang w:val="zh-CN"/>
        </w:rPr>
      </w:pPr>
      <w:r>
        <w:rPr>
          <w:rFonts w:hint="eastAsia" w:ascii="仿宋_GB2312" w:eastAsia="仿宋_GB2312" w:cs="仿宋_GB2312"/>
          <w:lang w:val="zh-CN"/>
        </w:rPr>
        <w:t>本部门</w:t>
      </w:r>
      <w:r>
        <w:rPr>
          <w:rFonts w:ascii="仿宋_GB2312" w:hAnsi="仿宋" w:eastAsia="仿宋_GB2312" w:cs="仿宋_GB2312"/>
        </w:rPr>
        <w:t>2019</w:t>
      </w:r>
      <w:r>
        <w:rPr>
          <w:rFonts w:hint="eastAsia" w:ascii="仿宋_GB2312" w:hAnsi="仿宋" w:eastAsia="仿宋_GB2312" w:cs="仿宋_GB2312"/>
        </w:rPr>
        <w:t>年度</w:t>
      </w:r>
      <w:r>
        <w:rPr>
          <w:rFonts w:hint="eastAsia" w:ascii="仿宋_GB2312" w:hAnsi="宋体" w:eastAsia="仿宋_GB2312" w:cs="仿宋_GB2312"/>
          <w:color w:val="000000"/>
          <w:kern w:val="0"/>
        </w:rPr>
        <w:t>财政拨款</w:t>
      </w:r>
      <w:r>
        <w:rPr>
          <w:rFonts w:hint="eastAsia" w:ascii="仿宋_GB2312" w:hAnsi="仿宋" w:eastAsia="仿宋_GB2312" w:cs="仿宋_GB2312"/>
        </w:rPr>
        <w:t>支出</w:t>
      </w:r>
      <w:r>
        <w:rPr>
          <w:rFonts w:hint="eastAsia" w:ascii="仿宋_GB2312" w:eastAsia="仿宋_GB2312" w:cs="仿宋_GB2312"/>
          <w:lang w:val="zh-CN"/>
        </w:rPr>
        <w:t>为</w:t>
      </w:r>
      <w:r>
        <w:rPr>
          <w:rFonts w:ascii="仿宋_GB2312" w:eastAsia="仿宋_GB2312" w:cs="仿宋_GB2312"/>
        </w:rPr>
        <w:t>138.92</w:t>
      </w:r>
      <w:r>
        <w:rPr>
          <w:rFonts w:hint="eastAsia" w:ascii="仿宋_GB2312" w:eastAsia="仿宋_GB2312" w:cs="仿宋_GB2312"/>
        </w:rPr>
        <w:t>万</w:t>
      </w:r>
      <w:r>
        <w:rPr>
          <w:rFonts w:hint="eastAsia" w:ascii="仿宋_GB2312" w:eastAsia="仿宋_GB2312" w:cs="仿宋_GB2312"/>
          <w:lang w:val="zh-CN"/>
        </w:rPr>
        <w:t>元，</w:t>
      </w:r>
      <w:r>
        <w:rPr>
          <w:rFonts w:ascii="仿宋_GB2312" w:eastAsia="仿宋_GB2312" w:cs="仿宋_GB2312"/>
          <w:lang w:val="zh-CN"/>
        </w:rPr>
        <w:t>201</w:t>
      </w:r>
      <w:r>
        <w:rPr>
          <w:rFonts w:ascii="仿宋_GB2312" w:eastAsia="仿宋_GB2312" w:cs="仿宋_GB2312"/>
        </w:rPr>
        <w:t>8</w:t>
      </w:r>
      <w:r>
        <w:rPr>
          <w:rFonts w:hint="eastAsia" w:ascii="仿宋_GB2312" w:eastAsia="仿宋_GB2312" w:cs="仿宋_GB2312"/>
          <w:lang w:val="zh-CN"/>
        </w:rPr>
        <w:t>年财政拨款执行支出为</w:t>
      </w:r>
      <w:r>
        <w:rPr>
          <w:rFonts w:ascii="仿宋_GB2312" w:eastAsia="仿宋_GB2312" w:cs="仿宋_GB2312"/>
        </w:rPr>
        <w:t>162.07</w:t>
      </w:r>
      <w:r>
        <w:rPr>
          <w:rFonts w:hint="eastAsia" w:ascii="仿宋_GB2312" w:eastAsia="仿宋_GB2312" w:cs="仿宋_GB2312"/>
        </w:rPr>
        <w:t>万</w:t>
      </w:r>
      <w:r>
        <w:rPr>
          <w:rFonts w:hint="eastAsia" w:ascii="仿宋_GB2312" w:eastAsia="仿宋_GB2312" w:cs="仿宋_GB2312"/>
          <w:lang w:val="zh-CN"/>
        </w:rPr>
        <w:t>元。与上年收入调整预算数相比较减少</w:t>
      </w:r>
      <w:r>
        <w:rPr>
          <w:rFonts w:ascii="仿宋_GB2312" w:eastAsia="仿宋_GB2312" w:cs="仿宋_GB2312"/>
          <w:lang w:val="zh-CN"/>
        </w:rPr>
        <w:t>14.28%</w:t>
      </w:r>
      <w:r>
        <w:rPr>
          <w:rFonts w:hint="eastAsia" w:ascii="仿宋_GB2312" w:eastAsia="仿宋_GB2312" w:cs="仿宋_GB2312"/>
          <w:lang w:val="zh-CN"/>
        </w:rPr>
        <w:t>，主要原因为公用经费和项目费用支出减少。</w:t>
      </w:r>
    </w:p>
    <w:p>
      <w:pPr>
        <w:autoSpaceDE w:val="0"/>
        <w:autoSpaceDN w:val="0"/>
        <w:spacing w:line="360" w:lineRule="auto"/>
        <w:ind w:firstLine="640"/>
        <w:rPr>
          <w:rFonts w:cs="Times New Roman"/>
        </w:rPr>
      </w:pPr>
      <w:r>
        <w:rPr>
          <w:rFonts w:cs="Times New Roman"/>
        </w:rPr>
        <w:pict>
          <v:shape id="_x0000_i1028" o:spt="75" type="#_x0000_t75" style="height:213.75pt;width:413.25pt;" filled="f" o:preferrelative="t" stroked="f" coordsize="21600,21600">
            <v:path/>
            <v:fill on="f" focussize="0,0"/>
            <v:stroke on="f" joinstyle="miter"/>
            <v:imagedata r:id="rId5" o:title=""/>
            <o:lock v:ext="edit" aspectratio="t"/>
            <w10:wrap type="none"/>
            <w10:anchorlock/>
          </v:shape>
        </w:pict>
      </w:r>
    </w:p>
    <w:p>
      <w:pPr>
        <w:widowControl/>
        <w:ind w:firstLine="640" w:firstLineChars="200"/>
        <w:jc w:val="left"/>
        <w:rPr>
          <w:rFonts w:ascii="黑体" w:hAnsi="黑体" w:eastAsia="黑体" w:cs="Times New Roman"/>
          <w:color w:val="000000"/>
          <w:kern w:val="0"/>
        </w:rPr>
      </w:pPr>
      <w:r>
        <w:rPr>
          <w:rFonts w:hint="eastAsia" w:ascii="黑体" w:hAnsi="黑体" w:eastAsia="黑体" w:cs="黑体"/>
          <w:color w:val="000000"/>
          <w:kern w:val="0"/>
        </w:rPr>
        <w:t>五、一般公共预算财政拨款支出决算情况说明</w:t>
      </w:r>
    </w:p>
    <w:p>
      <w:pPr>
        <w:widowControl/>
        <w:ind w:firstLine="643" w:firstLineChars="200"/>
        <w:jc w:val="left"/>
        <w:rPr>
          <w:rFonts w:ascii="楷体_GB2312" w:hAnsi="宋体" w:eastAsia="楷体_GB2312" w:cs="Times New Roman"/>
          <w:b/>
          <w:bCs/>
          <w:color w:val="000000"/>
          <w:kern w:val="0"/>
        </w:rPr>
      </w:pPr>
      <w:r>
        <w:rPr>
          <w:rFonts w:hint="eastAsia" w:ascii="楷体_GB2312" w:hAnsi="宋体" w:eastAsia="楷体_GB2312" w:cs="楷体_GB2312"/>
          <w:b/>
          <w:bCs/>
          <w:color w:val="000000"/>
          <w:kern w:val="0"/>
        </w:rPr>
        <w:t>（一）财政拨款支出决算总体情况说明。</w:t>
      </w:r>
    </w:p>
    <w:p>
      <w:pPr>
        <w:autoSpaceDE w:val="0"/>
        <w:autoSpaceDN w:val="0"/>
        <w:spacing w:line="360" w:lineRule="auto"/>
        <w:ind w:firstLine="640"/>
        <w:rPr>
          <w:rFonts w:ascii="仿宋_GB2312" w:eastAsia="仿宋_GB2312" w:cs="Times New Roman"/>
          <w:lang w:val="zh-CN"/>
        </w:rPr>
      </w:pPr>
      <w:r>
        <w:rPr>
          <w:rFonts w:hint="eastAsia" w:ascii="仿宋_GB2312" w:hAnsi="宋体" w:eastAsia="仿宋_GB2312" w:cs="仿宋_GB2312"/>
          <w:color w:val="000000"/>
          <w:kern w:val="0"/>
        </w:rPr>
        <w:t>本部门</w:t>
      </w:r>
      <w:r>
        <w:rPr>
          <w:rFonts w:ascii="仿宋_GB2312" w:hAnsi="宋体" w:eastAsia="仿宋_GB2312" w:cs="仿宋_GB2312"/>
          <w:color w:val="000000"/>
          <w:kern w:val="0"/>
        </w:rPr>
        <w:t>2019</w:t>
      </w:r>
      <w:r>
        <w:rPr>
          <w:rFonts w:hint="eastAsia" w:ascii="仿宋_GB2312" w:hAnsi="宋体" w:eastAsia="仿宋_GB2312" w:cs="仿宋_GB2312"/>
          <w:color w:val="000000"/>
          <w:kern w:val="0"/>
        </w:rPr>
        <w:t>年</w:t>
      </w:r>
      <w:r>
        <w:rPr>
          <w:rFonts w:hint="eastAsia" w:ascii="仿宋_GB2312" w:hAnsi="仿宋" w:eastAsia="仿宋_GB2312" w:cs="仿宋_GB2312"/>
        </w:rPr>
        <w:t>度</w:t>
      </w:r>
      <w:r>
        <w:rPr>
          <w:rFonts w:hint="eastAsia" w:ascii="仿宋_GB2312" w:hAnsi="宋体" w:eastAsia="仿宋_GB2312" w:cs="仿宋_GB2312"/>
          <w:color w:val="000000"/>
          <w:kern w:val="0"/>
        </w:rPr>
        <w:t>财政拨款支出</w:t>
      </w:r>
      <w:r>
        <w:rPr>
          <w:rFonts w:ascii="仿宋_GB2312" w:hAnsi="宋体" w:eastAsia="仿宋_GB2312" w:cs="仿宋_GB2312"/>
          <w:color w:val="000000"/>
          <w:kern w:val="0"/>
        </w:rPr>
        <w:t>138.92</w:t>
      </w:r>
      <w:r>
        <w:rPr>
          <w:rFonts w:hint="eastAsia" w:ascii="仿宋_GB2312" w:hAnsi="宋体" w:eastAsia="仿宋_GB2312" w:cs="仿宋_GB2312"/>
          <w:color w:val="000000"/>
          <w:kern w:val="0"/>
        </w:rPr>
        <w:t>万元，占本年支出合计的</w:t>
      </w:r>
      <w:r>
        <w:rPr>
          <w:rFonts w:ascii="仿宋_GB2312" w:hAnsi="宋体" w:eastAsia="仿宋_GB2312" w:cs="仿宋_GB2312"/>
          <w:color w:val="000000"/>
          <w:kern w:val="0"/>
        </w:rPr>
        <w:t>100%</w:t>
      </w:r>
      <w:r>
        <w:rPr>
          <w:rFonts w:hint="eastAsia" w:ascii="仿宋_GB2312" w:hAnsi="宋体" w:eastAsia="仿宋_GB2312" w:cs="仿宋_GB2312"/>
          <w:color w:val="000000"/>
          <w:kern w:val="0"/>
        </w:rPr>
        <w:t>。与上年相比，财政拨款支出减少</w:t>
      </w:r>
      <w:r>
        <w:rPr>
          <w:rFonts w:ascii="仿宋_GB2312" w:hAnsi="宋体" w:eastAsia="仿宋_GB2312" w:cs="仿宋_GB2312"/>
          <w:color w:val="000000"/>
          <w:kern w:val="0"/>
        </w:rPr>
        <w:t>23.15</w:t>
      </w:r>
      <w:r>
        <w:rPr>
          <w:rFonts w:hint="eastAsia" w:ascii="仿宋_GB2312" w:hAnsi="宋体" w:eastAsia="仿宋_GB2312" w:cs="仿宋_GB2312"/>
          <w:color w:val="000000"/>
          <w:kern w:val="0"/>
        </w:rPr>
        <w:t>万元，减少</w:t>
      </w:r>
      <w:r>
        <w:rPr>
          <w:rFonts w:ascii="仿宋_GB2312" w:hAnsi="宋体" w:eastAsia="仿宋_GB2312" w:cs="仿宋_GB2312"/>
          <w:color w:val="000000"/>
          <w:kern w:val="0"/>
        </w:rPr>
        <w:t>14.28%</w:t>
      </w:r>
      <w:r>
        <w:rPr>
          <w:rFonts w:hint="eastAsia" w:ascii="仿宋_GB2312" w:hAnsi="宋体" w:eastAsia="仿宋_GB2312" w:cs="仿宋_GB2312"/>
          <w:color w:val="000000"/>
          <w:kern w:val="0"/>
        </w:rPr>
        <w:t>，</w:t>
      </w:r>
      <w:r>
        <w:rPr>
          <w:rFonts w:hint="eastAsia" w:ascii="仿宋_GB2312" w:eastAsia="仿宋_GB2312" w:cs="仿宋_GB2312"/>
          <w:lang w:val="zh-CN"/>
        </w:rPr>
        <w:t>主要原因为公用经费和项目费用支出减少。</w:t>
      </w:r>
    </w:p>
    <w:p>
      <w:pPr>
        <w:autoSpaceDE w:val="0"/>
        <w:autoSpaceDN w:val="0"/>
        <w:spacing w:line="360" w:lineRule="auto"/>
        <w:ind w:firstLine="640"/>
        <w:rPr>
          <w:rFonts w:ascii="仿宋_GB2312" w:eastAsia="仿宋_GB2312" w:cs="Times New Roman"/>
          <w:lang w:val="zh-CN"/>
        </w:rPr>
      </w:pPr>
      <w:r>
        <w:rPr>
          <w:rFonts w:cs="Times New Roman"/>
        </w:rPr>
        <w:pict>
          <v:shape id="_x0000_i1029" o:spt="75" type="#_x0000_t75" style="height:213.75pt;width:413.25pt;" filled="f" o:preferrelative="t" stroked="f" coordsize="21600,21600">
            <v:path/>
            <v:fill on="f" focussize="0,0"/>
            <v:stroke on="f" joinstyle="miter"/>
            <v:imagedata r:id="rId7" o:title=""/>
            <o:lock v:ext="edit" aspectratio="t"/>
            <w10:wrap type="none"/>
            <w10:anchorlock/>
          </v:shape>
        </w:pict>
      </w:r>
    </w:p>
    <w:p>
      <w:pPr>
        <w:widowControl/>
        <w:ind w:firstLine="643" w:firstLineChars="200"/>
        <w:jc w:val="left"/>
        <w:rPr>
          <w:rFonts w:ascii="楷体_GB2312" w:hAnsi="宋体" w:eastAsia="楷体_GB2312" w:cs="Times New Roman"/>
          <w:b/>
          <w:bCs/>
          <w:color w:val="000000"/>
          <w:kern w:val="0"/>
        </w:rPr>
      </w:pPr>
      <w:r>
        <w:rPr>
          <w:rFonts w:hint="eastAsia" w:ascii="楷体_GB2312" w:hAnsi="宋体" w:eastAsia="楷体_GB2312" w:cs="楷体_GB2312"/>
          <w:b/>
          <w:bCs/>
          <w:color w:val="000000"/>
          <w:kern w:val="0"/>
        </w:rPr>
        <w:t>（二）财政拨款支出决算具体情况说明。</w:t>
      </w:r>
    </w:p>
    <w:p>
      <w:pPr>
        <w:spacing w:line="360" w:lineRule="auto"/>
        <w:ind w:firstLine="640" w:firstLineChars="200"/>
        <w:rPr>
          <w:rFonts w:ascii="仿宋_GB2312" w:hAnsi="仿宋" w:eastAsia="仿宋_GB2312" w:cs="Times New Roman"/>
        </w:rPr>
      </w:pPr>
      <w:r>
        <w:rPr>
          <w:rFonts w:hint="eastAsia" w:ascii="仿宋_GB2312" w:hAnsi="仿宋" w:eastAsia="仿宋_GB2312" w:cs="仿宋_GB2312"/>
        </w:rPr>
        <w:t>（按</w:t>
      </w:r>
      <w:r>
        <w:rPr>
          <w:rFonts w:hint="eastAsia" w:ascii="仿宋_GB2312" w:hAnsi="宋体" w:eastAsia="仿宋_GB2312" w:cs="仿宋_GB2312"/>
        </w:rPr>
        <w:t>政府功能分类科目</w:t>
      </w:r>
      <w:r>
        <w:rPr>
          <w:rFonts w:hint="eastAsia" w:ascii="仿宋_GB2312" w:hAnsi="仿宋" w:eastAsia="仿宋_GB2312" w:cs="仿宋_GB2312"/>
        </w:rPr>
        <w:t>说明支出具体内容，具体到项，</w:t>
      </w:r>
      <w:r>
        <w:rPr>
          <w:rFonts w:hint="eastAsia" w:ascii="仿宋_GB2312" w:hAnsi="仿宋_GB2312" w:eastAsia="仿宋_GB2312" w:cs="仿宋_GB2312"/>
        </w:rPr>
        <w:t>文字说明</w:t>
      </w:r>
      <w:r>
        <w:rPr>
          <w:rFonts w:hint="eastAsia" w:ascii="仿宋_GB2312" w:hAnsi="仿宋" w:eastAsia="仿宋_GB2312" w:cs="仿宋_GB2312"/>
        </w:rPr>
        <w:t>）</w:t>
      </w:r>
    </w:p>
    <w:p>
      <w:pPr>
        <w:widowControl/>
        <w:ind w:firstLine="640" w:firstLineChars="200"/>
        <w:jc w:val="left"/>
        <w:rPr>
          <w:rFonts w:cs="Times New Roman"/>
        </w:rPr>
      </w:pPr>
      <w:r>
        <w:rPr>
          <w:rFonts w:hint="eastAsia" w:ascii="仿宋_GB2312" w:hAnsi="仿宋_GB2312" w:eastAsia="仿宋_GB2312" w:cs="仿宋_GB2312"/>
        </w:rPr>
        <w:t>本部门</w:t>
      </w:r>
      <w:r>
        <w:rPr>
          <w:rFonts w:ascii="仿宋_GB2312" w:hAnsi="宋体" w:eastAsia="仿宋_GB2312" w:cs="仿宋_GB2312"/>
          <w:color w:val="000000"/>
          <w:kern w:val="0"/>
        </w:rPr>
        <w:t>2019</w:t>
      </w:r>
      <w:r>
        <w:rPr>
          <w:rFonts w:hint="eastAsia" w:ascii="仿宋_GB2312" w:hAnsi="宋体" w:eastAsia="仿宋_GB2312" w:cs="仿宋_GB2312"/>
          <w:color w:val="000000"/>
          <w:kern w:val="0"/>
        </w:rPr>
        <w:t>年</w:t>
      </w:r>
      <w:r>
        <w:rPr>
          <w:rFonts w:hint="eastAsia" w:ascii="仿宋_GB2312" w:hAnsi="仿宋" w:eastAsia="仿宋_GB2312" w:cs="仿宋_GB2312"/>
        </w:rPr>
        <w:t>度</w:t>
      </w:r>
      <w:r>
        <w:rPr>
          <w:rFonts w:hint="eastAsia" w:ascii="仿宋_GB2312" w:hAnsi="宋体" w:eastAsia="仿宋_GB2312" w:cs="仿宋_GB2312"/>
          <w:color w:val="000000"/>
          <w:kern w:val="0"/>
        </w:rPr>
        <w:t>财政拨款支出年初预算为</w:t>
      </w:r>
      <w:r>
        <w:rPr>
          <w:rFonts w:ascii="仿宋_GB2312" w:hAnsi="宋体" w:eastAsia="仿宋_GB2312" w:cs="仿宋_GB2312"/>
          <w:color w:val="000000"/>
          <w:kern w:val="0"/>
        </w:rPr>
        <w:t>105.58</w:t>
      </w:r>
      <w:r>
        <w:rPr>
          <w:rFonts w:hint="eastAsia" w:ascii="仿宋_GB2312" w:hAnsi="宋体" w:eastAsia="仿宋_GB2312" w:cs="仿宋_GB2312"/>
          <w:color w:val="000000"/>
          <w:kern w:val="0"/>
        </w:rPr>
        <w:t>万元，支出决算为</w:t>
      </w:r>
      <w:r>
        <w:rPr>
          <w:rFonts w:ascii="仿宋_GB2312" w:hAnsi="宋体" w:eastAsia="仿宋_GB2312" w:cs="仿宋_GB2312"/>
          <w:color w:val="000000"/>
          <w:kern w:val="0"/>
        </w:rPr>
        <w:t>138.92</w:t>
      </w:r>
      <w:r>
        <w:rPr>
          <w:rFonts w:hint="eastAsia" w:ascii="仿宋_GB2312" w:hAnsi="宋体" w:eastAsia="仿宋_GB2312" w:cs="仿宋_GB2312"/>
          <w:color w:val="000000"/>
          <w:kern w:val="0"/>
        </w:rPr>
        <w:t>万元，完成年初预算的</w:t>
      </w:r>
      <w:r>
        <w:rPr>
          <w:rFonts w:ascii="仿宋_GB2312" w:hAnsi="宋体" w:eastAsia="仿宋_GB2312" w:cs="仿宋_GB2312"/>
          <w:color w:val="000000"/>
          <w:kern w:val="0"/>
        </w:rPr>
        <w:t>131.58%</w:t>
      </w:r>
      <w:r>
        <w:rPr>
          <w:rFonts w:hint="eastAsia" w:ascii="仿宋_GB2312" w:hAnsi="宋体" w:eastAsia="仿宋_GB2312" w:cs="仿宋_GB2312"/>
          <w:color w:val="000000"/>
          <w:kern w:val="0"/>
        </w:rPr>
        <w:t>。按照政府功能分类科目，其中：</w:t>
      </w:r>
      <w:r>
        <w:rPr>
          <w:rFonts w:ascii="仿宋_GB2312" w:hAnsi="宋体" w:eastAsia="仿宋_GB2312" w:cs="仿宋_GB2312"/>
          <w:color w:val="000000"/>
          <w:kern w:val="0"/>
        </w:rPr>
        <w:t xml:space="preserve"> </w:t>
      </w:r>
    </w:p>
    <w:p>
      <w:pPr>
        <w:widowControl/>
        <w:ind w:firstLine="643" w:firstLineChars="200"/>
        <w:jc w:val="left"/>
        <w:rPr>
          <w:rFonts w:cs="Times New Roman"/>
        </w:rPr>
      </w:pPr>
      <w:r>
        <w:rPr>
          <w:rFonts w:ascii="仿宋_GB2312" w:hAnsi="宋体" w:eastAsia="仿宋_GB2312" w:cs="仿宋_GB2312"/>
          <w:b/>
          <w:bCs/>
          <w:color w:val="000000"/>
          <w:kern w:val="0"/>
        </w:rPr>
        <w:t>1.</w:t>
      </w:r>
      <w:r>
        <w:rPr>
          <w:rFonts w:hint="eastAsia" w:ascii="仿宋_GB2312" w:hAnsi="宋体" w:eastAsia="仿宋_GB2312" w:cs="仿宋_GB2312"/>
          <w:b/>
          <w:bCs/>
          <w:color w:val="000000"/>
          <w:kern w:val="0"/>
        </w:rPr>
        <w:t>一般公共服务支出（类）财政事务（款）行政运行（项）。</w:t>
      </w:r>
      <w:r>
        <w:rPr>
          <w:rFonts w:ascii="仿宋_GB2312" w:hAnsi="宋体" w:eastAsia="仿宋_GB2312" w:cs="仿宋_GB2312"/>
          <w:b/>
          <w:bCs/>
          <w:color w:val="000000"/>
          <w:kern w:val="0"/>
        </w:rPr>
        <w:t xml:space="preserve"> </w:t>
      </w:r>
    </w:p>
    <w:p>
      <w:pPr>
        <w:autoSpaceDE w:val="0"/>
        <w:autoSpaceDN w:val="0"/>
        <w:spacing w:line="360" w:lineRule="auto"/>
        <w:ind w:firstLine="640"/>
        <w:rPr>
          <w:rFonts w:ascii="仿宋_GB2312" w:eastAsia="仿宋_GB2312" w:cs="Times New Roman"/>
          <w:lang w:val="zh-CN"/>
        </w:rPr>
      </w:pPr>
      <w:r>
        <w:rPr>
          <w:rFonts w:ascii="仿宋_GB2312" w:hAnsi="宋体" w:eastAsia="仿宋_GB2312" w:cs="仿宋_GB2312"/>
          <w:color w:val="000000"/>
          <w:kern w:val="0"/>
        </w:rPr>
        <w:t>2019</w:t>
      </w:r>
      <w:r>
        <w:rPr>
          <w:rFonts w:hint="eastAsia" w:ascii="仿宋_GB2312" w:hAnsi="宋体" w:eastAsia="仿宋_GB2312" w:cs="仿宋_GB2312"/>
          <w:color w:val="000000"/>
          <w:kern w:val="0"/>
        </w:rPr>
        <w:t>年初预算为</w:t>
      </w:r>
      <w:r>
        <w:rPr>
          <w:rFonts w:ascii="仿宋_GB2312" w:hAnsi="宋体" w:eastAsia="仿宋_GB2312" w:cs="仿宋_GB2312"/>
          <w:color w:val="000000"/>
          <w:kern w:val="0"/>
        </w:rPr>
        <w:t>105.58</w:t>
      </w:r>
      <w:r>
        <w:rPr>
          <w:rFonts w:hint="eastAsia" w:ascii="仿宋_GB2312" w:hAnsi="宋体" w:eastAsia="仿宋_GB2312" w:cs="仿宋_GB2312"/>
          <w:color w:val="000000"/>
          <w:kern w:val="0"/>
        </w:rPr>
        <w:t>万元，支出决算为</w:t>
      </w:r>
      <w:r>
        <w:rPr>
          <w:rFonts w:ascii="仿宋_GB2312" w:hAnsi="宋体" w:eastAsia="仿宋_GB2312" w:cs="仿宋_GB2312"/>
          <w:color w:val="000000"/>
          <w:kern w:val="0"/>
        </w:rPr>
        <w:t>138.92</w:t>
      </w:r>
      <w:r>
        <w:rPr>
          <w:rFonts w:hint="eastAsia" w:ascii="仿宋_GB2312" w:hAnsi="宋体" w:eastAsia="仿宋_GB2312" w:cs="仿宋_GB2312"/>
          <w:color w:val="000000"/>
          <w:kern w:val="0"/>
        </w:rPr>
        <w:t>万元，完成年初预算的</w:t>
      </w:r>
      <w:r>
        <w:rPr>
          <w:rFonts w:ascii="仿宋_GB2312" w:hAnsi="宋体" w:eastAsia="仿宋_GB2312" w:cs="仿宋_GB2312"/>
          <w:color w:val="000000"/>
          <w:kern w:val="0"/>
        </w:rPr>
        <w:t>131.58%</w:t>
      </w:r>
      <w:r>
        <w:rPr>
          <w:rFonts w:hint="eastAsia" w:ascii="仿宋_GB2312" w:hAnsi="宋体" w:eastAsia="仿宋_GB2312" w:cs="仿宋_GB2312"/>
          <w:color w:val="000000"/>
          <w:kern w:val="0"/>
        </w:rPr>
        <w:t>。决算数大于预算数的主要原因是</w:t>
      </w:r>
      <w:r>
        <w:rPr>
          <w:rFonts w:hint="eastAsia" w:ascii="仿宋_GB2312" w:eastAsia="仿宋_GB2312" w:cs="仿宋_GB2312"/>
          <w:lang w:val="zh-CN"/>
        </w:rPr>
        <w:t>人员工资调整和</w:t>
      </w:r>
      <w:r>
        <w:rPr>
          <w:rFonts w:ascii="仿宋_GB2312" w:eastAsia="仿宋_GB2312" w:cs="仿宋_GB2312"/>
          <w:lang w:val="zh-CN"/>
        </w:rPr>
        <w:t>2019</w:t>
      </w:r>
      <w:r>
        <w:rPr>
          <w:rFonts w:hint="eastAsia" w:ascii="仿宋_GB2312" w:eastAsia="仿宋_GB2312" w:cs="仿宋_GB2312"/>
          <w:lang w:val="zh-CN"/>
        </w:rPr>
        <w:t>年度增加机关人员养老保险预算。</w:t>
      </w:r>
    </w:p>
    <w:tbl>
      <w:tblPr>
        <w:tblStyle w:val="5"/>
        <w:tblW w:w="982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04"/>
        <w:gridCol w:w="1764"/>
        <w:gridCol w:w="1734"/>
        <w:gridCol w:w="1116"/>
        <w:gridCol w:w="1069"/>
        <w:gridCol w:w="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3404" w:type="dxa"/>
            <w:vAlign w:val="center"/>
          </w:tcPr>
          <w:p>
            <w:pPr>
              <w:snapToGrid w:val="0"/>
              <w:spacing w:line="520" w:lineRule="exact"/>
              <w:jc w:val="center"/>
              <w:rPr>
                <w:rFonts w:ascii="仿宋_GB2312" w:hAnsi="仿宋" w:eastAsia="仿宋_GB2312" w:cs="Times New Roman"/>
                <w:sz w:val="24"/>
                <w:szCs w:val="24"/>
              </w:rPr>
            </w:pPr>
            <w:r>
              <w:rPr>
                <w:rFonts w:hint="eastAsia" w:ascii="仿宋_GB2312" w:hAnsi="仿宋" w:eastAsia="仿宋_GB2312" w:cs="仿宋_GB2312"/>
                <w:sz w:val="24"/>
                <w:szCs w:val="24"/>
              </w:rPr>
              <w:t>科目</w:t>
            </w:r>
          </w:p>
        </w:tc>
        <w:tc>
          <w:tcPr>
            <w:tcW w:w="1764" w:type="dxa"/>
            <w:vAlign w:val="center"/>
          </w:tcPr>
          <w:p>
            <w:pPr>
              <w:snapToGrid w:val="0"/>
              <w:spacing w:line="520" w:lineRule="exact"/>
              <w:jc w:val="center"/>
              <w:rPr>
                <w:rFonts w:ascii="仿宋_GB2312" w:hAnsi="仿宋" w:eastAsia="仿宋_GB2312" w:cs="Times New Roman"/>
                <w:sz w:val="24"/>
                <w:szCs w:val="24"/>
              </w:rPr>
            </w:pPr>
            <w:r>
              <w:rPr>
                <w:rFonts w:ascii="仿宋_GB2312" w:hAnsi="仿宋" w:eastAsia="仿宋_GB2312" w:cs="仿宋_GB2312"/>
                <w:sz w:val="24"/>
                <w:szCs w:val="24"/>
              </w:rPr>
              <w:t>2019</w:t>
            </w:r>
            <w:r>
              <w:rPr>
                <w:rFonts w:hint="eastAsia" w:ascii="仿宋_GB2312" w:hAnsi="仿宋" w:eastAsia="仿宋_GB2312" w:cs="仿宋_GB2312"/>
                <w:sz w:val="24"/>
                <w:szCs w:val="24"/>
              </w:rPr>
              <w:t>年预算数</w:t>
            </w:r>
          </w:p>
        </w:tc>
        <w:tc>
          <w:tcPr>
            <w:tcW w:w="1734" w:type="dxa"/>
            <w:vAlign w:val="center"/>
          </w:tcPr>
          <w:p>
            <w:pPr>
              <w:snapToGrid w:val="0"/>
              <w:spacing w:line="520" w:lineRule="exact"/>
              <w:jc w:val="center"/>
              <w:rPr>
                <w:rFonts w:ascii="仿宋_GB2312" w:hAnsi="仿宋" w:eastAsia="仿宋_GB2312" w:cs="Times New Roman"/>
                <w:sz w:val="24"/>
                <w:szCs w:val="24"/>
              </w:rPr>
            </w:pPr>
            <w:r>
              <w:rPr>
                <w:rFonts w:ascii="仿宋_GB2312" w:hAnsi="仿宋" w:eastAsia="仿宋_GB2312" w:cs="仿宋_GB2312"/>
                <w:sz w:val="24"/>
                <w:szCs w:val="24"/>
              </w:rPr>
              <w:t>2019</w:t>
            </w:r>
            <w:r>
              <w:rPr>
                <w:rFonts w:hint="eastAsia" w:ascii="仿宋_GB2312" w:hAnsi="仿宋" w:eastAsia="仿宋_GB2312" w:cs="仿宋_GB2312"/>
                <w:sz w:val="24"/>
                <w:szCs w:val="24"/>
              </w:rPr>
              <w:t>年决算数</w:t>
            </w:r>
          </w:p>
        </w:tc>
        <w:tc>
          <w:tcPr>
            <w:tcW w:w="1116" w:type="dxa"/>
            <w:vAlign w:val="center"/>
          </w:tcPr>
          <w:p>
            <w:pPr>
              <w:snapToGrid w:val="0"/>
              <w:spacing w:line="520" w:lineRule="exact"/>
              <w:jc w:val="center"/>
              <w:rPr>
                <w:rFonts w:ascii="仿宋_GB2312" w:hAnsi="仿宋" w:eastAsia="仿宋_GB2312" w:cs="Times New Roman"/>
                <w:sz w:val="24"/>
                <w:szCs w:val="24"/>
              </w:rPr>
            </w:pPr>
            <w:r>
              <w:rPr>
                <w:rFonts w:hint="eastAsia" w:ascii="仿宋_GB2312" w:hAnsi="仿宋" w:eastAsia="仿宋_GB2312" w:cs="仿宋_GB2312"/>
                <w:sz w:val="24"/>
                <w:szCs w:val="24"/>
              </w:rPr>
              <w:t>预决算</w:t>
            </w:r>
          </w:p>
          <w:p>
            <w:pPr>
              <w:snapToGrid w:val="0"/>
              <w:spacing w:line="520" w:lineRule="exact"/>
              <w:jc w:val="center"/>
              <w:rPr>
                <w:rFonts w:ascii="仿宋_GB2312" w:hAnsi="仿宋" w:eastAsia="仿宋_GB2312" w:cs="Times New Roman"/>
                <w:sz w:val="24"/>
                <w:szCs w:val="24"/>
              </w:rPr>
            </w:pPr>
            <w:r>
              <w:rPr>
                <w:rFonts w:hint="eastAsia" w:ascii="仿宋_GB2312" w:hAnsi="仿宋" w:eastAsia="仿宋_GB2312" w:cs="仿宋_GB2312"/>
                <w:sz w:val="24"/>
                <w:szCs w:val="24"/>
              </w:rPr>
              <w:t>对比率</w:t>
            </w:r>
          </w:p>
        </w:tc>
        <w:tc>
          <w:tcPr>
            <w:tcW w:w="1069" w:type="dxa"/>
            <w:vAlign w:val="center"/>
          </w:tcPr>
          <w:p>
            <w:pPr>
              <w:snapToGrid w:val="0"/>
              <w:spacing w:line="520" w:lineRule="exact"/>
              <w:jc w:val="center"/>
              <w:rPr>
                <w:rFonts w:ascii="仿宋_GB2312" w:hAnsi="仿宋" w:eastAsia="仿宋_GB2312" w:cs="Times New Roman"/>
                <w:sz w:val="24"/>
                <w:szCs w:val="24"/>
              </w:rPr>
            </w:pPr>
            <w:r>
              <w:rPr>
                <w:rFonts w:hint="eastAsia" w:ascii="仿宋_GB2312" w:hAnsi="仿宋" w:eastAsia="仿宋_GB2312" w:cs="仿宋_GB2312"/>
                <w:sz w:val="24"/>
                <w:szCs w:val="24"/>
              </w:rPr>
              <w:t>差异</w:t>
            </w:r>
          </w:p>
          <w:p>
            <w:pPr>
              <w:snapToGrid w:val="0"/>
              <w:spacing w:line="520" w:lineRule="exact"/>
              <w:jc w:val="center"/>
              <w:rPr>
                <w:rFonts w:ascii="仿宋_GB2312" w:hAnsi="仿宋" w:eastAsia="仿宋_GB2312" w:cs="Times New Roman"/>
                <w:sz w:val="24"/>
                <w:szCs w:val="24"/>
              </w:rPr>
            </w:pPr>
            <w:r>
              <w:rPr>
                <w:rFonts w:hint="eastAsia" w:ascii="仿宋_GB2312" w:hAnsi="仿宋" w:eastAsia="仿宋_GB2312" w:cs="仿宋_GB2312"/>
                <w:sz w:val="24"/>
                <w:szCs w:val="24"/>
              </w:rPr>
              <w:t>原因</w:t>
            </w:r>
          </w:p>
        </w:tc>
        <w:tc>
          <w:tcPr>
            <w:tcW w:w="733" w:type="dxa"/>
            <w:vAlign w:val="center"/>
          </w:tcPr>
          <w:p>
            <w:pPr>
              <w:snapToGrid w:val="0"/>
              <w:spacing w:line="520" w:lineRule="exact"/>
              <w:jc w:val="center"/>
              <w:rPr>
                <w:rFonts w:ascii="仿宋_GB2312" w:hAnsi="仿宋" w:eastAsia="仿宋_GB2312" w:cs="Times New Roman"/>
                <w:sz w:val="24"/>
                <w:szCs w:val="24"/>
              </w:rPr>
            </w:pPr>
            <w:r>
              <w:rPr>
                <w:rFonts w:hint="eastAsia" w:ascii="仿宋_GB2312" w:hAnsi="仿宋" w:eastAsia="仿宋_GB2312" w:cs="仿宋_GB2312"/>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3404" w:type="dxa"/>
            <w:vAlign w:val="center"/>
          </w:tcPr>
          <w:p>
            <w:pPr>
              <w:snapToGrid w:val="0"/>
              <w:spacing w:line="520" w:lineRule="exact"/>
              <w:jc w:val="center"/>
              <w:rPr>
                <w:rFonts w:ascii="仿宋_GB2312" w:hAnsi="仿宋" w:eastAsia="仿宋_GB2312" w:cs="Times New Roman"/>
                <w:sz w:val="24"/>
                <w:szCs w:val="24"/>
              </w:rPr>
            </w:pPr>
            <w:r>
              <w:rPr>
                <w:rFonts w:ascii="仿宋_GB2312" w:hAnsi="仿宋" w:eastAsia="仿宋_GB2312" w:cs="仿宋_GB2312"/>
                <w:sz w:val="24"/>
                <w:szCs w:val="24"/>
              </w:rPr>
              <w:t>2013601</w:t>
            </w:r>
            <w:r>
              <w:rPr>
                <w:rFonts w:hint="eastAsia" w:ascii="仿宋_GB2312" w:hAnsi="仿宋" w:eastAsia="仿宋_GB2312" w:cs="仿宋_GB2312"/>
                <w:sz w:val="24"/>
                <w:szCs w:val="24"/>
              </w:rPr>
              <w:t>行政运行</w:t>
            </w:r>
          </w:p>
        </w:tc>
        <w:tc>
          <w:tcPr>
            <w:tcW w:w="1764" w:type="dxa"/>
            <w:vAlign w:val="center"/>
          </w:tcPr>
          <w:p>
            <w:pPr>
              <w:snapToGrid w:val="0"/>
              <w:spacing w:line="520" w:lineRule="exact"/>
              <w:jc w:val="center"/>
              <w:rPr>
                <w:rFonts w:ascii="仿宋_GB2312" w:hAnsi="仿宋" w:eastAsia="仿宋_GB2312" w:cs="Times New Roman"/>
                <w:sz w:val="24"/>
                <w:szCs w:val="24"/>
              </w:rPr>
            </w:pPr>
            <w:r>
              <w:rPr>
                <w:rFonts w:ascii="仿宋_GB2312" w:hAnsi="仿宋" w:eastAsia="仿宋_GB2312" w:cs="仿宋_GB2312"/>
                <w:sz w:val="24"/>
                <w:szCs w:val="24"/>
              </w:rPr>
              <w:t>911073</w:t>
            </w:r>
          </w:p>
        </w:tc>
        <w:tc>
          <w:tcPr>
            <w:tcW w:w="1734" w:type="dxa"/>
            <w:vAlign w:val="center"/>
          </w:tcPr>
          <w:p>
            <w:pPr>
              <w:snapToGrid w:val="0"/>
              <w:spacing w:line="520" w:lineRule="exact"/>
              <w:jc w:val="center"/>
              <w:rPr>
                <w:rFonts w:ascii="仿宋_GB2312" w:hAnsi="仿宋" w:eastAsia="仿宋_GB2312" w:cs="Times New Roman"/>
                <w:sz w:val="24"/>
                <w:szCs w:val="24"/>
              </w:rPr>
            </w:pPr>
            <w:r>
              <w:rPr>
                <w:rFonts w:ascii="仿宋_GB2312" w:hAnsi="仿宋" w:eastAsia="仿宋_GB2312" w:cs="仿宋_GB2312"/>
                <w:sz w:val="24"/>
                <w:szCs w:val="24"/>
              </w:rPr>
              <w:t>1053333</w:t>
            </w:r>
          </w:p>
        </w:tc>
        <w:tc>
          <w:tcPr>
            <w:tcW w:w="1116" w:type="dxa"/>
            <w:vAlign w:val="center"/>
          </w:tcPr>
          <w:p>
            <w:pPr>
              <w:snapToGrid w:val="0"/>
              <w:spacing w:line="520" w:lineRule="exact"/>
              <w:jc w:val="center"/>
              <w:rPr>
                <w:rFonts w:ascii="仿宋_GB2312" w:hAnsi="仿宋" w:eastAsia="仿宋_GB2312" w:cs="Times New Roman"/>
                <w:sz w:val="24"/>
                <w:szCs w:val="24"/>
              </w:rPr>
            </w:pPr>
            <w:r>
              <w:rPr>
                <w:rFonts w:ascii="仿宋_GB2312" w:hAnsi="仿宋" w:eastAsia="仿宋_GB2312" w:cs="仿宋_GB2312"/>
                <w:sz w:val="24"/>
                <w:szCs w:val="24"/>
              </w:rPr>
              <w:t>15.61%</w:t>
            </w:r>
          </w:p>
        </w:tc>
        <w:tc>
          <w:tcPr>
            <w:tcW w:w="1069" w:type="dxa"/>
            <w:vAlign w:val="center"/>
          </w:tcPr>
          <w:p>
            <w:pPr>
              <w:snapToGrid w:val="0"/>
              <w:spacing w:line="520" w:lineRule="exact"/>
              <w:rPr>
                <w:rFonts w:ascii="仿宋_GB2312" w:hAnsi="仿宋" w:eastAsia="仿宋_GB2312" w:cs="Times New Roman"/>
                <w:sz w:val="24"/>
                <w:szCs w:val="24"/>
              </w:rPr>
            </w:pPr>
            <w:r>
              <w:rPr>
                <w:rFonts w:hint="eastAsia" w:ascii="仿宋_GB2312" w:hAnsi="仿宋" w:eastAsia="仿宋_GB2312" w:cs="仿宋_GB2312"/>
                <w:sz w:val="24"/>
                <w:szCs w:val="24"/>
              </w:rPr>
              <w:t>人员工资调整</w:t>
            </w:r>
          </w:p>
        </w:tc>
        <w:tc>
          <w:tcPr>
            <w:tcW w:w="733" w:type="dxa"/>
            <w:vAlign w:val="center"/>
          </w:tcPr>
          <w:p>
            <w:pPr>
              <w:snapToGrid w:val="0"/>
              <w:spacing w:line="520" w:lineRule="exact"/>
              <w:jc w:val="center"/>
              <w:rPr>
                <w:rFonts w:ascii="仿宋_GB2312" w:hAnsi="仿宋"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3404" w:type="dxa"/>
            <w:vAlign w:val="center"/>
          </w:tcPr>
          <w:p>
            <w:pPr>
              <w:snapToGrid w:val="0"/>
              <w:spacing w:line="520" w:lineRule="exact"/>
              <w:jc w:val="center"/>
              <w:rPr>
                <w:rFonts w:ascii="仿宋_GB2312" w:hAnsi="仿宋" w:eastAsia="仿宋_GB2312" w:cs="Times New Roman"/>
                <w:sz w:val="24"/>
                <w:szCs w:val="24"/>
              </w:rPr>
            </w:pPr>
            <w:r>
              <w:rPr>
                <w:rFonts w:ascii="仿宋_GB2312" w:hAnsi="仿宋" w:eastAsia="仿宋_GB2312" w:cs="仿宋_GB2312"/>
                <w:sz w:val="24"/>
                <w:szCs w:val="24"/>
              </w:rPr>
              <w:t>2013602</w:t>
            </w:r>
            <w:r>
              <w:rPr>
                <w:rFonts w:hint="eastAsia" w:ascii="仿宋_GB2312" w:hAnsi="仿宋" w:eastAsia="仿宋_GB2312" w:cs="仿宋_GB2312"/>
                <w:sz w:val="24"/>
                <w:szCs w:val="24"/>
              </w:rPr>
              <w:t>一般行政管理事务</w:t>
            </w:r>
          </w:p>
        </w:tc>
        <w:tc>
          <w:tcPr>
            <w:tcW w:w="1764" w:type="dxa"/>
            <w:vAlign w:val="center"/>
          </w:tcPr>
          <w:p>
            <w:pPr>
              <w:snapToGrid w:val="0"/>
              <w:spacing w:line="520" w:lineRule="exact"/>
              <w:jc w:val="center"/>
              <w:rPr>
                <w:rFonts w:ascii="仿宋_GB2312" w:hAnsi="仿宋" w:eastAsia="仿宋_GB2312" w:cs="Times New Roman"/>
                <w:sz w:val="24"/>
                <w:szCs w:val="24"/>
              </w:rPr>
            </w:pPr>
            <w:r>
              <w:rPr>
                <w:rFonts w:ascii="仿宋_GB2312" w:hAnsi="仿宋" w:eastAsia="仿宋_GB2312" w:cs="仿宋_GB2312"/>
                <w:sz w:val="24"/>
                <w:szCs w:val="24"/>
              </w:rPr>
              <w:t>0</w:t>
            </w:r>
          </w:p>
        </w:tc>
        <w:tc>
          <w:tcPr>
            <w:tcW w:w="1734" w:type="dxa"/>
            <w:vAlign w:val="center"/>
          </w:tcPr>
          <w:p>
            <w:pPr>
              <w:snapToGrid w:val="0"/>
              <w:spacing w:line="520" w:lineRule="exact"/>
              <w:jc w:val="center"/>
              <w:rPr>
                <w:rFonts w:ascii="仿宋_GB2312" w:hAnsi="仿宋" w:eastAsia="仿宋_GB2312" w:cs="Times New Roman"/>
                <w:sz w:val="24"/>
                <w:szCs w:val="24"/>
              </w:rPr>
            </w:pPr>
            <w:r>
              <w:rPr>
                <w:rFonts w:ascii="仿宋_GB2312" w:hAnsi="仿宋" w:eastAsia="仿宋_GB2312" w:cs="仿宋_GB2312"/>
                <w:sz w:val="24"/>
                <w:szCs w:val="24"/>
              </w:rPr>
              <w:t>100000</w:t>
            </w:r>
          </w:p>
        </w:tc>
        <w:tc>
          <w:tcPr>
            <w:tcW w:w="1116" w:type="dxa"/>
            <w:vAlign w:val="center"/>
          </w:tcPr>
          <w:p>
            <w:pPr>
              <w:snapToGrid w:val="0"/>
              <w:spacing w:line="520" w:lineRule="exact"/>
              <w:jc w:val="center"/>
              <w:rPr>
                <w:rFonts w:ascii="仿宋_GB2312" w:hAnsi="仿宋" w:eastAsia="仿宋_GB2312" w:cs="Times New Roman"/>
                <w:sz w:val="24"/>
                <w:szCs w:val="24"/>
              </w:rPr>
            </w:pPr>
          </w:p>
        </w:tc>
        <w:tc>
          <w:tcPr>
            <w:tcW w:w="1069" w:type="dxa"/>
            <w:vAlign w:val="center"/>
          </w:tcPr>
          <w:p>
            <w:pPr>
              <w:snapToGrid w:val="0"/>
              <w:spacing w:line="520" w:lineRule="exact"/>
              <w:rPr>
                <w:rFonts w:ascii="仿宋_GB2312" w:hAnsi="仿宋" w:eastAsia="仿宋_GB2312" w:cs="Times New Roman"/>
                <w:sz w:val="24"/>
                <w:szCs w:val="24"/>
              </w:rPr>
            </w:pPr>
            <w:r>
              <w:rPr>
                <w:rFonts w:hint="eastAsia" w:ascii="仿宋_GB2312" w:hAnsi="仿宋" w:eastAsia="仿宋_GB2312" w:cs="仿宋_GB2312"/>
                <w:sz w:val="24"/>
                <w:szCs w:val="24"/>
              </w:rPr>
              <w:t>项目增加</w:t>
            </w:r>
          </w:p>
        </w:tc>
        <w:tc>
          <w:tcPr>
            <w:tcW w:w="733" w:type="dxa"/>
            <w:vAlign w:val="center"/>
          </w:tcPr>
          <w:p>
            <w:pPr>
              <w:snapToGrid w:val="0"/>
              <w:spacing w:line="520" w:lineRule="exact"/>
              <w:jc w:val="center"/>
              <w:rPr>
                <w:rFonts w:ascii="仿宋_GB2312" w:hAnsi="仿宋"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3404" w:type="dxa"/>
            <w:vAlign w:val="center"/>
          </w:tcPr>
          <w:p>
            <w:pPr>
              <w:snapToGrid w:val="0"/>
              <w:spacing w:line="520" w:lineRule="exact"/>
              <w:jc w:val="center"/>
              <w:rPr>
                <w:rFonts w:ascii="仿宋_GB2312" w:hAnsi="仿宋" w:eastAsia="仿宋_GB2312" w:cs="Times New Roman"/>
                <w:sz w:val="24"/>
                <w:szCs w:val="24"/>
              </w:rPr>
            </w:pPr>
            <w:r>
              <w:rPr>
                <w:rFonts w:ascii="仿宋_GB2312" w:hAnsi="仿宋" w:eastAsia="仿宋_GB2312" w:cs="仿宋_GB2312"/>
                <w:sz w:val="24"/>
                <w:szCs w:val="24"/>
              </w:rPr>
              <w:t>2013699</w:t>
            </w:r>
            <w:r>
              <w:rPr>
                <w:rFonts w:hint="eastAsia" w:ascii="仿宋_GB2312" w:hAnsi="仿宋" w:eastAsia="仿宋_GB2312" w:cs="仿宋_GB2312"/>
                <w:sz w:val="24"/>
                <w:szCs w:val="24"/>
              </w:rPr>
              <w:t>其他共产党管理事务</w:t>
            </w:r>
          </w:p>
        </w:tc>
        <w:tc>
          <w:tcPr>
            <w:tcW w:w="1764" w:type="dxa"/>
            <w:vAlign w:val="center"/>
          </w:tcPr>
          <w:p>
            <w:pPr>
              <w:snapToGrid w:val="0"/>
              <w:spacing w:line="520" w:lineRule="exact"/>
              <w:jc w:val="center"/>
              <w:rPr>
                <w:rFonts w:ascii="仿宋_GB2312" w:hAnsi="仿宋" w:eastAsia="仿宋_GB2312" w:cs="Times New Roman"/>
                <w:sz w:val="24"/>
                <w:szCs w:val="24"/>
              </w:rPr>
            </w:pPr>
            <w:r>
              <w:rPr>
                <w:rFonts w:ascii="仿宋_GB2312" w:hAnsi="仿宋" w:eastAsia="仿宋_GB2312" w:cs="仿宋_GB2312"/>
                <w:sz w:val="24"/>
                <w:szCs w:val="24"/>
              </w:rPr>
              <w:t>0</w:t>
            </w:r>
          </w:p>
        </w:tc>
        <w:tc>
          <w:tcPr>
            <w:tcW w:w="1734" w:type="dxa"/>
            <w:vAlign w:val="center"/>
          </w:tcPr>
          <w:p>
            <w:pPr>
              <w:snapToGrid w:val="0"/>
              <w:spacing w:line="520" w:lineRule="exact"/>
              <w:jc w:val="center"/>
              <w:rPr>
                <w:rFonts w:ascii="仿宋_GB2312" w:hAnsi="仿宋" w:eastAsia="仿宋_GB2312" w:cs="Times New Roman"/>
                <w:sz w:val="24"/>
                <w:szCs w:val="24"/>
              </w:rPr>
            </w:pPr>
            <w:r>
              <w:rPr>
                <w:rFonts w:ascii="仿宋_GB2312" w:hAnsi="仿宋" w:eastAsia="仿宋_GB2312" w:cs="仿宋_GB2312"/>
                <w:sz w:val="24"/>
                <w:szCs w:val="24"/>
              </w:rPr>
              <w:t>90000</w:t>
            </w:r>
          </w:p>
        </w:tc>
        <w:tc>
          <w:tcPr>
            <w:tcW w:w="1116" w:type="dxa"/>
            <w:vAlign w:val="center"/>
          </w:tcPr>
          <w:p>
            <w:pPr>
              <w:snapToGrid w:val="0"/>
              <w:spacing w:line="520" w:lineRule="exact"/>
              <w:jc w:val="center"/>
              <w:rPr>
                <w:rFonts w:ascii="仿宋_GB2312" w:hAnsi="仿宋" w:eastAsia="仿宋_GB2312" w:cs="Times New Roman"/>
                <w:sz w:val="24"/>
                <w:szCs w:val="24"/>
              </w:rPr>
            </w:pPr>
          </w:p>
        </w:tc>
        <w:tc>
          <w:tcPr>
            <w:tcW w:w="1069" w:type="dxa"/>
            <w:vAlign w:val="center"/>
          </w:tcPr>
          <w:p>
            <w:pPr>
              <w:snapToGrid w:val="0"/>
              <w:spacing w:line="520" w:lineRule="exact"/>
              <w:rPr>
                <w:rFonts w:ascii="仿宋_GB2312" w:hAnsi="仿宋" w:eastAsia="仿宋_GB2312" w:cs="Times New Roman"/>
                <w:sz w:val="24"/>
                <w:szCs w:val="24"/>
              </w:rPr>
            </w:pPr>
            <w:r>
              <w:rPr>
                <w:rFonts w:hint="eastAsia" w:ascii="仿宋_GB2312" w:hAnsi="仿宋" w:eastAsia="仿宋_GB2312" w:cs="仿宋_GB2312"/>
                <w:sz w:val="24"/>
                <w:szCs w:val="24"/>
              </w:rPr>
              <w:t>项目增加</w:t>
            </w:r>
          </w:p>
        </w:tc>
        <w:tc>
          <w:tcPr>
            <w:tcW w:w="733" w:type="dxa"/>
            <w:vAlign w:val="center"/>
          </w:tcPr>
          <w:p>
            <w:pPr>
              <w:snapToGrid w:val="0"/>
              <w:spacing w:line="520" w:lineRule="exact"/>
              <w:jc w:val="center"/>
              <w:rPr>
                <w:rFonts w:ascii="仿宋_GB2312" w:hAnsi="仿宋"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3404" w:type="dxa"/>
            <w:vAlign w:val="center"/>
          </w:tcPr>
          <w:p>
            <w:pPr>
              <w:snapToGrid w:val="0"/>
              <w:spacing w:line="520" w:lineRule="exact"/>
              <w:rPr>
                <w:rFonts w:ascii="仿宋_GB2312" w:hAnsi="仿宋" w:eastAsia="仿宋_GB2312" w:cs="Times New Roman"/>
                <w:sz w:val="24"/>
                <w:szCs w:val="24"/>
              </w:rPr>
            </w:pPr>
            <w:r>
              <w:rPr>
                <w:rFonts w:ascii="仿宋_GB2312" w:hAnsi="仿宋" w:eastAsia="仿宋_GB2312" w:cs="仿宋_GB2312"/>
                <w:sz w:val="24"/>
                <w:szCs w:val="24"/>
              </w:rPr>
              <w:t>2080505</w:t>
            </w:r>
            <w:r>
              <w:rPr>
                <w:rFonts w:hint="eastAsia" w:ascii="仿宋_GB2312" w:hAnsi="仿宋" w:eastAsia="仿宋_GB2312" w:cs="仿宋_GB2312"/>
                <w:sz w:val="24"/>
                <w:szCs w:val="24"/>
              </w:rPr>
              <w:t>机关事业单位基本养老保险缴费</w:t>
            </w:r>
          </w:p>
        </w:tc>
        <w:tc>
          <w:tcPr>
            <w:tcW w:w="1764" w:type="dxa"/>
            <w:vAlign w:val="center"/>
          </w:tcPr>
          <w:p>
            <w:pPr>
              <w:snapToGrid w:val="0"/>
              <w:spacing w:line="520" w:lineRule="exact"/>
              <w:jc w:val="center"/>
              <w:rPr>
                <w:rFonts w:ascii="仿宋_GB2312" w:hAnsi="仿宋" w:eastAsia="仿宋_GB2312" w:cs="Times New Roman"/>
                <w:sz w:val="24"/>
                <w:szCs w:val="24"/>
              </w:rPr>
            </w:pPr>
            <w:r>
              <w:rPr>
                <w:rFonts w:ascii="仿宋_GB2312" w:hAnsi="仿宋" w:eastAsia="仿宋_GB2312" w:cs="仿宋_GB2312"/>
                <w:sz w:val="24"/>
                <w:szCs w:val="24"/>
              </w:rPr>
              <w:t>144751.42</w:t>
            </w:r>
          </w:p>
        </w:tc>
        <w:tc>
          <w:tcPr>
            <w:tcW w:w="1734" w:type="dxa"/>
            <w:vAlign w:val="center"/>
          </w:tcPr>
          <w:p>
            <w:pPr>
              <w:snapToGrid w:val="0"/>
              <w:spacing w:line="520" w:lineRule="exact"/>
              <w:jc w:val="center"/>
              <w:rPr>
                <w:rFonts w:ascii="仿宋_GB2312" w:hAnsi="仿宋" w:eastAsia="仿宋_GB2312" w:cs="Times New Roman"/>
                <w:sz w:val="24"/>
                <w:szCs w:val="24"/>
              </w:rPr>
            </w:pPr>
            <w:r>
              <w:rPr>
                <w:rFonts w:ascii="仿宋_GB2312" w:hAnsi="仿宋" w:eastAsia="仿宋_GB2312" w:cs="仿宋_GB2312"/>
                <w:sz w:val="24"/>
                <w:szCs w:val="24"/>
              </w:rPr>
              <w:t>117788.52</w:t>
            </w:r>
          </w:p>
        </w:tc>
        <w:tc>
          <w:tcPr>
            <w:tcW w:w="1116" w:type="dxa"/>
            <w:vAlign w:val="center"/>
          </w:tcPr>
          <w:p>
            <w:pPr>
              <w:snapToGrid w:val="0"/>
              <w:spacing w:line="520" w:lineRule="exact"/>
              <w:jc w:val="center"/>
              <w:rPr>
                <w:rFonts w:ascii="仿宋_GB2312" w:hAnsi="仿宋" w:eastAsia="仿宋_GB2312" w:cs="Times New Roman"/>
                <w:sz w:val="24"/>
                <w:szCs w:val="24"/>
              </w:rPr>
            </w:pPr>
            <w:r>
              <w:rPr>
                <w:rFonts w:ascii="仿宋_GB2312" w:hAnsi="仿宋" w:eastAsia="仿宋_GB2312" w:cs="仿宋_GB2312"/>
                <w:sz w:val="24"/>
                <w:szCs w:val="24"/>
              </w:rPr>
              <w:t>-18.63</w:t>
            </w:r>
          </w:p>
        </w:tc>
        <w:tc>
          <w:tcPr>
            <w:tcW w:w="1069" w:type="dxa"/>
            <w:vAlign w:val="center"/>
          </w:tcPr>
          <w:p>
            <w:pPr>
              <w:snapToGrid w:val="0"/>
              <w:spacing w:line="520" w:lineRule="exact"/>
              <w:rPr>
                <w:rFonts w:ascii="仿宋_GB2312" w:hAnsi="仿宋" w:eastAsia="仿宋_GB2312" w:cs="Times New Roman"/>
                <w:sz w:val="24"/>
                <w:szCs w:val="24"/>
              </w:rPr>
            </w:pPr>
            <w:r>
              <w:rPr>
                <w:rFonts w:hint="eastAsia" w:ascii="仿宋_GB2312" w:hAnsi="仿宋" w:eastAsia="仿宋_GB2312" w:cs="仿宋_GB2312"/>
                <w:sz w:val="24"/>
                <w:szCs w:val="24"/>
              </w:rPr>
              <w:t>养老比例调整</w:t>
            </w:r>
          </w:p>
        </w:tc>
        <w:tc>
          <w:tcPr>
            <w:tcW w:w="733" w:type="dxa"/>
            <w:vAlign w:val="center"/>
          </w:tcPr>
          <w:p>
            <w:pPr>
              <w:snapToGrid w:val="0"/>
              <w:spacing w:line="520" w:lineRule="exact"/>
              <w:jc w:val="center"/>
              <w:rPr>
                <w:rFonts w:ascii="仿宋_GB2312" w:hAnsi="仿宋"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3404" w:type="dxa"/>
            <w:vAlign w:val="center"/>
          </w:tcPr>
          <w:p>
            <w:pPr>
              <w:snapToGrid w:val="0"/>
              <w:spacing w:line="520" w:lineRule="exact"/>
              <w:jc w:val="center"/>
              <w:rPr>
                <w:rFonts w:ascii="仿宋_GB2312" w:hAnsi="仿宋" w:eastAsia="仿宋_GB2312" w:cs="Times New Roman"/>
                <w:sz w:val="24"/>
                <w:szCs w:val="24"/>
              </w:rPr>
            </w:pPr>
            <w:r>
              <w:rPr>
                <w:rFonts w:ascii="仿宋_GB2312" w:hAnsi="仿宋" w:eastAsia="仿宋_GB2312" w:cs="仿宋_GB2312"/>
                <w:sz w:val="24"/>
                <w:szCs w:val="24"/>
              </w:rPr>
              <w:t>2101101</w:t>
            </w:r>
            <w:r>
              <w:rPr>
                <w:rFonts w:hint="eastAsia" w:ascii="仿宋_GB2312" w:hAnsi="仿宋" w:eastAsia="仿宋_GB2312" w:cs="仿宋_GB2312"/>
                <w:sz w:val="24"/>
                <w:szCs w:val="24"/>
              </w:rPr>
              <w:t>行政单位医疗</w:t>
            </w:r>
          </w:p>
        </w:tc>
        <w:tc>
          <w:tcPr>
            <w:tcW w:w="1764" w:type="dxa"/>
            <w:vAlign w:val="center"/>
          </w:tcPr>
          <w:p>
            <w:pPr>
              <w:snapToGrid w:val="0"/>
              <w:spacing w:line="520" w:lineRule="exact"/>
              <w:jc w:val="center"/>
              <w:rPr>
                <w:rFonts w:ascii="仿宋_GB2312" w:hAnsi="仿宋" w:eastAsia="仿宋_GB2312" w:cs="Times New Roman"/>
                <w:sz w:val="24"/>
                <w:szCs w:val="24"/>
              </w:rPr>
            </w:pPr>
            <w:r>
              <w:rPr>
                <w:rFonts w:ascii="仿宋_GB2312" w:hAnsi="仿宋" w:eastAsia="仿宋_GB2312" w:cs="仿宋_GB2312"/>
                <w:sz w:val="24"/>
                <w:szCs w:val="24"/>
              </w:rPr>
              <w:t>0</w:t>
            </w:r>
          </w:p>
        </w:tc>
        <w:tc>
          <w:tcPr>
            <w:tcW w:w="1734" w:type="dxa"/>
            <w:vAlign w:val="center"/>
          </w:tcPr>
          <w:p>
            <w:pPr>
              <w:snapToGrid w:val="0"/>
              <w:spacing w:line="520" w:lineRule="exact"/>
              <w:jc w:val="center"/>
              <w:rPr>
                <w:rFonts w:ascii="仿宋_GB2312" w:hAnsi="仿宋" w:eastAsia="仿宋_GB2312" w:cs="Times New Roman"/>
                <w:sz w:val="24"/>
                <w:szCs w:val="24"/>
              </w:rPr>
            </w:pPr>
            <w:r>
              <w:rPr>
                <w:rFonts w:ascii="仿宋_GB2312" w:hAnsi="仿宋" w:eastAsia="仿宋_GB2312" w:cs="仿宋_GB2312"/>
                <w:sz w:val="24"/>
                <w:szCs w:val="24"/>
              </w:rPr>
              <w:t>24361.33</w:t>
            </w:r>
          </w:p>
        </w:tc>
        <w:tc>
          <w:tcPr>
            <w:tcW w:w="1116" w:type="dxa"/>
            <w:vAlign w:val="center"/>
          </w:tcPr>
          <w:p>
            <w:pPr>
              <w:snapToGrid w:val="0"/>
              <w:spacing w:line="520" w:lineRule="exact"/>
              <w:jc w:val="center"/>
              <w:rPr>
                <w:rFonts w:ascii="仿宋_GB2312" w:hAnsi="仿宋" w:eastAsia="仿宋_GB2312" w:cs="Times New Roman"/>
                <w:sz w:val="24"/>
                <w:szCs w:val="24"/>
              </w:rPr>
            </w:pPr>
          </w:p>
        </w:tc>
        <w:tc>
          <w:tcPr>
            <w:tcW w:w="1069" w:type="dxa"/>
            <w:vAlign w:val="center"/>
          </w:tcPr>
          <w:p>
            <w:pPr>
              <w:snapToGrid w:val="0"/>
              <w:spacing w:line="520" w:lineRule="exact"/>
              <w:rPr>
                <w:rFonts w:ascii="仿宋_GB2312" w:hAnsi="仿宋" w:eastAsia="仿宋_GB2312" w:cs="Times New Roman"/>
                <w:sz w:val="24"/>
                <w:szCs w:val="24"/>
              </w:rPr>
            </w:pPr>
            <w:r>
              <w:rPr>
                <w:rFonts w:hint="eastAsia" w:ascii="仿宋_GB2312" w:hAnsi="仿宋" w:eastAsia="仿宋_GB2312" w:cs="仿宋_GB2312"/>
                <w:sz w:val="24"/>
                <w:szCs w:val="24"/>
              </w:rPr>
              <w:t>医保政策调整</w:t>
            </w:r>
          </w:p>
        </w:tc>
        <w:tc>
          <w:tcPr>
            <w:tcW w:w="733" w:type="dxa"/>
            <w:vAlign w:val="center"/>
          </w:tcPr>
          <w:p>
            <w:pPr>
              <w:snapToGrid w:val="0"/>
              <w:spacing w:line="520" w:lineRule="exact"/>
              <w:jc w:val="center"/>
              <w:rPr>
                <w:rFonts w:ascii="仿宋_GB2312" w:hAnsi="仿宋"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3404" w:type="dxa"/>
            <w:vAlign w:val="center"/>
          </w:tcPr>
          <w:p>
            <w:pPr>
              <w:snapToGrid w:val="0"/>
              <w:spacing w:line="520" w:lineRule="exact"/>
              <w:jc w:val="center"/>
              <w:rPr>
                <w:rFonts w:ascii="仿宋_GB2312" w:hAnsi="仿宋" w:eastAsia="仿宋_GB2312" w:cs="Times New Roman"/>
                <w:sz w:val="24"/>
                <w:szCs w:val="24"/>
              </w:rPr>
            </w:pPr>
            <w:r>
              <w:rPr>
                <w:rFonts w:ascii="仿宋_GB2312" w:hAnsi="仿宋" w:eastAsia="仿宋_GB2312" w:cs="仿宋_GB2312"/>
                <w:sz w:val="24"/>
                <w:szCs w:val="24"/>
              </w:rPr>
              <w:t>2101103</w:t>
            </w:r>
            <w:r>
              <w:rPr>
                <w:rFonts w:hint="eastAsia" w:ascii="仿宋_GB2312" w:hAnsi="仿宋" w:eastAsia="仿宋_GB2312" w:cs="仿宋_GB2312"/>
                <w:sz w:val="24"/>
                <w:szCs w:val="24"/>
              </w:rPr>
              <w:t>公务员医疗补助</w:t>
            </w:r>
          </w:p>
        </w:tc>
        <w:tc>
          <w:tcPr>
            <w:tcW w:w="1764" w:type="dxa"/>
            <w:vAlign w:val="center"/>
          </w:tcPr>
          <w:p>
            <w:pPr>
              <w:snapToGrid w:val="0"/>
              <w:spacing w:line="520" w:lineRule="exact"/>
              <w:jc w:val="center"/>
              <w:rPr>
                <w:rFonts w:ascii="仿宋_GB2312" w:hAnsi="仿宋" w:eastAsia="仿宋_GB2312" w:cs="Times New Roman"/>
                <w:sz w:val="24"/>
                <w:szCs w:val="24"/>
              </w:rPr>
            </w:pPr>
            <w:r>
              <w:rPr>
                <w:rFonts w:ascii="仿宋_GB2312" w:hAnsi="仿宋" w:eastAsia="仿宋_GB2312" w:cs="仿宋_GB2312"/>
                <w:sz w:val="24"/>
                <w:szCs w:val="24"/>
              </w:rPr>
              <w:t>0</w:t>
            </w:r>
          </w:p>
        </w:tc>
        <w:tc>
          <w:tcPr>
            <w:tcW w:w="1734" w:type="dxa"/>
            <w:vAlign w:val="center"/>
          </w:tcPr>
          <w:p>
            <w:pPr>
              <w:snapToGrid w:val="0"/>
              <w:spacing w:line="520" w:lineRule="exact"/>
              <w:jc w:val="center"/>
              <w:rPr>
                <w:rFonts w:ascii="仿宋_GB2312" w:hAnsi="仿宋" w:eastAsia="仿宋_GB2312" w:cs="Times New Roman"/>
                <w:sz w:val="24"/>
                <w:szCs w:val="24"/>
              </w:rPr>
            </w:pPr>
            <w:r>
              <w:rPr>
                <w:rFonts w:ascii="仿宋_GB2312" w:hAnsi="仿宋" w:eastAsia="仿宋_GB2312" w:cs="仿宋_GB2312"/>
                <w:sz w:val="24"/>
                <w:szCs w:val="24"/>
              </w:rPr>
              <w:t>1216</w:t>
            </w:r>
          </w:p>
        </w:tc>
        <w:tc>
          <w:tcPr>
            <w:tcW w:w="1116" w:type="dxa"/>
            <w:vAlign w:val="center"/>
          </w:tcPr>
          <w:p>
            <w:pPr>
              <w:snapToGrid w:val="0"/>
              <w:spacing w:line="520" w:lineRule="exact"/>
              <w:jc w:val="center"/>
              <w:rPr>
                <w:rFonts w:ascii="仿宋_GB2312" w:hAnsi="仿宋" w:eastAsia="仿宋_GB2312" w:cs="Times New Roman"/>
                <w:sz w:val="24"/>
                <w:szCs w:val="24"/>
              </w:rPr>
            </w:pPr>
          </w:p>
        </w:tc>
        <w:tc>
          <w:tcPr>
            <w:tcW w:w="1069" w:type="dxa"/>
            <w:vAlign w:val="center"/>
          </w:tcPr>
          <w:p>
            <w:pPr>
              <w:snapToGrid w:val="0"/>
              <w:spacing w:line="520" w:lineRule="exact"/>
              <w:rPr>
                <w:rFonts w:ascii="仿宋_GB2312" w:hAnsi="仿宋" w:eastAsia="仿宋_GB2312" w:cs="Times New Roman"/>
                <w:sz w:val="24"/>
                <w:szCs w:val="24"/>
              </w:rPr>
            </w:pPr>
            <w:r>
              <w:rPr>
                <w:rFonts w:hint="eastAsia" w:ascii="仿宋_GB2312" w:hAnsi="仿宋" w:eastAsia="仿宋_GB2312" w:cs="仿宋_GB2312"/>
                <w:sz w:val="24"/>
                <w:szCs w:val="24"/>
              </w:rPr>
              <w:t>医保政策调整</w:t>
            </w:r>
          </w:p>
        </w:tc>
        <w:tc>
          <w:tcPr>
            <w:tcW w:w="733" w:type="dxa"/>
            <w:vAlign w:val="center"/>
          </w:tcPr>
          <w:p>
            <w:pPr>
              <w:snapToGrid w:val="0"/>
              <w:spacing w:line="520" w:lineRule="exact"/>
              <w:jc w:val="center"/>
              <w:rPr>
                <w:rFonts w:ascii="仿宋_GB2312" w:hAnsi="仿宋"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3404" w:type="dxa"/>
            <w:vAlign w:val="center"/>
          </w:tcPr>
          <w:p>
            <w:pPr>
              <w:snapToGrid w:val="0"/>
              <w:spacing w:line="520" w:lineRule="exact"/>
              <w:jc w:val="center"/>
              <w:rPr>
                <w:rFonts w:ascii="仿宋_GB2312" w:hAnsi="仿宋" w:eastAsia="仿宋_GB2312" w:cs="Times New Roman"/>
                <w:sz w:val="24"/>
                <w:szCs w:val="24"/>
              </w:rPr>
            </w:pPr>
            <w:r>
              <w:rPr>
                <w:rFonts w:ascii="仿宋_GB2312" w:hAnsi="仿宋" w:eastAsia="仿宋_GB2312" w:cs="仿宋_GB2312"/>
                <w:sz w:val="24"/>
                <w:szCs w:val="24"/>
              </w:rPr>
              <w:t>2109901</w:t>
            </w:r>
            <w:r>
              <w:rPr>
                <w:rFonts w:hint="eastAsia" w:ascii="仿宋_GB2312" w:hAnsi="仿宋" w:eastAsia="仿宋_GB2312" w:cs="仿宋_GB2312"/>
                <w:sz w:val="24"/>
                <w:szCs w:val="24"/>
              </w:rPr>
              <w:t>其他卫生健康支出</w:t>
            </w:r>
          </w:p>
        </w:tc>
        <w:tc>
          <w:tcPr>
            <w:tcW w:w="1764" w:type="dxa"/>
            <w:vAlign w:val="center"/>
          </w:tcPr>
          <w:p>
            <w:pPr>
              <w:snapToGrid w:val="0"/>
              <w:spacing w:line="520" w:lineRule="exact"/>
              <w:jc w:val="center"/>
              <w:rPr>
                <w:rFonts w:ascii="仿宋_GB2312" w:hAnsi="仿宋" w:eastAsia="仿宋_GB2312" w:cs="Times New Roman"/>
                <w:sz w:val="24"/>
                <w:szCs w:val="24"/>
              </w:rPr>
            </w:pPr>
            <w:r>
              <w:rPr>
                <w:rFonts w:ascii="仿宋_GB2312" w:hAnsi="仿宋" w:eastAsia="仿宋_GB2312" w:cs="仿宋_GB2312"/>
                <w:sz w:val="24"/>
                <w:szCs w:val="24"/>
              </w:rPr>
              <w:t>0</w:t>
            </w:r>
          </w:p>
        </w:tc>
        <w:tc>
          <w:tcPr>
            <w:tcW w:w="1734" w:type="dxa"/>
            <w:vAlign w:val="center"/>
          </w:tcPr>
          <w:p>
            <w:pPr>
              <w:snapToGrid w:val="0"/>
              <w:spacing w:line="520" w:lineRule="exact"/>
              <w:jc w:val="center"/>
              <w:rPr>
                <w:rFonts w:ascii="仿宋_GB2312" w:hAnsi="仿宋" w:eastAsia="仿宋_GB2312" w:cs="Times New Roman"/>
                <w:sz w:val="24"/>
                <w:szCs w:val="24"/>
              </w:rPr>
            </w:pPr>
            <w:r>
              <w:rPr>
                <w:rFonts w:ascii="仿宋_GB2312" w:hAnsi="仿宋" w:eastAsia="仿宋_GB2312" w:cs="仿宋_GB2312"/>
                <w:sz w:val="24"/>
                <w:szCs w:val="24"/>
              </w:rPr>
              <w:t>2493.01</w:t>
            </w:r>
          </w:p>
        </w:tc>
        <w:tc>
          <w:tcPr>
            <w:tcW w:w="1116" w:type="dxa"/>
            <w:vAlign w:val="center"/>
          </w:tcPr>
          <w:p>
            <w:pPr>
              <w:snapToGrid w:val="0"/>
              <w:spacing w:line="520" w:lineRule="exact"/>
              <w:jc w:val="center"/>
              <w:rPr>
                <w:rFonts w:ascii="仿宋_GB2312" w:hAnsi="仿宋" w:eastAsia="仿宋_GB2312" w:cs="Times New Roman"/>
                <w:sz w:val="24"/>
                <w:szCs w:val="24"/>
              </w:rPr>
            </w:pPr>
          </w:p>
        </w:tc>
        <w:tc>
          <w:tcPr>
            <w:tcW w:w="1069" w:type="dxa"/>
            <w:vAlign w:val="center"/>
          </w:tcPr>
          <w:p>
            <w:pPr>
              <w:snapToGrid w:val="0"/>
              <w:spacing w:line="520" w:lineRule="exact"/>
              <w:rPr>
                <w:rFonts w:ascii="仿宋_GB2312" w:hAnsi="仿宋" w:eastAsia="仿宋_GB2312" w:cs="Times New Roman"/>
                <w:sz w:val="24"/>
                <w:szCs w:val="24"/>
              </w:rPr>
            </w:pPr>
            <w:r>
              <w:rPr>
                <w:rFonts w:hint="eastAsia" w:ascii="仿宋_GB2312" w:hAnsi="仿宋" w:eastAsia="仿宋_GB2312" w:cs="仿宋_GB2312"/>
                <w:sz w:val="24"/>
                <w:szCs w:val="24"/>
              </w:rPr>
              <w:t>医保政策调整</w:t>
            </w:r>
          </w:p>
        </w:tc>
        <w:tc>
          <w:tcPr>
            <w:tcW w:w="733" w:type="dxa"/>
            <w:vAlign w:val="center"/>
          </w:tcPr>
          <w:p>
            <w:pPr>
              <w:snapToGrid w:val="0"/>
              <w:spacing w:line="520" w:lineRule="exact"/>
              <w:jc w:val="center"/>
              <w:rPr>
                <w:rFonts w:ascii="仿宋_GB2312" w:hAnsi="仿宋"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3404" w:type="dxa"/>
            <w:vAlign w:val="center"/>
          </w:tcPr>
          <w:p>
            <w:pPr>
              <w:snapToGrid w:val="0"/>
              <w:spacing w:line="520" w:lineRule="exact"/>
              <w:jc w:val="center"/>
              <w:rPr>
                <w:rFonts w:ascii="仿宋_GB2312" w:hAnsi="仿宋" w:eastAsia="仿宋_GB2312" w:cs="Times New Roman"/>
                <w:sz w:val="24"/>
                <w:szCs w:val="24"/>
              </w:rPr>
            </w:pPr>
            <w:r>
              <w:rPr>
                <w:rFonts w:hint="eastAsia" w:ascii="仿宋_GB2312" w:hAnsi="仿宋" w:eastAsia="仿宋_GB2312" w:cs="仿宋_GB2312"/>
                <w:sz w:val="24"/>
                <w:szCs w:val="24"/>
              </w:rPr>
              <w:t>合</w:t>
            </w:r>
            <w:r>
              <w:rPr>
                <w:rFonts w:ascii="仿宋_GB2312" w:hAnsi="仿宋" w:eastAsia="仿宋_GB2312" w:cs="仿宋_GB2312"/>
                <w:sz w:val="24"/>
                <w:szCs w:val="24"/>
              </w:rPr>
              <w:t xml:space="preserve">  </w:t>
            </w:r>
            <w:r>
              <w:rPr>
                <w:rFonts w:hint="eastAsia" w:ascii="仿宋_GB2312" w:hAnsi="仿宋" w:eastAsia="仿宋_GB2312" w:cs="仿宋_GB2312"/>
                <w:sz w:val="24"/>
                <w:szCs w:val="24"/>
              </w:rPr>
              <w:t>计</w:t>
            </w:r>
          </w:p>
        </w:tc>
        <w:tc>
          <w:tcPr>
            <w:tcW w:w="1764" w:type="dxa"/>
            <w:vAlign w:val="center"/>
          </w:tcPr>
          <w:p>
            <w:pPr>
              <w:snapToGrid w:val="0"/>
              <w:spacing w:line="520" w:lineRule="exact"/>
              <w:jc w:val="center"/>
              <w:rPr>
                <w:rFonts w:ascii="仿宋_GB2312" w:hAnsi="仿宋" w:eastAsia="仿宋_GB2312" w:cs="Times New Roman"/>
                <w:sz w:val="24"/>
                <w:szCs w:val="24"/>
              </w:rPr>
            </w:pPr>
            <w:r>
              <w:rPr>
                <w:rFonts w:ascii="仿宋_GB2312" w:hAnsi="仿宋" w:eastAsia="仿宋_GB2312" w:cs="仿宋_GB2312"/>
                <w:sz w:val="24"/>
                <w:szCs w:val="24"/>
              </w:rPr>
              <w:t>1055724.42</w:t>
            </w:r>
          </w:p>
        </w:tc>
        <w:tc>
          <w:tcPr>
            <w:tcW w:w="1734" w:type="dxa"/>
            <w:vAlign w:val="center"/>
          </w:tcPr>
          <w:p>
            <w:pPr>
              <w:snapToGrid w:val="0"/>
              <w:spacing w:line="520" w:lineRule="exact"/>
              <w:jc w:val="center"/>
              <w:rPr>
                <w:rFonts w:ascii="仿宋_GB2312" w:hAnsi="仿宋" w:eastAsia="仿宋_GB2312" w:cs="Times New Roman"/>
                <w:sz w:val="24"/>
                <w:szCs w:val="24"/>
              </w:rPr>
            </w:pPr>
            <w:r>
              <w:rPr>
                <w:rFonts w:ascii="仿宋_GB2312" w:hAnsi="仿宋" w:eastAsia="仿宋_GB2312" w:cs="仿宋_GB2312"/>
                <w:sz w:val="24"/>
                <w:szCs w:val="24"/>
              </w:rPr>
              <w:t>1389191.86</w:t>
            </w:r>
          </w:p>
        </w:tc>
        <w:tc>
          <w:tcPr>
            <w:tcW w:w="1116" w:type="dxa"/>
            <w:vAlign w:val="center"/>
          </w:tcPr>
          <w:p>
            <w:pPr>
              <w:snapToGrid w:val="0"/>
              <w:spacing w:line="520" w:lineRule="exact"/>
              <w:jc w:val="center"/>
              <w:rPr>
                <w:rFonts w:ascii="仿宋_GB2312" w:hAnsi="仿宋" w:eastAsia="仿宋_GB2312" w:cs="Times New Roman"/>
                <w:sz w:val="24"/>
                <w:szCs w:val="24"/>
              </w:rPr>
            </w:pPr>
            <w:r>
              <w:rPr>
                <w:rFonts w:ascii="仿宋_GB2312" w:hAnsi="仿宋" w:eastAsia="仿宋_GB2312" w:cs="仿宋_GB2312"/>
                <w:sz w:val="24"/>
                <w:szCs w:val="24"/>
              </w:rPr>
              <w:t>31.59%</w:t>
            </w:r>
          </w:p>
        </w:tc>
        <w:tc>
          <w:tcPr>
            <w:tcW w:w="1069" w:type="dxa"/>
            <w:vAlign w:val="center"/>
          </w:tcPr>
          <w:p>
            <w:pPr>
              <w:snapToGrid w:val="0"/>
              <w:spacing w:line="520" w:lineRule="exact"/>
              <w:jc w:val="center"/>
              <w:rPr>
                <w:rFonts w:ascii="仿宋_GB2312" w:hAnsi="仿宋" w:eastAsia="仿宋_GB2312" w:cs="Times New Roman"/>
                <w:sz w:val="24"/>
                <w:szCs w:val="24"/>
              </w:rPr>
            </w:pPr>
          </w:p>
        </w:tc>
        <w:tc>
          <w:tcPr>
            <w:tcW w:w="733" w:type="dxa"/>
            <w:vAlign w:val="center"/>
          </w:tcPr>
          <w:p>
            <w:pPr>
              <w:snapToGrid w:val="0"/>
              <w:spacing w:line="520" w:lineRule="exact"/>
              <w:jc w:val="center"/>
              <w:rPr>
                <w:rFonts w:ascii="仿宋_GB2312" w:hAnsi="仿宋" w:eastAsia="仿宋_GB2312" w:cs="Times New Roman"/>
                <w:sz w:val="24"/>
                <w:szCs w:val="24"/>
              </w:rPr>
            </w:pPr>
          </w:p>
        </w:tc>
      </w:tr>
    </w:tbl>
    <w:p>
      <w:pPr>
        <w:spacing w:line="360" w:lineRule="auto"/>
        <w:ind w:firstLine="640" w:firstLineChars="200"/>
        <w:rPr>
          <w:rFonts w:ascii="黑体" w:hAnsi="黑体" w:eastAsia="黑体" w:cs="Times New Roman"/>
          <w:color w:val="000000"/>
          <w:kern w:val="0"/>
        </w:rPr>
      </w:pPr>
    </w:p>
    <w:p>
      <w:pPr>
        <w:spacing w:line="360" w:lineRule="auto"/>
        <w:ind w:firstLine="640" w:firstLineChars="200"/>
        <w:rPr>
          <w:rFonts w:ascii="仿宋_GB2312" w:hAnsi="仿宋" w:eastAsia="仿宋_GB2312" w:cs="Times New Roman"/>
        </w:rPr>
      </w:pPr>
      <w:r>
        <w:rPr>
          <w:rFonts w:hint="eastAsia" w:ascii="黑体" w:hAnsi="黑体" w:eastAsia="黑体" w:cs="黑体"/>
          <w:color w:val="000000"/>
          <w:kern w:val="0"/>
        </w:rPr>
        <w:t>六、一般公共预算财政拨款基本支出决算情况说明</w:t>
      </w:r>
    </w:p>
    <w:p>
      <w:pPr>
        <w:widowControl/>
        <w:ind w:firstLine="640" w:firstLineChars="200"/>
        <w:jc w:val="left"/>
        <w:rPr>
          <w:rFonts w:ascii="仿宋_GB2312" w:hAnsi="仿宋_GB2312" w:eastAsia="仿宋_GB2312" w:cs="Times New Roman"/>
          <w:color w:val="000000"/>
          <w:kern w:val="0"/>
          <w:sz w:val="31"/>
          <w:szCs w:val="31"/>
        </w:rPr>
      </w:pPr>
      <w:r>
        <w:rPr>
          <w:rFonts w:hint="eastAsia" w:ascii="仿宋_GB2312" w:hAnsi="仿宋" w:eastAsia="仿宋_GB2312" w:cs="仿宋_GB2312"/>
        </w:rPr>
        <w:t>本部门</w:t>
      </w:r>
      <w:r>
        <w:rPr>
          <w:rFonts w:ascii="仿宋_GB2312" w:hAnsi="仿宋_GB2312" w:eastAsia="仿宋_GB2312" w:cs="仿宋_GB2312"/>
          <w:color w:val="000000"/>
          <w:kern w:val="0"/>
          <w:sz w:val="31"/>
          <w:szCs w:val="31"/>
        </w:rPr>
        <w:t>2019</w:t>
      </w:r>
      <w:r>
        <w:rPr>
          <w:rFonts w:hint="eastAsia" w:ascii="仿宋_GB2312" w:hAnsi="仿宋_GB2312" w:eastAsia="仿宋_GB2312" w:cs="仿宋_GB2312"/>
          <w:color w:val="000000"/>
          <w:kern w:val="0"/>
          <w:sz w:val="31"/>
          <w:szCs w:val="31"/>
        </w:rPr>
        <w:t>年</w:t>
      </w:r>
      <w:r>
        <w:rPr>
          <w:rFonts w:hint="eastAsia" w:ascii="仿宋_GB2312" w:hAnsi="仿宋" w:eastAsia="仿宋_GB2312" w:cs="仿宋_GB2312"/>
        </w:rPr>
        <w:t>度</w:t>
      </w:r>
      <w:r>
        <w:rPr>
          <w:rFonts w:hint="eastAsia" w:ascii="仿宋_GB2312" w:hAnsi="仿宋_GB2312" w:eastAsia="仿宋_GB2312" w:cs="仿宋_GB2312"/>
          <w:color w:val="000000"/>
          <w:kern w:val="0"/>
          <w:sz w:val="31"/>
          <w:szCs w:val="31"/>
        </w:rPr>
        <w:t>一般公共预算财政拨款基本支出</w:t>
      </w:r>
      <w:r>
        <w:rPr>
          <w:rFonts w:ascii="仿宋_GB2312" w:hAnsi="仿宋_GB2312" w:eastAsia="仿宋_GB2312" w:cs="仿宋_GB2312"/>
          <w:color w:val="000000"/>
          <w:kern w:val="0"/>
          <w:sz w:val="31"/>
          <w:szCs w:val="31"/>
        </w:rPr>
        <w:t>119.92</w:t>
      </w:r>
      <w:r>
        <w:rPr>
          <w:rFonts w:hint="eastAsia" w:ascii="仿宋_GB2312" w:hAnsi="仿宋_GB2312" w:eastAsia="仿宋_GB2312" w:cs="仿宋_GB2312"/>
          <w:color w:val="000000"/>
          <w:kern w:val="0"/>
          <w:sz w:val="31"/>
          <w:szCs w:val="31"/>
        </w:rPr>
        <w:t>万元，包括：人员经费支出</w:t>
      </w:r>
      <w:r>
        <w:rPr>
          <w:rFonts w:ascii="仿宋_GB2312" w:hAnsi="仿宋_GB2312" w:eastAsia="仿宋_GB2312" w:cs="仿宋_GB2312"/>
          <w:color w:val="000000"/>
          <w:kern w:val="0"/>
          <w:sz w:val="31"/>
          <w:szCs w:val="31"/>
        </w:rPr>
        <w:t>107.69</w:t>
      </w:r>
      <w:r>
        <w:rPr>
          <w:rFonts w:hint="eastAsia" w:ascii="仿宋_GB2312" w:hAnsi="仿宋_GB2312" w:eastAsia="仿宋_GB2312" w:cs="仿宋_GB2312"/>
          <w:color w:val="000000"/>
          <w:kern w:val="0"/>
          <w:sz w:val="31"/>
          <w:szCs w:val="31"/>
        </w:rPr>
        <w:t>万元和公用经费支出</w:t>
      </w:r>
      <w:r>
        <w:rPr>
          <w:rFonts w:ascii="仿宋_GB2312" w:hAnsi="仿宋_GB2312" w:eastAsia="仿宋_GB2312" w:cs="仿宋_GB2312"/>
          <w:color w:val="000000"/>
          <w:kern w:val="0"/>
          <w:sz w:val="31"/>
          <w:szCs w:val="31"/>
        </w:rPr>
        <w:t>12.23</w:t>
      </w:r>
      <w:r>
        <w:rPr>
          <w:rFonts w:hint="eastAsia" w:ascii="仿宋_GB2312" w:hAnsi="仿宋_GB2312" w:eastAsia="仿宋_GB2312" w:cs="仿宋_GB2312"/>
          <w:color w:val="000000"/>
          <w:kern w:val="0"/>
          <w:sz w:val="31"/>
          <w:szCs w:val="31"/>
        </w:rPr>
        <w:t>万元。</w:t>
      </w:r>
    </w:p>
    <w:p>
      <w:pPr>
        <w:ind w:firstLine="630" w:firstLineChars="196"/>
        <w:jc w:val="left"/>
        <w:rPr>
          <w:rFonts w:ascii="仿宋_GB2312" w:hAnsi="宋体" w:eastAsia="仿宋_GB2312" w:cs="Times New Roman"/>
          <w:color w:val="000000"/>
          <w:kern w:val="0"/>
        </w:rPr>
      </w:pPr>
      <w:r>
        <w:rPr>
          <w:rFonts w:hint="eastAsia" w:ascii="仿宋_GB2312" w:hAnsi="宋体" w:eastAsia="仿宋_GB2312" w:cs="仿宋_GB2312"/>
          <w:b/>
          <w:bCs/>
          <w:color w:val="000000"/>
          <w:kern w:val="0"/>
        </w:rPr>
        <w:t>人员经费</w:t>
      </w:r>
      <w:r>
        <w:rPr>
          <w:rFonts w:ascii="仿宋_GB2312" w:hAnsi="宋体" w:eastAsia="仿宋_GB2312" w:cs="仿宋_GB2312"/>
          <w:color w:val="000000"/>
          <w:kern w:val="0"/>
        </w:rPr>
        <w:t>107.69</w:t>
      </w:r>
      <w:r>
        <w:rPr>
          <w:rFonts w:hint="eastAsia" w:ascii="仿宋_GB2312" w:hAnsi="宋体" w:eastAsia="仿宋_GB2312" w:cs="仿宋_GB2312"/>
          <w:color w:val="000000"/>
          <w:kern w:val="0"/>
        </w:rPr>
        <w:t>万元，主要包括（单位支出涉及的款级科目）基本工资</w:t>
      </w:r>
      <w:r>
        <w:rPr>
          <w:rFonts w:ascii="仿宋_GB2312" w:hAnsi="宋体" w:eastAsia="仿宋_GB2312" w:cs="仿宋_GB2312"/>
          <w:color w:val="000000"/>
          <w:kern w:val="0"/>
        </w:rPr>
        <w:t>45.91</w:t>
      </w:r>
      <w:r>
        <w:rPr>
          <w:rFonts w:hint="eastAsia" w:ascii="仿宋_GB2312" w:hAnsi="宋体" w:eastAsia="仿宋_GB2312" w:cs="仿宋_GB2312"/>
          <w:color w:val="000000"/>
          <w:kern w:val="0"/>
        </w:rPr>
        <w:t>万元，津贴补贴</w:t>
      </w:r>
      <w:r>
        <w:rPr>
          <w:rFonts w:ascii="仿宋_GB2312" w:hAnsi="宋体" w:eastAsia="仿宋_GB2312" w:cs="仿宋_GB2312"/>
          <w:color w:val="000000"/>
          <w:kern w:val="0"/>
        </w:rPr>
        <w:t>30.44</w:t>
      </w:r>
      <w:r>
        <w:rPr>
          <w:rFonts w:hint="eastAsia" w:ascii="仿宋_GB2312" w:hAnsi="宋体" w:eastAsia="仿宋_GB2312" w:cs="仿宋_GB2312"/>
          <w:color w:val="000000"/>
          <w:kern w:val="0"/>
        </w:rPr>
        <w:t>万元，奖金</w:t>
      </w:r>
      <w:r>
        <w:rPr>
          <w:rFonts w:ascii="仿宋_GB2312" w:hAnsi="宋体" w:eastAsia="仿宋_GB2312" w:cs="仿宋_GB2312"/>
          <w:color w:val="000000"/>
          <w:kern w:val="0"/>
        </w:rPr>
        <w:t>16.76</w:t>
      </w:r>
      <w:r>
        <w:rPr>
          <w:rFonts w:hint="eastAsia" w:ascii="仿宋_GB2312" w:hAnsi="宋体" w:eastAsia="仿宋_GB2312" w:cs="仿宋_GB2312"/>
          <w:color w:val="000000"/>
          <w:kern w:val="0"/>
        </w:rPr>
        <w:t>万元，机关事业单位基本养老保险缴费</w:t>
      </w:r>
      <w:r>
        <w:rPr>
          <w:rFonts w:ascii="仿宋_GB2312" w:hAnsi="宋体" w:eastAsia="仿宋_GB2312" w:cs="仿宋_GB2312"/>
          <w:color w:val="000000"/>
          <w:kern w:val="0"/>
        </w:rPr>
        <w:t>11.78</w:t>
      </w:r>
      <w:r>
        <w:rPr>
          <w:rFonts w:hint="eastAsia" w:ascii="仿宋_GB2312" w:hAnsi="宋体" w:eastAsia="仿宋_GB2312" w:cs="仿宋_GB2312"/>
          <w:color w:val="000000"/>
          <w:kern w:val="0"/>
        </w:rPr>
        <w:t>万元，职工基本医疗保险缴费</w:t>
      </w:r>
      <w:r>
        <w:rPr>
          <w:rFonts w:ascii="仿宋_GB2312" w:hAnsi="宋体" w:eastAsia="仿宋_GB2312" w:cs="仿宋_GB2312"/>
          <w:color w:val="000000"/>
          <w:kern w:val="0"/>
        </w:rPr>
        <w:t>2.44</w:t>
      </w:r>
      <w:r>
        <w:rPr>
          <w:rFonts w:hint="eastAsia" w:ascii="仿宋_GB2312" w:hAnsi="宋体" w:eastAsia="仿宋_GB2312" w:cs="仿宋_GB2312"/>
          <w:color w:val="000000"/>
          <w:kern w:val="0"/>
        </w:rPr>
        <w:t>万元，公务员医疗补助缴费</w:t>
      </w:r>
      <w:r>
        <w:rPr>
          <w:rFonts w:ascii="仿宋_GB2312" w:hAnsi="宋体" w:eastAsia="仿宋_GB2312" w:cs="仿宋_GB2312"/>
          <w:color w:val="000000"/>
          <w:kern w:val="0"/>
        </w:rPr>
        <w:t>0.12</w:t>
      </w:r>
      <w:r>
        <w:rPr>
          <w:rFonts w:hint="eastAsia" w:ascii="仿宋_GB2312" w:hAnsi="宋体" w:eastAsia="仿宋_GB2312" w:cs="仿宋_GB2312"/>
          <w:color w:val="000000"/>
          <w:kern w:val="0"/>
        </w:rPr>
        <w:t>万元，其他社会保障缴费</w:t>
      </w:r>
      <w:r>
        <w:rPr>
          <w:rFonts w:ascii="仿宋_GB2312" w:hAnsi="宋体" w:eastAsia="仿宋_GB2312" w:cs="仿宋_GB2312"/>
          <w:color w:val="000000"/>
          <w:kern w:val="0"/>
        </w:rPr>
        <w:t>0.25</w:t>
      </w:r>
      <w:r>
        <w:rPr>
          <w:rFonts w:hint="eastAsia" w:ascii="仿宋_GB2312" w:hAnsi="宋体" w:eastAsia="仿宋_GB2312" w:cs="仿宋_GB2312"/>
          <w:color w:val="000000"/>
          <w:kern w:val="0"/>
        </w:rPr>
        <w:t>万元。</w:t>
      </w:r>
    </w:p>
    <w:p>
      <w:pPr>
        <w:ind w:firstLine="630" w:firstLineChars="196"/>
        <w:jc w:val="left"/>
        <w:rPr>
          <w:rFonts w:ascii="仿宋_GB2312" w:hAnsi="宋体" w:eastAsia="仿宋_GB2312" w:cs="Times New Roman"/>
          <w:color w:val="000000"/>
          <w:kern w:val="0"/>
        </w:rPr>
      </w:pPr>
      <w:r>
        <w:rPr>
          <w:rFonts w:hint="eastAsia" w:ascii="仿宋_GB2312" w:hAnsi="宋体" w:eastAsia="仿宋_GB2312" w:cs="仿宋_GB2312"/>
          <w:b/>
          <w:bCs/>
          <w:color w:val="000000"/>
          <w:kern w:val="0"/>
        </w:rPr>
        <w:t>公用经费</w:t>
      </w:r>
      <w:r>
        <w:rPr>
          <w:rFonts w:ascii="仿宋_GB2312" w:hAnsi="宋体" w:eastAsia="仿宋_GB2312" w:cs="仿宋_GB2312"/>
          <w:color w:val="000000"/>
          <w:kern w:val="0"/>
        </w:rPr>
        <w:t>12.23</w:t>
      </w:r>
      <w:r>
        <w:rPr>
          <w:rFonts w:hint="eastAsia" w:ascii="仿宋_GB2312" w:hAnsi="宋体" w:eastAsia="仿宋_GB2312" w:cs="仿宋_GB2312"/>
          <w:color w:val="000000"/>
          <w:kern w:val="0"/>
        </w:rPr>
        <w:t>万元，主要包括（单位支出涉及的款级科目）办公费</w:t>
      </w:r>
      <w:r>
        <w:rPr>
          <w:rFonts w:ascii="仿宋_GB2312" w:hAnsi="宋体" w:eastAsia="仿宋_GB2312" w:cs="仿宋_GB2312"/>
          <w:color w:val="000000"/>
          <w:kern w:val="0"/>
        </w:rPr>
        <w:t>2.24</w:t>
      </w:r>
      <w:r>
        <w:rPr>
          <w:rFonts w:hint="eastAsia" w:ascii="仿宋_GB2312" w:hAnsi="宋体" w:eastAsia="仿宋_GB2312" w:cs="仿宋_GB2312"/>
          <w:color w:val="000000"/>
          <w:kern w:val="0"/>
        </w:rPr>
        <w:t>万元，维修</w:t>
      </w:r>
      <w:r>
        <w:rPr>
          <w:rFonts w:ascii="仿宋_GB2312" w:hAnsi="宋体" w:eastAsia="仿宋_GB2312" w:cs="仿宋_GB2312"/>
          <w:color w:val="000000"/>
          <w:kern w:val="0"/>
        </w:rPr>
        <w:t>(</w:t>
      </w:r>
      <w:r>
        <w:rPr>
          <w:rFonts w:hint="eastAsia" w:ascii="仿宋_GB2312" w:hAnsi="宋体" w:eastAsia="仿宋_GB2312" w:cs="仿宋_GB2312"/>
          <w:color w:val="000000"/>
          <w:kern w:val="0"/>
        </w:rPr>
        <w:t>护</w:t>
      </w:r>
      <w:r>
        <w:rPr>
          <w:rFonts w:ascii="仿宋_GB2312" w:hAnsi="宋体" w:eastAsia="仿宋_GB2312" w:cs="仿宋_GB2312"/>
          <w:color w:val="000000"/>
          <w:kern w:val="0"/>
        </w:rPr>
        <w:t>)</w:t>
      </w:r>
      <w:r>
        <w:rPr>
          <w:rFonts w:hint="eastAsia" w:ascii="仿宋_GB2312" w:hAnsi="宋体" w:eastAsia="仿宋_GB2312" w:cs="仿宋_GB2312"/>
          <w:color w:val="000000"/>
          <w:kern w:val="0"/>
        </w:rPr>
        <w:t>费</w:t>
      </w:r>
      <w:r>
        <w:rPr>
          <w:rFonts w:ascii="仿宋_GB2312" w:hAnsi="宋体" w:eastAsia="仿宋_GB2312" w:cs="仿宋_GB2312"/>
          <w:color w:val="000000"/>
          <w:kern w:val="0"/>
        </w:rPr>
        <w:t>0.30</w:t>
      </w:r>
      <w:r>
        <w:rPr>
          <w:rFonts w:hint="eastAsia" w:ascii="仿宋_GB2312" w:hAnsi="宋体" w:eastAsia="仿宋_GB2312" w:cs="仿宋_GB2312"/>
          <w:color w:val="000000"/>
          <w:kern w:val="0"/>
        </w:rPr>
        <w:t>万元，会议费</w:t>
      </w:r>
      <w:r>
        <w:rPr>
          <w:rFonts w:ascii="仿宋_GB2312" w:hAnsi="宋体" w:eastAsia="仿宋_GB2312" w:cs="仿宋_GB2312"/>
          <w:color w:val="000000"/>
          <w:kern w:val="0"/>
        </w:rPr>
        <w:t>0.4</w:t>
      </w:r>
      <w:r>
        <w:rPr>
          <w:rFonts w:hint="eastAsia" w:ascii="仿宋_GB2312" w:hAnsi="宋体" w:eastAsia="仿宋_GB2312" w:cs="仿宋_GB2312"/>
          <w:color w:val="000000"/>
          <w:kern w:val="0"/>
        </w:rPr>
        <w:t>万元，培训费</w:t>
      </w:r>
      <w:r>
        <w:rPr>
          <w:rFonts w:ascii="仿宋_GB2312" w:hAnsi="宋体" w:eastAsia="仿宋_GB2312" w:cs="仿宋_GB2312"/>
          <w:color w:val="000000"/>
          <w:kern w:val="0"/>
        </w:rPr>
        <w:t>0.23</w:t>
      </w:r>
      <w:r>
        <w:rPr>
          <w:rFonts w:hint="eastAsia" w:ascii="仿宋_GB2312" w:hAnsi="宋体" w:eastAsia="仿宋_GB2312" w:cs="仿宋_GB2312"/>
          <w:color w:val="000000"/>
          <w:kern w:val="0"/>
        </w:rPr>
        <w:t>万元，委托业务费</w:t>
      </w:r>
      <w:r>
        <w:rPr>
          <w:rFonts w:ascii="仿宋_GB2312" w:hAnsi="宋体" w:eastAsia="仿宋_GB2312" w:cs="仿宋_GB2312"/>
          <w:color w:val="000000"/>
          <w:kern w:val="0"/>
        </w:rPr>
        <w:t>0.2</w:t>
      </w:r>
      <w:r>
        <w:rPr>
          <w:rFonts w:hint="eastAsia" w:ascii="仿宋_GB2312" w:hAnsi="宋体" w:eastAsia="仿宋_GB2312" w:cs="仿宋_GB2312"/>
          <w:color w:val="000000"/>
          <w:kern w:val="0"/>
        </w:rPr>
        <w:t>万元，工会经费</w:t>
      </w:r>
      <w:r>
        <w:rPr>
          <w:rFonts w:ascii="仿宋_GB2312" w:hAnsi="宋体" w:eastAsia="仿宋_GB2312" w:cs="仿宋_GB2312"/>
          <w:color w:val="000000"/>
          <w:kern w:val="0"/>
        </w:rPr>
        <w:t>1.36</w:t>
      </w:r>
      <w:r>
        <w:rPr>
          <w:rFonts w:hint="eastAsia" w:ascii="仿宋_GB2312" w:hAnsi="宋体" w:eastAsia="仿宋_GB2312" w:cs="仿宋_GB2312"/>
          <w:color w:val="000000"/>
          <w:kern w:val="0"/>
        </w:rPr>
        <w:t>万元，其他交通费用</w:t>
      </w:r>
      <w:r>
        <w:rPr>
          <w:rFonts w:ascii="仿宋_GB2312" w:hAnsi="宋体" w:eastAsia="仿宋_GB2312" w:cs="仿宋_GB2312"/>
          <w:color w:val="000000"/>
          <w:kern w:val="0"/>
        </w:rPr>
        <w:t>7.5</w:t>
      </w:r>
      <w:r>
        <w:rPr>
          <w:rFonts w:hint="eastAsia" w:ascii="仿宋_GB2312" w:hAnsi="宋体" w:eastAsia="仿宋_GB2312" w:cs="仿宋_GB2312"/>
          <w:color w:val="000000"/>
          <w:kern w:val="0"/>
        </w:rPr>
        <w:t>万元。</w:t>
      </w:r>
    </w:p>
    <w:p>
      <w:pPr>
        <w:ind w:firstLine="640" w:firstLineChars="200"/>
        <w:rPr>
          <w:rFonts w:ascii="黑体" w:hAnsi="黑体" w:eastAsia="黑体" w:cs="Times New Roman"/>
          <w:color w:val="000000"/>
          <w:kern w:val="0"/>
        </w:rPr>
      </w:pPr>
      <w:r>
        <w:rPr>
          <w:rFonts w:hint="eastAsia" w:ascii="黑体" w:hAnsi="黑体" w:eastAsia="黑体" w:cs="黑体"/>
          <w:color w:val="000000"/>
          <w:kern w:val="0"/>
        </w:rPr>
        <w:t>七、一般公共预算财政拨款“三公”经费及会议费、培训费支出决算情况说明</w:t>
      </w:r>
    </w:p>
    <w:p>
      <w:pPr>
        <w:widowControl/>
        <w:ind w:firstLine="643" w:firstLineChars="200"/>
        <w:jc w:val="left"/>
        <w:rPr>
          <w:rFonts w:cs="Times New Roman"/>
        </w:rPr>
      </w:pPr>
      <w:r>
        <w:rPr>
          <w:rFonts w:hint="eastAsia" w:ascii="楷体_GB2312" w:hAnsi="宋体" w:eastAsia="楷体_GB2312" w:cs="楷体_GB2312"/>
          <w:b/>
          <w:bCs/>
          <w:color w:val="000000"/>
          <w:kern w:val="0"/>
        </w:rPr>
        <w:t>（一）“三公”经费财政拨款支出决算总体情况说明。</w:t>
      </w:r>
      <w:r>
        <w:rPr>
          <w:rFonts w:ascii="楷体_GB2312" w:hAnsi="宋体" w:eastAsia="楷体_GB2312" w:cs="楷体_GB2312"/>
          <w:b/>
          <w:bCs/>
          <w:color w:val="000000"/>
          <w:kern w:val="0"/>
        </w:rPr>
        <w:t xml:space="preserve"> </w:t>
      </w:r>
    </w:p>
    <w:p>
      <w:pPr>
        <w:widowControl/>
        <w:ind w:firstLine="640" w:firstLineChars="200"/>
        <w:jc w:val="left"/>
        <w:rPr>
          <w:rFonts w:cs="Times New Roman"/>
        </w:rPr>
      </w:pPr>
      <w:r>
        <w:rPr>
          <w:rFonts w:hint="eastAsia" w:ascii="仿宋_GB2312" w:hAnsi="宋体" w:eastAsia="仿宋_GB2312" w:cs="仿宋_GB2312"/>
          <w:color w:val="000000"/>
          <w:kern w:val="0"/>
        </w:rPr>
        <w:t>本部门</w:t>
      </w:r>
      <w:r>
        <w:rPr>
          <w:rFonts w:ascii="仿宋_GB2312" w:hAnsi="宋体" w:eastAsia="仿宋_GB2312" w:cs="仿宋_GB2312"/>
          <w:color w:val="000000"/>
          <w:kern w:val="0"/>
        </w:rPr>
        <w:t>2019</w:t>
      </w:r>
      <w:r>
        <w:rPr>
          <w:rFonts w:hint="eastAsia" w:ascii="仿宋_GB2312" w:hAnsi="宋体" w:eastAsia="仿宋_GB2312" w:cs="仿宋_GB2312"/>
          <w:color w:val="000000"/>
          <w:kern w:val="0"/>
        </w:rPr>
        <w:t>年</w:t>
      </w:r>
      <w:r>
        <w:rPr>
          <w:rFonts w:hint="eastAsia" w:ascii="仿宋_GB2312" w:hAnsi="仿宋" w:eastAsia="仿宋_GB2312" w:cs="仿宋_GB2312"/>
        </w:rPr>
        <w:t>度</w:t>
      </w:r>
      <w:r>
        <w:rPr>
          <w:rFonts w:hint="eastAsia" w:ascii="仿宋_GB2312" w:hAnsi="宋体" w:eastAsia="仿宋_GB2312" w:cs="仿宋_GB2312"/>
          <w:color w:val="000000"/>
          <w:kern w:val="0"/>
        </w:rPr>
        <w:t>“三公”经费财政拨款支出预算为</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万元，支出决算为</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万元，完成预算的</w:t>
      </w:r>
      <w:r>
        <w:rPr>
          <w:rFonts w:ascii="仿宋_GB2312" w:hAnsi="宋体" w:eastAsia="仿宋_GB2312" w:cs="仿宋_GB2312"/>
          <w:color w:val="000000"/>
          <w:kern w:val="0"/>
        </w:rPr>
        <w:t>0%</w:t>
      </w:r>
      <w:r>
        <w:rPr>
          <w:rFonts w:hint="eastAsia" w:ascii="仿宋_GB2312" w:hAnsi="宋体" w:eastAsia="仿宋_GB2312" w:cs="仿宋_GB2312"/>
          <w:color w:val="000000"/>
          <w:kern w:val="0"/>
        </w:rPr>
        <w:t>。决算数较预算数减少（增加）</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万元，主要原因是本单位无“三公”经费预算。</w:t>
      </w:r>
    </w:p>
    <w:p>
      <w:pPr>
        <w:spacing w:line="360" w:lineRule="auto"/>
        <w:ind w:firstLine="643" w:firstLineChars="200"/>
        <w:rPr>
          <w:rFonts w:ascii="楷体_GB2312" w:hAnsi="宋体" w:eastAsia="楷体_GB2312" w:cs="Times New Roman"/>
          <w:b/>
          <w:bCs/>
          <w:color w:val="000000"/>
          <w:kern w:val="0"/>
        </w:rPr>
      </w:pPr>
      <w:r>
        <w:rPr>
          <w:rFonts w:hint="eastAsia" w:ascii="楷体_GB2312" w:hAnsi="宋体" w:eastAsia="楷体_GB2312" w:cs="楷体_GB2312"/>
          <w:b/>
          <w:bCs/>
          <w:color w:val="000000"/>
          <w:kern w:val="0"/>
        </w:rPr>
        <w:t>（二）“三公”经费财政拨款支出决算具体情况说明。</w:t>
      </w:r>
    </w:p>
    <w:p>
      <w:pPr>
        <w:widowControl/>
        <w:ind w:firstLine="640" w:firstLineChars="200"/>
        <w:jc w:val="left"/>
        <w:rPr>
          <w:rFonts w:cs="Times New Roman"/>
        </w:rPr>
      </w:pPr>
      <w:r>
        <w:rPr>
          <w:rFonts w:hint="eastAsia" w:ascii="仿宋_GB2312" w:hAnsi="宋体" w:eastAsia="仿宋_GB2312" w:cs="仿宋_GB2312"/>
          <w:color w:val="000000"/>
          <w:kern w:val="0"/>
        </w:rPr>
        <w:t>本部门</w:t>
      </w:r>
      <w:r>
        <w:rPr>
          <w:rFonts w:ascii="仿宋_GB2312" w:hAnsi="宋体" w:eastAsia="仿宋_GB2312" w:cs="仿宋_GB2312"/>
          <w:color w:val="000000"/>
          <w:kern w:val="0"/>
        </w:rPr>
        <w:t>2019</w:t>
      </w:r>
      <w:r>
        <w:rPr>
          <w:rFonts w:hint="eastAsia" w:ascii="仿宋_GB2312" w:hAnsi="宋体" w:eastAsia="仿宋_GB2312" w:cs="仿宋_GB2312"/>
          <w:color w:val="000000"/>
          <w:kern w:val="0"/>
        </w:rPr>
        <w:t>年</w:t>
      </w:r>
      <w:r>
        <w:rPr>
          <w:rFonts w:hint="eastAsia" w:ascii="仿宋_GB2312" w:hAnsi="仿宋" w:eastAsia="仿宋_GB2312" w:cs="仿宋_GB2312"/>
        </w:rPr>
        <w:t>度</w:t>
      </w:r>
      <w:r>
        <w:rPr>
          <w:rFonts w:hint="eastAsia" w:ascii="仿宋_GB2312" w:hAnsi="宋体" w:eastAsia="仿宋_GB2312" w:cs="仿宋_GB2312"/>
          <w:color w:val="000000"/>
          <w:kern w:val="0"/>
        </w:rPr>
        <w:t>“三公”经费财政拨款支出决算中，因公出国（境）费支出决算</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万元，占</w:t>
      </w:r>
      <w:r>
        <w:rPr>
          <w:rFonts w:ascii="仿宋_GB2312" w:hAnsi="宋体" w:eastAsia="仿宋_GB2312" w:cs="仿宋_GB2312"/>
          <w:color w:val="000000"/>
          <w:kern w:val="0"/>
        </w:rPr>
        <w:t>0%</w:t>
      </w:r>
      <w:r>
        <w:rPr>
          <w:rFonts w:hint="eastAsia" w:ascii="仿宋_GB2312" w:hAnsi="宋体" w:eastAsia="仿宋_GB2312" w:cs="仿宋_GB2312"/>
          <w:color w:val="000000"/>
          <w:kern w:val="0"/>
        </w:rPr>
        <w:t>；公务用车购置费支出</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万元，占</w:t>
      </w:r>
      <w:r>
        <w:rPr>
          <w:rFonts w:ascii="仿宋_GB2312" w:hAnsi="宋体" w:eastAsia="仿宋_GB2312" w:cs="仿宋_GB2312"/>
          <w:color w:val="000000"/>
          <w:kern w:val="0"/>
        </w:rPr>
        <w:t>0%</w:t>
      </w:r>
      <w:r>
        <w:rPr>
          <w:rFonts w:hint="eastAsia" w:ascii="仿宋_GB2312" w:hAnsi="宋体" w:eastAsia="仿宋_GB2312" w:cs="仿宋_GB2312"/>
          <w:color w:val="000000"/>
          <w:kern w:val="0"/>
        </w:rPr>
        <w:t>；公务用车运行</w:t>
      </w:r>
      <w:r>
        <w:rPr>
          <w:rFonts w:hint="eastAsia" w:ascii="仿宋_GB2312" w:hAnsi="仿宋" w:eastAsia="仿宋_GB2312" w:cs="仿宋_GB2312"/>
        </w:rPr>
        <w:t>维护</w:t>
      </w:r>
      <w:r>
        <w:rPr>
          <w:rFonts w:hint="eastAsia" w:ascii="仿宋_GB2312" w:hAnsi="宋体" w:eastAsia="仿宋_GB2312" w:cs="仿宋_GB2312"/>
          <w:color w:val="000000"/>
          <w:kern w:val="0"/>
        </w:rPr>
        <w:t>费支出决算</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万元，占</w:t>
      </w:r>
      <w:r>
        <w:rPr>
          <w:rFonts w:ascii="仿宋_GB2312" w:hAnsi="宋体" w:eastAsia="仿宋_GB2312" w:cs="仿宋_GB2312"/>
          <w:color w:val="000000"/>
          <w:kern w:val="0"/>
        </w:rPr>
        <w:t>0%</w:t>
      </w:r>
      <w:r>
        <w:rPr>
          <w:rFonts w:hint="eastAsia" w:ascii="仿宋_GB2312" w:hAnsi="宋体" w:eastAsia="仿宋_GB2312" w:cs="仿宋_GB2312"/>
          <w:color w:val="000000"/>
          <w:kern w:val="0"/>
        </w:rPr>
        <w:t>；公务接待费支出决算</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万元，占</w:t>
      </w:r>
      <w:r>
        <w:rPr>
          <w:rFonts w:ascii="仿宋_GB2312" w:hAnsi="宋体" w:eastAsia="仿宋_GB2312" w:cs="仿宋_GB2312"/>
          <w:color w:val="000000"/>
          <w:kern w:val="0"/>
        </w:rPr>
        <w:t>0%</w:t>
      </w:r>
      <w:r>
        <w:rPr>
          <w:rFonts w:hint="eastAsia" w:ascii="仿宋_GB2312" w:hAnsi="宋体" w:eastAsia="仿宋_GB2312" w:cs="仿宋_GB2312"/>
          <w:color w:val="000000"/>
          <w:kern w:val="0"/>
        </w:rPr>
        <w:t>。具体情况如下：</w:t>
      </w:r>
    </w:p>
    <w:p>
      <w:pPr>
        <w:ind w:firstLine="640" w:firstLineChars="200"/>
        <w:rPr>
          <w:rFonts w:ascii="仿宋_GB2312" w:hAnsi="仿宋" w:eastAsia="仿宋_GB2312" w:cs="Times New Roman"/>
          <w:b/>
          <w:bCs/>
        </w:rPr>
      </w:pPr>
      <w:r>
        <w:rPr>
          <w:rFonts w:cs="Times New Roman"/>
        </w:rPr>
        <w:pict>
          <v:shape id="_x0000_i1030" o:spt="75" type="#_x0000_t75" style="height:213.75pt;width:413.25pt;" filled="f" o:preferrelative="t" stroked="f" coordsize="21600,21600">
            <v:path/>
            <v:fill on="f" focussize="0,0"/>
            <v:stroke on="f" joinstyle="miter"/>
            <v:imagedata r:id="rId8" o:title=""/>
            <o:lock v:ext="edit" aspectratio="t"/>
            <w10:wrap type="none"/>
            <w10:anchorlock/>
          </v:shape>
        </w:pict>
      </w:r>
    </w:p>
    <w:p>
      <w:pPr>
        <w:ind w:firstLine="643" w:firstLineChars="200"/>
        <w:rPr>
          <w:rFonts w:ascii="仿宋_GB2312" w:hAnsi="仿宋" w:eastAsia="仿宋_GB2312" w:cs="Times New Roman"/>
          <w:b/>
          <w:bCs/>
        </w:rPr>
      </w:pPr>
      <w:r>
        <w:rPr>
          <w:rFonts w:ascii="仿宋_GB2312" w:hAnsi="仿宋" w:eastAsia="仿宋_GB2312" w:cs="仿宋_GB2312"/>
          <w:b/>
          <w:bCs/>
        </w:rPr>
        <w:t>1.</w:t>
      </w:r>
      <w:r>
        <w:rPr>
          <w:rFonts w:hint="eastAsia" w:ascii="仿宋_GB2312" w:hAnsi="仿宋" w:eastAsia="仿宋_GB2312" w:cs="仿宋_GB2312"/>
          <w:b/>
          <w:bCs/>
        </w:rPr>
        <w:t>因公出国（境）支出情况</w:t>
      </w:r>
      <w:r>
        <w:rPr>
          <w:rFonts w:hint="eastAsia" w:ascii="楷体_GB2312" w:hAnsi="宋体" w:eastAsia="楷体_GB2312" w:cs="楷体_GB2312"/>
          <w:b/>
          <w:bCs/>
          <w:color w:val="000000"/>
          <w:kern w:val="0"/>
        </w:rPr>
        <w:t>说明</w:t>
      </w:r>
      <w:r>
        <w:rPr>
          <w:rFonts w:hint="eastAsia" w:ascii="仿宋_GB2312" w:hAnsi="仿宋" w:eastAsia="仿宋_GB2312" w:cs="仿宋_GB2312"/>
          <w:b/>
          <w:bCs/>
        </w:rPr>
        <w:t>。</w:t>
      </w:r>
    </w:p>
    <w:p>
      <w:pPr>
        <w:widowControl/>
        <w:ind w:firstLine="640" w:firstLineChars="200"/>
        <w:jc w:val="left"/>
        <w:rPr>
          <w:rFonts w:ascii="仿宋_GB2312" w:hAnsi="仿宋" w:eastAsia="仿宋_GB2312" w:cs="Times New Roman"/>
        </w:rPr>
      </w:pPr>
      <w:r>
        <w:rPr>
          <w:rFonts w:ascii="仿宋_GB2312" w:hAnsi="仿宋" w:eastAsia="仿宋_GB2312" w:cs="仿宋_GB2312"/>
        </w:rPr>
        <w:t>2019</w:t>
      </w:r>
      <w:r>
        <w:rPr>
          <w:rFonts w:hint="eastAsia" w:ascii="仿宋_GB2312" w:hAnsi="仿宋" w:eastAsia="仿宋_GB2312" w:cs="仿宋_GB2312"/>
        </w:rPr>
        <w:t>年度因公出国（境）团组</w:t>
      </w:r>
      <w:r>
        <w:rPr>
          <w:rFonts w:ascii="仿宋_GB2312" w:hAnsi="仿宋_GB2312" w:eastAsia="仿宋_GB2312" w:cs="仿宋_GB2312"/>
        </w:rPr>
        <w:t>0</w:t>
      </w:r>
      <w:r>
        <w:rPr>
          <w:rFonts w:hint="eastAsia" w:ascii="仿宋_GB2312" w:hAnsi="仿宋_GB2312" w:eastAsia="仿宋_GB2312" w:cs="仿宋_GB2312"/>
        </w:rPr>
        <w:t>个，</w:t>
      </w:r>
      <w:r>
        <w:rPr>
          <w:rFonts w:ascii="仿宋_GB2312" w:hAnsi="仿宋_GB2312" w:eastAsia="仿宋_GB2312" w:cs="仿宋_GB2312"/>
        </w:rPr>
        <w:t>0</w:t>
      </w:r>
      <w:r>
        <w:rPr>
          <w:rFonts w:hint="eastAsia" w:ascii="仿宋_GB2312" w:hAnsi="仿宋_GB2312" w:eastAsia="仿宋_GB2312" w:cs="仿宋_GB2312"/>
        </w:rPr>
        <w:t>人次，</w:t>
      </w:r>
      <w:r>
        <w:rPr>
          <w:rFonts w:hint="eastAsia" w:ascii="仿宋_GB2312" w:hAnsi="宋体" w:eastAsia="仿宋_GB2312" w:cs="仿宋_GB2312"/>
          <w:color w:val="000000"/>
          <w:kern w:val="0"/>
        </w:rPr>
        <w:t>预算为</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万元，支出决算为</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万元，完成预算的</w:t>
      </w:r>
      <w:r>
        <w:rPr>
          <w:rFonts w:ascii="仿宋_GB2312" w:hAnsi="宋体" w:eastAsia="仿宋_GB2312" w:cs="仿宋_GB2312"/>
          <w:color w:val="000000"/>
          <w:kern w:val="0"/>
        </w:rPr>
        <w:t>0%</w:t>
      </w:r>
      <w:r>
        <w:rPr>
          <w:rFonts w:hint="eastAsia" w:ascii="仿宋_GB2312" w:hAnsi="宋体" w:eastAsia="仿宋_GB2312" w:cs="仿宋_GB2312"/>
          <w:color w:val="000000"/>
          <w:kern w:val="0"/>
        </w:rPr>
        <w:t>，决算数较预算数减少（增加）</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万元，主要原因是本单位无因公出国</w:t>
      </w:r>
      <w:r>
        <w:rPr>
          <w:rFonts w:hint="eastAsia" w:ascii="仿宋_GB2312" w:hAnsi="仿宋" w:eastAsia="仿宋_GB2312" w:cs="仿宋_GB2312"/>
        </w:rPr>
        <w:t>（境）。</w:t>
      </w:r>
    </w:p>
    <w:p>
      <w:pPr>
        <w:ind w:firstLine="643" w:firstLineChars="200"/>
        <w:rPr>
          <w:rFonts w:ascii="仿宋_GB2312" w:hAnsi="仿宋" w:eastAsia="仿宋_GB2312" w:cs="Times New Roman"/>
          <w:b/>
          <w:bCs/>
        </w:rPr>
      </w:pPr>
      <w:r>
        <w:rPr>
          <w:rFonts w:ascii="仿宋_GB2312" w:hAnsi="仿宋" w:eastAsia="仿宋_GB2312" w:cs="仿宋_GB2312"/>
          <w:b/>
          <w:bCs/>
        </w:rPr>
        <w:t>2.</w:t>
      </w:r>
      <w:r>
        <w:rPr>
          <w:rFonts w:hint="eastAsia" w:ascii="仿宋_GB2312" w:hAnsi="仿宋" w:eastAsia="仿宋_GB2312" w:cs="仿宋_GB2312"/>
          <w:b/>
          <w:bCs/>
        </w:rPr>
        <w:t>公务用车购置费用支出情况</w:t>
      </w:r>
      <w:r>
        <w:rPr>
          <w:rFonts w:hint="eastAsia" w:ascii="楷体_GB2312" w:hAnsi="宋体" w:eastAsia="楷体_GB2312" w:cs="楷体_GB2312"/>
          <w:b/>
          <w:bCs/>
          <w:color w:val="000000"/>
          <w:kern w:val="0"/>
        </w:rPr>
        <w:t>说明</w:t>
      </w:r>
      <w:r>
        <w:rPr>
          <w:rFonts w:hint="eastAsia" w:ascii="仿宋_GB2312" w:hAnsi="仿宋" w:eastAsia="仿宋_GB2312" w:cs="仿宋_GB2312"/>
          <w:b/>
          <w:bCs/>
        </w:rPr>
        <w:t>。</w:t>
      </w:r>
    </w:p>
    <w:p>
      <w:pPr>
        <w:widowControl/>
        <w:ind w:firstLine="640" w:firstLineChars="200"/>
        <w:jc w:val="left"/>
        <w:rPr>
          <w:rFonts w:cs="Times New Roman"/>
        </w:rPr>
      </w:pPr>
      <w:r>
        <w:rPr>
          <w:rFonts w:hint="eastAsia" w:ascii="仿宋_GB2312" w:hAnsi="仿宋" w:eastAsia="仿宋_GB2312" w:cs="仿宋_GB2312"/>
        </w:rPr>
        <w:t>示例：</w:t>
      </w:r>
      <w:r>
        <w:rPr>
          <w:rFonts w:ascii="仿宋_GB2312" w:hAnsi="仿宋" w:eastAsia="仿宋_GB2312" w:cs="仿宋_GB2312"/>
        </w:rPr>
        <w:t>2019</w:t>
      </w:r>
      <w:r>
        <w:rPr>
          <w:rFonts w:hint="eastAsia" w:ascii="仿宋_GB2312" w:hAnsi="仿宋" w:eastAsia="仿宋_GB2312" w:cs="仿宋_GB2312"/>
        </w:rPr>
        <w:t>年度购置车辆</w:t>
      </w:r>
      <w:r>
        <w:rPr>
          <w:rFonts w:ascii="仿宋_GB2312" w:hAnsi="仿宋_GB2312" w:eastAsia="仿宋_GB2312" w:cs="仿宋_GB2312"/>
        </w:rPr>
        <w:t>0</w:t>
      </w:r>
      <w:r>
        <w:rPr>
          <w:rFonts w:hint="eastAsia" w:ascii="仿宋_GB2312" w:hAnsi="仿宋_GB2312" w:eastAsia="仿宋_GB2312" w:cs="仿宋_GB2312"/>
        </w:rPr>
        <w:t>台，</w:t>
      </w:r>
      <w:r>
        <w:rPr>
          <w:rFonts w:hint="eastAsia" w:ascii="仿宋_GB2312" w:hAnsi="宋体" w:eastAsia="仿宋_GB2312" w:cs="仿宋_GB2312"/>
          <w:color w:val="000000"/>
          <w:kern w:val="0"/>
        </w:rPr>
        <w:t>预算为</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万元，支出决算为</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万元，完成预算的</w:t>
      </w:r>
      <w:r>
        <w:rPr>
          <w:rFonts w:ascii="仿宋_GB2312" w:hAnsi="宋体" w:eastAsia="仿宋_GB2312" w:cs="仿宋_GB2312"/>
          <w:color w:val="000000"/>
          <w:kern w:val="0"/>
        </w:rPr>
        <w:t>0%</w:t>
      </w:r>
      <w:r>
        <w:rPr>
          <w:rFonts w:hint="eastAsia" w:ascii="仿宋_GB2312" w:hAnsi="宋体" w:eastAsia="仿宋_GB2312" w:cs="仿宋_GB2312"/>
          <w:color w:val="000000"/>
          <w:kern w:val="0"/>
        </w:rPr>
        <w:t>，决算数较预算数减少（增加）</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万元，主要原因是本单位无公务用车购置。</w:t>
      </w:r>
    </w:p>
    <w:p>
      <w:pPr>
        <w:ind w:firstLine="643" w:firstLineChars="200"/>
        <w:rPr>
          <w:rFonts w:ascii="仿宋_GB2312" w:hAnsi="仿宋" w:eastAsia="仿宋_GB2312" w:cs="Times New Roman"/>
          <w:b/>
          <w:bCs/>
        </w:rPr>
      </w:pPr>
      <w:r>
        <w:rPr>
          <w:rFonts w:ascii="仿宋_GB2312" w:hAnsi="仿宋" w:eastAsia="仿宋_GB2312" w:cs="仿宋_GB2312"/>
          <w:b/>
          <w:bCs/>
        </w:rPr>
        <w:t>3.</w:t>
      </w:r>
      <w:r>
        <w:rPr>
          <w:rFonts w:hint="eastAsia" w:ascii="仿宋_GB2312" w:hAnsi="仿宋" w:eastAsia="仿宋_GB2312" w:cs="仿宋_GB2312"/>
          <w:b/>
          <w:bCs/>
        </w:rPr>
        <w:t>公务用车运行维护费用支出情况</w:t>
      </w:r>
      <w:r>
        <w:rPr>
          <w:rFonts w:hint="eastAsia" w:ascii="楷体_GB2312" w:hAnsi="宋体" w:eastAsia="楷体_GB2312" w:cs="楷体_GB2312"/>
          <w:b/>
          <w:bCs/>
          <w:color w:val="000000"/>
          <w:kern w:val="0"/>
        </w:rPr>
        <w:t>说明</w:t>
      </w:r>
      <w:r>
        <w:rPr>
          <w:rFonts w:hint="eastAsia" w:ascii="仿宋_GB2312" w:hAnsi="仿宋" w:eastAsia="仿宋_GB2312" w:cs="仿宋_GB2312"/>
          <w:b/>
          <w:bCs/>
        </w:rPr>
        <w:t>。</w:t>
      </w:r>
    </w:p>
    <w:p>
      <w:pPr>
        <w:widowControl/>
        <w:ind w:firstLine="640" w:firstLineChars="200"/>
        <w:jc w:val="left"/>
        <w:rPr>
          <w:rFonts w:ascii="仿宋_GB2312" w:hAnsi="宋体" w:eastAsia="仿宋_GB2312" w:cs="Times New Roman"/>
          <w:color w:val="000000"/>
          <w:kern w:val="0"/>
        </w:rPr>
      </w:pPr>
      <w:r>
        <w:rPr>
          <w:rFonts w:ascii="仿宋_GB2312" w:hAnsi="仿宋" w:eastAsia="仿宋_GB2312" w:cs="仿宋_GB2312"/>
        </w:rPr>
        <w:t>2019</w:t>
      </w:r>
      <w:r>
        <w:rPr>
          <w:rFonts w:hint="eastAsia" w:ascii="仿宋_GB2312" w:hAnsi="仿宋" w:eastAsia="仿宋_GB2312" w:cs="仿宋_GB2312"/>
        </w:rPr>
        <w:t>年度</w:t>
      </w:r>
      <w:r>
        <w:rPr>
          <w:rFonts w:hint="eastAsia" w:ascii="仿宋_GB2312" w:hAnsi="仿宋_GB2312" w:eastAsia="仿宋_GB2312" w:cs="仿宋_GB2312"/>
        </w:rPr>
        <w:t>公务用车运行维护费</w:t>
      </w:r>
      <w:r>
        <w:rPr>
          <w:rFonts w:hint="eastAsia" w:ascii="仿宋_GB2312" w:hAnsi="宋体" w:eastAsia="仿宋_GB2312" w:cs="仿宋_GB2312"/>
          <w:color w:val="000000"/>
          <w:kern w:val="0"/>
        </w:rPr>
        <w:t>预算为</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万元，支出决算为</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万元，完成预算的</w:t>
      </w:r>
      <w:r>
        <w:rPr>
          <w:rFonts w:ascii="仿宋_GB2312" w:hAnsi="宋体" w:eastAsia="仿宋_GB2312" w:cs="仿宋_GB2312"/>
          <w:color w:val="000000"/>
          <w:kern w:val="0"/>
        </w:rPr>
        <w:t>0%</w:t>
      </w:r>
      <w:r>
        <w:rPr>
          <w:rFonts w:hint="eastAsia" w:ascii="仿宋_GB2312" w:hAnsi="宋体" w:eastAsia="仿宋_GB2312" w:cs="仿宋_GB2312"/>
          <w:color w:val="000000"/>
          <w:kern w:val="0"/>
        </w:rPr>
        <w:t>，决算数较预算数减少（增加）</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万元，主要原因是本单位无公务用车。</w:t>
      </w:r>
    </w:p>
    <w:p>
      <w:pPr>
        <w:ind w:firstLine="643" w:firstLineChars="200"/>
        <w:rPr>
          <w:rFonts w:ascii="仿宋_GB2312" w:hAnsi="仿宋" w:eastAsia="仿宋_GB2312" w:cs="Times New Roman"/>
        </w:rPr>
      </w:pPr>
      <w:r>
        <w:rPr>
          <w:rFonts w:ascii="仿宋_GB2312" w:hAnsi="仿宋" w:eastAsia="仿宋_GB2312" w:cs="仿宋_GB2312"/>
          <w:b/>
          <w:bCs/>
        </w:rPr>
        <w:t>4.</w:t>
      </w:r>
      <w:r>
        <w:rPr>
          <w:rFonts w:hint="eastAsia" w:ascii="仿宋_GB2312" w:hAnsi="仿宋" w:eastAsia="仿宋_GB2312" w:cs="仿宋_GB2312"/>
          <w:b/>
          <w:bCs/>
        </w:rPr>
        <w:t>公务接待费支出情况</w:t>
      </w:r>
      <w:r>
        <w:rPr>
          <w:rFonts w:hint="eastAsia" w:ascii="楷体_GB2312" w:hAnsi="宋体" w:eastAsia="楷体_GB2312" w:cs="楷体_GB2312"/>
          <w:b/>
          <w:bCs/>
          <w:color w:val="000000"/>
          <w:kern w:val="0"/>
        </w:rPr>
        <w:t>说明</w:t>
      </w:r>
      <w:r>
        <w:rPr>
          <w:rFonts w:hint="eastAsia" w:ascii="仿宋_GB2312" w:hAnsi="仿宋" w:eastAsia="仿宋_GB2312" w:cs="仿宋_GB2312"/>
          <w:b/>
          <w:bCs/>
        </w:rPr>
        <w:t>。</w:t>
      </w:r>
    </w:p>
    <w:p>
      <w:pPr>
        <w:widowControl/>
        <w:ind w:firstLine="640" w:firstLineChars="200"/>
        <w:jc w:val="left"/>
        <w:rPr>
          <w:rFonts w:ascii="仿宋_GB2312" w:hAnsi="宋体" w:eastAsia="仿宋_GB2312" w:cs="Times New Roman"/>
          <w:color w:val="000000"/>
          <w:kern w:val="0"/>
        </w:rPr>
      </w:pPr>
      <w:r>
        <w:rPr>
          <w:rFonts w:ascii="仿宋_GB2312" w:hAnsi="仿宋" w:eastAsia="仿宋_GB2312" w:cs="仿宋_GB2312"/>
        </w:rPr>
        <w:t>2019</w:t>
      </w:r>
      <w:r>
        <w:rPr>
          <w:rFonts w:hint="eastAsia" w:ascii="仿宋_GB2312" w:hAnsi="仿宋" w:eastAsia="仿宋_GB2312" w:cs="仿宋_GB2312"/>
        </w:rPr>
        <w:t>年度公务接待</w:t>
      </w:r>
      <w:r>
        <w:rPr>
          <w:rFonts w:ascii="仿宋_GB2312" w:hAnsi="仿宋_GB2312" w:eastAsia="仿宋_GB2312" w:cs="仿宋_GB2312"/>
        </w:rPr>
        <w:t>0</w:t>
      </w:r>
      <w:r>
        <w:rPr>
          <w:rFonts w:hint="eastAsia" w:ascii="仿宋_GB2312" w:hAnsi="仿宋_GB2312" w:eastAsia="仿宋_GB2312" w:cs="仿宋_GB2312"/>
        </w:rPr>
        <w:t>批次，</w:t>
      </w:r>
      <w:r>
        <w:rPr>
          <w:rFonts w:ascii="仿宋_GB2312" w:hAnsi="仿宋_GB2312" w:eastAsia="仿宋_GB2312" w:cs="仿宋_GB2312"/>
        </w:rPr>
        <w:t>0</w:t>
      </w:r>
      <w:r>
        <w:rPr>
          <w:rFonts w:hint="eastAsia" w:ascii="仿宋_GB2312" w:hAnsi="仿宋_GB2312" w:eastAsia="仿宋_GB2312" w:cs="仿宋_GB2312"/>
        </w:rPr>
        <w:t>人次，</w:t>
      </w:r>
      <w:r>
        <w:rPr>
          <w:rFonts w:hint="eastAsia" w:ascii="仿宋_GB2312" w:hAnsi="宋体" w:eastAsia="仿宋_GB2312" w:cs="仿宋_GB2312"/>
          <w:color w:val="000000"/>
          <w:kern w:val="0"/>
        </w:rPr>
        <w:t>预算为</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万元，支出决算为</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万元，完成预算的</w:t>
      </w:r>
      <w:r>
        <w:rPr>
          <w:rFonts w:ascii="仿宋_GB2312" w:hAnsi="宋体" w:eastAsia="仿宋_GB2312" w:cs="仿宋_GB2312"/>
          <w:color w:val="000000"/>
          <w:kern w:val="0"/>
        </w:rPr>
        <w:t>0%</w:t>
      </w:r>
      <w:r>
        <w:rPr>
          <w:rFonts w:hint="eastAsia" w:ascii="仿宋_GB2312" w:hAnsi="宋体" w:eastAsia="仿宋_GB2312" w:cs="仿宋_GB2312"/>
          <w:color w:val="000000"/>
          <w:kern w:val="0"/>
        </w:rPr>
        <w:t>，决算数较预算数减少（增加）</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万元，主要原因是本单位无公务接待。</w:t>
      </w:r>
    </w:p>
    <w:p>
      <w:pPr>
        <w:ind w:firstLine="643" w:firstLineChars="200"/>
        <w:rPr>
          <w:rFonts w:ascii="楷体_GB2312" w:hAnsi="宋体" w:eastAsia="楷体_GB2312" w:cs="Times New Roman"/>
          <w:b/>
          <w:bCs/>
          <w:color w:val="000000"/>
          <w:kern w:val="0"/>
        </w:rPr>
      </w:pPr>
      <w:r>
        <w:rPr>
          <w:rFonts w:hint="eastAsia" w:ascii="楷体_GB2312" w:hAnsi="宋体" w:eastAsia="楷体_GB2312" w:cs="楷体_GB2312"/>
          <w:b/>
          <w:bCs/>
          <w:color w:val="000000"/>
          <w:kern w:val="0"/>
        </w:rPr>
        <w:t>（三）培训费支出情况说明。</w:t>
      </w:r>
    </w:p>
    <w:p>
      <w:pPr>
        <w:widowControl/>
        <w:ind w:firstLine="640" w:firstLineChars="200"/>
        <w:jc w:val="left"/>
        <w:rPr>
          <w:rFonts w:ascii="仿宋_GB2312" w:hAnsi="仿宋" w:eastAsia="仿宋_GB2312" w:cs="Times New Roman"/>
        </w:rPr>
      </w:pPr>
      <w:r>
        <w:rPr>
          <w:rFonts w:hint="eastAsia" w:ascii="仿宋_GB2312" w:hAnsi="仿宋" w:eastAsia="仿宋_GB2312" w:cs="仿宋_GB2312"/>
        </w:rPr>
        <w:t>本部门</w:t>
      </w:r>
      <w:r>
        <w:rPr>
          <w:rFonts w:ascii="仿宋_GB2312" w:hAnsi="仿宋" w:eastAsia="仿宋_GB2312" w:cs="仿宋_GB2312"/>
        </w:rPr>
        <w:t>2019</w:t>
      </w:r>
      <w:r>
        <w:rPr>
          <w:rFonts w:hint="eastAsia" w:ascii="仿宋_GB2312" w:hAnsi="仿宋" w:eastAsia="仿宋_GB2312" w:cs="仿宋_GB2312"/>
        </w:rPr>
        <w:t>年度</w:t>
      </w:r>
      <w:r>
        <w:rPr>
          <w:rFonts w:hint="eastAsia" w:ascii="仿宋_GB2312" w:hAnsi="仿宋_GB2312" w:eastAsia="仿宋_GB2312" w:cs="仿宋_GB2312"/>
        </w:rPr>
        <w:t>培训费</w:t>
      </w:r>
      <w:r>
        <w:rPr>
          <w:rFonts w:hint="eastAsia" w:ascii="仿宋_GB2312" w:hAnsi="宋体" w:eastAsia="仿宋_GB2312" w:cs="仿宋_GB2312"/>
          <w:color w:val="000000"/>
          <w:kern w:val="0"/>
        </w:rPr>
        <w:t>预算为</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万元，支出决算为</w:t>
      </w:r>
      <w:r>
        <w:rPr>
          <w:rFonts w:ascii="仿宋_GB2312" w:hAnsi="宋体" w:eastAsia="仿宋_GB2312" w:cs="仿宋_GB2312"/>
          <w:color w:val="000000"/>
          <w:kern w:val="0"/>
        </w:rPr>
        <w:t>0.23</w:t>
      </w:r>
      <w:r>
        <w:rPr>
          <w:rFonts w:hint="eastAsia" w:ascii="仿宋_GB2312" w:hAnsi="宋体" w:eastAsia="仿宋_GB2312" w:cs="仿宋_GB2312"/>
          <w:color w:val="000000"/>
          <w:kern w:val="0"/>
        </w:rPr>
        <w:t>万元，完成预算的</w:t>
      </w:r>
      <w:r>
        <w:rPr>
          <w:rFonts w:ascii="仿宋_GB2312" w:hAnsi="宋体" w:eastAsia="仿宋_GB2312" w:cs="仿宋_GB2312"/>
          <w:color w:val="000000"/>
          <w:kern w:val="0"/>
        </w:rPr>
        <w:t>0%</w:t>
      </w:r>
      <w:r>
        <w:rPr>
          <w:rFonts w:hint="eastAsia" w:ascii="仿宋_GB2312" w:hAnsi="宋体" w:eastAsia="仿宋_GB2312" w:cs="仿宋_GB2312"/>
          <w:color w:val="000000"/>
          <w:kern w:val="0"/>
        </w:rPr>
        <w:t>，决算数较预算数增加</w:t>
      </w:r>
      <w:r>
        <w:rPr>
          <w:rFonts w:ascii="仿宋_GB2312" w:hAnsi="宋体" w:eastAsia="仿宋_GB2312" w:cs="仿宋_GB2312"/>
          <w:color w:val="000000"/>
          <w:kern w:val="0"/>
        </w:rPr>
        <w:t>0.23</w:t>
      </w:r>
      <w:r>
        <w:rPr>
          <w:rFonts w:hint="eastAsia" w:ascii="仿宋_GB2312" w:hAnsi="宋体" w:eastAsia="仿宋_GB2312" w:cs="仿宋_GB2312"/>
          <w:color w:val="000000"/>
          <w:kern w:val="0"/>
        </w:rPr>
        <w:t>万元，主要原因</w:t>
      </w:r>
      <w:r>
        <w:rPr>
          <w:rFonts w:hint="eastAsia" w:ascii="仿宋_GB2312" w:hAnsi="仿宋" w:eastAsia="仿宋_GB2312" w:cs="仿宋_GB2312"/>
        </w:rPr>
        <w:t>是</w:t>
      </w:r>
      <w:r>
        <w:rPr>
          <w:rFonts w:ascii="仿宋_GB2312" w:hAnsi="仿宋" w:eastAsia="仿宋_GB2312" w:cs="仿宋_GB2312"/>
        </w:rPr>
        <w:t>2019</w:t>
      </w:r>
      <w:r>
        <w:rPr>
          <w:rFonts w:hint="eastAsia" w:ascii="仿宋_GB2312" w:hAnsi="仿宋" w:eastAsia="仿宋_GB2312" w:cs="仿宋_GB2312"/>
        </w:rPr>
        <w:t>年度机构改革培训增加。</w:t>
      </w:r>
    </w:p>
    <w:p>
      <w:pPr>
        <w:spacing w:line="360" w:lineRule="auto"/>
        <w:ind w:firstLine="643" w:firstLineChars="200"/>
        <w:rPr>
          <w:rFonts w:ascii="楷体_GB2312" w:hAnsi="宋体" w:eastAsia="楷体_GB2312" w:cs="Times New Roman"/>
          <w:b/>
          <w:bCs/>
          <w:color w:val="000000"/>
          <w:kern w:val="0"/>
        </w:rPr>
      </w:pPr>
      <w:r>
        <w:rPr>
          <w:rFonts w:hint="eastAsia" w:ascii="楷体_GB2312" w:hAnsi="宋体" w:eastAsia="楷体_GB2312" w:cs="楷体_GB2312"/>
          <w:b/>
          <w:bCs/>
          <w:color w:val="000000"/>
          <w:kern w:val="0"/>
        </w:rPr>
        <w:t>（四）会议费支出情况说明。</w:t>
      </w:r>
    </w:p>
    <w:p>
      <w:pPr>
        <w:widowControl/>
        <w:ind w:firstLine="640" w:firstLineChars="200"/>
        <w:jc w:val="left"/>
        <w:rPr>
          <w:rFonts w:ascii="仿宋_GB2312" w:hAnsi="宋体" w:eastAsia="仿宋_GB2312" w:cs="Times New Roman"/>
          <w:color w:val="000000"/>
          <w:kern w:val="0"/>
        </w:rPr>
      </w:pPr>
      <w:r>
        <w:rPr>
          <w:rFonts w:hint="eastAsia" w:ascii="仿宋_GB2312" w:hAnsi="仿宋" w:eastAsia="仿宋_GB2312" w:cs="仿宋_GB2312"/>
        </w:rPr>
        <w:t>本部门</w:t>
      </w:r>
      <w:r>
        <w:rPr>
          <w:rFonts w:ascii="仿宋_GB2312" w:hAnsi="仿宋" w:eastAsia="仿宋_GB2312" w:cs="仿宋_GB2312"/>
        </w:rPr>
        <w:t>2019</w:t>
      </w:r>
      <w:r>
        <w:rPr>
          <w:rFonts w:hint="eastAsia" w:ascii="仿宋_GB2312" w:hAnsi="仿宋" w:eastAsia="仿宋_GB2312" w:cs="仿宋_GB2312"/>
        </w:rPr>
        <w:t>年度</w:t>
      </w:r>
      <w:r>
        <w:rPr>
          <w:rFonts w:hint="eastAsia" w:ascii="仿宋_GB2312" w:hAnsi="仿宋_GB2312" w:eastAsia="仿宋_GB2312" w:cs="仿宋_GB2312"/>
        </w:rPr>
        <w:t>会议费</w:t>
      </w:r>
      <w:r>
        <w:rPr>
          <w:rFonts w:hint="eastAsia" w:ascii="仿宋_GB2312" w:hAnsi="宋体" w:eastAsia="仿宋_GB2312" w:cs="仿宋_GB2312"/>
          <w:color w:val="000000"/>
          <w:kern w:val="0"/>
        </w:rPr>
        <w:t>预算为</w:t>
      </w:r>
      <w:r>
        <w:rPr>
          <w:rFonts w:ascii="仿宋_GB2312" w:hAnsi="宋体" w:eastAsia="仿宋_GB2312" w:cs="仿宋_GB2312"/>
          <w:color w:val="000000"/>
          <w:kern w:val="0"/>
        </w:rPr>
        <w:t>0.3</w:t>
      </w:r>
      <w:r>
        <w:rPr>
          <w:rFonts w:hint="eastAsia" w:ascii="仿宋_GB2312" w:hAnsi="宋体" w:eastAsia="仿宋_GB2312" w:cs="仿宋_GB2312"/>
          <w:color w:val="000000"/>
          <w:kern w:val="0"/>
        </w:rPr>
        <w:t>万元，支出决算为</w:t>
      </w:r>
      <w:r>
        <w:rPr>
          <w:rFonts w:ascii="仿宋_GB2312" w:hAnsi="宋体" w:eastAsia="仿宋_GB2312" w:cs="仿宋_GB2312"/>
          <w:color w:val="000000"/>
          <w:kern w:val="0"/>
        </w:rPr>
        <w:t>0.4</w:t>
      </w:r>
      <w:r>
        <w:rPr>
          <w:rFonts w:hint="eastAsia" w:ascii="仿宋_GB2312" w:hAnsi="宋体" w:eastAsia="仿宋_GB2312" w:cs="仿宋_GB2312"/>
          <w:color w:val="000000"/>
          <w:kern w:val="0"/>
        </w:rPr>
        <w:t>万元，完成预算的</w:t>
      </w:r>
      <w:r>
        <w:rPr>
          <w:rFonts w:ascii="仿宋_GB2312" w:hAnsi="宋体" w:eastAsia="仿宋_GB2312" w:cs="仿宋_GB2312"/>
          <w:color w:val="000000"/>
          <w:kern w:val="0"/>
        </w:rPr>
        <w:t>133.33%</w:t>
      </w:r>
      <w:r>
        <w:rPr>
          <w:rFonts w:hint="eastAsia" w:ascii="仿宋_GB2312" w:hAnsi="宋体" w:eastAsia="仿宋_GB2312" w:cs="仿宋_GB2312"/>
          <w:color w:val="000000"/>
          <w:kern w:val="0"/>
        </w:rPr>
        <w:t>，决算数较预算数增加</w:t>
      </w:r>
      <w:r>
        <w:rPr>
          <w:rFonts w:ascii="仿宋_GB2312" w:hAnsi="宋体" w:eastAsia="仿宋_GB2312" w:cs="仿宋_GB2312"/>
          <w:color w:val="000000"/>
          <w:kern w:val="0"/>
        </w:rPr>
        <w:t>0.1</w:t>
      </w:r>
      <w:r>
        <w:rPr>
          <w:rFonts w:hint="eastAsia" w:ascii="仿宋_GB2312" w:hAnsi="宋体" w:eastAsia="仿宋_GB2312" w:cs="仿宋_GB2312"/>
          <w:color w:val="000000"/>
          <w:kern w:val="0"/>
        </w:rPr>
        <w:t>万元，主要原因是</w:t>
      </w:r>
      <w:r>
        <w:rPr>
          <w:rFonts w:ascii="仿宋_GB2312" w:hAnsi="仿宋" w:eastAsia="仿宋_GB2312" w:cs="仿宋_GB2312"/>
        </w:rPr>
        <w:t>2019</w:t>
      </w:r>
      <w:r>
        <w:rPr>
          <w:rFonts w:hint="eastAsia" w:ascii="仿宋_GB2312" w:hAnsi="仿宋" w:eastAsia="仿宋_GB2312" w:cs="仿宋_GB2312"/>
        </w:rPr>
        <w:t>年度机构改革会议增加</w:t>
      </w:r>
      <w:r>
        <w:rPr>
          <w:rFonts w:ascii="仿宋_GB2312" w:hAnsi="仿宋" w:eastAsia="仿宋_GB2312" w:cs="仿宋_GB2312"/>
        </w:rPr>
        <w:t>.</w:t>
      </w:r>
    </w:p>
    <w:p>
      <w:pPr>
        <w:ind w:firstLine="640" w:firstLineChars="200"/>
        <w:rPr>
          <w:rFonts w:ascii="黑体" w:hAnsi="黑体" w:eastAsia="黑体" w:cs="Times New Roman"/>
          <w:color w:val="000000"/>
          <w:kern w:val="0"/>
        </w:rPr>
      </w:pPr>
      <w:r>
        <w:rPr>
          <w:rFonts w:hint="eastAsia" w:ascii="黑体" w:hAnsi="黑体" w:eastAsia="黑体" w:cs="黑体"/>
          <w:color w:val="000000"/>
          <w:kern w:val="0"/>
        </w:rPr>
        <w:t>八、政府性基金预算财政拨款收入支出情况说明</w:t>
      </w:r>
    </w:p>
    <w:p>
      <w:pPr>
        <w:ind w:firstLine="640"/>
        <w:rPr>
          <w:rFonts w:ascii="仿宋_GB2312" w:hAnsi="仿宋_GB2312" w:eastAsia="仿宋_GB2312" w:cs="Times New Roman"/>
        </w:rPr>
      </w:pPr>
      <w:r>
        <w:rPr>
          <w:rFonts w:hint="eastAsia" w:ascii="仿宋_GB2312" w:hAnsi="仿宋_GB2312" w:eastAsia="仿宋_GB2312" w:cs="仿宋_GB2312"/>
        </w:rPr>
        <w:t>本部门无政府性基金决算收支，并已公开空表。</w:t>
      </w:r>
    </w:p>
    <w:p>
      <w:pPr>
        <w:widowControl/>
        <w:ind w:firstLine="640" w:firstLineChars="200"/>
        <w:jc w:val="left"/>
        <w:rPr>
          <w:rFonts w:ascii="黑体" w:hAnsi="黑体" w:eastAsia="黑体" w:cs="Times New Roman"/>
          <w:color w:val="000000"/>
          <w:kern w:val="0"/>
        </w:rPr>
      </w:pPr>
      <w:r>
        <w:rPr>
          <w:rFonts w:hint="eastAsia" w:ascii="黑体" w:hAnsi="黑体" w:eastAsia="黑体" w:cs="黑体"/>
          <w:color w:val="000000"/>
          <w:kern w:val="0"/>
        </w:rPr>
        <w:t>九、国有资本经营财政拨款收入支出情况说明</w:t>
      </w:r>
    </w:p>
    <w:p>
      <w:pPr>
        <w:ind w:firstLine="640"/>
        <w:rPr>
          <w:rFonts w:ascii="仿宋_GB2312" w:hAnsi="仿宋_GB2312" w:eastAsia="仿宋_GB2312" w:cs="Times New Roman"/>
        </w:rPr>
      </w:pPr>
      <w:r>
        <w:rPr>
          <w:rFonts w:hint="eastAsia" w:ascii="仿宋_GB2312" w:hAnsi="仿宋_GB2312" w:eastAsia="仿宋_GB2312" w:cs="仿宋_GB2312"/>
        </w:rPr>
        <w:t>本部门无国有资本经营决算拨款收支。</w:t>
      </w:r>
    </w:p>
    <w:p>
      <w:pPr>
        <w:widowControl/>
        <w:ind w:firstLine="640" w:firstLineChars="200"/>
        <w:jc w:val="left"/>
        <w:rPr>
          <w:rFonts w:ascii="黑体" w:hAnsi="黑体" w:eastAsia="黑体" w:cs="Times New Roman"/>
          <w:color w:val="000000"/>
          <w:kern w:val="0"/>
        </w:rPr>
      </w:pPr>
      <w:r>
        <w:rPr>
          <w:rFonts w:hint="eastAsia" w:ascii="黑体" w:hAnsi="黑体" w:eastAsia="黑体" w:cs="黑体"/>
          <w:color w:val="000000"/>
          <w:kern w:val="0"/>
        </w:rPr>
        <w:t>十、预算绩效情况说明</w:t>
      </w:r>
    </w:p>
    <w:p>
      <w:pPr>
        <w:widowControl/>
        <w:ind w:left="1616" w:leftChars="304" w:hanging="643" w:hangingChars="200"/>
        <w:jc w:val="left"/>
        <w:rPr>
          <w:rFonts w:ascii="楷体_GB2312" w:hAnsi="宋体" w:eastAsia="楷体_GB2312" w:cs="Times New Roman"/>
          <w:b/>
          <w:bCs/>
          <w:color w:val="000000"/>
          <w:kern w:val="0"/>
        </w:rPr>
      </w:pPr>
      <w:r>
        <w:rPr>
          <w:rFonts w:hint="eastAsia" w:ascii="楷体_GB2312" w:hAnsi="宋体" w:eastAsia="楷体_GB2312" w:cs="楷体_GB2312"/>
          <w:b/>
          <w:bCs/>
          <w:color w:val="000000"/>
          <w:kern w:val="0"/>
        </w:rPr>
        <w:t>（一）预算绩效管理工作开展情况说明。</w:t>
      </w:r>
    </w:p>
    <w:p>
      <w:pPr>
        <w:widowControl/>
        <w:ind w:firstLine="640" w:firstLineChars="200"/>
        <w:jc w:val="left"/>
        <w:rPr>
          <w:rFonts w:ascii="仿宋_GB2312" w:hAnsi="仿宋_GB2312" w:eastAsia="仿宋_GB2312" w:cs="Times New Roman"/>
          <w:color w:val="000000"/>
          <w:kern w:val="0"/>
          <w:sz w:val="31"/>
          <w:szCs w:val="31"/>
        </w:rPr>
      </w:pPr>
      <w:r>
        <w:rPr>
          <w:rFonts w:hint="eastAsia" w:ascii="仿宋_GB2312" w:hAnsi="仿宋_GB2312" w:eastAsia="仿宋_GB2312" w:cs="仿宋_GB2312"/>
        </w:rPr>
        <w:t>根据预算绩效管理要求，本部门组织对</w:t>
      </w:r>
      <w:r>
        <w:rPr>
          <w:rFonts w:ascii="仿宋_GB2312" w:hAnsi="仿宋_GB2312" w:eastAsia="仿宋_GB2312" w:cs="仿宋_GB2312"/>
        </w:rPr>
        <w:t>2019</w:t>
      </w:r>
      <w:r>
        <w:rPr>
          <w:rFonts w:hint="eastAsia" w:ascii="仿宋_GB2312" w:hAnsi="仿宋_GB2312" w:eastAsia="仿宋_GB2312" w:cs="仿宋_GB2312"/>
        </w:rPr>
        <w:t>年一般公共预算</w:t>
      </w:r>
      <w:r>
        <w:rPr>
          <w:rFonts w:ascii="仿宋_GB2312" w:hAnsi="仿宋_GB2312" w:eastAsia="仿宋_GB2312" w:cs="仿宋_GB2312"/>
        </w:rPr>
        <w:t>0</w:t>
      </w:r>
      <w:r>
        <w:rPr>
          <w:rFonts w:hint="eastAsia" w:ascii="仿宋_GB2312" w:hAnsi="仿宋_GB2312" w:eastAsia="仿宋_GB2312" w:cs="仿宋_GB2312"/>
        </w:rPr>
        <w:t>个项目支出开展了绩效自评，其中，一级项目</w:t>
      </w:r>
      <w:r>
        <w:rPr>
          <w:rFonts w:ascii="仿宋_GB2312" w:hAnsi="仿宋_GB2312" w:eastAsia="仿宋_GB2312" w:cs="仿宋_GB2312"/>
        </w:rPr>
        <w:t>0</w:t>
      </w:r>
      <w:r>
        <w:rPr>
          <w:rFonts w:hint="eastAsia" w:ascii="仿宋_GB2312" w:hAnsi="仿宋_GB2312" w:eastAsia="仿宋_GB2312" w:cs="仿宋_GB2312"/>
        </w:rPr>
        <w:t>个，二级项目</w:t>
      </w:r>
      <w:r>
        <w:rPr>
          <w:rFonts w:ascii="仿宋_GB2312" w:hAnsi="仿宋_GB2312" w:eastAsia="仿宋_GB2312" w:cs="仿宋_GB2312"/>
        </w:rPr>
        <w:t>0</w:t>
      </w:r>
      <w:r>
        <w:rPr>
          <w:rFonts w:hint="eastAsia" w:ascii="仿宋_GB2312" w:hAnsi="仿宋_GB2312" w:eastAsia="仿宋_GB2312" w:cs="仿宋_GB2312"/>
        </w:rPr>
        <w:t>个，共涉及资金</w:t>
      </w:r>
      <w:r>
        <w:rPr>
          <w:rFonts w:ascii="仿宋_GB2312" w:hAnsi="仿宋_GB2312" w:eastAsia="仿宋_GB2312" w:cs="仿宋_GB2312"/>
        </w:rPr>
        <w:t>0</w:t>
      </w:r>
      <w:r>
        <w:rPr>
          <w:rFonts w:hint="eastAsia" w:ascii="仿宋_GB2312" w:hAnsi="仿宋_GB2312" w:eastAsia="仿宋_GB2312" w:cs="仿宋_GB2312"/>
        </w:rPr>
        <w:t>万元，占一般公共预算项目支出总额的</w:t>
      </w:r>
      <w:r>
        <w:rPr>
          <w:rFonts w:ascii="仿宋_GB2312" w:hAnsi="仿宋_GB2312" w:eastAsia="仿宋_GB2312" w:cs="仿宋_GB2312"/>
        </w:rPr>
        <w:t>0%</w:t>
      </w:r>
      <w:r>
        <w:rPr>
          <w:rFonts w:hint="eastAsia" w:ascii="仿宋_GB2312" w:hAnsi="仿宋_GB2312" w:eastAsia="仿宋_GB2312" w:cs="仿宋_GB2312"/>
        </w:rPr>
        <w:t>；</w:t>
      </w:r>
      <w:r>
        <w:rPr>
          <w:rFonts w:hint="eastAsia" w:ascii="仿宋_GB2312" w:hAnsi="仿宋_GB2312" w:eastAsia="仿宋_GB2312" w:cs="仿宋_GB2312"/>
          <w:color w:val="000000"/>
          <w:kern w:val="0"/>
          <w:sz w:val="31"/>
          <w:szCs w:val="31"/>
        </w:rPr>
        <w:t>组织对</w:t>
      </w:r>
      <w:r>
        <w:rPr>
          <w:rFonts w:ascii="仿宋_GB2312" w:hAnsi="仿宋_GB2312" w:eastAsia="仿宋_GB2312" w:cs="仿宋_GB2312"/>
          <w:color w:val="000000"/>
          <w:kern w:val="0"/>
          <w:sz w:val="31"/>
          <w:szCs w:val="31"/>
        </w:rPr>
        <w:t xml:space="preserve"> 2019</w:t>
      </w:r>
      <w:r>
        <w:rPr>
          <w:rFonts w:hint="eastAsia" w:ascii="仿宋_GB2312" w:hAnsi="仿宋_GB2312" w:eastAsia="仿宋_GB2312" w:cs="仿宋_GB2312"/>
          <w:color w:val="000000"/>
          <w:kern w:val="0"/>
          <w:sz w:val="31"/>
          <w:szCs w:val="31"/>
        </w:rPr>
        <w:t>年</w:t>
      </w:r>
      <w:r>
        <w:rPr>
          <w:rFonts w:hint="eastAsia" w:ascii="仿宋_GB2312" w:hAnsi="仿宋" w:eastAsia="仿宋_GB2312" w:cs="仿宋_GB2312"/>
        </w:rPr>
        <w:t>度政府性</w:t>
      </w:r>
      <w:r>
        <w:rPr>
          <w:rFonts w:hint="eastAsia" w:ascii="仿宋_GB2312" w:hAnsi="仿宋_GB2312" w:eastAsia="仿宋_GB2312" w:cs="仿宋_GB2312"/>
        </w:rPr>
        <w:t>基金预算</w:t>
      </w:r>
      <w:r>
        <w:rPr>
          <w:rFonts w:ascii="仿宋_GB2312" w:hAnsi="仿宋_GB2312" w:eastAsia="仿宋_GB2312" w:cs="仿宋_GB2312"/>
        </w:rPr>
        <w:t>0</w:t>
      </w:r>
      <w:r>
        <w:rPr>
          <w:rFonts w:hint="eastAsia" w:ascii="仿宋_GB2312" w:hAnsi="仿宋_GB2312" w:eastAsia="仿宋_GB2312" w:cs="仿宋_GB2312"/>
        </w:rPr>
        <w:t>个项目支出开展了绩效自评</w:t>
      </w:r>
      <w:r>
        <w:rPr>
          <w:rFonts w:hint="eastAsia" w:ascii="仿宋_GB2312" w:hAnsi="仿宋_GB2312" w:eastAsia="仿宋_GB2312" w:cs="仿宋_GB2312"/>
          <w:color w:val="000000"/>
          <w:kern w:val="0"/>
          <w:sz w:val="31"/>
          <w:szCs w:val="31"/>
        </w:rPr>
        <w:t>，涉及项目</w:t>
      </w:r>
      <w:r>
        <w:rPr>
          <w:rFonts w:ascii="仿宋_GB2312" w:hAnsi="仿宋_GB2312" w:eastAsia="仿宋_GB2312" w:cs="仿宋_GB2312"/>
        </w:rPr>
        <w:t>0</w:t>
      </w:r>
      <w:r>
        <w:rPr>
          <w:rFonts w:hint="eastAsia" w:ascii="仿宋_GB2312" w:hAnsi="仿宋_GB2312" w:eastAsia="仿宋_GB2312" w:cs="仿宋_GB2312"/>
          <w:color w:val="000000"/>
          <w:kern w:val="0"/>
          <w:sz w:val="31"/>
          <w:szCs w:val="31"/>
        </w:rPr>
        <w:t>个，共涉及资金</w:t>
      </w:r>
      <w:r>
        <w:rPr>
          <w:rFonts w:ascii="仿宋_GB2312" w:hAnsi="仿宋_GB2312" w:eastAsia="仿宋_GB2312" w:cs="仿宋_GB2312"/>
          <w:color w:val="000000"/>
          <w:kern w:val="0"/>
          <w:sz w:val="31"/>
          <w:szCs w:val="31"/>
        </w:rPr>
        <w:t>0</w:t>
      </w:r>
      <w:r>
        <w:rPr>
          <w:rFonts w:hint="eastAsia" w:ascii="仿宋_GB2312" w:hAnsi="仿宋_GB2312" w:eastAsia="仿宋_GB2312" w:cs="仿宋_GB2312"/>
          <w:color w:val="000000"/>
          <w:kern w:val="0"/>
          <w:sz w:val="31"/>
          <w:szCs w:val="31"/>
        </w:rPr>
        <w:t>万元，占政府性基金预算项目支出总额的</w:t>
      </w:r>
      <w:r>
        <w:rPr>
          <w:rFonts w:ascii="仿宋_GB2312" w:hAnsi="仿宋_GB2312" w:eastAsia="仿宋_GB2312" w:cs="仿宋_GB2312"/>
          <w:color w:val="000000"/>
          <w:kern w:val="0"/>
          <w:sz w:val="31"/>
          <w:szCs w:val="31"/>
        </w:rPr>
        <w:t>0%</w:t>
      </w:r>
      <w:r>
        <w:rPr>
          <w:rFonts w:hint="eastAsia" w:ascii="仿宋_GB2312" w:hAnsi="仿宋_GB2312" w:eastAsia="仿宋_GB2312" w:cs="仿宋_GB2312"/>
          <w:color w:val="000000"/>
          <w:kern w:val="0"/>
          <w:sz w:val="31"/>
          <w:szCs w:val="31"/>
        </w:rPr>
        <w:t>。</w:t>
      </w:r>
    </w:p>
    <w:p>
      <w:pPr>
        <w:widowControl/>
        <w:ind w:firstLine="640" w:firstLineChars="200"/>
        <w:jc w:val="left"/>
        <w:rPr>
          <w:rFonts w:ascii="仿宋_GB2312" w:hAnsi="仿宋_GB2312" w:eastAsia="仿宋_GB2312" w:cs="Times New Roman"/>
          <w:color w:val="000000"/>
          <w:kern w:val="0"/>
          <w:sz w:val="31"/>
          <w:szCs w:val="31"/>
        </w:rPr>
      </w:pPr>
      <w:r>
        <w:rPr>
          <w:rFonts w:hint="eastAsia" w:ascii="仿宋_GB2312" w:hAnsi="仿宋_GB2312" w:eastAsia="仿宋_GB2312" w:cs="仿宋_GB2312"/>
        </w:rPr>
        <w:t>本部门组织对</w:t>
      </w:r>
      <w:r>
        <w:rPr>
          <w:rFonts w:ascii="仿宋_GB2312" w:hAnsi="仿宋_GB2312" w:eastAsia="仿宋_GB2312" w:cs="仿宋_GB2312"/>
        </w:rPr>
        <w:t>2019</w:t>
      </w:r>
      <w:r>
        <w:rPr>
          <w:rFonts w:hint="eastAsia" w:ascii="仿宋_GB2312" w:hAnsi="仿宋_GB2312" w:eastAsia="仿宋_GB2312" w:cs="仿宋_GB2312"/>
        </w:rPr>
        <w:t>年度部门整体进行了绩效自评，涉及资金</w:t>
      </w:r>
      <w:r>
        <w:rPr>
          <w:rFonts w:ascii="仿宋_GB2312" w:hAnsi="仿宋_GB2312" w:eastAsia="仿宋_GB2312" w:cs="仿宋_GB2312"/>
          <w:color w:val="000000"/>
          <w:kern w:val="0"/>
          <w:sz w:val="31"/>
          <w:szCs w:val="31"/>
        </w:rPr>
        <w:t>138.92</w:t>
      </w:r>
      <w:r>
        <w:rPr>
          <w:rFonts w:hint="eastAsia" w:ascii="仿宋_GB2312" w:hAnsi="仿宋_GB2312" w:eastAsia="仿宋_GB2312" w:cs="仿宋_GB2312"/>
        </w:rPr>
        <w:t>万元。</w:t>
      </w:r>
    </w:p>
    <w:p>
      <w:pPr>
        <w:widowControl/>
        <w:ind w:firstLine="643" w:firstLineChars="200"/>
        <w:jc w:val="left"/>
        <w:rPr>
          <w:rFonts w:ascii="楷体_GB2312" w:hAnsi="宋体" w:eastAsia="楷体_GB2312" w:cs="Times New Roman"/>
          <w:b/>
          <w:bCs/>
          <w:color w:val="000000"/>
          <w:kern w:val="0"/>
        </w:rPr>
      </w:pPr>
      <w:r>
        <w:rPr>
          <w:rFonts w:hint="eastAsia" w:ascii="楷体_GB2312" w:hAnsi="宋体" w:eastAsia="楷体_GB2312" w:cs="楷体_GB2312"/>
          <w:b/>
          <w:bCs/>
          <w:color w:val="000000"/>
          <w:kern w:val="0"/>
        </w:rPr>
        <w:t>（二）部门决算中项目绩效自评结果。</w:t>
      </w:r>
    </w:p>
    <w:p>
      <w:pPr>
        <w:widowControl/>
        <w:ind w:firstLine="620" w:firstLineChars="200"/>
        <w:jc w:val="left"/>
        <w:rPr>
          <w:rFonts w:ascii="仿宋_GB2312" w:hAnsi="仿宋_GB2312" w:eastAsia="仿宋_GB2312" w:cs="Times New Roman"/>
          <w:color w:val="000000"/>
          <w:kern w:val="0"/>
          <w:sz w:val="31"/>
          <w:szCs w:val="31"/>
        </w:rPr>
      </w:pPr>
      <w:r>
        <w:rPr>
          <w:rFonts w:hint="eastAsia" w:ascii="仿宋_GB2312" w:hAnsi="仿宋_GB2312" w:eastAsia="仿宋_GB2312" w:cs="仿宋_GB2312"/>
          <w:color w:val="000000"/>
          <w:kern w:val="0"/>
          <w:sz w:val="31"/>
          <w:szCs w:val="31"/>
        </w:rPr>
        <w:t>根据年初设定的绩效目标，项目自评得分</w:t>
      </w:r>
      <w:r>
        <w:rPr>
          <w:rFonts w:ascii="仿宋_GB2312" w:hAnsi="仿宋_GB2312" w:eastAsia="仿宋_GB2312" w:cs="仿宋_GB2312"/>
          <w:color w:val="000000"/>
          <w:kern w:val="0"/>
          <w:sz w:val="31"/>
          <w:szCs w:val="31"/>
        </w:rPr>
        <w:t>0</w:t>
      </w:r>
      <w:r>
        <w:rPr>
          <w:rFonts w:hint="eastAsia" w:ascii="仿宋_GB2312" w:hAnsi="仿宋_GB2312" w:eastAsia="仿宋_GB2312" w:cs="仿宋_GB2312"/>
          <w:color w:val="000000"/>
          <w:kern w:val="0"/>
          <w:sz w:val="31"/>
          <w:szCs w:val="31"/>
        </w:rPr>
        <w:t>分。项目全年预算数</w:t>
      </w:r>
      <w:r>
        <w:rPr>
          <w:rFonts w:ascii="仿宋_GB2312" w:hAnsi="仿宋_GB2312" w:eastAsia="仿宋_GB2312" w:cs="仿宋_GB2312"/>
          <w:color w:val="000000"/>
          <w:kern w:val="0"/>
          <w:sz w:val="31"/>
          <w:szCs w:val="31"/>
        </w:rPr>
        <w:t>0</w:t>
      </w:r>
      <w:r>
        <w:rPr>
          <w:rFonts w:hint="eastAsia" w:ascii="仿宋_GB2312" w:hAnsi="仿宋_GB2312" w:eastAsia="仿宋_GB2312" w:cs="仿宋_GB2312"/>
          <w:color w:val="000000"/>
          <w:kern w:val="0"/>
          <w:sz w:val="31"/>
          <w:szCs w:val="31"/>
        </w:rPr>
        <w:t>万元，执行数</w:t>
      </w:r>
      <w:r>
        <w:rPr>
          <w:rFonts w:ascii="仿宋_GB2312" w:hAnsi="仿宋_GB2312" w:eastAsia="仿宋_GB2312" w:cs="仿宋_GB2312"/>
          <w:color w:val="000000"/>
          <w:kern w:val="0"/>
          <w:sz w:val="31"/>
          <w:szCs w:val="31"/>
        </w:rPr>
        <w:t xml:space="preserve"> 0</w:t>
      </w:r>
      <w:r>
        <w:rPr>
          <w:rFonts w:hint="eastAsia" w:ascii="仿宋_GB2312" w:hAnsi="仿宋_GB2312" w:eastAsia="仿宋_GB2312" w:cs="仿宋_GB2312"/>
          <w:color w:val="000000"/>
          <w:kern w:val="0"/>
          <w:sz w:val="31"/>
          <w:szCs w:val="31"/>
        </w:rPr>
        <w:t>万元，完成预算的</w:t>
      </w:r>
      <w:r>
        <w:rPr>
          <w:rFonts w:ascii="仿宋_GB2312" w:hAnsi="仿宋_GB2312" w:eastAsia="仿宋_GB2312" w:cs="仿宋_GB2312"/>
          <w:color w:val="000000"/>
          <w:kern w:val="0"/>
          <w:sz w:val="31"/>
          <w:szCs w:val="31"/>
        </w:rPr>
        <w:t>0%</w:t>
      </w:r>
      <w:r>
        <w:rPr>
          <w:rFonts w:hint="eastAsia" w:ascii="仿宋_GB2312" w:hAnsi="仿宋_GB2312" w:eastAsia="仿宋_GB2312" w:cs="仿宋_GB2312"/>
          <w:color w:val="000000"/>
          <w:kern w:val="0"/>
          <w:sz w:val="31"/>
          <w:szCs w:val="31"/>
        </w:rPr>
        <w:t>。</w:t>
      </w:r>
    </w:p>
    <w:p>
      <w:pPr>
        <w:widowControl/>
        <w:ind w:firstLine="643" w:firstLineChars="200"/>
        <w:jc w:val="left"/>
        <w:rPr>
          <w:rFonts w:ascii="楷体_GB2312" w:hAnsi="宋体" w:eastAsia="楷体_GB2312" w:cs="Times New Roman"/>
          <w:b/>
          <w:bCs/>
          <w:color w:val="000000"/>
          <w:kern w:val="0"/>
        </w:rPr>
      </w:pPr>
      <w:r>
        <w:rPr>
          <w:rFonts w:hint="eastAsia" w:ascii="楷体_GB2312" w:hAnsi="宋体" w:eastAsia="楷体_GB2312" w:cs="楷体_GB2312"/>
          <w:b/>
          <w:bCs/>
          <w:color w:val="000000"/>
          <w:kern w:val="0"/>
        </w:rPr>
        <w:t>（三）部门决算中整体支出绩效自评结果。</w:t>
      </w:r>
    </w:p>
    <w:p>
      <w:pPr>
        <w:widowControl/>
        <w:ind w:firstLine="620" w:firstLineChars="200"/>
        <w:jc w:val="left"/>
        <w:rPr>
          <w:rFonts w:ascii="仿宋_GB2312" w:hAnsi="宋体" w:eastAsia="仿宋_GB2312" w:cs="Times New Roman"/>
          <w:color w:val="000000"/>
          <w:kern w:val="0"/>
        </w:rPr>
      </w:pPr>
      <w:r>
        <w:rPr>
          <w:rFonts w:hint="eastAsia" w:ascii="仿宋_GB2312" w:hAnsi="仿宋_GB2312" w:eastAsia="仿宋_GB2312" w:cs="仿宋_GB2312"/>
          <w:color w:val="000000"/>
          <w:kern w:val="0"/>
          <w:sz w:val="31"/>
          <w:szCs w:val="31"/>
        </w:rPr>
        <w:t>根据年初设定的绩效目标，本部门</w:t>
      </w:r>
      <w:r>
        <w:rPr>
          <w:rFonts w:ascii="仿宋_GB2312" w:hAnsi="仿宋_GB2312" w:eastAsia="仿宋_GB2312" w:cs="仿宋_GB2312"/>
          <w:color w:val="000000"/>
          <w:kern w:val="0"/>
          <w:sz w:val="31"/>
          <w:szCs w:val="31"/>
        </w:rPr>
        <w:t>2019</w:t>
      </w:r>
      <w:r>
        <w:rPr>
          <w:rFonts w:hint="eastAsia" w:ascii="仿宋_GB2312" w:hAnsi="仿宋_GB2312" w:eastAsia="仿宋_GB2312" w:cs="仿宋_GB2312"/>
          <w:color w:val="000000"/>
          <w:kern w:val="0"/>
          <w:sz w:val="31"/>
          <w:szCs w:val="31"/>
        </w:rPr>
        <w:t>年度整体自评得分</w:t>
      </w:r>
      <w:r>
        <w:rPr>
          <w:rFonts w:ascii="仿宋_GB2312" w:hAnsi="仿宋_GB2312" w:eastAsia="仿宋_GB2312" w:cs="仿宋_GB2312"/>
          <w:color w:val="000000"/>
          <w:kern w:val="0"/>
          <w:sz w:val="31"/>
          <w:szCs w:val="31"/>
        </w:rPr>
        <w:t>95</w:t>
      </w:r>
      <w:r>
        <w:rPr>
          <w:rFonts w:hint="eastAsia" w:ascii="仿宋_GB2312" w:hAnsi="仿宋_GB2312" w:eastAsia="仿宋_GB2312" w:cs="仿宋_GB2312"/>
          <w:color w:val="000000"/>
          <w:kern w:val="0"/>
          <w:sz w:val="31"/>
          <w:szCs w:val="31"/>
        </w:rPr>
        <w:t>分。全年预算数</w:t>
      </w:r>
      <w:r>
        <w:rPr>
          <w:rFonts w:ascii="仿宋_GB2312" w:hAnsi="仿宋_GB2312" w:eastAsia="仿宋_GB2312" w:cs="仿宋_GB2312"/>
          <w:color w:val="000000"/>
          <w:kern w:val="0"/>
          <w:sz w:val="31"/>
          <w:szCs w:val="31"/>
        </w:rPr>
        <w:t>105.58</w:t>
      </w:r>
      <w:r>
        <w:rPr>
          <w:rFonts w:hint="eastAsia" w:ascii="仿宋_GB2312" w:hAnsi="仿宋_GB2312" w:eastAsia="仿宋_GB2312" w:cs="仿宋_GB2312"/>
          <w:color w:val="000000"/>
          <w:kern w:val="0"/>
          <w:sz w:val="31"/>
          <w:szCs w:val="31"/>
        </w:rPr>
        <w:t>万元，执行数</w:t>
      </w:r>
      <w:r>
        <w:rPr>
          <w:rFonts w:ascii="仿宋_GB2312" w:hAnsi="仿宋_GB2312" w:eastAsia="仿宋_GB2312" w:cs="仿宋_GB2312"/>
          <w:color w:val="000000"/>
          <w:kern w:val="0"/>
          <w:sz w:val="31"/>
          <w:szCs w:val="31"/>
        </w:rPr>
        <w:t>138.92</w:t>
      </w:r>
      <w:r>
        <w:rPr>
          <w:rFonts w:hint="eastAsia" w:ascii="仿宋_GB2312" w:hAnsi="仿宋_GB2312" w:eastAsia="仿宋_GB2312" w:cs="仿宋_GB2312"/>
          <w:color w:val="000000"/>
          <w:kern w:val="0"/>
          <w:sz w:val="31"/>
          <w:szCs w:val="31"/>
        </w:rPr>
        <w:t>万元，完成预算的</w:t>
      </w:r>
      <w:r>
        <w:rPr>
          <w:rFonts w:ascii="仿宋_GB2312" w:hAnsi="仿宋_GB2312" w:eastAsia="仿宋_GB2312" w:cs="仿宋_GB2312"/>
          <w:color w:val="000000"/>
          <w:kern w:val="0"/>
          <w:sz w:val="31"/>
          <w:szCs w:val="31"/>
        </w:rPr>
        <w:t>131.58%</w:t>
      </w:r>
      <w:r>
        <w:rPr>
          <w:rFonts w:hint="eastAsia" w:ascii="仿宋_GB2312" w:hAnsi="仿宋_GB2312" w:eastAsia="仿宋_GB2312" w:cs="仿宋_GB2312"/>
          <w:color w:val="000000"/>
          <w:kern w:val="0"/>
          <w:sz w:val="31"/>
          <w:szCs w:val="31"/>
        </w:rPr>
        <w:t>。</w:t>
      </w:r>
    </w:p>
    <w:p>
      <w:pPr>
        <w:widowControl/>
        <w:ind w:firstLine="620" w:firstLineChars="200"/>
        <w:jc w:val="left"/>
        <w:rPr>
          <w:rFonts w:ascii="仿宋_GB2312" w:hAnsi="仿宋_GB2312" w:eastAsia="仿宋_GB2312" w:cs="Times New Roman"/>
          <w:color w:val="000000"/>
          <w:kern w:val="0"/>
          <w:sz w:val="31"/>
          <w:szCs w:val="31"/>
        </w:rPr>
      </w:pPr>
      <w:r>
        <w:rPr>
          <w:rFonts w:hint="eastAsia" w:ascii="仿宋_GB2312" w:hAnsi="仿宋_GB2312" w:eastAsia="仿宋_GB2312" w:cs="仿宋_GB2312"/>
          <w:color w:val="000000"/>
          <w:kern w:val="0"/>
          <w:sz w:val="31"/>
          <w:szCs w:val="31"/>
        </w:rPr>
        <w:t>主要工作完成情况：</w:t>
      </w:r>
    </w:p>
    <w:p>
      <w:pPr>
        <w:spacing w:line="600" w:lineRule="exact"/>
        <w:ind w:firstLine="640" w:firstLineChars="200"/>
        <w:rPr>
          <w:rFonts w:ascii="黑体" w:hAnsi="黑体" w:eastAsia="黑体" w:cs="Times New Roman"/>
        </w:rPr>
      </w:pPr>
      <w:r>
        <w:rPr>
          <w:rFonts w:hint="eastAsia" w:ascii="黑体" w:hAnsi="黑体" w:eastAsia="黑体" w:cs="黑体"/>
        </w:rPr>
        <w:t>一、机构改革推进情况</w:t>
      </w:r>
    </w:p>
    <w:p>
      <w:pPr>
        <w:spacing w:line="600" w:lineRule="exact"/>
        <w:ind w:firstLine="640" w:firstLineChars="200"/>
        <w:rPr>
          <w:rFonts w:ascii="仿宋_GB2312" w:hAnsi="楷体_GB2312" w:eastAsia="仿宋_GB2312" w:cs="Times New Roman"/>
        </w:rPr>
      </w:pPr>
      <w:r>
        <w:rPr>
          <w:rFonts w:hint="eastAsia" w:ascii="仿宋_GB2312" w:hAnsi="楷体_GB2312" w:eastAsia="仿宋_GB2312" w:cs="仿宋_GB2312"/>
        </w:rPr>
        <w:t>（一）深入学习改革精神，抓好前期调研</w:t>
      </w:r>
    </w:p>
    <w:p>
      <w:pPr>
        <w:spacing w:line="600" w:lineRule="exact"/>
        <w:ind w:firstLine="640" w:firstLineChars="200"/>
        <w:rPr>
          <w:rFonts w:ascii="仿宋_GB2312" w:eastAsia="仿宋_GB2312" w:cs="Times New Roman"/>
        </w:rPr>
      </w:pPr>
      <w:r>
        <w:rPr>
          <w:rFonts w:hint="eastAsia" w:ascii="仿宋_GB2312" w:hAnsi="仿宋_GB2312" w:eastAsia="仿宋_GB2312" w:cs="仿宋_GB2312"/>
        </w:rPr>
        <w:t>一是抓好学习。认真组织相关改革参与单位和人员认真学习中省改革方案和市委改革推进专班文件，深刻领会文件精神。二是摸清底子。对这次改革中涉及的单位的具体情况进行了深入细致的摸底。三是成立组织机构。成立县委深化机构改革协调推进工作专班，具体负责县级机构改革方案的制定、报审和组织实施。四是严明各项纪律。县纪委及时下发了《中共蓝田纪委办公室关于转发市纪委办公厅</w:t>
      </w:r>
      <w:r>
        <w:rPr>
          <w:rFonts w:ascii="仿宋_GB2312" w:hAnsi="仿宋_GB2312" w:eastAsia="仿宋_GB2312" w:cs="仿宋_GB2312"/>
        </w:rPr>
        <w:t>&lt;</w:t>
      </w:r>
      <w:r>
        <w:rPr>
          <w:rFonts w:hint="eastAsia" w:ascii="仿宋_GB2312" w:hAnsi="仿宋_GB2312" w:eastAsia="仿宋_GB2312" w:cs="仿宋_GB2312"/>
        </w:rPr>
        <w:t>关于进一步严明纪律保证全市机构改革顺利进行的通知</w:t>
      </w:r>
      <w:r>
        <w:rPr>
          <w:rFonts w:ascii="仿宋_GB2312" w:hAnsi="仿宋_GB2312" w:eastAsia="仿宋_GB2312" w:cs="仿宋_GB2312"/>
        </w:rPr>
        <w:t>&gt;</w:t>
      </w:r>
      <w:r>
        <w:rPr>
          <w:rFonts w:hint="eastAsia" w:ascii="仿宋_GB2312" w:hAnsi="仿宋_GB2312" w:eastAsia="仿宋_GB2312" w:cs="仿宋_GB2312"/>
        </w:rPr>
        <w:t>的通知》（蓝纪办发〔</w:t>
      </w:r>
      <w:r>
        <w:rPr>
          <w:rFonts w:ascii="仿宋_GB2312" w:hAnsi="仿宋_GB2312" w:eastAsia="仿宋_GB2312" w:cs="仿宋_GB2312"/>
        </w:rPr>
        <w:t>2019</w:t>
      </w:r>
      <w:r>
        <w:rPr>
          <w:rFonts w:hint="eastAsia" w:ascii="仿宋_GB2312" w:hAnsi="仿宋_GB2312" w:eastAsia="仿宋_GB2312" w:cs="仿宋_GB2312"/>
        </w:rPr>
        <w:t>〕</w:t>
      </w:r>
      <w:r>
        <w:rPr>
          <w:rFonts w:ascii="仿宋_GB2312" w:hAnsi="仿宋_GB2312" w:eastAsia="仿宋_GB2312" w:cs="仿宋_GB2312"/>
        </w:rPr>
        <w:t>3</w:t>
      </w:r>
      <w:r>
        <w:rPr>
          <w:rFonts w:hint="eastAsia" w:ascii="仿宋_GB2312" w:hAnsi="仿宋_GB2312" w:eastAsia="仿宋_GB2312" w:cs="仿宋_GB2312"/>
        </w:rPr>
        <w:t>号），《中共蓝田县纪委关于进一步严明纪律确保全县机构改革顺利进行的通知》（蓝纪发〔</w:t>
      </w:r>
      <w:r>
        <w:rPr>
          <w:rFonts w:ascii="仿宋_GB2312" w:hAnsi="仿宋_GB2312" w:eastAsia="仿宋_GB2312" w:cs="仿宋_GB2312"/>
        </w:rPr>
        <w:t>2019</w:t>
      </w:r>
      <w:r>
        <w:rPr>
          <w:rFonts w:hint="eastAsia" w:ascii="仿宋_GB2312" w:hAnsi="仿宋_GB2312" w:eastAsia="仿宋_GB2312" w:cs="仿宋_GB2312"/>
        </w:rPr>
        <w:t>〕</w:t>
      </w:r>
      <w:r>
        <w:rPr>
          <w:rFonts w:ascii="仿宋_GB2312" w:hAnsi="仿宋_GB2312" w:eastAsia="仿宋_GB2312" w:cs="仿宋_GB2312"/>
        </w:rPr>
        <w:t>13</w:t>
      </w:r>
      <w:r>
        <w:rPr>
          <w:rFonts w:hint="eastAsia" w:ascii="仿宋_GB2312" w:hAnsi="仿宋_GB2312" w:eastAsia="仿宋_GB2312" w:cs="仿宋_GB2312"/>
        </w:rPr>
        <w:t>号）两个重要文件，为改革顺利进行提供了纪律保障。</w:t>
      </w:r>
    </w:p>
    <w:p>
      <w:pPr>
        <w:spacing w:line="600" w:lineRule="exact"/>
        <w:ind w:firstLine="640" w:firstLineChars="200"/>
        <w:rPr>
          <w:rFonts w:ascii="仿宋_GB2312" w:hAnsi="楷体_GB2312" w:eastAsia="仿宋_GB2312" w:cs="Times New Roman"/>
        </w:rPr>
      </w:pPr>
      <w:r>
        <w:rPr>
          <w:rFonts w:hint="eastAsia" w:ascii="仿宋_GB2312" w:hAnsi="楷体_GB2312" w:eastAsia="仿宋_GB2312" w:cs="仿宋_GB2312"/>
        </w:rPr>
        <w:t>（二）严格按照省市安排，制定相关文件</w:t>
      </w:r>
    </w:p>
    <w:p>
      <w:pPr>
        <w:spacing w:line="600" w:lineRule="exact"/>
        <w:ind w:firstLine="640" w:firstLineChars="200"/>
        <w:rPr>
          <w:rFonts w:ascii="仿宋_GB2312" w:eastAsia="仿宋_GB2312" w:cs="Times New Roman"/>
        </w:rPr>
      </w:pPr>
      <w:r>
        <w:rPr>
          <w:rFonts w:hint="eastAsia" w:ascii="仿宋_GB2312" w:hAnsi="仿宋_GB2312" w:eastAsia="仿宋_GB2312" w:cs="仿宋_GB2312"/>
        </w:rPr>
        <w:t>严格按照省市委安排，结合蓝田县机构设置和工作实际制定了《蓝田县机构改革方案》，并经县委常委会议审定，按照程序报市委批准通过。根据《蓝田县机构改革方案》精神和《西安市机构改革实施方案》精神，于</w:t>
      </w:r>
      <w:r>
        <w:rPr>
          <w:rFonts w:ascii="仿宋_GB2312" w:hAnsi="仿宋_GB2312" w:eastAsia="仿宋_GB2312" w:cs="仿宋_GB2312"/>
        </w:rPr>
        <w:t>2019</w:t>
      </w:r>
      <w:r>
        <w:rPr>
          <w:rFonts w:hint="eastAsia" w:ascii="仿宋_GB2312" w:hAnsi="仿宋_GB2312" w:eastAsia="仿宋_GB2312" w:cs="仿宋_GB2312"/>
        </w:rPr>
        <w:t>年</w:t>
      </w:r>
      <w:r>
        <w:rPr>
          <w:rFonts w:ascii="仿宋_GB2312" w:hAnsi="仿宋_GB2312" w:eastAsia="仿宋_GB2312" w:cs="仿宋_GB2312"/>
        </w:rPr>
        <w:t>2</w:t>
      </w:r>
      <w:r>
        <w:rPr>
          <w:rFonts w:hint="eastAsia" w:ascii="仿宋_GB2312" w:hAnsi="仿宋_GB2312" w:eastAsia="仿宋_GB2312" w:cs="仿宋_GB2312"/>
        </w:rPr>
        <w:t>月</w:t>
      </w:r>
      <w:r>
        <w:rPr>
          <w:rFonts w:ascii="仿宋_GB2312" w:hAnsi="仿宋_GB2312" w:eastAsia="仿宋_GB2312" w:cs="仿宋_GB2312"/>
        </w:rPr>
        <w:t>12</w:t>
      </w:r>
      <w:r>
        <w:rPr>
          <w:rFonts w:hint="eastAsia" w:ascii="仿宋_GB2312" w:hAnsi="仿宋_GB2312" w:eastAsia="仿宋_GB2312" w:cs="仿宋_GB2312"/>
        </w:rPr>
        <w:t>日召开了全县机构改革动员大会，认真组织实施。制定《蓝田县新组建及更名部门集中挂牌工作方案》、《县级机构改革人员转隶工作有关事项的意见》、《各相关部门职能职责和人员转隶的通知》、《各部门三定工作的通知》等改革指导文件，促进改革顺利推进。</w:t>
      </w:r>
    </w:p>
    <w:p>
      <w:pPr>
        <w:spacing w:line="600" w:lineRule="exact"/>
        <w:ind w:firstLine="640" w:firstLineChars="200"/>
        <w:rPr>
          <w:rFonts w:ascii="仿宋_GB2312" w:hAnsi="楷体_GB2312" w:eastAsia="仿宋_GB2312" w:cs="Times New Roman"/>
        </w:rPr>
      </w:pPr>
      <w:r>
        <w:rPr>
          <w:rFonts w:hint="eastAsia" w:ascii="仿宋_GB2312" w:hAnsi="楷体_GB2312" w:eastAsia="仿宋_GB2312" w:cs="仿宋_GB2312"/>
        </w:rPr>
        <w:t>（三）明确时间节点，稳步推进改革</w:t>
      </w:r>
    </w:p>
    <w:p>
      <w:pPr>
        <w:spacing w:line="600" w:lineRule="exact"/>
        <w:ind w:firstLine="640" w:firstLineChars="200"/>
        <w:rPr>
          <w:rFonts w:ascii="仿宋_GB2312" w:eastAsia="仿宋_GB2312" w:cs="Times New Roman"/>
        </w:rPr>
      </w:pPr>
      <w:r>
        <w:rPr>
          <w:rFonts w:hint="eastAsia" w:ascii="仿宋_GB2312" w:hAnsi="仿宋_GB2312" w:eastAsia="仿宋_GB2312" w:cs="仿宋_GB2312"/>
        </w:rPr>
        <w:t>一是完成了部门组建和更名工作。</w:t>
      </w:r>
      <w:r>
        <w:rPr>
          <w:rFonts w:ascii="仿宋_GB2312" w:hAnsi="仿宋_GB2312" w:eastAsia="仿宋_GB2312" w:cs="仿宋_GB2312"/>
        </w:rPr>
        <w:t>3</w:t>
      </w:r>
      <w:r>
        <w:rPr>
          <w:rFonts w:hint="eastAsia" w:ascii="仿宋_GB2312" w:hAnsi="仿宋_GB2312" w:eastAsia="仿宋_GB2312" w:cs="仿宋_GB2312"/>
        </w:rPr>
        <w:t>月</w:t>
      </w:r>
      <w:r>
        <w:rPr>
          <w:rFonts w:ascii="仿宋_GB2312" w:hAnsi="仿宋_GB2312" w:eastAsia="仿宋_GB2312" w:cs="仿宋_GB2312"/>
        </w:rPr>
        <w:t>15</w:t>
      </w:r>
      <w:r>
        <w:rPr>
          <w:rFonts w:hint="eastAsia" w:ascii="仿宋_GB2312" w:hAnsi="仿宋_GB2312" w:eastAsia="仿宋_GB2312" w:cs="仿宋_GB2312"/>
        </w:rPr>
        <w:t>日，完成新成立和涉及更名的县委县政府部门和直属事业单位完成挂牌工作。改革后，设置县委机构</w:t>
      </w:r>
      <w:r>
        <w:rPr>
          <w:rFonts w:ascii="仿宋_GB2312" w:hAnsi="仿宋_GB2312" w:eastAsia="仿宋_GB2312" w:cs="仿宋_GB2312"/>
        </w:rPr>
        <w:t>11</w:t>
      </w:r>
      <w:r>
        <w:rPr>
          <w:rFonts w:hint="eastAsia" w:ascii="仿宋_GB2312" w:hAnsi="仿宋_GB2312" w:eastAsia="仿宋_GB2312" w:cs="仿宋_GB2312"/>
        </w:rPr>
        <w:t>个，其中，纪检监察机关</w:t>
      </w:r>
      <w:r>
        <w:rPr>
          <w:rFonts w:ascii="仿宋_GB2312" w:hAnsi="仿宋_GB2312" w:eastAsia="仿宋_GB2312" w:cs="仿宋_GB2312"/>
        </w:rPr>
        <w:t>1</w:t>
      </w:r>
      <w:r>
        <w:rPr>
          <w:rFonts w:hint="eastAsia" w:ascii="仿宋_GB2312" w:hAnsi="仿宋_GB2312" w:eastAsia="仿宋_GB2312" w:cs="仿宋_GB2312"/>
        </w:rPr>
        <w:t>个、工作机关</w:t>
      </w:r>
      <w:r>
        <w:rPr>
          <w:rFonts w:ascii="仿宋_GB2312" w:hAnsi="仿宋_GB2312" w:eastAsia="仿宋_GB2312" w:cs="仿宋_GB2312"/>
        </w:rPr>
        <w:t>10</w:t>
      </w:r>
      <w:r>
        <w:rPr>
          <w:rFonts w:hint="eastAsia" w:ascii="仿宋_GB2312" w:hAnsi="仿宋_GB2312" w:eastAsia="仿宋_GB2312" w:cs="仿宋_GB2312"/>
        </w:rPr>
        <w:t>个，设在部门的县委议事协调机构</w:t>
      </w:r>
      <w:r>
        <w:rPr>
          <w:rFonts w:ascii="仿宋_GB2312" w:hAnsi="仿宋_GB2312" w:eastAsia="仿宋_GB2312" w:cs="仿宋_GB2312"/>
        </w:rPr>
        <w:t>6</w:t>
      </w:r>
      <w:r>
        <w:rPr>
          <w:rFonts w:hint="eastAsia" w:ascii="仿宋_GB2312" w:hAnsi="仿宋_GB2312" w:eastAsia="仿宋_GB2312" w:cs="仿宋_GB2312"/>
        </w:rPr>
        <w:t>个，党委政府事业单位共</w:t>
      </w:r>
      <w:r>
        <w:rPr>
          <w:rFonts w:ascii="仿宋_GB2312" w:hAnsi="仿宋_GB2312" w:eastAsia="仿宋_GB2312" w:cs="仿宋_GB2312"/>
        </w:rPr>
        <w:t>6</w:t>
      </w:r>
      <w:r>
        <w:rPr>
          <w:rFonts w:hint="eastAsia" w:ascii="仿宋_GB2312" w:hAnsi="仿宋_GB2312" w:eastAsia="仿宋_GB2312" w:cs="仿宋_GB2312"/>
        </w:rPr>
        <w:t>个。二是积极稳妥推进人员转隶。召开专题会议研究制定了《县级机构改革人员转隶工作有关事项的意见》、《各相关部门职能职责和人员转隶的通知》并以县编办正式文件形式下发了各部门的人员转隶通知。联合纪委、组织、人社、财政等部门，对拟划转人员进行逐人审核，提请机构改革专班研究审议，并在全县范围内进行公示确认，确保人员划转不错不漏、改革推进稳步有序、机构运转高效科学。目前，人员转隶工作已基本完成。三是精心筹备“三定”工作。拟定《各部门三定工作的通知》，对各部门的人员编制和领导职数及科室设置正在进行科学合理的核算，报市编办批准后启动各单位“三定”工作。目前，已印发部门“三定”</w:t>
      </w:r>
      <w:r>
        <w:rPr>
          <w:rFonts w:ascii="仿宋_GB2312" w:hAnsi="仿宋_GB2312" w:eastAsia="仿宋_GB2312" w:cs="仿宋_GB2312"/>
        </w:rPr>
        <w:t>38</w:t>
      </w:r>
      <w:r>
        <w:rPr>
          <w:rFonts w:hint="eastAsia" w:ascii="仿宋_GB2312" w:hAnsi="仿宋_GB2312" w:eastAsia="仿宋_GB2312" w:cs="仿宋_GB2312"/>
        </w:rPr>
        <w:t>家。四是积极开展相对集中行政许可权改革工作。在市编办精心指导下，结合蓝田实际制定了《西安市蓝田县开展相对集中行政许可权改革实施方案》，并已经市委市政府批准。我们已在机构改革中将行政许可权改革工作和机构改革工作统筹考虑、同步推进。</w:t>
      </w:r>
    </w:p>
    <w:p>
      <w:pPr>
        <w:spacing w:line="600" w:lineRule="exact"/>
        <w:ind w:firstLine="627" w:firstLineChars="196"/>
        <w:rPr>
          <w:rFonts w:ascii="仿宋_GB2312" w:hAnsi="楷体_GB2312" w:eastAsia="仿宋_GB2312" w:cs="Times New Roman"/>
        </w:rPr>
      </w:pPr>
      <w:r>
        <w:rPr>
          <w:rFonts w:hint="eastAsia" w:ascii="仿宋_GB2312" w:hAnsi="楷体_GB2312" w:eastAsia="仿宋_GB2312" w:cs="仿宋_GB2312"/>
        </w:rPr>
        <w:t>（四）合理调整和设立机构服务于县域经济发展</w:t>
      </w:r>
    </w:p>
    <w:p>
      <w:pPr>
        <w:spacing w:line="600" w:lineRule="exact"/>
        <w:ind w:firstLine="627" w:firstLineChars="196"/>
        <w:rPr>
          <w:rFonts w:ascii="仿宋_GB2312" w:eastAsia="仿宋_GB2312" w:cs="Times New Roman"/>
        </w:rPr>
      </w:pPr>
      <w:r>
        <w:rPr>
          <w:rFonts w:hint="eastAsia" w:ascii="仿宋_GB2312" w:eastAsia="仿宋_GB2312" w:cs="仿宋_GB2312"/>
        </w:rPr>
        <w:t>随着县域经济快速发展，也对机构编制工作提出了新的要求，</w:t>
      </w:r>
      <w:r>
        <w:rPr>
          <w:rFonts w:ascii="仿宋_GB2312" w:eastAsia="仿宋_GB2312" w:cs="仿宋_GB2312"/>
        </w:rPr>
        <w:t>2019</w:t>
      </w:r>
      <w:r>
        <w:rPr>
          <w:rFonts w:hint="eastAsia" w:ascii="仿宋_GB2312" w:eastAsia="仿宋_GB2312" w:cs="仿宋_GB2312"/>
        </w:rPr>
        <w:t>年，我们积极争取市编办支持成立蓝田县退役军人服务中心、各镇街退役军人服务中心、蓝田县第二幼儿园、蓝田县社会治理综合服务中心、</w:t>
      </w:r>
      <w:r>
        <w:rPr>
          <w:rFonts w:hint="eastAsia" w:ascii="仿宋_GB2312" w:hAnsi="仿宋_GB2312" w:eastAsia="仿宋_GB2312" w:cs="仿宋_GB2312"/>
        </w:rPr>
        <w:t>蓝田县人大预算联网监督事务中心、蓝田县污染防治综合管理中心、蓝田县粮食稽查队、蓝田县航空产业园管理办公室、蓝田县特种设备救援中心</w:t>
      </w:r>
      <w:r>
        <w:rPr>
          <w:rFonts w:hint="eastAsia" w:ascii="仿宋_GB2312" w:eastAsia="仿宋_GB2312" w:cs="仿宋_GB2312"/>
        </w:rPr>
        <w:t>等</w:t>
      </w:r>
      <w:r>
        <w:rPr>
          <w:rFonts w:ascii="仿宋_GB2312" w:eastAsia="仿宋_GB2312" w:cs="仿宋_GB2312"/>
        </w:rPr>
        <w:t>9</w:t>
      </w:r>
      <w:r>
        <w:rPr>
          <w:rFonts w:hint="eastAsia" w:ascii="仿宋_GB2312" w:eastAsia="仿宋_GB2312" w:cs="仿宋_GB2312"/>
        </w:rPr>
        <w:t>个单位；调整扶贫相关事业单位机构设置，重新确定了蓝田县粮油质检所工作职责，将县住房和城乡建设局部分职责划转至县城市管理和综合执法局；将蓝田县孟村中心更名为西安市白鹿原中学，调整了县教育幼儿园机构设置；完善了县委巡查机构设置；按照机构改革精神划转了县价格认证中心、县防汛办、县地震办公室等事业单位的划转工作。通过这些机构编制设置和调整，在完成各项改革任务的同时，也为县域经济社会发展提供了强有力的组织机构保障。</w:t>
      </w:r>
    </w:p>
    <w:p>
      <w:pPr>
        <w:widowControl/>
        <w:shd w:val="clear" w:color="auto" w:fill="FFFFFF"/>
        <w:spacing w:line="600" w:lineRule="exact"/>
        <w:ind w:right="182" w:rightChars="57" w:firstLine="640" w:firstLineChars="200"/>
        <w:jc w:val="left"/>
        <w:rPr>
          <w:rFonts w:ascii="仿宋_GB2312" w:hAnsi="楷体_GB2312" w:eastAsia="仿宋_GB2312" w:cs="Times New Roman"/>
          <w:color w:val="000000"/>
        </w:rPr>
      </w:pPr>
      <w:r>
        <w:rPr>
          <w:rFonts w:hint="eastAsia" w:ascii="仿宋_GB2312" w:hAnsi="楷体_GB2312" w:eastAsia="仿宋_GB2312" w:cs="仿宋_GB2312"/>
          <w:color w:val="000000"/>
        </w:rPr>
        <w:t>（五）改革成效</w:t>
      </w:r>
    </w:p>
    <w:p>
      <w:pPr>
        <w:widowControl/>
        <w:shd w:val="clear" w:color="auto" w:fill="FFFFFF"/>
        <w:spacing w:line="600" w:lineRule="exact"/>
        <w:ind w:right="182" w:rightChars="57" w:firstLine="640" w:firstLineChars="200"/>
        <w:jc w:val="left"/>
        <w:rPr>
          <w:rFonts w:ascii="仿宋_GB2312" w:eastAsia="仿宋_GB2312" w:cs="Times New Roman"/>
        </w:rPr>
      </w:pPr>
      <w:r>
        <w:rPr>
          <w:rFonts w:hint="eastAsia" w:ascii="仿宋_GB2312" w:eastAsia="仿宋_GB2312" w:cs="仿宋_GB2312"/>
          <w:color w:val="000000"/>
        </w:rPr>
        <w:t>我县围绕机构改革主要任务，扎实稳步推进各项工作，取得了积极成效</w:t>
      </w:r>
      <w:r>
        <w:rPr>
          <w:rFonts w:hint="eastAsia" w:ascii="仿宋_GB2312" w:hAnsi="宋体" w:eastAsia="仿宋_GB2312" w:cs="仿宋_GB2312"/>
        </w:rPr>
        <w:t>：</w:t>
      </w:r>
      <w:r>
        <w:rPr>
          <w:rFonts w:hint="eastAsia" w:ascii="仿宋_GB2312" w:hAnsi="宋体" w:eastAsia="仿宋_GB2312" w:cs="仿宋_GB2312"/>
          <w:b/>
          <w:bCs/>
        </w:rPr>
        <w:t>一是</w:t>
      </w:r>
      <w:r>
        <w:rPr>
          <w:rFonts w:hint="eastAsia" w:ascii="仿宋_GB2312" w:hAnsi="Tahoma" w:eastAsia="仿宋_GB2312" w:cs="仿宋_GB2312"/>
        </w:rPr>
        <w:t>建立健全了县委对重大工作领导的体制机制，优化了党的组织结构，形成总揽全局、协调各方的党的领导体系。</w:t>
      </w:r>
      <w:r>
        <w:rPr>
          <w:rFonts w:hint="eastAsia" w:ascii="仿宋_GB2312" w:hAnsi="Tahoma" w:eastAsia="仿宋_GB2312" w:cs="仿宋_GB2312"/>
          <w:b/>
          <w:bCs/>
        </w:rPr>
        <w:t>二是</w:t>
      </w:r>
      <w:r>
        <w:rPr>
          <w:rFonts w:hint="eastAsia" w:ascii="仿宋_GB2312" w:hAnsi="Tahoma" w:eastAsia="仿宋_GB2312" w:cs="仿宋_GB2312"/>
        </w:rPr>
        <w:t>调整优化了县政府机构职能，形成职责明晰、依法行政的政府治理体系。</w:t>
      </w:r>
      <w:r>
        <w:rPr>
          <w:rFonts w:hint="eastAsia" w:ascii="仿宋_GB2312" w:hAnsi="宋体" w:eastAsia="仿宋_GB2312" w:cs="仿宋_GB2312"/>
          <w:b/>
          <w:bCs/>
        </w:rPr>
        <w:t>三是</w:t>
      </w:r>
      <w:r>
        <w:rPr>
          <w:rFonts w:hint="eastAsia" w:ascii="仿宋_GB2312" w:eastAsia="仿宋_GB2312" w:cs="仿宋_GB2312"/>
        </w:rPr>
        <w:t>按照政事分开的要求，将部分事业单位承担的行政职能剥离并入相关党政机关，</w:t>
      </w:r>
      <w:r>
        <w:rPr>
          <w:rFonts w:hint="eastAsia" w:ascii="仿宋_GB2312" w:hAnsi="Verdana" w:eastAsia="仿宋_GB2312" w:cs="仿宋_GB2312"/>
          <w:color w:val="000000"/>
          <w:kern w:val="0"/>
        </w:rPr>
        <w:t>形成基本服务优先、供给水平适度、布局结构合理、服务公平公正的公益服务体系。</w:t>
      </w:r>
      <w:r>
        <w:rPr>
          <w:rFonts w:hint="eastAsia" w:ascii="仿宋_GB2312" w:hAnsi="Verdana" w:eastAsia="仿宋_GB2312" w:cs="仿宋_GB2312"/>
          <w:b/>
          <w:bCs/>
          <w:color w:val="000000"/>
          <w:kern w:val="0"/>
        </w:rPr>
        <w:t>四是</w:t>
      </w:r>
      <w:r>
        <w:rPr>
          <w:rFonts w:hint="eastAsia" w:ascii="仿宋_GB2312" w:hAnsi="Verdana" w:eastAsia="仿宋_GB2312" w:cs="仿宋_GB2312"/>
          <w:color w:val="000000"/>
          <w:kern w:val="0"/>
        </w:rPr>
        <w:t>促进了机关作风的转变。这次改革激发了机关干部改革和竞争意识，工作作风发生了明显转变，机关工作纪律、工作态度、工作效率都有显著提高。</w:t>
      </w:r>
    </w:p>
    <w:p>
      <w:pPr>
        <w:spacing w:line="600" w:lineRule="exact"/>
        <w:ind w:firstLine="643" w:firstLineChars="200"/>
        <w:rPr>
          <w:rFonts w:ascii="仿宋_GB2312" w:hAnsi="黑体" w:eastAsia="仿宋_GB2312" w:cs="Times New Roman"/>
          <w:b/>
          <w:bCs/>
        </w:rPr>
      </w:pPr>
      <w:r>
        <w:rPr>
          <w:rFonts w:hint="eastAsia" w:ascii="仿宋_GB2312" w:hAnsi="黑体" w:eastAsia="仿宋_GB2312" w:cs="仿宋_GB2312"/>
          <w:b/>
          <w:bCs/>
        </w:rPr>
        <w:t>二、承担行政职能事业单位改革情况</w:t>
      </w:r>
    </w:p>
    <w:p>
      <w:pPr>
        <w:spacing w:line="600" w:lineRule="exact"/>
        <w:ind w:firstLine="640" w:firstLineChars="200"/>
        <w:rPr>
          <w:rFonts w:ascii="仿宋_GB2312" w:eastAsia="仿宋_GB2312" w:cs="Times New Roman"/>
        </w:rPr>
      </w:pPr>
      <w:r>
        <w:rPr>
          <w:rFonts w:hint="eastAsia" w:ascii="仿宋_GB2312" w:hAnsi="仿宋_GB2312" w:eastAsia="仿宋_GB2312" w:cs="仿宋_GB2312"/>
        </w:rPr>
        <w:t>严格贯彻落实党中央、省市委关于机构改革的总部署，在稳步推进深化机构改革工作的同时，结合蓝田县实际稳妥开展承担行政职能事业单位改革工作。积极推进部门职能转变，理顺管理体制。将承担行政职能的政府直属事业单位县旅游发展委员会并入县文化和旅游体育局、县粮食局并入县发改委、县交通运输局改设为县政府工作部门、县统筹城乡发展办公室并入县农业农村局，理顺了这些部门的管理体制。改革中共调整理顺</w:t>
      </w:r>
      <w:r>
        <w:rPr>
          <w:rFonts w:ascii="仿宋_GB2312" w:hAnsi="仿宋_GB2312" w:eastAsia="仿宋_GB2312" w:cs="仿宋_GB2312"/>
        </w:rPr>
        <w:t>27</w:t>
      </w:r>
      <w:r>
        <w:rPr>
          <w:rFonts w:hint="eastAsia" w:ascii="仿宋_GB2312" w:hAnsi="仿宋_GB2312" w:eastAsia="仿宋_GB2312" w:cs="仿宋_GB2312"/>
        </w:rPr>
        <w:t>个相关部门职能职责。</w:t>
      </w:r>
    </w:p>
    <w:p>
      <w:pPr>
        <w:spacing w:line="600" w:lineRule="exact"/>
        <w:ind w:firstLine="643" w:firstLineChars="200"/>
        <w:rPr>
          <w:rFonts w:ascii="仿宋_GB2312" w:hAnsi="黑体" w:eastAsia="仿宋_GB2312" w:cs="Times New Roman"/>
          <w:b/>
          <w:bCs/>
        </w:rPr>
      </w:pPr>
      <w:r>
        <w:rPr>
          <w:rFonts w:hint="eastAsia" w:ascii="仿宋_GB2312" w:hAnsi="黑体" w:eastAsia="仿宋_GB2312" w:cs="仿宋_GB2312"/>
          <w:b/>
          <w:bCs/>
        </w:rPr>
        <w:t>三、扎实推进党政群（事业单位）单位登记管理工作</w:t>
      </w:r>
    </w:p>
    <w:p>
      <w:pPr>
        <w:spacing w:line="600" w:lineRule="exact"/>
        <w:rPr>
          <w:rFonts w:ascii="仿宋_GB2312" w:hAnsi="黑体" w:eastAsia="仿宋_GB2312" w:cs="Times New Roman"/>
        </w:rPr>
      </w:pPr>
      <w:r>
        <w:rPr>
          <w:rFonts w:ascii="仿宋_GB2312" w:hAnsi="黑体" w:eastAsia="仿宋_GB2312" w:cs="仿宋_GB2312"/>
        </w:rPr>
        <w:t xml:space="preserve">    </w:t>
      </w:r>
      <w:r>
        <w:rPr>
          <w:rFonts w:hint="eastAsia" w:ascii="仿宋_GB2312" w:hAnsi="楷体_GB2312" w:eastAsia="仿宋_GB2312" w:cs="仿宋_GB2312"/>
        </w:rPr>
        <w:t>（一）高标准做好我县事业单位网上报告公示工作</w:t>
      </w:r>
    </w:p>
    <w:p>
      <w:pPr>
        <w:spacing w:line="560" w:lineRule="exact"/>
        <w:ind w:firstLine="640" w:firstLineChars="200"/>
        <w:rPr>
          <w:rFonts w:ascii="仿宋_GB2312" w:eastAsia="仿宋_GB2312" w:cs="Times New Roman"/>
        </w:rPr>
      </w:pPr>
      <w:r>
        <w:rPr>
          <w:rFonts w:ascii="仿宋_GB2312" w:hAnsi="仿宋_GB2312" w:eastAsia="仿宋_GB2312" w:cs="仿宋_GB2312"/>
        </w:rPr>
        <w:t>2019</w:t>
      </w:r>
      <w:r>
        <w:rPr>
          <w:rFonts w:hint="eastAsia" w:ascii="仿宋_GB2312" w:hAnsi="仿宋_GB2312" w:eastAsia="仿宋_GB2312" w:cs="仿宋_GB2312"/>
        </w:rPr>
        <w:t>年初，根据市编办《关于做好</w:t>
      </w:r>
      <w:r>
        <w:rPr>
          <w:rFonts w:ascii="仿宋_GB2312" w:hAnsi="仿宋_GB2312" w:eastAsia="仿宋_GB2312" w:cs="仿宋_GB2312"/>
        </w:rPr>
        <w:t>2018</w:t>
      </w:r>
      <w:r>
        <w:rPr>
          <w:rFonts w:hint="eastAsia" w:ascii="仿宋_GB2312" w:hAnsi="仿宋_GB2312" w:eastAsia="仿宋_GB2312" w:cs="仿宋_GB2312"/>
        </w:rPr>
        <w:t>年度市属事业单位法人年度报告有关工作的通知》的文件精神，我县编办精心组织实施，稳步推进我县事业单位法人年度报告工作，圆满完成我县</w:t>
      </w:r>
      <w:r>
        <w:rPr>
          <w:rFonts w:ascii="仿宋_GB2312" w:hAnsi="仿宋_GB2312" w:eastAsia="仿宋_GB2312" w:cs="仿宋_GB2312"/>
        </w:rPr>
        <w:t>2018</w:t>
      </w:r>
      <w:r>
        <w:rPr>
          <w:rFonts w:hint="eastAsia" w:ascii="仿宋_GB2312" w:hAnsi="仿宋_GB2312" w:eastAsia="仿宋_GB2312" w:cs="仿宋_GB2312"/>
        </w:rPr>
        <w:t>年度事业单位法人网上年度报告公示工作。</w:t>
      </w:r>
      <w:r>
        <w:rPr>
          <w:rFonts w:ascii="仿宋_GB2312" w:hAnsi="仿宋_GB2312" w:eastAsia="仿宋_GB2312" w:cs="仿宋_GB2312"/>
        </w:rPr>
        <w:t>2019</w:t>
      </w:r>
      <w:r>
        <w:rPr>
          <w:rFonts w:hint="eastAsia" w:ascii="仿宋_GB2312" w:hAnsi="仿宋_GB2312" w:eastAsia="仿宋_GB2312" w:cs="仿宋_GB2312"/>
        </w:rPr>
        <w:t>年，全县已登记事业单位</w:t>
      </w:r>
      <w:r>
        <w:rPr>
          <w:rFonts w:ascii="仿宋_GB2312" w:hAnsi="仿宋_GB2312" w:eastAsia="仿宋_GB2312" w:cs="仿宋_GB2312"/>
        </w:rPr>
        <w:t>210</w:t>
      </w:r>
      <w:r>
        <w:rPr>
          <w:rFonts w:hint="eastAsia" w:ascii="仿宋_GB2312" w:hAnsi="仿宋_GB2312" w:eastAsia="仿宋_GB2312" w:cs="仿宋_GB2312"/>
        </w:rPr>
        <w:t>家，应参加年度报告</w:t>
      </w:r>
      <w:r>
        <w:rPr>
          <w:rFonts w:ascii="仿宋_GB2312" w:hAnsi="仿宋_GB2312" w:eastAsia="仿宋_GB2312" w:cs="仿宋_GB2312"/>
        </w:rPr>
        <w:t>210</w:t>
      </w:r>
      <w:r>
        <w:rPr>
          <w:rFonts w:hint="eastAsia" w:ascii="仿宋_GB2312" w:hAnsi="仿宋_GB2312" w:eastAsia="仿宋_GB2312" w:cs="仿宋_GB2312"/>
        </w:rPr>
        <w:t>家，实际参加年度报告</w:t>
      </w:r>
      <w:r>
        <w:rPr>
          <w:rFonts w:ascii="仿宋_GB2312" w:hAnsi="仿宋_GB2312" w:eastAsia="仿宋_GB2312" w:cs="仿宋_GB2312"/>
        </w:rPr>
        <w:t>210</w:t>
      </w:r>
      <w:r>
        <w:rPr>
          <w:rFonts w:hint="eastAsia" w:ascii="仿宋_GB2312" w:hAnsi="仿宋_GB2312" w:eastAsia="仿宋_GB2312" w:cs="仿宋_GB2312"/>
        </w:rPr>
        <w:t>家，年度报告提交率</w:t>
      </w:r>
      <w:r>
        <w:rPr>
          <w:rFonts w:ascii="仿宋_GB2312" w:hAnsi="仿宋_GB2312" w:eastAsia="仿宋_GB2312" w:cs="仿宋_GB2312"/>
        </w:rPr>
        <w:t>100%</w:t>
      </w:r>
      <w:r>
        <w:rPr>
          <w:rFonts w:hint="eastAsia" w:ascii="仿宋_GB2312" w:hAnsi="仿宋_GB2312" w:eastAsia="仿宋_GB2312" w:cs="仿宋_GB2312"/>
        </w:rPr>
        <w:t>，审核通过</w:t>
      </w:r>
      <w:r>
        <w:rPr>
          <w:rFonts w:ascii="仿宋_GB2312" w:hAnsi="仿宋_GB2312" w:eastAsia="仿宋_GB2312" w:cs="仿宋_GB2312"/>
        </w:rPr>
        <w:t>210</w:t>
      </w:r>
      <w:r>
        <w:rPr>
          <w:rFonts w:hint="eastAsia" w:ascii="仿宋_GB2312" w:hAnsi="仿宋_GB2312" w:eastAsia="仿宋_GB2312" w:cs="仿宋_GB2312"/>
        </w:rPr>
        <w:t>家，合格已发布网上公示</w:t>
      </w:r>
      <w:r>
        <w:rPr>
          <w:rFonts w:ascii="仿宋_GB2312" w:hAnsi="仿宋_GB2312" w:eastAsia="仿宋_GB2312" w:cs="仿宋_GB2312"/>
        </w:rPr>
        <w:t>210</w:t>
      </w:r>
      <w:r>
        <w:rPr>
          <w:rFonts w:hint="eastAsia" w:ascii="仿宋_GB2312" w:hAnsi="仿宋_GB2312" w:eastAsia="仿宋_GB2312" w:cs="仿宋_GB2312"/>
        </w:rPr>
        <w:t>家，公告率</w:t>
      </w:r>
      <w:r>
        <w:rPr>
          <w:rFonts w:ascii="仿宋_GB2312" w:hAnsi="仿宋_GB2312" w:eastAsia="仿宋_GB2312" w:cs="仿宋_GB2312"/>
        </w:rPr>
        <w:t>100%</w:t>
      </w:r>
      <w:r>
        <w:rPr>
          <w:rFonts w:hint="eastAsia" w:ascii="仿宋_GB2312" w:hAnsi="仿宋_GB2312" w:eastAsia="仿宋_GB2312" w:cs="仿宋_GB2312"/>
        </w:rPr>
        <w:t>。完成率</w:t>
      </w:r>
      <w:r>
        <w:rPr>
          <w:rFonts w:ascii="仿宋_GB2312" w:hAnsi="仿宋_GB2312" w:eastAsia="仿宋_GB2312" w:cs="仿宋_GB2312"/>
        </w:rPr>
        <w:t>100%</w:t>
      </w:r>
      <w:r>
        <w:rPr>
          <w:rFonts w:hint="eastAsia" w:ascii="仿宋_GB2312" w:hAnsi="仿宋_GB2312" w:eastAsia="仿宋_GB2312" w:cs="仿宋_GB2312"/>
        </w:rPr>
        <w:t>，办理变更</w:t>
      </w:r>
      <w:r>
        <w:rPr>
          <w:rFonts w:ascii="仿宋_GB2312" w:hAnsi="仿宋_GB2312" w:eastAsia="仿宋_GB2312" w:cs="仿宋_GB2312"/>
        </w:rPr>
        <w:t>73</w:t>
      </w:r>
      <w:r>
        <w:rPr>
          <w:rFonts w:hint="eastAsia" w:ascii="仿宋_GB2312" w:hAnsi="仿宋_GB2312" w:eastAsia="仿宋_GB2312" w:cs="仿宋_GB2312"/>
        </w:rPr>
        <w:t>家，（其中，地址变更</w:t>
      </w:r>
      <w:r>
        <w:rPr>
          <w:rFonts w:ascii="仿宋_GB2312" w:hAnsi="仿宋_GB2312" w:eastAsia="仿宋_GB2312" w:cs="仿宋_GB2312"/>
        </w:rPr>
        <w:t>1</w:t>
      </w:r>
      <w:r>
        <w:rPr>
          <w:rFonts w:hint="eastAsia" w:ascii="仿宋_GB2312" w:hAnsi="仿宋_GB2312" w:eastAsia="仿宋_GB2312" w:cs="仿宋_GB2312"/>
        </w:rPr>
        <w:t>家，法定代表人变更</w:t>
      </w:r>
      <w:r>
        <w:rPr>
          <w:rFonts w:ascii="仿宋_GB2312" w:hAnsi="仿宋_GB2312" w:eastAsia="仿宋_GB2312" w:cs="仿宋_GB2312"/>
        </w:rPr>
        <w:t>58</w:t>
      </w:r>
      <w:r>
        <w:rPr>
          <w:rFonts w:hint="eastAsia" w:ascii="仿宋_GB2312" w:hAnsi="仿宋_GB2312" w:eastAsia="仿宋_GB2312" w:cs="仿宋_GB2312"/>
        </w:rPr>
        <w:t>家，开办资金变更</w:t>
      </w:r>
      <w:r>
        <w:rPr>
          <w:rFonts w:ascii="仿宋_GB2312" w:hAnsi="仿宋_GB2312" w:eastAsia="仿宋_GB2312" w:cs="仿宋_GB2312"/>
        </w:rPr>
        <w:t>3</w:t>
      </w:r>
      <w:r>
        <w:rPr>
          <w:rFonts w:hint="eastAsia" w:ascii="仿宋_GB2312" w:hAnsi="仿宋_GB2312" w:eastAsia="仿宋_GB2312" w:cs="仿宋_GB2312"/>
        </w:rPr>
        <w:t>家）。</w:t>
      </w:r>
    </w:p>
    <w:p>
      <w:pPr>
        <w:spacing w:line="560" w:lineRule="exact"/>
        <w:ind w:firstLine="640" w:firstLineChars="200"/>
        <w:rPr>
          <w:rFonts w:ascii="仿宋_GB2312" w:hAnsi="楷体_GB2312" w:eastAsia="仿宋_GB2312" w:cs="Times New Roman"/>
        </w:rPr>
      </w:pPr>
      <w:r>
        <w:rPr>
          <w:rFonts w:hint="eastAsia" w:ascii="仿宋_GB2312" w:hAnsi="楷体_GB2312" w:eastAsia="仿宋_GB2312" w:cs="仿宋_GB2312"/>
        </w:rPr>
        <w:t>（二）严要求开展事业单位法人年度报告评估工作</w:t>
      </w:r>
    </w:p>
    <w:p>
      <w:pPr>
        <w:spacing w:line="560" w:lineRule="exact"/>
        <w:ind w:firstLine="640" w:firstLineChars="200"/>
        <w:rPr>
          <w:rFonts w:ascii="仿宋_GB2312" w:eastAsia="仿宋_GB2312" w:cs="Times New Roman"/>
        </w:rPr>
      </w:pPr>
      <w:r>
        <w:rPr>
          <w:rFonts w:hint="eastAsia" w:ascii="仿宋_GB2312" w:hAnsi="仿宋_GB2312" w:eastAsia="仿宋_GB2312" w:cs="仿宋_GB2312"/>
        </w:rPr>
        <w:t>今年</w:t>
      </w:r>
      <w:r>
        <w:rPr>
          <w:rFonts w:ascii="仿宋_GB2312" w:hAnsi="仿宋_GB2312" w:eastAsia="仿宋_GB2312" w:cs="仿宋_GB2312"/>
        </w:rPr>
        <w:t>10</w:t>
      </w:r>
      <w:r>
        <w:rPr>
          <w:rFonts w:hint="eastAsia" w:ascii="仿宋_GB2312" w:hAnsi="仿宋_GB2312" w:eastAsia="仿宋_GB2312" w:cs="仿宋_GB2312"/>
        </w:rPr>
        <w:t>月，根据省事业单位登记管理局《关于开展</w:t>
      </w:r>
      <w:r>
        <w:rPr>
          <w:rFonts w:ascii="仿宋_GB2312" w:hAnsi="仿宋_GB2312" w:eastAsia="仿宋_GB2312" w:cs="仿宋_GB2312"/>
        </w:rPr>
        <w:t>2018</w:t>
      </w:r>
      <w:r>
        <w:rPr>
          <w:rFonts w:hint="eastAsia" w:ascii="仿宋_GB2312" w:hAnsi="仿宋_GB2312" w:eastAsia="仿宋_GB2312" w:cs="仿宋_GB2312"/>
        </w:rPr>
        <w:t>年度事业单位法人年度报告评估工作的通知》的要求，我县积极认真开展事业单位年度报告评估工作，根据省登记局交叉互评要求，我登记局对安康市镇坪县</w:t>
      </w:r>
      <w:r>
        <w:rPr>
          <w:rFonts w:ascii="仿宋_GB2312" w:hAnsi="仿宋_GB2312" w:eastAsia="仿宋_GB2312" w:cs="仿宋_GB2312"/>
        </w:rPr>
        <w:t>67</w:t>
      </w:r>
      <w:r>
        <w:rPr>
          <w:rFonts w:hint="eastAsia" w:ascii="仿宋_GB2312" w:hAnsi="仿宋_GB2312" w:eastAsia="仿宋_GB2312" w:cs="仿宋_GB2312"/>
        </w:rPr>
        <w:t>家已网上公示的事业单位开展评估。</w:t>
      </w:r>
      <w:r>
        <w:rPr>
          <w:rFonts w:ascii="仿宋_GB2312" w:hAnsi="仿宋_GB2312" w:eastAsia="仿宋_GB2312" w:cs="仿宋_GB2312"/>
        </w:rPr>
        <w:t>10</w:t>
      </w:r>
      <w:r>
        <w:rPr>
          <w:rFonts w:hint="eastAsia" w:ascii="仿宋_GB2312" w:hAnsi="仿宋_GB2312" w:eastAsia="仿宋_GB2312" w:cs="仿宋_GB2312"/>
        </w:rPr>
        <w:t>月底，我们全面完成评估打分工作，并将《事业单位年度报告评估分值一览表》、《事业单位年度报告评估评价意见表》上传到省登记局信息库。</w:t>
      </w:r>
    </w:p>
    <w:p>
      <w:pPr>
        <w:spacing w:line="560" w:lineRule="exact"/>
        <w:ind w:firstLine="640" w:firstLineChars="200"/>
        <w:rPr>
          <w:rFonts w:ascii="仿宋_GB2312" w:hAnsi="楷体_GB2312" w:eastAsia="仿宋_GB2312" w:cs="Times New Roman"/>
        </w:rPr>
      </w:pPr>
      <w:r>
        <w:rPr>
          <w:rFonts w:hint="eastAsia" w:ascii="仿宋_GB2312" w:hAnsi="楷体_GB2312" w:eastAsia="仿宋_GB2312" w:cs="仿宋_GB2312"/>
        </w:rPr>
        <w:t>（三）重监管开展“双随机</w:t>
      </w:r>
      <w:r>
        <w:rPr>
          <w:rFonts w:hint="eastAsia" w:ascii="仿宋_GB2312" w:hAnsi="楷体_GB2312" w:eastAsia="仿宋_GB2312" w:cs="仿宋_GB2312"/>
          <w:lang w:eastAsia="zh-CN"/>
        </w:rPr>
        <w:t>、</w:t>
      </w:r>
      <w:r>
        <w:rPr>
          <w:rFonts w:hint="eastAsia" w:ascii="仿宋_GB2312" w:hAnsi="楷体_GB2312" w:eastAsia="仿宋_GB2312" w:cs="仿宋_GB2312"/>
        </w:rPr>
        <w:t>一公开”实地核查</w:t>
      </w:r>
    </w:p>
    <w:p>
      <w:pPr>
        <w:spacing w:line="560" w:lineRule="exact"/>
        <w:ind w:firstLine="640" w:firstLineChars="200"/>
        <w:rPr>
          <w:rFonts w:ascii="仿宋_GB2312" w:eastAsia="仿宋_GB2312" w:cs="Times New Roman"/>
        </w:rPr>
      </w:pPr>
      <w:r>
        <w:rPr>
          <w:rFonts w:ascii="仿宋_GB2312" w:hAnsi="宋体" w:eastAsia="仿宋_GB2312" w:cs="仿宋_GB2312"/>
        </w:rPr>
        <w:t>2019</w:t>
      </w:r>
      <w:r>
        <w:rPr>
          <w:rFonts w:hint="eastAsia" w:ascii="仿宋_GB2312" w:hAnsi="宋体" w:eastAsia="仿宋_GB2312" w:cs="仿宋_GB2312"/>
        </w:rPr>
        <w:t>年</w:t>
      </w:r>
      <w:r>
        <w:rPr>
          <w:rFonts w:ascii="仿宋_GB2312" w:hAnsi="宋体" w:eastAsia="仿宋_GB2312" w:cs="仿宋_GB2312"/>
        </w:rPr>
        <w:t>10</w:t>
      </w:r>
      <w:r>
        <w:rPr>
          <w:rFonts w:hint="eastAsia" w:ascii="仿宋_GB2312" w:hAnsi="宋体" w:eastAsia="仿宋_GB2312" w:cs="仿宋_GB2312"/>
        </w:rPr>
        <w:t>月，根据省登记局《关于开展</w:t>
      </w:r>
      <w:r>
        <w:rPr>
          <w:rFonts w:ascii="仿宋_GB2312" w:hAnsi="宋体" w:eastAsia="仿宋_GB2312" w:cs="仿宋_GB2312"/>
        </w:rPr>
        <w:t>2019</w:t>
      </w:r>
      <w:r>
        <w:rPr>
          <w:rFonts w:hint="eastAsia" w:ascii="仿宋_GB2312" w:hAnsi="宋体" w:eastAsia="仿宋_GB2312" w:cs="仿宋_GB2312"/>
        </w:rPr>
        <w:t>年全省事业单位“双随机</w:t>
      </w:r>
      <w:r>
        <w:rPr>
          <w:rFonts w:hint="eastAsia" w:ascii="仿宋_GB2312" w:hAnsi="宋体" w:eastAsia="仿宋_GB2312" w:cs="仿宋_GB2312"/>
          <w:lang w:eastAsia="zh-CN"/>
        </w:rPr>
        <w:t>、</w:t>
      </w:r>
      <w:bookmarkStart w:id="0" w:name="_GoBack"/>
      <w:bookmarkEnd w:id="0"/>
      <w:r>
        <w:rPr>
          <w:rFonts w:hint="eastAsia" w:ascii="仿宋_GB2312" w:hAnsi="宋体" w:eastAsia="仿宋_GB2312" w:cs="仿宋_GB2312"/>
        </w:rPr>
        <w:t>一公开”</w:t>
      </w:r>
      <w:r>
        <w:rPr>
          <w:rFonts w:ascii="仿宋_GB2312" w:hAnsi="宋体" w:eastAsia="仿宋_GB2312" w:cs="仿宋_GB2312"/>
        </w:rPr>
        <w:t xml:space="preserve"> </w:t>
      </w:r>
      <w:r>
        <w:rPr>
          <w:rFonts w:hint="eastAsia" w:ascii="仿宋_GB2312" w:hAnsi="宋体" w:eastAsia="仿宋_GB2312" w:cs="仿宋_GB2312"/>
        </w:rPr>
        <w:t>实地核查工作的通知》要求，我办积极开展核查工作，按照省登记局工作要求，随机抽取了我县岱峪水库管理站、城区幼儿园、三官庙初级中学站等</w:t>
      </w:r>
      <w:r>
        <w:rPr>
          <w:rFonts w:ascii="仿宋_GB2312" w:hAnsi="宋体" w:eastAsia="仿宋_GB2312" w:cs="仿宋_GB2312"/>
        </w:rPr>
        <w:t>10</w:t>
      </w:r>
      <w:r>
        <w:rPr>
          <w:rFonts w:hint="eastAsia" w:ascii="仿宋_GB2312" w:hAnsi="宋体" w:eastAsia="仿宋_GB2312" w:cs="仿宋_GB2312"/>
        </w:rPr>
        <w:t>家单位及年度报告网上公示评估分值后</w:t>
      </w:r>
      <w:r>
        <w:rPr>
          <w:rFonts w:ascii="仿宋_GB2312" w:hAnsi="宋体" w:eastAsia="仿宋_GB2312" w:cs="仿宋_GB2312"/>
        </w:rPr>
        <w:t>5</w:t>
      </w:r>
      <w:r>
        <w:rPr>
          <w:rFonts w:hint="eastAsia" w:ascii="仿宋_GB2312" w:hAnsi="宋体" w:eastAsia="仿宋_GB2312" w:cs="仿宋_GB2312"/>
        </w:rPr>
        <w:t>位事业单位进行实地核查，</w:t>
      </w:r>
      <w:r>
        <w:rPr>
          <w:rFonts w:ascii="仿宋_GB2312" w:hAnsi="宋体" w:eastAsia="仿宋_GB2312" w:cs="仿宋_GB2312"/>
        </w:rPr>
        <w:t xml:space="preserve"> 10</w:t>
      </w:r>
      <w:r>
        <w:rPr>
          <w:rFonts w:hint="eastAsia" w:ascii="仿宋_GB2312" w:hAnsi="宋体" w:eastAsia="仿宋_GB2312" w:cs="仿宋_GB2312"/>
        </w:rPr>
        <w:t>月底，我们圆满完成事业单位年度报告核查工作，并将《核查表》及时上传省登记管理系统，接受社会监督。</w:t>
      </w:r>
    </w:p>
    <w:p>
      <w:pPr>
        <w:spacing w:line="560" w:lineRule="exact"/>
        <w:ind w:firstLine="643" w:firstLineChars="200"/>
        <w:rPr>
          <w:rFonts w:ascii="仿宋_GB2312" w:hAnsi="黑体" w:eastAsia="仿宋_GB2312" w:cs="Times New Roman"/>
          <w:b/>
          <w:bCs/>
        </w:rPr>
      </w:pPr>
      <w:r>
        <w:rPr>
          <w:rFonts w:hint="eastAsia" w:ascii="仿宋_GB2312" w:hAnsi="黑体" w:eastAsia="仿宋_GB2312" w:cs="仿宋_GB2312"/>
          <w:b/>
          <w:bCs/>
        </w:rPr>
        <w:t>四、稳步开展党政群机关统一社会信用代码和各类事业单位统一登记工作</w:t>
      </w:r>
    </w:p>
    <w:p>
      <w:pPr>
        <w:spacing w:line="560" w:lineRule="exact"/>
        <w:ind w:firstLine="640" w:firstLineChars="200"/>
        <w:rPr>
          <w:rFonts w:ascii="仿宋_GB2312" w:eastAsia="仿宋_GB2312" w:cs="Times New Roman"/>
        </w:rPr>
      </w:pPr>
      <w:r>
        <w:rPr>
          <w:rFonts w:ascii="仿宋_GB2312" w:hAnsi="宋体" w:eastAsia="仿宋_GB2312" w:cs="仿宋_GB2312"/>
        </w:rPr>
        <w:t>2019</w:t>
      </w:r>
      <w:r>
        <w:rPr>
          <w:rFonts w:hint="eastAsia" w:ascii="仿宋_GB2312" w:hAnsi="宋体" w:eastAsia="仿宋_GB2312" w:cs="仿宋_GB2312"/>
        </w:rPr>
        <w:t>年，按照要求，我们积极开展我县党政群机关统一社会信用代码年度报告工作，应参加年度报告</w:t>
      </w:r>
      <w:r>
        <w:rPr>
          <w:rFonts w:ascii="仿宋_GB2312" w:hAnsi="宋体" w:eastAsia="仿宋_GB2312" w:cs="仿宋_GB2312"/>
        </w:rPr>
        <w:t>65</w:t>
      </w:r>
      <w:r>
        <w:rPr>
          <w:rFonts w:hint="eastAsia" w:ascii="仿宋_GB2312" w:hAnsi="宋体" w:eastAsia="仿宋_GB2312" w:cs="仿宋_GB2312"/>
        </w:rPr>
        <w:t>家，实际报送</w:t>
      </w:r>
      <w:r>
        <w:rPr>
          <w:rFonts w:ascii="仿宋_GB2312" w:hAnsi="宋体" w:eastAsia="仿宋_GB2312" w:cs="仿宋_GB2312"/>
        </w:rPr>
        <w:t>65</w:t>
      </w:r>
      <w:r>
        <w:rPr>
          <w:rFonts w:hint="eastAsia" w:ascii="仿宋_GB2312" w:hAnsi="宋体" w:eastAsia="仿宋_GB2312" w:cs="仿宋_GB2312"/>
        </w:rPr>
        <w:t>家，审核通过</w:t>
      </w:r>
      <w:r>
        <w:rPr>
          <w:rFonts w:ascii="仿宋_GB2312" w:hAnsi="宋体" w:eastAsia="仿宋_GB2312" w:cs="仿宋_GB2312"/>
        </w:rPr>
        <w:t>65</w:t>
      </w:r>
      <w:r>
        <w:rPr>
          <w:rFonts w:hint="eastAsia" w:ascii="仿宋_GB2312" w:hAnsi="宋体" w:eastAsia="仿宋_GB2312" w:cs="仿宋_GB2312"/>
        </w:rPr>
        <w:t>家，合格率</w:t>
      </w:r>
      <w:r>
        <w:rPr>
          <w:rFonts w:ascii="仿宋_GB2312" w:hAnsi="宋体" w:eastAsia="仿宋_GB2312" w:cs="仿宋_GB2312"/>
        </w:rPr>
        <w:t>100%</w:t>
      </w:r>
      <w:r>
        <w:rPr>
          <w:rFonts w:hint="eastAsia" w:ascii="仿宋_GB2312" w:hAnsi="宋体" w:eastAsia="仿宋_GB2312" w:cs="仿宋_GB2312"/>
        </w:rPr>
        <w:t>。办理变更</w:t>
      </w:r>
      <w:r>
        <w:rPr>
          <w:rFonts w:ascii="仿宋_GB2312" w:hAnsi="宋体" w:eastAsia="仿宋_GB2312" w:cs="仿宋_GB2312"/>
        </w:rPr>
        <w:t>27</w:t>
      </w:r>
      <w:r>
        <w:rPr>
          <w:rFonts w:hint="eastAsia" w:ascii="仿宋_GB2312" w:hAnsi="宋体" w:eastAsia="仿宋_GB2312" w:cs="仿宋_GB2312"/>
        </w:rPr>
        <w:t>家。</w:t>
      </w:r>
    </w:p>
    <w:p>
      <w:pPr>
        <w:spacing w:line="560" w:lineRule="exact"/>
        <w:ind w:firstLine="630" w:firstLineChars="196"/>
        <w:rPr>
          <w:rFonts w:ascii="仿宋_GB2312" w:hAnsi="黑体" w:eastAsia="仿宋_GB2312" w:cs="Times New Roman"/>
          <w:b/>
          <w:bCs/>
        </w:rPr>
      </w:pPr>
      <w:r>
        <w:rPr>
          <w:rFonts w:hint="eastAsia" w:ascii="仿宋_GB2312" w:hAnsi="黑体" w:eastAsia="仿宋_GB2312" w:cs="仿宋_GB2312"/>
          <w:b/>
          <w:bCs/>
        </w:rPr>
        <w:t>五、优流程提效率，事业单位法人登记实行流程再造</w:t>
      </w:r>
    </w:p>
    <w:p>
      <w:pPr>
        <w:spacing w:line="560" w:lineRule="exact"/>
        <w:ind w:firstLine="640" w:firstLineChars="200"/>
        <w:rPr>
          <w:rFonts w:ascii="仿宋_GB2312" w:eastAsia="仿宋_GB2312" w:cs="Times New Roman"/>
        </w:rPr>
      </w:pPr>
      <w:r>
        <w:rPr>
          <w:rFonts w:ascii="仿宋_GB2312" w:hAnsi="宋体" w:eastAsia="仿宋_GB2312" w:cs="仿宋_GB2312"/>
        </w:rPr>
        <w:t>2019</w:t>
      </w:r>
      <w:r>
        <w:rPr>
          <w:rFonts w:hint="eastAsia" w:ascii="仿宋_GB2312" w:hAnsi="宋体" w:eastAsia="仿宋_GB2312" w:cs="仿宋_GB2312"/>
        </w:rPr>
        <w:t>年，根据《西安市机构编制委员会办公室关于进一步规范事业单位法人登记管理的通知》要求，进一步完善我县登记管理工作各项规章制度。一是修改工作操作流程。按照省、市事业单位网上登记管理工作要求，我办重新制作《蓝田县事业单位法人网上设立登记流程图》、《蓝田县事业单位法人网上变更登记流程图》、《蓝田县事业单位法人年度报告流程图》及《蓝田县事业单位网上注销登记流程图》。同时，将制作好的流程图及所需材料上墙公示，并印发给前来办事的人员，避免了办事人员跑冤枉路，压缩了办理时间；二是进一步深化新任法定代表人谈话制度。今年，根据《通知》要求，我办在新任法定代表人谈话内容中加入了事业单位网上登记管理制度的实施意义及具体要求等相关内容，不断充实谈话制度；三是坚持事业单位《法人证书》使用联席会议制度。在年度报告网上公示结束后，我办将公示情况及时告知成员单位，实现相关部门联合执法，规范事业单位法人证书的使用。</w:t>
      </w:r>
    </w:p>
    <w:p>
      <w:pPr>
        <w:spacing w:line="600" w:lineRule="exact"/>
        <w:ind w:firstLine="643" w:firstLineChars="200"/>
        <w:rPr>
          <w:rFonts w:ascii="仿宋_GB2312" w:eastAsia="仿宋_GB2312" w:cs="Times New Roman"/>
          <w:b/>
          <w:bCs/>
        </w:rPr>
      </w:pPr>
      <w:r>
        <w:rPr>
          <w:rFonts w:hint="eastAsia" w:ascii="仿宋_GB2312" w:hAnsi="黑体" w:eastAsia="仿宋_GB2312" w:cs="仿宋_GB2312"/>
          <w:b/>
          <w:bCs/>
        </w:rPr>
        <w:t>六</w:t>
      </w:r>
      <w:r>
        <w:rPr>
          <w:rFonts w:hint="eastAsia" w:ascii="仿宋_GB2312" w:eastAsia="仿宋_GB2312" w:cs="仿宋_GB2312"/>
          <w:b/>
          <w:bCs/>
        </w:rPr>
        <w:t>、围绕县委县政府中心工作，认真开展脱贫攻坚工作</w:t>
      </w:r>
    </w:p>
    <w:p>
      <w:pPr>
        <w:spacing w:line="600" w:lineRule="exact"/>
        <w:ind w:firstLine="672" w:firstLineChars="210"/>
        <w:rPr>
          <w:rFonts w:ascii="仿宋_GB2312" w:eastAsia="仿宋_GB2312" w:cs="Times New Roman"/>
        </w:rPr>
      </w:pPr>
      <w:r>
        <w:rPr>
          <w:rFonts w:hint="eastAsia" w:ascii="仿宋_GB2312" w:eastAsia="仿宋_GB2312" w:cs="仿宋_GB2312"/>
        </w:rPr>
        <w:t>（一）入户走访，完善资料。我办作为三里镇南王村驻村帮扶单位，驻村工作队在队长带领下联合四支队伍力量，深入每户贫困户家中，查看家庭卫生情况，吃住等情况。不断宣传讲解相关扶贫脱贫政策，认真开展</w:t>
      </w:r>
      <w:r>
        <w:rPr>
          <w:rFonts w:ascii="仿宋_GB2312" w:hAnsi="宋体" w:eastAsia="仿宋_GB2312" w:cs="仿宋_GB2312"/>
        </w:rPr>
        <w:t>2019</w:t>
      </w:r>
      <w:r>
        <w:rPr>
          <w:rFonts w:hint="eastAsia" w:ascii="仿宋_GB2312" w:hAnsi="宋体" w:eastAsia="仿宋_GB2312" w:cs="仿宋_GB2312"/>
        </w:rPr>
        <w:t>年季度收入核算实地核查活动。</w:t>
      </w:r>
      <w:r>
        <w:rPr>
          <w:rFonts w:hint="eastAsia" w:ascii="仿宋_GB2312" w:eastAsia="仿宋_GB2312" w:cs="仿宋_GB2312"/>
        </w:rPr>
        <w:t>通过走访，完善资料，提高脱贫工作质量。</w:t>
      </w:r>
    </w:p>
    <w:p>
      <w:pPr>
        <w:spacing w:line="600" w:lineRule="exact"/>
        <w:ind w:firstLine="672" w:firstLineChars="210"/>
        <w:rPr>
          <w:rFonts w:ascii="仿宋_GB2312" w:eastAsia="仿宋_GB2312" w:cs="Times New Roman"/>
        </w:rPr>
      </w:pPr>
      <w:r>
        <w:rPr>
          <w:rFonts w:hint="eastAsia" w:ascii="仿宋_GB2312" w:hAnsi="宋体" w:eastAsia="仿宋_GB2312" w:cs="仿宋_GB2312"/>
        </w:rPr>
        <w:t>（二）</w:t>
      </w:r>
      <w:r>
        <w:rPr>
          <w:rFonts w:hint="eastAsia" w:ascii="仿宋_GB2312" w:eastAsia="仿宋_GB2312" w:cs="仿宋_GB2312"/>
        </w:rPr>
        <w:t>开展送温暖送爱心活动。在我办驻村工作队的沟通组织协调下，县人大办、县委编办、县司法局、县委党校领导干部在南王村开展“送温暖、送爱心”走访活动，为贫困户送去衣物</w:t>
      </w:r>
      <w:r>
        <w:rPr>
          <w:rFonts w:hint="eastAsia" w:ascii="仿宋_GB2312" w:hAnsi="仿宋_GB2312" w:eastAsia="仿宋_GB2312" w:cs="仿宋_GB2312"/>
        </w:rPr>
        <w:t>、被套、床单、米面油、柜子等生活物资，</w:t>
      </w:r>
      <w:r>
        <w:rPr>
          <w:rFonts w:hint="eastAsia" w:ascii="仿宋_GB2312" w:eastAsia="仿宋_GB2312" w:cs="仿宋_GB2312"/>
        </w:rPr>
        <w:t>将暖暖的情意和深深的祝福送给贫困户，</w:t>
      </w:r>
      <w:r>
        <w:rPr>
          <w:rFonts w:hint="eastAsia" w:ascii="仿宋_GB2312" w:hAnsi="仿宋_GB2312" w:eastAsia="仿宋_GB2312" w:cs="仿宋_GB2312"/>
        </w:rPr>
        <w:t>极大</w:t>
      </w:r>
      <w:r>
        <w:rPr>
          <w:rFonts w:hint="eastAsia" w:ascii="仿宋_GB2312" w:eastAsia="仿宋_GB2312" w:cs="仿宋_GB2312"/>
        </w:rPr>
        <w:t>的改善了贫困户生活环境和生活质量。</w:t>
      </w:r>
    </w:p>
    <w:p>
      <w:pPr>
        <w:spacing w:line="600" w:lineRule="exact"/>
        <w:ind w:firstLine="672" w:firstLineChars="210"/>
        <w:rPr>
          <w:rFonts w:ascii="仿宋_GB2312" w:eastAsia="仿宋_GB2312" w:cs="Times New Roman"/>
        </w:rPr>
      </w:pPr>
      <w:r>
        <w:rPr>
          <w:rFonts w:hint="eastAsia" w:ascii="仿宋_GB2312" w:eastAsia="仿宋_GB2312" w:cs="仿宋_GB2312"/>
        </w:rPr>
        <w:t>（三）开展“一补两送一议”活动。针对南王村</w:t>
      </w:r>
      <w:r>
        <w:rPr>
          <w:rFonts w:ascii="仿宋_GB2312" w:eastAsia="仿宋_GB2312" w:cs="仿宋_GB2312"/>
        </w:rPr>
        <w:t>275</w:t>
      </w:r>
      <w:r>
        <w:rPr>
          <w:rFonts w:hint="eastAsia" w:ascii="仿宋_GB2312" w:eastAsia="仿宋_GB2312" w:cs="仿宋_GB2312"/>
        </w:rPr>
        <w:t>户在册贫困户，我办驻村工作队按照镇政府工作要求，联合四支力量队伍对已脱贫的</w:t>
      </w:r>
      <w:r>
        <w:rPr>
          <w:rFonts w:ascii="仿宋_GB2312" w:eastAsia="仿宋_GB2312" w:cs="仿宋_GB2312"/>
        </w:rPr>
        <w:t>234</w:t>
      </w:r>
      <w:r>
        <w:rPr>
          <w:rFonts w:hint="eastAsia" w:ascii="仿宋_GB2312" w:eastAsia="仿宋_GB2312" w:cs="仿宋_GB2312"/>
        </w:rPr>
        <w:t>户贫困户进行资料补全，对</w:t>
      </w:r>
      <w:r>
        <w:rPr>
          <w:rFonts w:ascii="仿宋_GB2312" w:eastAsia="仿宋_GB2312" w:cs="仿宋_GB2312"/>
        </w:rPr>
        <w:t>2018</w:t>
      </w:r>
      <w:r>
        <w:rPr>
          <w:rFonts w:hint="eastAsia" w:ascii="仿宋_GB2312" w:eastAsia="仿宋_GB2312" w:cs="仿宋_GB2312"/>
        </w:rPr>
        <w:t>年脱贫的</w:t>
      </w:r>
      <w:r>
        <w:rPr>
          <w:rFonts w:ascii="仿宋_GB2312" w:eastAsia="仿宋_GB2312" w:cs="仿宋_GB2312"/>
        </w:rPr>
        <w:t>32</w:t>
      </w:r>
      <w:r>
        <w:rPr>
          <w:rFonts w:hint="eastAsia" w:ascii="仿宋_GB2312" w:eastAsia="仿宋_GB2312" w:cs="仿宋_GB2312"/>
        </w:rPr>
        <w:t>户及在册</w:t>
      </w:r>
      <w:r>
        <w:rPr>
          <w:rFonts w:ascii="仿宋_GB2312" w:eastAsia="仿宋_GB2312" w:cs="仿宋_GB2312"/>
        </w:rPr>
        <w:t>9</w:t>
      </w:r>
      <w:r>
        <w:rPr>
          <w:rFonts w:hint="eastAsia" w:ascii="仿宋_GB2312" w:eastAsia="仿宋_GB2312" w:cs="仿宋_GB2312"/>
        </w:rPr>
        <w:t>户贫困户开展送政策、送技术、议措施活动，确保南王村所有建档立卡贫困户及在册贫困户资料齐全，脱贫措施实际有效，政策传达落到实处。</w:t>
      </w:r>
    </w:p>
    <w:p>
      <w:pPr>
        <w:spacing w:line="600" w:lineRule="exact"/>
        <w:ind w:firstLine="672" w:firstLineChars="210"/>
        <w:rPr>
          <w:rFonts w:ascii="仿宋_GB2312" w:eastAsia="仿宋_GB2312" w:cs="Times New Roman"/>
        </w:rPr>
      </w:pPr>
      <w:r>
        <w:rPr>
          <w:rFonts w:hint="eastAsia" w:ascii="仿宋_GB2312" w:eastAsia="仿宋_GB2312" w:cs="仿宋_GB2312"/>
        </w:rPr>
        <w:t>（四）开展问题认领和自查活动。制定南王村扶贫工作问题清单，制作问题清单整改台账。共梳理问题</w:t>
      </w:r>
      <w:r>
        <w:rPr>
          <w:rFonts w:ascii="仿宋_GB2312" w:eastAsia="仿宋_GB2312" w:cs="仿宋_GB2312"/>
        </w:rPr>
        <w:t>25</w:t>
      </w:r>
      <w:r>
        <w:rPr>
          <w:rFonts w:hint="eastAsia" w:ascii="仿宋_GB2312" w:eastAsia="仿宋_GB2312" w:cs="仿宋_GB2312"/>
        </w:rPr>
        <w:t>项，其中，共性问题</w:t>
      </w:r>
      <w:r>
        <w:rPr>
          <w:rFonts w:ascii="仿宋_GB2312" w:eastAsia="仿宋_GB2312" w:cs="仿宋_GB2312"/>
        </w:rPr>
        <w:t>16</w:t>
      </w:r>
      <w:r>
        <w:rPr>
          <w:rFonts w:hint="eastAsia" w:ascii="仿宋_GB2312" w:eastAsia="仿宋_GB2312" w:cs="仿宋_GB2312"/>
        </w:rPr>
        <w:t>项，个性问题</w:t>
      </w:r>
      <w:r>
        <w:rPr>
          <w:rFonts w:ascii="仿宋_GB2312" w:eastAsia="仿宋_GB2312" w:cs="仿宋_GB2312"/>
        </w:rPr>
        <w:t>9</w:t>
      </w:r>
      <w:r>
        <w:rPr>
          <w:rFonts w:hint="eastAsia" w:ascii="仿宋_GB2312" w:eastAsia="仿宋_GB2312" w:cs="仿宋_GB2312"/>
        </w:rPr>
        <w:t>项。同时，我们根据问题清单，联合四肢力量制定整改方案和措施，深入贫困户开展整改活动，并及时将整改结果上报三里镇政府。</w:t>
      </w:r>
    </w:p>
    <w:p>
      <w:pPr>
        <w:spacing w:line="600" w:lineRule="exact"/>
        <w:ind w:firstLine="672" w:firstLineChars="210"/>
        <w:rPr>
          <w:rFonts w:ascii="仿宋_GB2312" w:eastAsia="仿宋_GB2312" w:cs="Times New Roman"/>
        </w:rPr>
      </w:pPr>
      <w:r>
        <w:rPr>
          <w:rFonts w:hint="eastAsia" w:ascii="仿宋_GB2312" w:eastAsia="仿宋_GB2312" w:cs="仿宋_GB2312"/>
        </w:rPr>
        <w:t>（五）开展南王村产业调研和统计工作。</w:t>
      </w:r>
      <w:r>
        <w:rPr>
          <w:rFonts w:ascii="仿宋_GB2312" w:eastAsia="仿宋_GB2312" w:cs="仿宋_GB2312"/>
        </w:rPr>
        <w:t>5</w:t>
      </w:r>
      <w:r>
        <w:rPr>
          <w:rFonts w:hint="eastAsia" w:ascii="仿宋_GB2312" w:eastAsia="仿宋_GB2312" w:cs="仿宋_GB2312"/>
        </w:rPr>
        <w:t>月，工作队联合村两委会班子成员结合镇政府产业反馈问题清单对全村种养殖产业发展情况进行调研摸底，统计产业数量，查看产业规模，研究产业发展方向，并及时将相关数据上报镇政府及县农业农村局。落实</w:t>
      </w:r>
      <w:r>
        <w:rPr>
          <w:rFonts w:ascii="仿宋_GB2312" w:eastAsia="仿宋_GB2312" w:cs="仿宋_GB2312"/>
        </w:rPr>
        <w:t>14</w:t>
      </w:r>
      <w:r>
        <w:rPr>
          <w:rFonts w:hint="eastAsia" w:ascii="仿宋_GB2312" w:eastAsia="仿宋_GB2312" w:cs="仿宋_GB2312"/>
        </w:rPr>
        <w:t>户新增产业户资金补贴合计</w:t>
      </w:r>
      <w:r>
        <w:rPr>
          <w:rFonts w:ascii="仿宋_GB2312" w:eastAsia="仿宋_GB2312" w:cs="仿宋_GB2312"/>
        </w:rPr>
        <w:t>4</w:t>
      </w:r>
      <w:r>
        <w:rPr>
          <w:rFonts w:hint="eastAsia" w:ascii="仿宋_GB2312" w:eastAsia="仿宋_GB2312" w:cs="仿宋_GB2312"/>
        </w:rPr>
        <w:t>万余元</w:t>
      </w:r>
    </w:p>
    <w:p>
      <w:pPr>
        <w:spacing w:line="600" w:lineRule="exact"/>
        <w:ind w:left="640" w:leftChars="200"/>
        <w:rPr>
          <w:rFonts w:ascii="仿宋_GB2312" w:hAnsi="黑体" w:eastAsia="仿宋_GB2312" w:cs="Times New Roman"/>
          <w:b/>
          <w:bCs/>
        </w:rPr>
      </w:pPr>
      <w:r>
        <w:rPr>
          <w:rFonts w:hint="eastAsia" w:ascii="仿宋_GB2312" w:hAnsi="黑体" w:eastAsia="仿宋_GB2312" w:cs="仿宋_GB2312"/>
          <w:b/>
          <w:bCs/>
        </w:rPr>
        <w:t>工作中存在的问题：</w:t>
      </w:r>
    </w:p>
    <w:p>
      <w:pPr>
        <w:spacing w:line="600" w:lineRule="exact"/>
        <w:ind w:firstLine="640" w:firstLineChars="200"/>
        <w:rPr>
          <w:rFonts w:ascii="仿宋_GB2312" w:eastAsia="仿宋_GB2312" w:cs="Times New Roman"/>
        </w:rPr>
      </w:pPr>
      <w:r>
        <w:rPr>
          <w:rFonts w:hint="eastAsia" w:ascii="仿宋_GB2312" w:hAnsi="仿宋_GB2312" w:eastAsia="仿宋_GB2312" w:cs="仿宋_GB2312"/>
          <w:kern w:val="0"/>
        </w:rPr>
        <w:t>（一）压力传导还不够到位，呈现“上热中温下凉”的现象，落实主体责任主动性和自觉性还不强，具体行动和措施还不多。落实主体责任方法途径单一，存在重领会表态，轻实践解决的问题。对于干部的日常管理，失之于宽、失之于松、失之于软，“严管与厚爱”相结合的工作机制还需进一步完善。</w:t>
      </w:r>
    </w:p>
    <w:p>
      <w:pPr>
        <w:spacing w:line="600" w:lineRule="exact"/>
        <w:ind w:firstLine="640" w:firstLineChars="200"/>
        <w:rPr>
          <w:rFonts w:ascii="仿宋_GB2312" w:eastAsia="仿宋_GB2312" w:cs="Times New Roman"/>
          <w:color w:val="000000"/>
        </w:rPr>
      </w:pPr>
      <w:r>
        <w:rPr>
          <w:rFonts w:hint="eastAsia" w:ascii="仿宋_GB2312" w:hAnsi="仿宋_GB2312" w:eastAsia="仿宋_GB2312" w:cs="仿宋_GB2312"/>
        </w:rPr>
        <w:t>（二）开展相对集中行政许可权改革工作难度较大。在这次改革中我们按照市委统一安排，</w:t>
      </w:r>
      <w:r>
        <w:rPr>
          <w:rFonts w:hint="eastAsia" w:ascii="仿宋_GB2312" w:eastAsia="仿宋_GB2312" w:cs="仿宋_GB2312"/>
          <w:color w:val="000000"/>
        </w:rPr>
        <w:t>推行审批与监管分离的集中审批模式，在县政府机构限额内，设立蓝田县行政审批服务局，作为县政府工作部门。按照“能进必进、进是原则、不进是例外”的要求，实现“一枚印章管审批”。由于这项工作量大、面广，没有现成的经验可循，实施难度比较大。实施过程中还需要各部门的理解、配合和市级的精心指导。</w:t>
      </w:r>
    </w:p>
    <w:p>
      <w:pPr>
        <w:spacing w:line="600" w:lineRule="exact"/>
        <w:ind w:firstLine="643" w:firstLineChars="200"/>
        <w:rPr>
          <w:rFonts w:ascii="仿宋_GB2312" w:hAnsi="黑体" w:eastAsia="仿宋_GB2312" w:cs="Times New Roman"/>
          <w:b/>
          <w:bCs/>
          <w:color w:val="000000"/>
        </w:rPr>
      </w:pPr>
      <w:r>
        <w:rPr>
          <w:rFonts w:hint="eastAsia" w:ascii="仿宋_GB2312" w:hAnsi="黑体" w:eastAsia="仿宋_GB2312" w:cs="仿宋_GB2312"/>
          <w:b/>
          <w:bCs/>
          <w:color w:val="000000"/>
        </w:rPr>
        <w:t>下一步工作计划：</w:t>
      </w:r>
    </w:p>
    <w:p>
      <w:pPr>
        <w:spacing w:line="600" w:lineRule="exact"/>
        <w:ind w:firstLine="640" w:firstLineChars="200"/>
        <w:rPr>
          <w:rFonts w:ascii="仿宋_GB2312" w:eastAsia="仿宋_GB2312" w:cs="Times New Roman"/>
        </w:rPr>
      </w:pPr>
      <w:r>
        <w:rPr>
          <w:rFonts w:hint="eastAsia" w:ascii="仿宋_GB2312" w:hAnsi="楷体_GB2312" w:eastAsia="仿宋_GB2312" w:cs="仿宋_GB2312"/>
        </w:rPr>
        <w:t>（一）强化理论与工作相结合。</w:t>
      </w:r>
      <w:r>
        <w:rPr>
          <w:rFonts w:hint="eastAsia" w:ascii="仿宋_GB2312" w:hAnsi="仿宋_GB2312" w:eastAsia="仿宋_GB2312" w:cs="仿宋_GB2312"/>
        </w:rPr>
        <w:t>机构编制部门作为政治机关，必须把政治建设摆在首位，旗帜鲜明讲政治，必须牢固树立“四个意识”，坚定“四个自信”，做到“四个服从”不折不扣地把党中央决策部署落到实处。积极服务振兴发展，编制向一线倾斜。勇于破解问题难点，坚持问题导向，集思广益、不等不靠、勇于尝试，切实解决我县编制难题，为蓝田追赶超越发展献计出力。</w:t>
      </w:r>
    </w:p>
    <w:p>
      <w:pPr>
        <w:spacing w:line="600" w:lineRule="exact"/>
        <w:ind w:firstLine="640" w:firstLineChars="200"/>
        <w:outlineLvl w:val="0"/>
        <w:rPr>
          <w:rFonts w:ascii="仿宋_GB2312" w:eastAsia="仿宋_GB2312" w:cs="Times New Roman"/>
          <w:color w:val="000000"/>
          <w:kern w:val="0"/>
        </w:rPr>
      </w:pPr>
      <w:r>
        <w:rPr>
          <w:rFonts w:hint="eastAsia" w:ascii="仿宋_GB2312" w:hAnsi="楷体_GB2312" w:eastAsia="仿宋_GB2312" w:cs="仿宋_GB2312"/>
          <w:color w:val="000000"/>
        </w:rPr>
        <w:t>（二）</w:t>
      </w:r>
      <w:r>
        <w:rPr>
          <w:rFonts w:hint="eastAsia" w:ascii="仿宋_GB2312" w:hAnsi="楷体_GB2312" w:eastAsia="仿宋_GB2312" w:cs="仿宋_GB2312"/>
          <w:color w:val="000000"/>
          <w:kern w:val="0"/>
        </w:rPr>
        <w:t>加快做好相对集中改革工作。</w:t>
      </w:r>
      <w:r>
        <w:rPr>
          <w:rFonts w:hint="eastAsia" w:ascii="仿宋_GB2312" w:hAnsi="仿宋_GB2312" w:eastAsia="仿宋_GB2312" w:cs="仿宋_GB2312"/>
          <w:color w:val="000000"/>
          <w:kern w:val="0"/>
        </w:rPr>
        <w:t>按照我县《相对集中许可权改革方案》，配合县行政审批局，做好</w:t>
      </w:r>
      <w:r>
        <w:rPr>
          <w:rFonts w:ascii="仿宋_GB2312" w:hAnsi="仿宋_GB2312" w:eastAsia="仿宋_GB2312" w:cs="仿宋_GB2312"/>
          <w:color w:val="000000"/>
          <w:kern w:val="0"/>
        </w:rPr>
        <w:t>18</w:t>
      </w:r>
      <w:r>
        <w:rPr>
          <w:rFonts w:hint="eastAsia" w:ascii="仿宋_GB2312" w:hAnsi="仿宋_GB2312" w:eastAsia="仿宋_GB2312" w:cs="仿宋_GB2312"/>
          <w:color w:val="000000"/>
          <w:kern w:val="0"/>
        </w:rPr>
        <w:t>个部门</w:t>
      </w:r>
      <w:r>
        <w:rPr>
          <w:rFonts w:ascii="仿宋_GB2312" w:hAnsi="仿宋_GB2312" w:eastAsia="仿宋_GB2312" w:cs="仿宋_GB2312"/>
          <w:color w:val="000000"/>
          <w:kern w:val="0"/>
        </w:rPr>
        <w:t>289</w:t>
      </w:r>
      <w:r>
        <w:rPr>
          <w:rFonts w:hint="eastAsia" w:ascii="仿宋_GB2312" w:hAnsi="仿宋_GB2312" w:eastAsia="仿宋_GB2312" w:cs="仿宋_GB2312"/>
          <w:color w:val="000000"/>
          <w:kern w:val="0"/>
        </w:rPr>
        <w:t>项行政职权的划转工作，实现各审批单位集中，提供全覆盖、全方位的“一站式”服务。</w:t>
      </w:r>
    </w:p>
    <w:p>
      <w:pPr>
        <w:snapToGrid w:val="0"/>
        <w:spacing w:line="600" w:lineRule="exact"/>
        <w:ind w:firstLine="640" w:firstLineChars="200"/>
        <w:rPr>
          <w:rFonts w:ascii="仿宋_GB2312" w:eastAsia="仿宋_GB2312" w:cs="Times New Roman"/>
        </w:rPr>
      </w:pPr>
      <w:r>
        <w:rPr>
          <w:rFonts w:hint="eastAsia" w:ascii="仿宋_GB2312" w:hAnsi="楷体_GB2312" w:eastAsia="仿宋_GB2312" w:cs="仿宋_GB2312"/>
        </w:rPr>
        <w:t>（三）稳步推进我县五大领域综合行政执法改革。</w:t>
      </w:r>
      <w:r>
        <w:rPr>
          <w:rFonts w:hint="eastAsia" w:ascii="仿宋_GB2312" w:hAnsi="仿宋_GB2312" w:eastAsia="仿宋_GB2312" w:cs="仿宋_GB2312"/>
        </w:rPr>
        <w:t>按照《关于市县两级综合执法机构整合和人员划转以及乡镇（街道）执法机构设置有关事项的通知》（陕编办发〔</w:t>
      </w:r>
      <w:r>
        <w:rPr>
          <w:rFonts w:ascii="仿宋_GB2312" w:hAnsi="仿宋_GB2312" w:eastAsia="仿宋_GB2312" w:cs="仿宋_GB2312"/>
        </w:rPr>
        <w:t>2019</w:t>
      </w:r>
      <w:r>
        <w:rPr>
          <w:rFonts w:hint="eastAsia" w:ascii="仿宋_GB2312" w:hAnsi="仿宋_GB2312" w:eastAsia="仿宋_GB2312" w:cs="仿宋_GB2312"/>
        </w:rPr>
        <w:t>〕</w:t>
      </w:r>
      <w:r>
        <w:rPr>
          <w:rFonts w:ascii="仿宋_GB2312" w:hAnsi="仿宋_GB2312" w:eastAsia="仿宋_GB2312" w:cs="仿宋_GB2312"/>
        </w:rPr>
        <w:t>172</w:t>
      </w:r>
      <w:r>
        <w:rPr>
          <w:rFonts w:hint="eastAsia" w:ascii="仿宋_GB2312" w:hAnsi="仿宋_GB2312" w:eastAsia="仿宋_GB2312" w:cs="仿宋_GB2312"/>
        </w:rPr>
        <w:t>号）文件要求，做好市场监督、交通运输、文化市场、生态环境、农业五大领域的摸底工作，安排专人负责，成立领导小组，起草制定实施方案，稳步推进执法领域改革。</w:t>
      </w:r>
    </w:p>
    <w:p>
      <w:pPr>
        <w:widowControl/>
        <w:ind w:firstLine="620" w:firstLineChars="200"/>
        <w:jc w:val="left"/>
        <w:rPr>
          <w:rFonts w:ascii="仿宋_GB2312" w:hAnsi="仿宋_GB2312" w:eastAsia="仿宋_GB2312" w:cs="Times New Roman"/>
          <w:color w:val="000000"/>
          <w:kern w:val="0"/>
          <w:sz w:val="31"/>
          <w:szCs w:val="31"/>
        </w:rPr>
        <w:sectPr>
          <w:pgSz w:w="11906" w:h="16838"/>
          <w:pgMar w:top="1440" w:right="1800" w:bottom="1440" w:left="1800" w:header="851" w:footer="992" w:gutter="0"/>
          <w:cols w:space="425" w:num="1"/>
          <w:docGrid w:type="lines" w:linePitch="312" w:charSpace="0"/>
        </w:sectPr>
      </w:pPr>
    </w:p>
    <w:tbl>
      <w:tblPr>
        <w:tblStyle w:val="5"/>
        <w:tblpPr w:leftFromText="180" w:rightFromText="180" w:vertAnchor="page" w:horzAnchor="page" w:tblpXSpec="center" w:tblpY="1381"/>
        <w:tblW w:w="0" w:type="auto"/>
        <w:tblInd w:w="0" w:type="dxa"/>
        <w:tblLayout w:type="autofit"/>
        <w:tblCellMar>
          <w:top w:w="0" w:type="dxa"/>
          <w:left w:w="108" w:type="dxa"/>
          <w:bottom w:w="0" w:type="dxa"/>
          <w:right w:w="108" w:type="dxa"/>
        </w:tblCellMar>
      </w:tblPr>
      <w:tblGrid>
        <w:gridCol w:w="473"/>
        <w:gridCol w:w="720"/>
        <w:gridCol w:w="751"/>
        <w:gridCol w:w="451"/>
        <w:gridCol w:w="2429"/>
        <w:gridCol w:w="2245"/>
        <w:gridCol w:w="1304"/>
        <w:gridCol w:w="1154"/>
        <w:gridCol w:w="1154"/>
        <w:gridCol w:w="451"/>
        <w:gridCol w:w="1114"/>
        <w:gridCol w:w="1928"/>
      </w:tblGrid>
      <w:tr>
        <w:tblPrEx>
          <w:tblCellMar>
            <w:top w:w="0" w:type="dxa"/>
            <w:left w:w="108" w:type="dxa"/>
            <w:bottom w:w="0" w:type="dxa"/>
            <w:right w:w="108" w:type="dxa"/>
          </w:tblCellMar>
        </w:tblPrEx>
        <w:trPr>
          <w:trHeight w:val="107" w:hRule="atLeast"/>
        </w:trPr>
        <w:tc>
          <w:tcPr>
            <w:tcW w:w="14174" w:type="dxa"/>
            <w:gridSpan w:val="12"/>
            <w:tcBorders>
              <w:top w:val="nil"/>
              <w:left w:val="nil"/>
              <w:bottom w:val="nil"/>
              <w:right w:val="nil"/>
            </w:tcBorders>
            <w:vAlign w:val="center"/>
          </w:tcPr>
          <w:p>
            <w:pPr>
              <w:widowControl/>
              <w:jc w:val="center"/>
              <w:rPr>
                <w:rFonts w:ascii="黑体" w:hAnsi="黑体" w:eastAsia="黑体" w:cs="Times New Roman"/>
                <w:kern w:val="0"/>
                <w:sz w:val="40"/>
                <w:szCs w:val="40"/>
              </w:rPr>
            </w:pPr>
            <w:r>
              <w:rPr>
                <w:rFonts w:hint="eastAsia" w:ascii="黑体" w:hAnsi="黑体" w:eastAsia="黑体" w:cs="黑体"/>
                <w:kern w:val="0"/>
                <w:sz w:val="40"/>
                <w:szCs w:val="40"/>
              </w:rPr>
              <w:t>部门整体支出绩效自评表</w:t>
            </w:r>
            <w:r>
              <w:rPr>
                <w:rFonts w:ascii="黑体" w:hAnsi="黑体" w:eastAsia="黑体" w:cs="Times New Roman"/>
                <w:kern w:val="0"/>
                <w:sz w:val="40"/>
                <w:szCs w:val="40"/>
              </w:rPr>
              <w:br w:type="textWrapping"/>
            </w:r>
            <w:r>
              <w:rPr>
                <w:rFonts w:hint="eastAsia" w:ascii="黑体" w:hAnsi="黑体" w:eastAsia="黑体" w:cs="黑体"/>
                <w:kern w:val="0"/>
                <w:sz w:val="20"/>
                <w:szCs w:val="20"/>
              </w:rPr>
              <w:t>（</w:t>
            </w:r>
            <w:r>
              <w:rPr>
                <w:rFonts w:ascii="黑体" w:hAnsi="黑体" w:eastAsia="黑体" w:cs="黑体"/>
                <w:kern w:val="0"/>
                <w:sz w:val="20"/>
                <w:szCs w:val="20"/>
              </w:rPr>
              <w:t>2019</w:t>
            </w:r>
            <w:r>
              <w:rPr>
                <w:rFonts w:hint="eastAsia" w:ascii="黑体" w:hAnsi="黑体" w:eastAsia="黑体" w:cs="黑体"/>
                <w:kern w:val="0"/>
                <w:sz w:val="20"/>
                <w:szCs w:val="20"/>
              </w:rPr>
              <w:t>年度）</w:t>
            </w:r>
          </w:p>
        </w:tc>
      </w:tr>
      <w:tr>
        <w:tblPrEx>
          <w:tblCellMar>
            <w:top w:w="0" w:type="dxa"/>
            <w:left w:w="108" w:type="dxa"/>
            <w:bottom w:w="0" w:type="dxa"/>
            <w:right w:w="108" w:type="dxa"/>
          </w:tblCellMar>
        </w:tblPrEx>
        <w:trPr>
          <w:trHeight w:val="203" w:hRule="atLeast"/>
        </w:trPr>
        <w:tc>
          <w:tcPr>
            <w:tcW w:w="4824" w:type="dxa"/>
            <w:gridSpan w:val="5"/>
            <w:tcBorders>
              <w:top w:val="nil"/>
              <w:left w:val="nil"/>
              <w:bottom w:val="nil"/>
              <w:right w:val="nil"/>
            </w:tcBorders>
            <w:vAlign w:val="center"/>
          </w:tcPr>
          <w:p>
            <w:pPr>
              <w:widowControl/>
              <w:jc w:val="left"/>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填报单位</w:t>
            </w:r>
            <w:r>
              <w:rPr>
                <w:rFonts w:ascii="仿宋_GB2312" w:hAnsi="宋体" w:eastAsia="仿宋_GB2312" w:cs="仿宋_GB2312"/>
                <w:kern w:val="0"/>
                <w:sz w:val="24"/>
                <w:szCs w:val="24"/>
              </w:rPr>
              <w:t>:</w:t>
            </w:r>
            <w:r>
              <w:rPr>
                <w:rFonts w:hint="eastAsia" w:ascii="仿宋_GB2312" w:hAnsi="宋体" w:eastAsia="仿宋_GB2312" w:cs="仿宋_GB2312"/>
                <w:kern w:val="0"/>
                <w:sz w:val="24"/>
                <w:szCs w:val="24"/>
              </w:rPr>
              <w:t>中共蓝田县委机构编制委员会办公室</w:t>
            </w:r>
          </w:p>
        </w:tc>
        <w:tc>
          <w:tcPr>
            <w:tcW w:w="2245" w:type="dxa"/>
            <w:tcBorders>
              <w:top w:val="nil"/>
              <w:left w:val="nil"/>
              <w:bottom w:val="nil"/>
              <w:right w:val="nil"/>
            </w:tcBorders>
            <w:vAlign w:val="center"/>
          </w:tcPr>
          <w:p>
            <w:pPr>
              <w:widowControl/>
              <w:jc w:val="center"/>
              <w:rPr>
                <w:rFonts w:ascii="仿宋_GB2312" w:hAnsi="宋体" w:eastAsia="仿宋_GB2312" w:cs="仿宋_GB2312"/>
                <w:kern w:val="0"/>
                <w:sz w:val="24"/>
                <w:szCs w:val="24"/>
              </w:rPr>
            </w:pPr>
            <w:r>
              <w:rPr>
                <w:rFonts w:ascii="仿宋_GB2312" w:hAnsi="宋体" w:eastAsia="仿宋_GB2312" w:cs="仿宋_GB2312"/>
                <w:kern w:val="0"/>
                <w:sz w:val="24"/>
                <w:szCs w:val="24"/>
              </w:rPr>
              <w:t xml:space="preserve">     </w:t>
            </w:r>
            <w:r>
              <w:rPr>
                <w:rFonts w:hint="eastAsia" w:ascii="仿宋_GB2312" w:hAnsi="宋体" w:eastAsia="仿宋_GB2312" w:cs="仿宋_GB2312"/>
                <w:kern w:val="0"/>
                <w:sz w:val="24"/>
                <w:szCs w:val="24"/>
              </w:rPr>
              <w:t>自评得分：</w:t>
            </w:r>
            <w:r>
              <w:rPr>
                <w:rFonts w:ascii="仿宋_GB2312" w:hAnsi="宋体" w:eastAsia="仿宋_GB2312" w:cs="仿宋_GB2312"/>
                <w:kern w:val="0"/>
                <w:sz w:val="24"/>
                <w:szCs w:val="24"/>
              </w:rPr>
              <w:t>95</w:t>
            </w:r>
          </w:p>
        </w:tc>
        <w:tc>
          <w:tcPr>
            <w:tcW w:w="1304" w:type="dxa"/>
            <w:tcBorders>
              <w:top w:val="nil"/>
              <w:left w:val="nil"/>
              <w:bottom w:val="nil"/>
              <w:right w:val="nil"/>
            </w:tcBorders>
            <w:vAlign w:val="center"/>
          </w:tcPr>
          <w:p>
            <w:pPr>
              <w:widowControl/>
              <w:rPr>
                <w:rFonts w:ascii="仿宋_GB2312" w:hAnsi="宋体" w:eastAsia="仿宋_GB2312" w:cs="Times New Roman"/>
                <w:kern w:val="0"/>
                <w:sz w:val="24"/>
                <w:szCs w:val="24"/>
              </w:rPr>
            </w:pPr>
          </w:p>
        </w:tc>
        <w:tc>
          <w:tcPr>
            <w:tcW w:w="1154" w:type="dxa"/>
            <w:tcBorders>
              <w:top w:val="nil"/>
              <w:left w:val="nil"/>
              <w:bottom w:val="nil"/>
              <w:right w:val="nil"/>
            </w:tcBorders>
            <w:vAlign w:val="center"/>
          </w:tcPr>
          <w:p>
            <w:pPr>
              <w:widowControl/>
              <w:rPr>
                <w:rFonts w:ascii="仿宋_GB2312" w:hAnsi="宋体" w:eastAsia="仿宋_GB2312" w:cs="Times New Roman"/>
                <w:kern w:val="0"/>
                <w:sz w:val="24"/>
                <w:szCs w:val="24"/>
              </w:rPr>
            </w:pPr>
          </w:p>
        </w:tc>
        <w:tc>
          <w:tcPr>
            <w:tcW w:w="1154" w:type="dxa"/>
            <w:tcBorders>
              <w:top w:val="nil"/>
              <w:left w:val="nil"/>
              <w:bottom w:val="nil"/>
              <w:right w:val="nil"/>
            </w:tcBorders>
            <w:vAlign w:val="center"/>
          </w:tcPr>
          <w:p>
            <w:pPr>
              <w:widowControl/>
              <w:rPr>
                <w:rFonts w:ascii="仿宋_GB2312" w:hAnsi="宋体" w:eastAsia="仿宋_GB2312" w:cs="Times New Roman"/>
                <w:kern w:val="0"/>
                <w:sz w:val="24"/>
                <w:szCs w:val="24"/>
              </w:rPr>
            </w:pPr>
          </w:p>
        </w:tc>
        <w:tc>
          <w:tcPr>
            <w:tcW w:w="451" w:type="dxa"/>
            <w:tcBorders>
              <w:top w:val="nil"/>
              <w:left w:val="nil"/>
              <w:bottom w:val="nil"/>
              <w:right w:val="nil"/>
            </w:tcBorders>
            <w:vAlign w:val="center"/>
          </w:tcPr>
          <w:p>
            <w:pPr>
              <w:widowControl/>
              <w:rPr>
                <w:rFonts w:ascii="仿宋_GB2312" w:hAnsi="宋体" w:eastAsia="仿宋_GB2312" w:cs="Times New Roman"/>
                <w:kern w:val="0"/>
                <w:sz w:val="24"/>
                <w:szCs w:val="24"/>
              </w:rPr>
            </w:pPr>
          </w:p>
        </w:tc>
        <w:tc>
          <w:tcPr>
            <w:tcW w:w="1114" w:type="dxa"/>
            <w:tcBorders>
              <w:top w:val="nil"/>
              <w:left w:val="nil"/>
              <w:bottom w:val="nil"/>
              <w:right w:val="nil"/>
            </w:tcBorders>
            <w:noWrap/>
            <w:vAlign w:val="center"/>
          </w:tcPr>
          <w:p>
            <w:pPr>
              <w:widowControl/>
              <w:rPr>
                <w:rFonts w:ascii="宋体" w:hAnsi="宋体" w:eastAsia="宋体" w:cs="Times New Roman"/>
                <w:kern w:val="0"/>
                <w:sz w:val="24"/>
                <w:szCs w:val="24"/>
              </w:rPr>
            </w:pPr>
          </w:p>
        </w:tc>
        <w:tc>
          <w:tcPr>
            <w:tcW w:w="1928" w:type="dxa"/>
            <w:tcBorders>
              <w:top w:val="nil"/>
              <w:left w:val="nil"/>
              <w:bottom w:val="nil"/>
              <w:right w:val="nil"/>
            </w:tcBorders>
            <w:noWrap/>
            <w:vAlign w:val="center"/>
          </w:tcPr>
          <w:p>
            <w:pPr>
              <w:widowControl/>
              <w:jc w:val="left"/>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55" w:hRule="atLeast"/>
        </w:trPr>
        <w:tc>
          <w:tcPr>
            <w:tcW w:w="4824" w:type="dxa"/>
            <w:gridSpan w:val="5"/>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Times New Roman"/>
                <w:kern w:val="0"/>
                <w:sz w:val="20"/>
                <w:szCs w:val="20"/>
              </w:rPr>
            </w:pPr>
            <w:r>
              <w:rPr>
                <w:rFonts w:hint="eastAsia" w:ascii="仿宋_GB2312" w:hAnsi="宋体" w:eastAsia="仿宋_GB2312" w:cs="仿宋_GB2312"/>
                <w:kern w:val="0"/>
                <w:sz w:val="20"/>
                <w:szCs w:val="20"/>
              </w:rPr>
              <w:t>（一）简要概述部门职能与职责。</w:t>
            </w:r>
          </w:p>
        </w:tc>
        <w:tc>
          <w:tcPr>
            <w:tcW w:w="9350" w:type="dxa"/>
            <w:gridSpan w:val="7"/>
            <w:tcBorders>
              <w:top w:val="single" w:color="auto" w:sz="4" w:space="0"/>
              <w:left w:val="nil"/>
              <w:bottom w:val="single" w:color="auto" w:sz="4" w:space="0"/>
              <w:right w:val="single" w:color="auto" w:sz="4" w:space="0"/>
            </w:tcBorders>
          </w:tcPr>
          <w:p>
            <w:pPr>
              <w:spacing w:line="240" w:lineRule="exact"/>
              <w:rPr>
                <w:rFonts w:cs="Times New Roman"/>
              </w:rPr>
            </w:pPr>
            <w:r>
              <w:rPr>
                <w:rFonts w:hint="eastAsia" w:ascii="仿宋_GB2312" w:hAnsi="宋体" w:eastAsia="仿宋_GB2312" w:cs="仿宋_GB2312"/>
                <w:sz w:val="20"/>
                <w:szCs w:val="20"/>
              </w:rPr>
              <w:t>负责全县宣传思想文化工作总体规划、目标任务、政策措施并组织实施；党的意识形态工作，全县理论学习、宣讲，全县社会主义核心价值观建设，全县新闻宣传工作，全县新闻出版事业和产业发展工作，指导协调全县电影事业和产业发展工作，全县精神文明建设和群众性精神文明刨建工作，全县对外宣传工作，全县宣传文化系统干部的教育培训工作等。</w:t>
            </w:r>
          </w:p>
        </w:tc>
      </w:tr>
      <w:tr>
        <w:tblPrEx>
          <w:tblCellMar>
            <w:top w:w="0" w:type="dxa"/>
            <w:left w:w="108" w:type="dxa"/>
            <w:bottom w:w="0" w:type="dxa"/>
            <w:right w:w="108" w:type="dxa"/>
          </w:tblCellMar>
        </w:tblPrEx>
        <w:trPr>
          <w:trHeight w:val="530" w:hRule="atLeast"/>
        </w:trPr>
        <w:tc>
          <w:tcPr>
            <w:tcW w:w="4824"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Times New Roman"/>
                <w:kern w:val="0"/>
                <w:sz w:val="20"/>
                <w:szCs w:val="20"/>
              </w:rPr>
            </w:pPr>
            <w:r>
              <w:rPr>
                <w:rFonts w:hint="eastAsia" w:ascii="仿宋_GB2312" w:hAnsi="宋体" w:eastAsia="仿宋_GB2312" w:cs="仿宋_GB2312"/>
                <w:kern w:val="0"/>
                <w:sz w:val="20"/>
                <w:szCs w:val="20"/>
              </w:rPr>
              <w:t>（二）简要概述部门支出情况，按活动内容分类。</w:t>
            </w:r>
          </w:p>
        </w:tc>
        <w:tc>
          <w:tcPr>
            <w:tcW w:w="9350" w:type="dxa"/>
            <w:gridSpan w:val="7"/>
            <w:tcBorders>
              <w:top w:val="single" w:color="auto" w:sz="4" w:space="0"/>
              <w:left w:val="nil"/>
              <w:bottom w:val="single" w:color="auto" w:sz="4" w:space="0"/>
              <w:right w:val="single" w:color="auto" w:sz="4" w:space="0"/>
            </w:tcBorders>
            <w:vAlign w:val="center"/>
          </w:tcPr>
          <w:p>
            <w:pPr>
              <w:widowControl/>
              <w:spacing w:line="240" w:lineRule="exact"/>
              <w:jc w:val="left"/>
              <w:rPr>
                <w:rFonts w:ascii="仿宋_GB2312" w:hAnsi="宋体" w:eastAsia="仿宋_GB2312" w:cs="Times New Roman"/>
                <w:kern w:val="0"/>
                <w:sz w:val="20"/>
                <w:szCs w:val="20"/>
              </w:rPr>
            </w:pPr>
            <w:r>
              <w:rPr>
                <w:rFonts w:hint="eastAsia" w:ascii="仿宋_GB2312" w:hAnsi="宋体" w:eastAsia="仿宋_GB2312" w:cs="仿宋_GB2312"/>
                <w:kern w:val="0"/>
                <w:sz w:val="20"/>
                <w:szCs w:val="20"/>
              </w:rPr>
              <w:t>本部门支出主要分为人员经费和项目经费，主要包括工资福利支出，商品和服务支出，对个人和家庭的补助支出</w:t>
            </w:r>
          </w:p>
        </w:tc>
      </w:tr>
      <w:tr>
        <w:tblPrEx>
          <w:tblCellMar>
            <w:top w:w="0" w:type="dxa"/>
            <w:left w:w="108" w:type="dxa"/>
            <w:bottom w:w="0" w:type="dxa"/>
            <w:right w:w="108" w:type="dxa"/>
          </w:tblCellMar>
        </w:tblPrEx>
        <w:trPr>
          <w:trHeight w:val="87" w:hRule="atLeast"/>
        </w:trPr>
        <w:tc>
          <w:tcPr>
            <w:tcW w:w="4824"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Times New Roman"/>
                <w:kern w:val="0"/>
                <w:sz w:val="20"/>
                <w:szCs w:val="20"/>
              </w:rPr>
            </w:pPr>
            <w:r>
              <w:rPr>
                <w:rFonts w:hint="eastAsia" w:ascii="仿宋_GB2312" w:hAnsi="宋体" w:eastAsia="仿宋_GB2312" w:cs="仿宋_GB2312"/>
                <w:kern w:val="0"/>
                <w:sz w:val="20"/>
                <w:szCs w:val="20"/>
              </w:rPr>
              <w:t>（三）简要概述当重点工作。</w:t>
            </w:r>
          </w:p>
        </w:tc>
        <w:tc>
          <w:tcPr>
            <w:tcW w:w="9350" w:type="dxa"/>
            <w:gridSpan w:val="7"/>
            <w:tcBorders>
              <w:top w:val="single" w:color="auto" w:sz="4" w:space="0"/>
              <w:left w:val="nil"/>
              <w:bottom w:val="single" w:color="auto" w:sz="4" w:space="0"/>
              <w:right w:val="single" w:color="000000" w:sz="4" w:space="0"/>
            </w:tcBorders>
            <w:vAlign w:val="center"/>
          </w:tcPr>
          <w:p>
            <w:pPr>
              <w:widowControl/>
              <w:spacing w:line="240" w:lineRule="exact"/>
              <w:jc w:val="left"/>
              <w:rPr>
                <w:rFonts w:ascii="仿宋_GB2312" w:hAnsi="宋体" w:eastAsia="仿宋_GB2312" w:cs="Times New Roman"/>
                <w:kern w:val="0"/>
                <w:sz w:val="20"/>
                <w:szCs w:val="20"/>
              </w:rPr>
            </w:pPr>
            <w:r>
              <w:rPr>
                <w:rFonts w:hint="eastAsia" w:ascii="仿宋_GB2312" w:hAnsi="宋体" w:eastAsia="仿宋_GB2312" w:cs="仿宋_GB2312"/>
                <w:kern w:val="0"/>
                <w:sz w:val="20"/>
                <w:szCs w:val="20"/>
              </w:rPr>
              <w:t>新时代文明实践中心试点建设工作，创建文明城市，精神文明建设，外宣活动。</w:t>
            </w:r>
          </w:p>
        </w:tc>
      </w:tr>
      <w:tr>
        <w:tblPrEx>
          <w:tblCellMar>
            <w:top w:w="0" w:type="dxa"/>
            <w:left w:w="108" w:type="dxa"/>
            <w:bottom w:w="0" w:type="dxa"/>
            <w:right w:w="108" w:type="dxa"/>
          </w:tblCellMar>
        </w:tblPrEx>
        <w:trPr>
          <w:trHeight w:val="124" w:hRule="atLeast"/>
        </w:trPr>
        <w:tc>
          <w:tcPr>
            <w:tcW w:w="473"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一级</w:t>
            </w:r>
            <w:r>
              <w:rPr>
                <w:rFonts w:ascii="楷体_GB2312" w:hAnsi="宋体" w:eastAsia="楷体_GB2312" w:cs="Times New Roman"/>
                <w:b/>
                <w:bCs/>
                <w:kern w:val="0"/>
                <w:sz w:val="20"/>
                <w:szCs w:val="20"/>
              </w:rPr>
              <w:br w:type="textWrapping"/>
            </w:r>
            <w:r>
              <w:rPr>
                <w:rFonts w:hint="eastAsia" w:ascii="楷体_GB2312" w:hAnsi="宋体" w:eastAsia="楷体_GB2312" w:cs="楷体_GB2312"/>
                <w:b/>
                <w:bCs/>
                <w:kern w:val="0"/>
                <w:sz w:val="20"/>
                <w:szCs w:val="20"/>
              </w:rPr>
              <w:t>指标</w:t>
            </w:r>
          </w:p>
        </w:tc>
        <w:tc>
          <w:tcPr>
            <w:tcW w:w="720" w:type="dxa"/>
            <w:tcBorders>
              <w:top w:val="nil"/>
              <w:left w:val="nil"/>
              <w:bottom w:val="single" w:color="auto" w:sz="4" w:space="0"/>
              <w:right w:val="single" w:color="auto" w:sz="4" w:space="0"/>
            </w:tcBorders>
            <w:vAlign w:val="center"/>
          </w:tcPr>
          <w:p>
            <w:pPr>
              <w:widowControl/>
              <w:spacing w:line="240" w:lineRule="exact"/>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二级</w:t>
            </w:r>
            <w:r>
              <w:rPr>
                <w:rFonts w:ascii="楷体_GB2312" w:hAnsi="宋体" w:eastAsia="楷体_GB2312" w:cs="Times New Roman"/>
                <w:b/>
                <w:bCs/>
                <w:kern w:val="0"/>
                <w:sz w:val="20"/>
                <w:szCs w:val="20"/>
              </w:rPr>
              <w:br w:type="textWrapping"/>
            </w:r>
            <w:r>
              <w:rPr>
                <w:rFonts w:hint="eastAsia" w:ascii="楷体_GB2312" w:hAnsi="宋体" w:eastAsia="楷体_GB2312" w:cs="楷体_GB2312"/>
                <w:b/>
                <w:bCs/>
                <w:kern w:val="0"/>
                <w:sz w:val="20"/>
                <w:szCs w:val="20"/>
              </w:rPr>
              <w:t>指标</w:t>
            </w:r>
          </w:p>
        </w:tc>
        <w:tc>
          <w:tcPr>
            <w:tcW w:w="751" w:type="dxa"/>
            <w:tcBorders>
              <w:top w:val="nil"/>
              <w:left w:val="nil"/>
              <w:bottom w:val="single" w:color="auto" w:sz="4" w:space="0"/>
              <w:right w:val="single" w:color="auto" w:sz="4" w:space="0"/>
            </w:tcBorders>
            <w:vAlign w:val="center"/>
          </w:tcPr>
          <w:p>
            <w:pPr>
              <w:widowControl/>
              <w:spacing w:line="240" w:lineRule="exact"/>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三级指标</w:t>
            </w:r>
          </w:p>
        </w:tc>
        <w:tc>
          <w:tcPr>
            <w:tcW w:w="451" w:type="dxa"/>
            <w:tcBorders>
              <w:top w:val="nil"/>
              <w:left w:val="nil"/>
              <w:bottom w:val="single" w:color="auto" w:sz="4" w:space="0"/>
              <w:right w:val="single" w:color="auto" w:sz="4" w:space="0"/>
            </w:tcBorders>
            <w:vAlign w:val="center"/>
          </w:tcPr>
          <w:p>
            <w:pPr>
              <w:widowControl/>
              <w:spacing w:line="240" w:lineRule="exact"/>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分值</w:t>
            </w:r>
          </w:p>
        </w:tc>
        <w:tc>
          <w:tcPr>
            <w:tcW w:w="2429" w:type="dxa"/>
            <w:tcBorders>
              <w:top w:val="nil"/>
              <w:left w:val="nil"/>
              <w:bottom w:val="single" w:color="auto" w:sz="4" w:space="0"/>
              <w:right w:val="single" w:color="auto" w:sz="4" w:space="0"/>
            </w:tcBorders>
            <w:vAlign w:val="center"/>
          </w:tcPr>
          <w:p>
            <w:pPr>
              <w:widowControl/>
              <w:spacing w:line="240" w:lineRule="exact"/>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指标说明</w:t>
            </w:r>
          </w:p>
        </w:tc>
        <w:tc>
          <w:tcPr>
            <w:tcW w:w="2245" w:type="dxa"/>
            <w:tcBorders>
              <w:top w:val="nil"/>
              <w:left w:val="nil"/>
              <w:bottom w:val="single" w:color="auto" w:sz="4" w:space="0"/>
              <w:right w:val="single" w:color="auto" w:sz="4" w:space="0"/>
            </w:tcBorders>
            <w:vAlign w:val="center"/>
          </w:tcPr>
          <w:p>
            <w:pPr>
              <w:widowControl/>
              <w:spacing w:line="240" w:lineRule="exact"/>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评分标准</w:t>
            </w:r>
          </w:p>
        </w:tc>
        <w:tc>
          <w:tcPr>
            <w:tcW w:w="1304" w:type="dxa"/>
            <w:tcBorders>
              <w:top w:val="nil"/>
              <w:left w:val="nil"/>
              <w:bottom w:val="single" w:color="auto" w:sz="4" w:space="0"/>
              <w:right w:val="single" w:color="auto" w:sz="4" w:space="0"/>
            </w:tcBorders>
            <w:vAlign w:val="center"/>
          </w:tcPr>
          <w:p>
            <w:pPr>
              <w:widowControl/>
              <w:spacing w:line="240" w:lineRule="exact"/>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指标值计算公式和数据获取方式</w:t>
            </w:r>
          </w:p>
        </w:tc>
        <w:tc>
          <w:tcPr>
            <w:tcW w:w="1154" w:type="dxa"/>
            <w:tcBorders>
              <w:top w:val="nil"/>
              <w:left w:val="nil"/>
              <w:bottom w:val="single" w:color="auto" w:sz="4" w:space="0"/>
              <w:right w:val="single" w:color="auto" w:sz="4" w:space="0"/>
            </w:tcBorders>
            <w:vAlign w:val="center"/>
          </w:tcPr>
          <w:p>
            <w:pPr>
              <w:widowControl/>
              <w:spacing w:line="240" w:lineRule="exact"/>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年初目标值</w:t>
            </w:r>
          </w:p>
        </w:tc>
        <w:tc>
          <w:tcPr>
            <w:tcW w:w="1154" w:type="dxa"/>
            <w:tcBorders>
              <w:top w:val="nil"/>
              <w:left w:val="nil"/>
              <w:bottom w:val="single" w:color="auto" w:sz="4" w:space="0"/>
              <w:right w:val="single" w:color="auto" w:sz="4" w:space="0"/>
            </w:tcBorders>
            <w:vAlign w:val="center"/>
          </w:tcPr>
          <w:p>
            <w:pPr>
              <w:widowControl/>
              <w:spacing w:line="240" w:lineRule="exact"/>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实际完成值</w:t>
            </w:r>
          </w:p>
        </w:tc>
        <w:tc>
          <w:tcPr>
            <w:tcW w:w="451" w:type="dxa"/>
            <w:tcBorders>
              <w:top w:val="nil"/>
              <w:left w:val="nil"/>
              <w:bottom w:val="single" w:color="auto" w:sz="4" w:space="0"/>
              <w:right w:val="single" w:color="auto" w:sz="4" w:space="0"/>
            </w:tcBorders>
            <w:vAlign w:val="center"/>
          </w:tcPr>
          <w:p>
            <w:pPr>
              <w:widowControl/>
              <w:spacing w:line="240" w:lineRule="exact"/>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得分</w:t>
            </w:r>
          </w:p>
        </w:tc>
        <w:tc>
          <w:tcPr>
            <w:tcW w:w="1114"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Times New Roman"/>
                <w:b/>
                <w:bCs/>
                <w:kern w:val="0"/>
                <w:sz w:val="20"/>
                <w:szCs w:val="20"/>
              </w:rPr>
            </w:pPr>
            <w:r>
              <w:rPr>
                <w:rFonts w:hint="eastAsia" w:ascii="仿宋_GB2312" w:hAnsi="宋体" w:eastAsia="仿宋_GB2312" w:cs="仿宋_GB2312"/>
                <w:b/>
                <w:bCs/>
                <w:kern w:val="0"/>
                <w:sz w:val="20"/>
                <w:szCs w:val="20"/>
              </w:rPr>
              <w:t>未完成原因分析与改进措施</w:t>
            </w:r>
          </w:p>
        </w:tc>
        <w:tc>
          <w:tcPr>
            <w:tcW w:w="1928"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Times New Roman"/>
                <w:b/>
                <w:bCs/>
                <w:kern w:val="0"/>
                <w:sz w:val="20"/>
                <w:szCs w:val="20"/>
              </w:rPr>
            </w:pPr>
            <w:r>
              <w:rPr>
                <w:rFonts w:hint="eastAsia" w:ascii="仿宋_GB2312" w:hAnsi="宋体" w:eastAsia="仿宋_GB2312" w:cs="仿宋_GB2312"/>
                <w:b/>
                <w:bCs/>
                <w:kern w:val="0"/>
                <w:sz w:val="20"/>
                <w:szCs w:val="20"/>
              </w:rPr>
              <w:t>绩效指标分析与建议</w:t>
            </w:r>
          </w:p>
        </w:tc>
      </w:tr>
      <w:tr>
        <w:tblPrEx>
          <w:tblCellMar>
            <w:top w:w="0" w:type="dxa"/>
            <w:left w:w="108" w:type="dxa"/>
            <w:bottom w:w="0" w:type="dxa"/>
            <w:right w:w="108" w:type="dxa"/>
          </w:tblCellMar>
        </w:tblPrEx>
        <w:trPr>
          <w:trHeight w:val="335" w:hRule="atLeast"/>
        </w:trPr>
        <w:tc>
          <w:tcPr>
            <w:tcW w:w="473" w:type="dxa"/>
            <w:vMerge w:val="restart"/>
            <w:tcBorders>
              <w:top w:val="nil"/>
              <w:left w:val="single" w:color="auto" w:sz="4" w:space="0"/>
              <w:bottom w:val="single" w:color="auto" w:sz="4" w:space="0"/>
              <w:right w:val="single" w:color="auto" w:sz="4" w:space="0"/>
            </w:tcBorders>
            <w:noWrap/>
            <w:textDirection w:val="tbRlV"/>
            <w:vAlign w:val="center"/>
          </w:tcPr>
          <w:p>
            <w:pPr>
              <w:widowControl/>
              <w:spacing w:line="240" w:lineRule="exact"/>
              <w:jc w:val="center"/>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投入</w:t>
            </w:r>
          </w:p>
        </w:tc>
        <w:tc>
          <w:tcPr>
            <w:tcW w:w="720"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预算执行（</w:t>
            </w:r>
            <w:r>
              <w:rPr>
                <w:rFonts w:ascii="楷体_GB2312" w:hAnsi="宋体" w:eastAsia="楷体_GB2312" w:cs="楷体_GB2312"/>
                <w:kern w:val="0"/>
                <w:sz w:val="20"/>
                <w:szCs w:val="20"/>
              </w:rPr>
              <w:t>25</w:t>
            </w:r>
            <w:r>
              <w:rPr>
                <w:rFonts w:hint="eastAsia" w:ascii="楷体_GB2312" w:hAnsi="宋体" w:eastAsia="楷体_GB2312" w:cs="楷体_GB2312"/>
                <w:kern w:val="0"/>
                <w:sz w:val="20"/>
                <w:szCs w:val="20"/>
              </w:rPr>
              <w:t>分）</w:t>
            </w:r>
          </w:p>
        </w:tc>
        <w:tc>
          <w:tcPr>
            <w:tcW w:w="751" w:type="dxa"/>
            <w:tcBorders>
              <w:top w:val="nil"/>
              <w:left w:val="nil"/>
              <w:bottom w:val="single" w:color="auto" w:sz="4" w:space="0"/>
              <w:right w:val="single" w:color="auto" w:sz="4" w:space="0"/>
            </w:tcBorders>
            <w:vAlign w:val="center"/>
          </w:tcPr>
          <w:p>
            <w:pPr>
              <w:widowControl/>
              <w:spacing w:line="24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预算</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完成率</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10</w:t>
            </w:r>
            <w:r>
              <w:rPr>
                <w:rFonts w:hint="eastAsia" w:ascii="楷体_GB2312" w:hAnsi="宋体" w:eastAsia="楷体_GB2312" w:cs="楷体_GB2312"/>
                <w:kern w:val="0"/>
                <w:sz w:val="20"/>
                <w:szCs w:val="20"/>
              </w:rPr>
              <w:t>分）</w:t>
            </w:r>
          </w:p>
        </w:tc>
        <w:tc>
          <w:tcPr>
            <w:tcW w:w="451" w:type="dxa"/>
            <w:tcBorders>
              <w:top w:val="nil"/>
              <w:left w:val="nil"/>
              <w:bottom w:val="single" w:color="auto" w:sz="4" w:space="0"/>
              <w:right w:val="single" w:color="auto" w:sz="4" w:space="0"/>
            </w:tcBorders>
            <w:vAlign w:val="center"/>
          </w:tcPr>
          <w:p>
            <w:pPr>
              <w:widowControl/>
              <w:spacing w:line="240" w:lineRule="exact"/>
              <w:jc w:val="center"/>
              <w:rPr>
                <w:rFonts w:ascii="楷体_GB2312" w:hAnsi="宋体" w:eastAsia="楷体_GB2312" w:cs="楷体_GB2312"/>
                <w:kern w:val="0"/>
                <w:sz w:val="20"/>
                <w:szCs w:val="20"/>
              </w:rPr>
            </w:pPr>
            <w:r>
              <w:rPr>
                <w:rFonts w:ascii="楷体_GB2312" w:hAnsi="宋体" w:eastAsia="楷体_GB2312" w:cs="楷体_GB2312"/>
                <w:kern w:val="0"/>
                <w:sz w:val="20"/>
                <w:szCs w:val="20"/>
              </w:rPr>
              <w:t>10</w:t>
            </w:r>
          </w:p>
        </w:tc>
        <w:tc>
          <w:tcPr>
            <w:tcW w:w="2429"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预算完成率</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（预算完成数</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预算数）×</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，用以反映和考核部门（单位）预算完成程度。</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预算完成数：部门（单位）本年度实际完成的预算数。</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预算数：财政部门批复的本年度部门（单位）预算数。</w:t>
            </w:r>
          </w:p>
        </w:tc>
        <w:tc>
          <w:tcPr>
            <w:tcW w:w="2245"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预算完成率＝</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的，得</w:t>
            </w:r>
            <w:r>
              <w:rPr>
                <w:rFonts w:ascii="楷体_GB2312" w:hAnsi="宋体" w:eastAsia="楷体_GB2312" w:cs="楷体_GB2312"/>
                <w:kern w:val="0"/>
                <w:sz w:val="20"/>
                <w:szCs w:val="20"/>
              </w:rPr>
              <w:t>10</w:t>
            </w:r>
            <w:r>
              <w:rPr>
                <w:rFonts w:hint="eastAsia" w:ascii="楷体_GB2312" w:hAnsi="宋体" w:eastAsia="楷体_GB2312" w:cs="楷体_GB2312"/>
                <w:kern w:val="0"/>
                <w:sz w:val="20"/>
                <w:szCs w:val="20"/>
              </w:rPr>
              <w:t>分。</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预算完成率≥</w:t>
            </w:r>
            <w:r>
              <w:rPr>
                <w:rFonts w:ascii="楷体_GB2312" w:hAnsi="宋体" w:eastAsia="楷体_GB2312" w:cs="楷体_GB2312"/>
                <w:kern w:val="0"/>
                <w:sz w:val="20"/>
                <w:szCs w:val="20"/>
              </w:rPr>
              <w:t>95%</w:t>
            </w:r>
            <w:r>
              <w:rPr>
                <w:rFonts w:hint="eastAsia" w:ascii="楷体_GB2312" w:hAnsi="宋体" w:eastAsia="楷体_GB2312" w:cs="楷体_GB2312"/>
                <w:kern w:val="0"/>
                <w:sz w:val="20"/>
                <w:szCs w:val="20"/>
              </w:rPr>
              <w:t>的，得</w:t>
            </w:r>
            <w:r>
              <w:rPr>
                <w:rFonts w:ascii="楷体_GB2312" w:hAnsi="宋体" w:eastAsia="楷体_GB2312" w:cs="楷体_GB2312"/>
                <w:kern w:val="0"/>
                <w:sz w:val="20"/>
                <w:szCs w:val="20"/>
              </w:rPr>
              <w:t>9</w:t>
            </w:r>
            <w:r>
              <w:rPr>
                <w:rFonts w:hint="eastAsia" w:ascii="楷体_GB2312" w:hAnsi="宋体" w:eastAsia="楷体_GB2312" w:cs="楷体_GB2312"/>
                <w:kern w:val="0"/>
                <w:sz w:val="20"/>
                <w:szCs w:val="20"/>
              </w:rPr>
              <w:t>分。</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预算完成率在</w:t>
            </w:r>
            <w:r>
              <w:rPr>
                <w:rFonts w:ascii="楷体_GB2312" w:hAnsi="宋体" w:eastAsia="楷体_GB2312" w:cs="楷体_GB2312"/>
                <w:kern w:val="0"/>
                <w:sz w:val="20"/>
                <w:szCs w:val="20"/>
              </w:rPr>
              <w:t>90%</w:t>
            </w:r>
            <w:r>
              <w:rPr>
                <w:rFonts w:hint="eastAsia" w:ascii="楷体_GB2312" w:hAnsi="宋体" w:eastAsia="楷体_GB2312" w:cs="楷体_GB2312"/>
                <w:kern w:val="0"/>
                <w:sz w:val="20"/>
                <w:szCs w:val="20"/>
              </w:rPr>
              <w:t>（含）和</w:t>
            </w:r>
            <w:r>
              <w:rPr>
                <w:rFonts w:ascii="楷体_GB2312" w:hAnsi="宋体" w:eastAsia="楷体_GB2312" w:cs="楷体_GB2312"/>
                <w:kern w:val="0"/>
                <w:sz w:val="20"/>
                <w:szCs w:val="20"/>
              </w:rPr>
              <w:t>95%</w:t>
            </w:r>
            <w:r>
              <w:rPr>
                <w:rFonts w:hint="eastAsia" w:ascii="楷体_GB2312" w:hAnsi="宋体" w:eastAsia="楷体_GB2312" w:cs="楷体_GB2312"/>
                <w:kern w:val="0"/>
                <w:sz w:val="20"/>
                <w:szCs w:val="20"/>
              </w:rPr>
              <w:t>之间，得</w:t>
            </w:r>
            <w:r>
              <w:rPr>
                <w:rFonts w:ascii="楷体_GB2312" w:hAnsi="宋体" w:eastAsia="楷体_GB2312" w:cs="楷体_GB2312"/>
                <w:kern w:val="0"/>
                <w:sz w:val="20"/>
                <w:szCs w:val="20"/>
              </w:rPr>
              <w:t>8</w:t>
            </w:r>
            <w:r>
              <w:rPr>
                <w:rFonts w:hint="eastAsia" w:ascii="楷体_GB2312" w:hAnsi="宋体" w:eastAsia="楷体_GB2312" w:cs="楷体_GB2312"/>
                <w:kern w:val="0"/>
                <w:sz w:val="20"/>
                <w:szCs w:val="20"/>
              </w:rPr>
              <w:t>分。</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预算完成率在</w:t>
            </w:r>
            <w:r>
              <w:rPr>
                <w:rFonts w:ascii="楷体_GB2312" w:hAnsi="宋体" w:eastAsia="楷体_GB2312" w:cs="楷体_GB2312"/>
                <w:kern w:val="0"/>
                <w:sz w:val="20"/>
                <w:szCs w:val="20"/>
              </w:rPr>
              <w:t>85%</w:t>
            </w:r>
            <w:r>
              <w:rPr>
                <w:rFonts w:hint="eastAsia" w:ascii="楷体_GB2312" w:hAnsi="宋体" w:eastAsia="楷体_GB2312" w:cs="楷体_GB2312"/>
                <w:kern w:val="0"/>
                <w:sz w:val="20"/>
                <w:szCs w:val="20"/>
              </w:rPr>
              <w:t>（含）和</w:t>
            </w:r>
            <w:r>
              <w:rPr>
                <w:rFonts w:ascii="楷体_GB2312" w:hAnsi="宋体" w:eastAsia="楷体_GB2312" w:cs="楷体_GB2312"/>
                <w:kern w:val="0"/>
                <w:sz w:val="20"/>
                <w:szCs w:val="20"/>
              </w:rPr>
              <w:t>90%</w:t>
            </w:r>
            <w:r>
              <w:rPr>
                <w:rFonts w:hint="eastAsia" w:ascii="楷体_GB2312" w:hAnsi="宋体" w:eastAsia="楷体_GB2312" w:cs="楷体_GB2312"/>
                <w:kern w:val="0"/>
                <w:sz w:val="20"/>
                <w:szCs w:val="20"/>
              </w:rPr>
              <w:t>之间，得</w:t>
            </w:r>
            <w:r>
              <w:rPr>
                <w:rFonts w:ascii="楷体_GB2312" w:hAnsi="宋体" w:eastAsia="楷体_GB2312" w:cs="楷体_GB2312"/>
                <w:kern w:val="0"/>
                <w:sz w:val="20"/>
                <w:szCs w:val="20"/>
              </w:rPr>
              <w:t>7</w:t>
            </w:r>
            <w:r>
              <w:rPr>
                <w:rFonts w:hint="eastAsia" w:ascii="楷体_GB2312" w:hAnsi="宋体" w:eastAsia="楷体_GB2312" w:cs="楷体_GB2312"/>
                <w:kern w:val="0"/>
                <w:sz w:val="20"/>
                <w:szCs w:val="20"/>
              </w:rPr>
              <w:t>分。</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预算完成率在</w:t>
            </w:r>
            <w:r>
              <w:rPr>
                <w:rFonts w:ascii="楷体_GB2312" w:hAnsi="宋体" w:eastAsia="楷体_GB2312" w:cs="楷体_GB2312"/>
                <w:kern w:val="0"/>
                <w:sz w:val="20"/>
                <w:szCs w:val="20"/>
              </w:rPr>
              <w:t>80%</w:t>
            </w:r>
            <w:r>
              <w:rPr>
                <w:rFonts w:hint="eastAsia" w:ascii="楷体_GB2312" w:hAnsi="宋体" w:eastAsia="楷体_GB2312" w:cs="楷体_GB2312"/>
                <w:kern w:val="0"/>
                <w:sz w:val="20"/>
                <w:szCs w:val="20"/>
              </w:rPr>
              <w:t>（含）和</w:t>
            </w:r>
            <w:r>
              <w:rPr>
                <w:rFonts w:ascii="楷体_GB2312" w:hAnsi="宋体" w:eastAsia="楷体_GB2312" w:cs="楷体_GB2312"/>
                <w:kern w:val="0"/>
                <w:sz w:val="20"/>
                <w:szCs w:val="20"/>
              </w:rPr>
              <w:t>85%</w:t>
            </w:r>
            <w:r>
              <w:rPr>
                <w:rFonts w:hint="eastAsia" w:ascii="楷体_GB2312" w:hAnsi="宋体" w:eastAsia="楷体_GB2312" w:cs="楷体_GB2312"/>
                <w:kern w:val="0"/>
                <w:sz w:val="20"/>
                <w:szCs w:val="20"/>
              </w:rPr>
              <w:t>之间，得</w:t>
            </w:r>
            <w:r>
              <w:rPr>
                <w:rFonts w:ascii="楷体_GB2312" w:hAnsi="宋体" w:eastAsia="楷体_GB2312" w:cs="楷体_GB2312"/>
                <w:kern w:val="0"/>
                <w:sz w:val="20"/>
                <w:szCs w:val="20"/>
              </w:rPr>
              <w:t>6</w:t>
            </w:r>
            <w:r>
              <w:rPr>
                <w:rFonts w:hint="eastAsia" w:ascii="楷体_GB2312" w:hAnsi="宋体" w:eastAsia="楷体_GB2312" w:cs="楷体_GB2312"/>
                <w:kern w:val="0"/>
                <w:sz w:val="20"/>
                <w:szCs w:val="20"/>
              </w:rPr>
              <w:t>分。</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预算完成率在</w:t>
            </w:r>
            <w:r>
              <w:rPr>
                <w:rFonts w:ascii="楷体_GB2312" w:hAnsi="宋体" w:eastAsia="楷体_GB2312" w:cs="楷体_GB2312"/>
                <w:kern w:val="0"/>
                <w:sz w:val="20"/>
                <w:szCs w:val="20"/>
              </w:rPr>
              <w:t>70%</w:t>
            </w:r>
            <w:r>
              <w:rPr>
                <w:rFonts w:hint="eastAsia" w:ascii="楷体_GB2312" w:hAnsi="宋体" w:eastAsia="楷体_GB2312" w:cs="楷体_GB2312"/>
                <w:kern w:val="0"/>
                <w:sz w:val="20"/>
                <w:szCs w:val="20"/>
              </w:rPr>
              <w:t>（含）和</w:t>
            </w:r>
            <w:r>
              <w:rPr>
                <w:rFonts w:ascii="楷体_GB2312" w:hAnsi="宋体" w:eastAsia="楷体_GB2312" w:cs="楷体_GB2312"/>
                <w:kern w:val="0"/>
                <w:sz w:val="20"/>
                <w:szCs w:val="20"/>
              </w:rPr>
              <w:t>80%</w:t>
            </w:r>
            <w:r>
              <w:rPr>
                <w:rFonts w:hint="eastAsia" w:ascii="楷体_GB2312" w:hAnsi="宋体" w:eastAsia="楷体_GB2312" w:cs="楷体_GB2312"/>
                <w:kern w:val="0"/>
                <w:sz w:val="20"/>
                <w:szCs w:val="20"/>
              </w:rPr>
              <w:t>之间，得</w:t>
            </w:r>
            <w:r>
              <w:rPr>
                <w:rFonts w:ascii="楷体_GB2312" w:hAnsi="宋体" w:eastAsia="楷体_GB2312" w:cs="楷体_GB2312"/>
                <w:kern w:val="0"/>
                <w:sz w:val="20"/>
                <w:szCs w:val="20"/>
              </w:rPr>
              <w:t>4</w:t>
            </w:r>
            <w:r>
              <w:rPr>
                <w:rFonts w:hint="eastAsia" w:ascii="楷体_GB2312" w:hAnsi="宋体" w:eastAsia="楷体_GB2312" w:cs="楷体_GB2312"/>
                <w:kern w:val="0"/>
                <w:sz w:val="20"/>
                <w:szCs w:val="20"/>
              </w:rPr>
              <w:t>分。</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预算完成率＜</w:t>
            </w:r>
            <w:r>
              <w:rPr>
                <w:rFonts w:ascii="楷体_GB2312" w:hAnsi="宋体" w:eastAsia="楷体_GB2312" w:cs="楷体_GB2312"/>
                <w:kern w:val="0"/>
                <w:sz w:val="20"/>
                <w:szCs w:val="20"/>
              </w:rPr>
              <w:t>70%</w:t>
            </w:r>
            <w:r>
              <w:rPr>
                <w:rFonts w:hint="eastAsia" w:ascii="楷体_GB2312" w:hAnsi="宋体" w:eastAsia="楷体_GB2312" w:cs="楷体_GB2312"/>
                <w:kern w:val="0"/>
                <w:sz w:val="20"/>
                <w:szCs w:val="20"/>
              </w:rPr>
              <w:t>的，得</w:t>
            </w:r>
            <w:r>
              <w:rPr>
                <w:rFonts w:ascii="楷体_GB2312" w:hAnsi="宋体" w:eastAsia="楷体_GB2312" w:cs="楷体_GB2312"/>
                <w:kern w:val="0"/>
                <w:sz w:val="20"/>
                <w:szCs w:val="20"/>
              </w:rPr>
              <w:t>0</w:t>
            </w:r>
            <w:r>
              <w:rPr>
                <w:rFonts w:hint="eastAsia" w:ascii="楷体_GB2312" w:hAnsi="宋体" w:eastAsia="楷体_GB2312" w:cs="楷体_GB2312"/>
                <w:kern w:val="0"/>
                <w:sz w:val="20"/>
                <w:szCs w:val="20"/>
              </w:rPr>
              <w:t>分。</w:t>
            </w:r>
          </w:p>
        </w:tc>
        <w:tc>
          <w:tcPr>
            <w:tcW w:w="1304"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预算完成率</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（预算完成数</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预算数）×</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w:t>
            </w:r>
          </w:p>
        </w:tc>
        <w:tc>
          <w:tcPr>
            <w:tcW w:w="1154" w:type="dxa"/>
            <w:tcBorders>
              <w:top w:val="nil"/>
              <w:left w:val="nil"/>
              <w:bottom w:val="single" w:color="auto" w:sz="4" w:space="0"/>
              <w:right w:val="single" w:color="auto" w:sz="4" w:space="0"/>
            </w:tcBorders>
            <w:vAlign w:val="center"/>
          </w:tcPr>
          <w:p>
            <w:pPr>
              <w:widowControl/>
              <w:spacing w:line="200" w:lineRule="exact"/>
              <w:jc w:val="right"/>
              <w:rPr>
                <w:rFonts w:ascii="楷体_GB2312" w:hAnsi="宋体" w:eastAsia="楷体_GB2312" w:cs="楷体_GB2312"/>
                <w:kern w:val="0"/>
                <w:sz w:val="20"/>
                <w:szCs w:val="20"/>
              </w:rPr>
            </w:pPr>
            <w:r>
              <w:rPr>
                <w:rFonts w:ascii="楷体_GB2312" w:hAnsi="宋体" w:eastAsia="楷体_GB2312" w:cs="楷体_GB2312"/>
                <w:kern w:val="0"/>
                <w:sz w:val="20"/>
                <w:szCs w:val="20"/>
              </w:rPr>
              <w:t>100%</w:t>
            </w:r>
          </w:p>
        </w:tc>
        <w:tc>
          <w:tcPr>
            <w:tcW w:w="1154" w:type="dxa"/>
            <w:tcBorders>
              <w:top w:val="nil"/>
              <w:left w:val="nil"/>
              <w:bottom w:val="single" w:color="auto" w:sz="4" w:space="0"/>
              <w:right w:val="single" w:color="auto" w:sz="4" w:space="0"/>
            </w:tcBorders>
            <w:vAlign w:val="center"/>
          </w:tcPr>
          <w:p>
            <w:pPr>
              <w:widowControl/>
              <w:spacing w:line="200" w:lineRule="exact"/>
              <w:jc w:val="right"/>
              <w:rPr>
                <w:rFonts w:ascii="楷体_GB2312" w:hAnsi="宋体" w:eastAsia="楷体_GB2312" w:cs="楷体_GB2312"/>
                <w:kern w:val="0"/>
                <w:sz w:val="20"/>
                <w:szCs w:val="20"/>
              </w:rPr>
            </w:pPr>
            <w:r>
              <w:rPr>
                <w:rFonts w:ascii="楷体_GB2312" w:hAnsi="宋体" w:eastAsia="楷体_GB2312" w:cs="楷体_GB2312"/>
                <w:kern w:val="0"/>
                <w:sz w:val="20"/>
                <w:szCs w:val="20"/>
              </w:rPr>
              <w:t>100%</w:t>
            </w:r>
          </w:p>
        </w:tc>
        <w:tc>
          <w:tcPr>
            <w:tcW w:w="451" w:type="dxa"/>
            <w:tcBorders>
              <w:top w:val="nil"/>
              <w:left w:val="nil"/>
              <w:bottom w:val="single" w:color="auto" w:sz="4" w:space="0"/>
              <w:right w:val="single" w:color="auto" w:sz="4" w:space="0"/>
            </w:tcBorders>
            <w:vAlign w:val="center"/>
          </w:tcPr>
          <w:p>
            <w:pPr>
              <w:widowControl/>
              <w:spacing w:line="200" w:lineRule="exact"/>
              <w:jc w:val="center"/>
              <w:rPr>
                <w:rFonts w:ascii="楷体_GB2312" w:hAnsi="宋体" w:eastAsia="楷体_GB2312" w:cs="楷体_GB2312"/>
                <w:kern w:val="0"/>
                <w:sz w:val="20"/>
                <w:szCs w:val="20"/>
              </w:rPr>
            </w:pPr>
            <w:r>
              <w:rPr>
                <w:rFonts w:ascii="楷体_GB2312" w:hAnsi="宋体" w:eastAsia="楷体_GB2312" w:cs="楷体_GB2312"/>
                <w:kern w:val="0"/>
                <w:sz w:val="20"/>
                <w:szCs w:val="20"/>
              </w:rPr>
              <w:t>10</w:t>
            </w:r>
          </w:p>
        </w:tc>
        <w:tc>
          <w:tcPr>
            <w:tcW w:w="1114" w:type="dxa"/>
            <w:tcBorders>
              <w:top w:val="nil"/>
              <w:left w:val="nil"/>
              <w:bottom w:val="single" w:color="auto" w:sz="4" w:space="0"/>
              <w:right w:val="single" w:color="auto" w:sz="4" w:space="0"/>
            </w:tcBorders>
            <w:vAlign w:val="center"/>
          </w:tcPr>
          <w:p>
            <w:pPr>
              <w:widowControl/>
              <w:spacing w:line="200" w:lineRule="exact"/>
              <w:jc w:val="center"/>
              <w:rPr>
                <w:rFonts w:ascii="仿宋_GB2312" w:hAnsi="宋体" w:eastAsia="仿宋_GB2312" w:cs="Times New Roman"/>
                <w:kern w:val="0"/>
                <w:sz w:val="20"/>
                <w:szCs w:val="20"/>
              </w:rPr>
            </w:pPr>
            <w:r>
              <w:rPr>
                <w:rFonts w:hint="eastAsia" w:ascii="仿宋_GB2312" w:hAnsi="宋体" w:eastAsia="仿宋_GB2312" w:cs="仿宋_GB2312"/>
                <w:kern w:val="0"/>
                <w:sz w:val="20"/>
                <w:szCs w:val="20"/>
              </w:rPr>
              <w:t>已完成</w:t>
            </w:r>
          </w:p>
        </w:tc>
        <w:tc>
          <w:tcPr>
            <w:tcW w:w="1928" w:type="dxa"/>
            <w:tcBorders>
              <w:top w:val="nil"/>
              <w:left w:val="nil"/>
              <w:bottom w:val="single" w:color="auto" w:sz="4" w:space="0"/>
              <w:right w:val="single" w:color="auto" w:sz="4" w:space="0"/>
            </w:tcBorders>
            <w:vAlign w:val="center"/>
          </w:tcPr>
          <w:p>
            <w:pPr>
              <w:widowControl/>
              <w:spacing w:line="200" w:lineRule="exact"/>
              <w:jc w:val="center"/>
              <w:rPr>
                <w:rFonts w:ascii="仿宋_GB2312" w:hAnsi="宋体" w:eastAsia="仿宋_GB2312" w:cs="Times New Roman"/>
                <w:kern w:val="0"/>
                <w:sz w:val="20"/>
                <w:szCs w:val="20"/>
              </w:rPr>
            </w:pPr>
            <w:r>
              <w:rPr>
                <w:rFonts w:hint="eastAsia" w:ascii="仿宋_GB2312" w:hAnsi="宋体" w:eastAsia="仿宋_GB2312" w:cs="仿宋_GB2312"/>
                <w:kern w:val="0"/>
                <w:sz w:val="20"/>
                <w:szCs w:val="20"/>
              </w:rPr>
              <w:t>　</w:t>
            </w:r>
          </w:p>
        </w:tc>
      </w:tr>
      <w:tr>
        <w:tblPrEx>
          <w:tblCellMar>
            <w:top w:w="0" w:type="dxa"/>
            <w:left w:w="108" w:type="dxa"/>
            <w:bottom w:w="0" w:type="dxa"/>
            <w:right w:w="108" w:type="dxa"/>
          </w:tblCellMar>
        </w:tblPrEx>
        <w:trPr>
          <w:trHeight w:val="2026" w:hRule="atLeast"/>
        </w:trPr>
        <w:tc>
          <w:tcPr>
            <w:tcW w:w="47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Times New Roman"/>
                <w:kern w:val="0"/>
                <w:sz w:val="20"/>
                <w:szCs w:val="20"/>
              </w:rPr>
            </w:pPr>
          </w:p>
        </w:tc>
        <w:tc>
          <w:tcPr>
            <w:tcW w:w="72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Times New Roman"/>
                <w:kern w:val="0"/>
                <w:sz w:val="20"/>
                <w:szCs w:val="20"/>
              </w:rPr>
            </w:pPr>
          </w:p>
        </w:tc>
        <w:tc>
          <w:tcPr>
            <w:tcW w:w="751" w:type="dxa"/>
            <w:tcBorders>
              <w:top w:val="nil"/>
              <w:left w:val="nil"/>
              <w:bottom w:val="single" w:color="auto" w:sz="4" w:space="0"/>
              <w:right w:val="single" w:color="auto" w:sz="4" w:space="0"/>
            </w:tcBorders>
            <w:vAlign w:val="center"/>
          </w:tcPr>
          <w:p>
            <w:pPr>
              <w:widowControl/>
              <w:spacing w:line="24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预算调整率</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5</w:t>
            </w:r>
            <w:r>
              <w:rPr>
                <w:rFonts w:hint="eastAsia" w:ascii="楷体_GB2312" w:hAnsi="宋体" w:eastAsia="楷体_GB2312" w:cs="楷体_GB2312"/>
                <w:kern w:val="0"/>
                <w:sz w:val="20"/>
                <w:szCs w:val="20"/>
              </w:rPr>
              <w:t>分）</w:t>
            </w:r>
          </w:p>
        </w:tc>
        <w:tc>
          <w:tcPr>
            <w:tcW w:w="451" w:type="dxa"/>
            <w:tcBorders>
              <w:top w:val="nil"/>
              <w:left w:val="nil"/>
              <w:bottom w:val="single" w:color="auto" w:sz="4" w:space="0"/>
              <w:right w:val="single" w:color="auto" w:sz="4" w:space="0"/>
            </w:tcBorders>
            <w:vAlign w:val="center"/>
          </w:tcPr>
          <w:p>
            <w:pPr>
              <w:widowControl/>
              <w:spacing w:line="240" w:lineRule="exact"/>
              <w:jc w:val="center"/>
              <w:rPr>
                <w:rFonts w:ascii="楷体_GB2312" w:hAnsi="宋体" w:eastAsia="楷体_GB2312" w:cs="楷体_GB2312"/>
                <w:kern w:val="0"/>
                <w:sz w:val="20"/>
                <w:szCs w:val="20"/>
              </w:rPr>
            </w:pPr>
            <w:r>
              <w:rPr>
                <w:rFonts w:ascii="楷体_GB2312" w:hAnsi="宋体" w:eastAsia="楷体_GB2312" w:cs="楷体_GB2312"/>
                <w:kern w:val="0"/>
                <w:sz w:val="20"/>
                <w:szCs w:val="20"/>
              </w:rPr>
              <w:t>5</w:t>
            </w:r>
          </w:p>
        </w:tc>
        <w:tc>
          <w:tcPr>
            <w:tcW w:w="2429"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预算调整率</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（预算调整数</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预算数）×</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，用以反映和考核部门（单位）预算的调整程度。</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预算调整数：部门（单位）在本年度内涉及预算的追加、追减或结构调整的资金总和（因落实国家政策、发生不可抗力、上级部门或本级党委政府临时交办而产生的调整除外）。</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预算包括一般公共预算与政府性基金预算。</w:t>
            </w:r>
          </w:p>
        </w:tc>
        <w:tc>
          <w:tcPr>
            <w:tcW w:w="2245"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预算调整率绝对值≤</w:t>
            </w:r>
            <w:r>
              <w:rPr>
                <w:rFonts w:ascii="楷体_GB2312" w:hAnsi="宋体" w:eastAsia="楷体_GB2312" w:cs="楷体_GB2312"/>
                <w:kern w:val="0"/>
                <w:sz w:val="20"/>
                <w:szCs w:val="20"/>
              </w:rPr>
              <w:t>5%</w:t>
            </w:r>
            <w:r>
              <w:rPr>
                <w:rFonts w:hint="eastAsia" w:ascii="楷体_GB2312" w:hAnsi="宋体" w:eastAsia="楷体_GB2312" w:cs="楷体_GB2312"/>
                <w:kern w:val="0"/>
                <w:sz w:val="20"/>
                <w:szCs w:val="20"/>
              </w:rPr>
              <w:t>，得</w:t>
            </w:r>
            <w:r>
              <w:rPr>
                <w:rFonts w:ascii="楷体_GB2312" w:hAnsi="宋体" w:eastAsia="楷体_GB2312" w:cs="楷体_GB2312"/>
                <w:kern w:val="0"/>
                <w:sz w:val="20"/>
                <w:szCs w:val="20"/>
              </w:rPr>
              <w:t>5</w:t>
            </w:r>
            <w:r>
              <w:rPr>
                <w:rFonts w:hint="eastAsia" w:ascii="楷体_GB2312" w:hAnsi="宋体" w:eastAsia="楷体_GB2312" w:cs="楷体_GB2312"/>
                <w:kern w:val="0"/>
                <w:sz w:val="20"/>
                <w:szCs w:val="20"/>
              </w:rPr>
              <w:t>分。</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预算调整率绝对值＞</w:t>
            </w:r>
            <w:r>
              <w:rPr>
                <w:rFonts w:ascii="楷体_GB2312" w:hAnsi="宋体" w:eastAsia="楷体_GB2312" w:cs="楷体_GB2312"/>
                <w:kern w:val="0"/>
                <w:sz w:val="20"/>
                <w:szCs w:val="20"/>
              </w:rPr>
              <w:t>5%</w:t>
            </w:r>
            <w:r>
              <w:rPr>
                <w:rFonts w:hint="eastAsia" w:ascii="楷体_GB2312" w:hAnsi="宋体" w:eastAsia="楷体_GB2312" w:cs="楷体_GB2312"/>
                <w:kern w:val="0"/>
                <w:sz w:val="20"/>
                <w:szCs w:val="20"/>
              </w:rPr>
              <w:t>的，每增加</w:t>
            </w:r>
            <w:r>
              <w:rPr>
                <w:rFonts w:ascii="楷体_GB2312" w:hAnsi="宋体" w:eastAsia="楷体_GB2312" w:cs="楷体_GB2312"/>
                <w:kern w:val="0"/>
                <w:sz w:val="20"/>
                <w:szCs w:val="20"/>
              </w:rPr>
              <w:t>0.1</w:t>
            </w:r>
            <w:r>
              <w:rPr>
                <w:rFonts w:hint="eastAsia" w:ascii="楷体_GB2312" w:hAnsi="宋体" w:eastAsia="楷体_GB2312" w:cs="楷体_GB2312"/>
                <w:kern w:val="0"/>
                <w:sz w:val="20"/>
                <w:szCs w:val="20"/>
              </w:rPr>
              <w:t>个百分点扣</w:t>
            </w:r>
            <w:r>
              <w:rPr>
                <w:rFonts w:ascii="楷体_GB2312" w:hAnsi="宋体" w:eastAsia="楷体_GB2312" w:cs="楷体_GB2312"/>
                <w:kern w:val="0"/>
                <w:sz w:val="20"/>
                <w:szCs w:val="20"/>
              </w:rPr>
              <w:t>0.1</w:t>
            </w:r>
            <w:r>
              <w:rPr>
                <w:rFonts w:hint="eastAsia" w:ascii="楷体_GB2312" w:hAnsi="宋体" w:eastAsia="楷体_GB2312" w:cs="楷体_GB2312"/>
                <w:kern w:val="0"/>
                <w:sz w:val="20"/>
                <w:szCs w:val="20"/>
              </w:rPr>
              <w:t>分，扣完为止。</w:t>
            </w:r>
          </w:p>
        </w:tc>
        <w:tc>
          <w:tcPr>
            <w:tcW w:w="1304"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预算调整率</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（预算调整数</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预算数）×</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，（不包括项目支出）</w:t>
            </w:r>
          </w:p>
        </w:tc>
        <w:tc>
          <w:tcPr>
            <w:tcW w:w="1154" w:type="dxa"/>
            <w:tcBorders>
              <w:top w:val="nil"/>
              <w:left w:val="nil"/>
              <w:bottom w:val="single" w:color="auto" w:sz="4" w:space="0"/>
              <w:right w:val="single" w:color="auto" w:sz="4" w:space="0"/>
            </w:tcBorders>
            <w:vAlign w:val="center"/>
          </w:tcPr>
          <w:p>
            <w:pPr>
              <w:widowControl/>
              <w:spacing w:line="200" w:lineRule="exact"/>
              <w:jc w:val="left"/>
              <w:rPr>
                <w:rFonts w:ascii="Arial" w:hAnsi="Arial" w:eastAsia="宋体" w:cs="Times New Roman"/>
                <w:kern w:val="0"/>
                <w:sz w:val="20"/>
                <w:szCs w:val="20"/>
              </w:rPr>
            </w:pPr>
            <w:r>
              <w:rPr>
                <w:rFonts w:ascii="Arial" w:hAnsi="Arial" w:eastAsia="宋体" w:cs="Arial"/>
                <w:kern w:val="0"/>
                <w:sz w:val="20"/>
                <w:szCs w:val="20"/>
              </w:rPr>
              <w:t>100</w:t>
            </w:r>
            <w:r>
              <w:rPr>
                <w:rFonts w:ascii="楷体_GB2312" w:hAnsi="Arial" w:eastAsia="楷体_GB2312" w:cs="楷体_GB2312"/>
                <w:kern w:val="0"/>
                <w:sz w:val="20"/>
                <w:szCs w:val="20"/>
              </w:rPr>
              <w:t>%</w:t>
            </w:r>
          </w:p>
        </w:tc>
        <w:tc>
          <w:tcPr>
            <w:tcW w:w="1154" w:type="dxa"/>
            <w:tcBorders>
              <w:top w:val="nil"/>
              <w:left w:val="nil"/>
              <w:bottom w:val="single" w:color="auto" w:sz="4" w:space="0"/>
              <w:right w:val="single" w:color="auto" w:sz="4" w:space="0"/>
            </w:tcBorders>
            <w:vAlign w:val="center"/>
          </w:tcPr>
          <w:p>
            <w:pPr>
              <w:widowControl/>
              <w:spacing w:line="200" w:lineRule="exact"/>
              <w:jc w:val="right"/>
              <w:rPr>
                <w:rFonts w:ascii="楷体_GB2312" w:hAnsi="宋体" w:eastAsia="楷体_GB2312" w:cs="楷体_GB2312"/>
                <w:kern w:val="0"/>
                <w:sz w:val="20"/>
                <w:szCs w:val="20"/>
              </w:rPr>
            </w:pPr>
            <w:r>
              <w:rPr>
                <w:rFonts w:ascii="楷体_GB2312" w:hAnsi="宋体" w:eastAsia="楷体_GB2312" w:cs="楷体_GB2312"/>
                <w:kern w:val="0"/>
                <w:sz w:val="20"/>
                <w:szCs w:val="20"/>
              </w:rPr>
              <w:t>131.58%</w:t>
            </w:r>
          </w:p>
        </w:tc>
        <w:tc>
          <w:tcPr>
            <w:tcW w:w="451" w:type="dxa"/>
            <w:tcBorders>
              <w:top w:val="nil"/>
              <w:left w:val="nil"/>
              <w:bottom w:val="single" w:color="auto" w:sz="4" w:space="0"/>
              <w:right w:val="single" w:color="auto" w:sz="4" w:space="0"/>
            </w:tcBorders>
            <w:vAlign w:val="center"/>
          </w:tcPr>
          <w:p>
            <w:pPr>
              <w:widowControl/>
              <w:spacing w:line="200" w:lineRule="exact"/>
              <w:jc w:val="center"/>
              <w:rPr>
                <w:rFonts w:ascii="楷体_GB2312" w:hAnsi="宋体" w:eastAsia="楷体_GB2312" w:cs="Times New Roman"/>
                <w:kern w:val="0"/>
                <w:sz w:val="20"/>
                <w:szCs w:val="20"/>
              </w:rPr>
            </w:pPr>
            <w:r>
              <w:rPr>
                <w:rFonts w:ascii="楷体_GB2312" w:hAnsi="宋体" w:eastAsia="楷体_GB2312" w:cs="楷体_GB2312"/>
                <w:kern w:val="0"/>
                <w:sz w:val="20"/>
                <w:szCs w:val="20"/>
              </w:rPr>
              <w:t>0</w:t>
            </w:r>
          </w:p>
        </w:tc>
        <w:tc>
          <w:tcPr>
            <w:tcW w:w="1114" w:type="dxa"/>
            <w:tcBorders>
              <w:top w:val="nil"/>
              <w:left w:val="nil"/>
              <w:bottom w:val="single" w:color="auto" w:sz="4" w:space="0"/>
              <w:right w:val="single" w:color="auto" w:sz="4" w:space="0"/>
            </w:tcBorders>
            <w:vAlign w:val="center"/>
          </w:tcPr>
          <w:p>
            <w:pPr>
              <w:widowControl/>
              <w:spacing w:line="200" w:lineRule="exact"/>
              <w:jc w:val="center"/>
              <w:rPr>
                <w:rFonts w:ascii="仿宋_GB2312" w:hAnsi="宋体" w:eastAsia="仿宋_GB2312" w:cs="Times New Roman"/>
                <w:kern w:val="0"/>
                <w:sz w:val="20"/>
                <w:szCs w:val="20"/>
              </w:rPr>
            </w:pPr>
            <w:r>
              <w:rPr>
                <w:rFonts w:hint="eastAsia" w:ascii="仿宋_GB2312" w:hAnsi="宋体" w:eastAsia="仿宋_GB2312" w:cs="仿宋_GB2312"/>
                <w:kern w:val="0"/>
                <w:sz w:val="20"/>
                <w:szCs w:val="20"/>
              </w:rPr>
              <w:t>年中追加项目支出预算，下年度预算时应全方位纳入预算。</w:t>
            </w:r>
          </w:p>
        </w:tc>
        <w:tc>
          <w:tcPr>
            <w:tcW w:w="1928" w:type="dxa"/>
            <w:tcBorders>
              <w:top w:val="nil"/>
              <w:left w:val="nil"/>
              <w:bottom w:val="single" w:color="auto" w:sz="4" w:space="0"/>
              <w:right w:val="single" w:color="auto" w:sz="4" w:space="0"/>
            </w:tcBorders>
            <w:vAlign w:val="center"/>
          </w:tcPr>
          <w:p>
            <w:pPr>
              <w:widowControl/>
              <w:spacing w:line="200" w:lineRule="exact"/>
              <w:jc w:val="left"/>
              <w:rPr>
                <w:rFonts w:ascii="仿宋_GB2312" w:hAnsi="宋体" w:eastAsia="仿宋_GB2312" w:cs="Times New Roman"/>
                <w:kern w:val="0"/>
                <w:sz w:val="20"/>
                <w:szCs w:val="20"/>
              </w:rPr>
            </w:pPr>
            <w:r>
              <w:rPr>
                <w:rFonts w:hint="eastAsia" w:ascii="仿宋_GB2312" w:hAnsi="宋体" w:eastAsia="仿宋_GB2312" w:cs="仿宋_GB2312"/>
                <w:kern w:val="0"/>
                <w:sz w:val="20"/>
                <w:szCs w:val="20"/>
              </w:rPr>
              <w:t>建议年初增加部门项目预算。</w:t>
            </w:r>
          </w:p>
        </w:tc>
      </w:tr>
      <w:tr>
        <w:tblPrEx>
          <w:tblCellMar>
            <w:top w:w="0" w:type="dxa"/>
            <w:left w:w="108" w:type="dxa"/>
            <w:bottom w:w="0" w:type="dxa"/>
            <w:right w:w="108" w:type="dxa"/>
          </w:tblCellMar>
        </w:tblPrEx>
        <w:trPr>
          <w:trHeight w:val="756" w:hRule="atLeast"/>
        </w:trPr>
        <w:tc>
          <w:tcPr>
            <w:tcW w:w="473"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一级</w:t>
            </w:r>
            <w:r>
              <w:rPr>
                <w:rFonts w:ascii="楷体_GB2312" w:hAnsi="宋体" w:eastAsia="楷体_GB2312" w:cs="Times New Roman"/>
                <w:b/>
                <w:bCs/>
                <w:kern w:val="0"/>
                <w:sz w:val="20"/>
                <w:szCs w:val="20"/>
              </w:rPr>
              <w:br w:type="textWrapping"/>
            </w:r>
            <w:r>
              <w:rPr>
                <w:rFonts w:hint="eastAsia" w:ascii="楷体_GB2312" w:hAnsi="宋体" w:eastAsia="楷体_GB2312" w:cs="楷体_GB2312"/>
                <w:b/>
                <w:bCs/>
                <w:kern w:val="0"/>
                <w:sz w:val="20"/>
                <w:szCs w:val="20"/>
              </w:rPr>
              <w:t>指标</w:t>
            </w:r>
          </w:p>
        </w:tc>
        <w:tc>
          <w:tcPr>
            <w:tcW w:w="72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二级</w:t>
            </w:r>
            <w:r>
              <w:rPr>
                <w:rFonts w:ascii="楷体_GB2312" w:hAnsi="宋体" w:eastAsia="楷体_GB2312" w:cs="Times New Roman"/>
                <w:b/>
                <w:bCs/>
                <w:kern w:val="0"/>
                <w:sz w:val="20"/>
                <w:szCs w:val="20"/>
              </w:rPr>
              <w:br w:type="textWrapping"/>
            </w:r>
            <w:r>
              <w:rPr>
                <w:rFonts w:hint="eastAsia" w:ascii="楷体_GB2312" w:hAnsi="宋体" w:eastAsia="楷体_GB2312" w:cs="楷体_GB2312"/>
                <w:b/>
                <w:bCs/>
                <w:kern w:val="0"/>
                <w:sz w:val="20"/>
                <w:szCs w:val="20"/>
              </w:rPr>
              <w:t>指标</w:t>
            </w:r>
          </w:p>
        </w:tc>
        <w:tc>
          <w:tcPr>
            <w:tcW w:w="751"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三级指标</w:t>
            </w:r>
          </w:p>
        </w:tc>
        <w:tc>
          <w:tcPr>
            <w:tcW w:w="451"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分值</w:t>
            </w:r>
          </w:p>
        </w:tc>
        <w:tc>
          <w:tcPr>
            <w:tcW w:w="2429"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指标说明</w:t>
            </w:r>
          </w:p>
        </w:tc>
        <w:tc>
          <w:tcPr>
            <w:tcW w:w="2245"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评分标准</w:t>
            </w:r>
          </w:p>
        </w:tc>
        <w:tc>
          <w:tcPr>
            <w:tcW w:w="1304"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指标值计算公式和数据获取方式</w:t>
            </w:r>
          </w:p>
        </w:tc>
        <w:tc>
          <w:tcPr>
            <w:tcW w:w="1154"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年初目标值</w:t>
            </w:r>
          </w:p>
        </w:tc>
        <w:tc>
          <w:tcPr>
            <w:tcW w:w="1154"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实际完成值</w:t>
            </w:r>
          </w:p>
        </w:tc>
        <w:tc>
          <w:tcPr>
            <w:tcW w:w="451"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得分</w:t>
            </w:r>
          </w:p>
        </w:tc>
        <w:tc>
          <w:tcPr>
            <w:tcW w:w="1114"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仿宋_GB2312" w:hAnsi="宋体" w:eastAsia="仿宋_GB2312" w:cs="Times New Roman"/>
                <w:b/>
                <w:bCs/>
                <w:kern w:val="0"/>
                <w:sz w:val="20"/>
                <w:szCs w:val="20"/>
              </w:rPr>
            </w:pPr>
            <w:r>
              <w:rPr>
                <w:rFonts w:hint="eastAsia" w:ascii="仿宋_GB2312" w:hAnsi="宋体" w:eastAsia="仿宋_GB2312" w:cs="仿宋_GB2312"/>
                <w:b/>
                <w:bCs/>
                <w:kern w:val="0"/>
                <w:sz w:val="20"/>
                <w:szCs w:val="20"/>
              </w:rPr>
              <w:t>未完成原因分析与改进措施</w:t>
            </w:r>
          </w:p>
        </w:tc>
        <w:tc>
          <w:tcPr>
            <w:tcW w:w="1928"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仿宋_GB2312" w:hAnsi="宋体" w:eastAsia="仿宋_GB2312" w:cs="Times New Roman"/>
                <w:b/>
                <w:bCs/>
                <w:kern w:val="0"/>
                <w:sz w:val="20"/>
                <w:szCs w:val="20"/>
              </w:rPr>
            </w:pPr>
            <w:r>
              <w:rPr>
                <w:rFonts w:hint="eastAsia" w:ascii="仿宋_GB2312" w:hAnsi="宋体" w:eastAsia="仿宋_GB2312" w:cs="仿宋_GB2312"/>
                <w:b/>
                <w:bCs/>
                <w:kern w:val="0"/>
                <w:sz w:val="20"/>
                <w:szCs w:val="20"/>
              </w:rPr>
              <w:t>绩效指标分析与建议</w:t>
            </w:r>
          </w:p>
        </w:tc>
      </w:tr>
      <w:tr>
        <w:tblPrEx>
          <w:tblCellMar>
            <w:top w:w="0" w:type="dxa"/>
            <w:left w:w="108" w:type="dxa"/>
            <w:bottom w:w="0" w:type="dxa"/>
            <w:right w:w="108" w:type="dxa"/>
          </w:tblCellMar>
        </w:tblPrEx>
        <w:trPr>
          <w:trHeight w:val="2187" w:hRule="atLeast"/>
        </w:trPr>
        <w:tc>
          <w:tcPr>
            <w:tcW w:w="473" w:type="dxa"/>
            <w:vMerge w:val="restart"/>
            <w:tcBorders>
              <w:top w:val="nil"/>
              <w:left w:val="single" w:color="auto" w:sz="4" w:space="0"/>
              <w:bottom w:val="single" w:color="auto" w:sz="4" w:space="0"/>
              <w:right w:val="single" w:color="auto" w:sz="4" w:space="0"/>
            </w:tcBorders>
            <w:noWrap/>
            <w:textDirection w:val="tbRlV"/>
            <w:vAlign w:val="center"/>
          </w:tcPr>
          <w:p>
            <w:pPr>
              <w:widowControl/>
              <w:spacing w:line="240" w:lineRule="exact"/>
              <w:jc w:val="center"/>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投入</w:t>
            </w:r>
          </w:p>
        </w:tc>
        <w:tc>
          <w:tcPr>
            <w:tcW w:w="720"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预算执行（</w:t>
            </w:r>
            <w:r>
              <w:rPr>
                <w:rFonts w:ascii="楷体_GB2312" w:hAnsi="宋体" w:eastAsia="楷体_GB2312" w:cs="楷体_GB2312"/>
                <w:kern w:val="0"/>
                <w:sz w:val="20"/>
                <w:szCs w:val="20"/>
              </w:rPr>
              <w:t>25</w:t>
            </w:r>
            <w:r>
              <w:rPr>
                <w:rFonts w:hint="eastAsia" w:ascii="楷体_GB2312" w:hAnsi="宋体" w:eastAsia="楷体_GB2312" w:cs="楷体_GB2312"/>
                <w:kern w:val="0"/>
                <w:sz w:val="20"/>
                <w:szCs w:val="20"/>
              </w:rPr>
              <w:t>分）</w:t>
            </w:r>
          </w:p>
        </w:tc>
        <w:tc>
          <w:tcPr>
            <w:tcW w:w="751" w:type="dxa"/>
            <w:tcBorders>
              <w:top w:val="nil"/>
              <w:left w:val="nil"/>
              <w:bottom w:val="single" w:color="auto" w:sz="4" w:space="0"/>
              <w:right w:val="single" w:color="auto" w:sz="4" w:space="0"/>
            </w:tcBorders>
            <w:vAlign w:val="center"/>
          </w:tcPr>
          <w:p>
            <w:pPr>
              <w:widowControl/>
              <w:spacing w:line="24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支出进度率</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5</w:t>
            </w:r>
            <w:r>
              <w:rPr>
                <w:rFonts w:hint="eastAsia" w:ascii="楷体_GB2312" w:hAnsi="宋体" w:eastAsia="楷体_GB2312" w:cs="楷体_GB2312"/>
                <w:kern w:val="0"/>
                <w:sz w:val="20"/>
                <w:szCs w:val="20"/>
              </w:rPr>
              <w:t>分）</w:t>
            </w:r>
          </w:p>
        </w:tc>
        <w:tc>
          <w:tcPr>
            <w:tcW w:w="451" w:type="dxa"/>
            <w:tcBorders>
              <w:top w:val="nil"/>
              <w:left w:val="nil"/>
              <w:bottom w:val="single" w:color="auto" w:sz="4" w:space="0"/>
              <w:right w:val="single" w:color="auto" w:sz="4" w:space="0"/>
            </w:tcBorders>
            <w:vAlign w:val="center"/>
          </w:tcPr>
          <w:p>
            <w:pPr>
              <w:widowControl/>
              <w:spacing w:line="240" w:lineRule="exact"/>
              <w:jc w:val="center"/>
              <w:rPr>
                <w:rFonts w:ascii="楷体_GB2312" w:hAnsi="宋体" w:eastAsia="楷体_GB2312" w:cs="楷体_GB2312"/>
                <w:kern w:val="0"/>
                <w:sz w:val="20"/>
                <w:szCs w:val="20"/>
              </w:rPr>
            </w:pPr>
            <w:r>
              <w:rPr>
                <w:rFonts w:ascii="楷体_GB2312" w:hAnsi="宋体" w:eastAsia="楷体_GB2312" w:cs="楷体_GB2312"/>
                <w:kern w:val="0"/>
                <w:sz w:val="20"/>
                <w:szCs w:val="20"/>
              </w:rPr>
              <w:t>5</w:t>
            </w:r>
          </w:p>
        </w:tc>
        <w:tc>
          <w:tcPr>
            <w:tcW w:w="2429"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支出进度率</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（实际支出</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支出预算）×</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，用以反映和考核部门（单位）预算执行的及时性和均衡性程度。</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半年支出进度＝部门上半年实际支出</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（上年结余结转</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本年部门预算安排</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上半年执行中追加追减）</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前三季度支出进度＝部门前三季度实际支出</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（上年结余结转</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本年部门预算安排</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前三季度执行中追加追减）</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w:t>
            </w:r>
          </w:p>
        </w:tc>
        <w:tc>
          <w:tcPr>
            <w:tcW w:w="2245"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半年进度：进度率≥</w:t>
            </w:r>
            <w:r>
              <w:rPr>
                <w:rFonts w:ascii="楷体_GB2312" w:hAnsi="宋体" w:eastAsia="楷体_GB2312" w:cs="楷体_GB2312"/>
                <w:kern w:val="0"/>
                <w:sz w:val="20"/>
                <w:szCs w:val="20"/>
              </w:rPr>
              <w:t>45%</w:t>
            </w:r>
            <w:r>
              <w:rPr>
                <w:rFonts w:hint="eastAsia" w:ascii="楷体_GB2312" w:hAnsi="宋体" w:eastAsia="楷体_GB2312" w:cs="楷体_GB2312"/>
                <w:kern w:val="0"/>
                <w:sz w:val="20"/>
                <w:szCs w:val="20"/>
              </w:rPr>
              <w:t>，得</w:t>
            </w:r>
            <w:r>
              <w:rPr>
                <w:rFonts w:ascii="楷体_GB2312" w:hAnsi="宋体" w:eastAsia="楷体_GB2312" w:cs="楷体_GB2312"/>
                <w:kern w:val="0"/>
                <w:sz w:val="20"/>
                <w:szCs w:val="20"/>
              </w:rPr>
              <w:t>2</w:t>
            </w:r>
            <w:r>
              <w:rPr>
                <w:rFonts w:hint="eastAsia" w:ascii="楷体_GB2312" w:hAnsi="宋体" w:eastAsia="楷体_GB2312" w:cs="楷体_GB2312"/>
                <w:kern w:val="0"/>
                <w:sz w:val="20"/>
                <w:szCs w:val="20"/>
              </w:rPr>
              <w:t>分；进度率在</w:t>
            </w:r>
            <w:r>
              <w:rPr>
                <w:rFonts w:ascii="楷体_GB2312" w:hAnsi="宋体" w:eastAsia="楷体_GB2312" w:cs="楷体_GB2312"/>
                <w:kern w:val="0"/>
                <w:sz w:val="20"/>
                <w:szCs w:val="20"/>
              </w:rPr>
              <w:t>40%</w:t>
            </w:r>
            <w:r>
              <w:rPr>
                <w:rFonts w:hint="eastAsia" w:ascii="楷体_GB2312" w:hAnsi="宋体" w:eastAsia="楷体_GB2312" w:cs="楷体_GB2312"/>
                <w:kern w:val="0"/>
                <w:sz w:val="20"/>
                <w:szCs w:val="20"/>
              </w:rPr>
              <w:t>（含）和</w:t>
            </w:r>
            <w:r>
              <w:rPr>
                <w:rFonts w:ascii="楷体_GB2312" w:hAnsi="宋体" w:eastAsia="楷体_GB2312" w:cs="楷体_GB2312"/>
                <w:kern w:val="0"/>
                <w:sz w:val="20"/>
                <w:szCs w:val="20"/>
              </w:rPr>
              <w:t>45%</w:t>
            </w:r>
            <w:r>
              <w:rPr>
                <w:rFonts w:hint="eastAsia" w:ascii="楷体_GB2312" w:hAnsi="宋体" w:eastAsia="楷体_GB2312" w:cs="楷体_GB2312"/>
                <w:kern w:val="0"/>
                <w:sz w:val="20"/>
                <w:szCs w:val="20"/>
              </w:rPr>
              <w:t>之间，得</w:t>
            </w:r>
            <w:r>
              <w:rPr>
                <w:rFonts w:ascii="楷体_GB2312" w:hAnsi="宋体" w:eastAsia="楷体_GB2312" w:cs="楷体_GB2312"/>
                <w:kern w:val="0"/>
                <w:sz w:val="20"/>
                <w:szCs w:val="20"/>
              </w:rPr>
              <w:t>1</w:t>
            </w:r>
            <w:r>
              <w:rPr>
                <w:rFonts w:hint="eastAsia" w:ascii="楷体_GB2312" w:hAnsi="宋体" w:eastAsia="楷体_GB2312" w:cs="楷体_GB2312"/>
                <w:kern w:val="0"/>
                <w:sz w:val="20"/>
                <w:szCs w:val="20"/>
              </w:rPr>
              <w:t>分；进度率＜</w:t>
            </w:r>
            <w:r>
              <w:rPr>
                <w:rFonts w:ascii="楷体_GB2312" w:hAnsi="宋体" w:eastAsia="楷体_GB2312" w:cs="楷体_GB2312"/>
                <w:kern w:val="0"/>
                <w:sz w:val="20"/>
                <w:szCs w:val="20"/>
              </w:rPr>
              <w:t>40%</w:t>
            </w:r>
            <w:r>
              <w:rPr>
                <w:rFonts w:hint="eastAsia" w:ascii="楷体_GB2312" w:hAnsi="宋体" w:eastAsia="楷体_GB2312" w:cs="楷体_GB2312"/>
                <w:kern w:val="0"/>
                <w:sz w:val="20"/>
                <w:szCs w:val="20"/>
              </w:rPr>
              <w:t>，得</w:t>
            </w:r>
            <w:r>
              <w:rPr>
                <w:rFonts w:ascii="楷体_GB2312" w:hAnsi="宋体" w:eastAsia="楷体_GB2312" w:cs="楷体_GB2312"/>
                <w:kern w:val="0"/>
                <w:sz w:val="20"/>
                <w:szCs w:val="20"/>
              </w:rPr>
              <w:t>0</w:t>
            </w:r>
            <w:r>
              <w:rPr>
                <w:rFonts w:hint="eastAsia" w:ascii="楷体_GB2312" w:hAnsi="宋体" w:eastAsia="楷体_GB2312" w:cs="楷体_GB2312"/>
                <w:kern w:val="0"/>
                <w:sz w:val="20"/>
                <w:szCs w:val="20"/>
              </w:rPr>
              <w:t>分。</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前三季度进度：进度率≥</w:t>
            </w:r>
            <w:r>
              <w:rPr>
                <w:rFonts w:ascii="楷体_GB2312" w:hAnsi="宋体" w:eastAsia="楷体_GB2312" w:cs="楷体_GB2312"/>
                <w:kern w:val="0"/>
                <w:sz w:val="20"/>
                <w:szCs w:val="20"/>
              </w:rPr>
              <w:t>75%</w:t>
            </w:r>
            <w:r>
              <w:rPr>
                <w:rFonts w:hint="eastAsia" w:ascii="楷体_GB2312" w:hAnsi="宋体" w:eastAsia="楷体_GB2312" w:cs="楷体_GB2312"/>
                <w:kern w:val="0"/>
                <w:sz w:val="20"/>
                <w:szCs w:val="20"/>
              </w:rPr>
              <w:t>，得</w:t>
            </w:r>
            <w:r>
              <w:rPr>
                <w:rFonts w:ascii="楷体_GB2312" w:hAnsi="宋体" w:eastAsia="楷体_GB2312" w:cs="楷体_GB2312"/>
                <w:kern w:val="0"/>
                <w:sz w:val="20"/>
                <w:szCs w:val="20"/>
              </w:rPr>
              <w:t>3</w:t>
            </w:r>
            <w:r>
              <w:rPr>
                <w:rFonts w:hint="eastAsia" w:ascii="楷体_GB2312" w:hAnsi="宋体" w:eastAsia="楷体_GB2312" w:cs="楷体_GB2312"/>
                <w:kern w:val="0"/>
                <w:sz w:val="20"/>
                <w:szCs w:val="20"/>
              </w:rPr>
              <w:t>分；进度率在</w:t>
            </w:r>
            <w:r>
              <w:rPr>
                <w:rFonts w:ascii="楷体_GB2312" w:hAnsi="宋体" w:eastAsia="楷体_GB2312" w:cs="楷体_GB2312"/>
                <w:kern w:val="0"/>
                <w:sz w:val="20"/>
                <w:szCs w:val="20"/>
              </w:rPr>
              <w:t>60%</w:t>
            </w:r>
            <w:r>
              <w:rPr>
                <w:rFonts w:hint="eastAsia" w:ascii="楷体_GB2312" w:hAnsi="宋体" w:eastAsia="楷体_GB2312" w:cs="楷体_GB2312"/>
                <w:kern w:val="0"/>
                <w:sz w:val="20"/>
                <w:szCs w:val="20"/>
              </w:rPr>
              <w:t>（含）和</w:t>
            </w:r>
            <w:r>
              <w:rPr>
                <w:rFonts w:ascii="楷体_GB2312" w:hAnsi="宋体" w:eastAsia="楷体_GB2312" w:cs="楷体_GB2312"/>
                <w:kern w:val="0"/>
                <w:sz w:val="20"/>
                <w:szCs w:val="20"/>
              </w:rPr>
              <w:t>75%</w:t>
            </w:r>
            <w:r>
              <w:rPr>
                <w:rFonts w:hint="eastAsia" w:ascii="楷体_GB2312" w:hAnsi="宋体" w:eastAsia="楷体_GB2312" w:cs="楷体_GB2312"/>
                <w:kern w:val="0"/>
                <w:sz w:val="20"/>
                <w:szCs w:val="20"/>
              </w:rPr>
              <w:t>之间，得</w:t>
            </w:r>
            <w:r>
              <w:rPr>
                <w:rFonts w:ascii="楷体_GB2312" w:hAnsi="宋体" w:eastAsia="楷体_GB2312" w:cs="楷体_GB2312"/>
                <w:kern w:val="0"/>
                <w:sz w:val="20"/>
                <w:szCs w:val="20"/>
              </w:rPr>
              <w:t>2</w:t>
            </w:r>
            <w:r>
              <w:rPr>
                <w:rFonts w:hint="eastAsia" w:ascii="楷体_GB2312" w:hAnsi="宋体" w:eastAsia="楷体_GB2312" w:cs="楷体_GB2312"/>
                <w:kern w:val="0"/>
                <w:sz w:val="20"/>
                <w:szCs w:val="20"/>
              </w:rPr>
              <w:t>分；进度率＜</w:t>
            </w:r>
            <w:r>
              <w:rPr>
                <w:rFonts w:ascii="楷体_GB2312" w:hAnsi="宋体" w:eastAsia="楷体_GB2312" w:cs="楷体_GB2312"/>
                <w:kern w:val="0"/>
                <w:sz w:val="20"/>
                <w:szCs w:val="20"/>
              </w:rPr>
              <w:t>60%</w:t>
            </w:r>
            <w:r>
              <w:rPr>
                <w:rFonts w:hint="eastAsia" w:ascii="楷体_GB2312" w:hAnsi="宋体" w:eastAsia="楷体_GB2312" w:cs="楷体_GB2312"/>
                <w:kern w:val="0"/>
                <w:sz w:val="20"/>
                <w:szCs w:val="20"/>
              </w:rPr>
              <w:t>，得</w:t>
            </w:r>
            <w:r>
              <w:rPr>
                <w:rFonts w:ascii="楷体_GB2312" w:hAnsi="宋体" w:eastAsia="楷体_GB2312" w:cs="楷体_GB2312"/>
                <w:kern w:val="0"/>
                <w:sz w:val="20"/>
                <w:szCs w:val="20"/>
              </w:rPr>
              <w:t>0</w:t>
            </w:r>
            <w:r>
              <w:rPr>
                <w:rFonts w:hint="eastAsia" w:ascii="楷体_GB2312" w:hAnsi="宋体" w:eastAsia="楷体_GB2312" w:cs="楷体_GB2312"/>
                <w:kern w:val="0"/>
                <w:sz w:val="20"/>
                <w:szCs w:val="20"/>
              </w:rPr>
              <w:t>分。</w:t>
            </w:r>
          </w:p>
        </w:tc>
        <w:tc>
          <w:tcPr>
            <w:tcW w:w="1304"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国库集中支付系统。支出进度率</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（实际支出</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支出预算）×</w:t>
            </w:r>
            <w:r>
              <w:rPr>
                <w:rFonts w:ascii="楷体_GB2312" w:hAnsi="宋体" w:eastAsia="楷体_GB2312" w:cs="楷体_GB2312"/>
                <w:kern w:val="0"/>
                <w:sz w:val="20"/>
                <w:szCs w:val="20"/>
              </w:rPr>
              <w:t>100%</w:t>
            </w:r>
          </w:p>
        </w:tc>
        <w:tc>
          <w:tcPr>
            <w:tcW w:w="1154"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半年支出进度</w:t>
            </w:r>
            <w:r>
              <w:rPr>
                <w:rFonts w:ascii="Arial" w:hAnsi="Arial" w:eastAsia="楷体_GB2312" w:cs="Arial"/>
                <w:kern w:val="0"/>
                <w:sz w:val="20"/>
                <w:szCs w:val="20"/>
              </w:rPr>
              <w:t>≥</w:t>
            </w:r>
            <w:r>
              <w:rPr>
                <w:rFonts w:ascii="楷体_GB2312" w:hAnsi="宋体" w:eastAsia="楷体_GB2312" w:cs="楷体_GB2312"/>
                <w:kern w:val="0"/>
                <w:sz w:val="20"/>
                <w:szCs w:val="20"/>
              </w:rPr>
              <w:t>50%</w:t>
            </w:r>
            <w:r>
              <w:rPr>
                <w:rFonts w:hint="eastAsia" w:ascii="楷体_GB2312" w:hAnsi="宋体" w:eastAsia="楷体_GB2312" w:cs="楷体_GB2312"/>
                <w:kern w:val="0"/>
                <w:sz w:val="20"/>
                <w:szCs w:val="20"/>
              </w:rPr>
              <w:t>，第三季度支出进度≥</w:t>
            </w:r>
            <w:r>
              <w:rPr>
                <w:rFonts w:ascii="楷体_GB2312" w:hAnsi="宋体" w:eastAsia="楷体_GB2312" w:cs="楷体_GB2312"/>
                <w:kern w:val="0"/>
                <w:sz w:val="20"/>
                <w:szCs w:val="20"/>
              </w:rPr>
              <w:t>50%</w:t>
            </w:r>
            <w:r>
              <w:rPr>
                <w:rFonts w:hint="eastAsia" w:ascii="楷体_GB2312" w:hAnsi="宋体" w:eastAsia="楷体_GB2312" w:cs="楷体_GB2312"/>
                <w:kern w:val="0"/>
                <w:sz w:val="20"/>
                <w:szCs w:val="20"/>
              </w:rPr>
              <w:t>。</w:t>
            </w:r>
          </w:p>
        </w:tc>
        <w:tc>
          <w:tcPr>
            <w:tcW w:w="1154"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半年支出进度</w:t>
            </w:r>
            <w:r>
              <w:rPr>
                <w:rFonts w:ascii="Arial" w:hAnsi="Arial" w:eastAsia="楷体_GB2312" w:cs="Arial"/>
                <w:kern w:val="0"/>
                <w:sz w:val="20"/>
                <w:szCs w:val="20"/>
              </w:rPr>
              <w:t>≥</w:t>
            </w:r>
            <w:r>
              <w:rPr>
                <w:rFonts w:ascii="楷体_GB2312" w:hAnsi="宋体" w:eastAsia="楷体_GB2312" w:cs="楷体_GB2312"/>
                <w:kern w:val="0"/>
                <w:sz w:val="20"/>
                <w:szCs w:val="20"/>
              </w:rPr>
              <w:t>50%</w:t>
            </w:r>
            <w:r>
              <w:rPr>
                <w:rFonts w:hint="eastAsia" w:ascii="楷体_GB2312" w:hAnsi="宋体" w:eastAsia="楷体_GB2312" w:cs="楷体_GB2312"/>
                <w:kern w:val="0"/>
                <w:sz w:val="20"/>
                <w:szCs w:val="20"/>
              </w:rPr>
              <w:t>，第三季度支出进度≥</w:t>
            </w:r>
            <w:r>
              <w:rPr>
                <w:rFonts w:ascii="楷体_GB2312" w:hAnsi="宋体" w:eastAsia="楷体_GB2312" w:cs="楷体_GB2312"/>
                <w:kern w:val="0"/>
                <w:sz w:val="20"/>
                <w:szCs w:val="20"/>
              </w:rPr>
              <w:t>50%</w:t>
            </w:r>
            <w:r>
              <w:rPr>
                <w:rFonts w:hint="eastAsia" w:ascii="楷体_GB2312" w:hAnsi="宋体" w:eastAsia="楷体_GB2312" w:cs="楷体_GB2312"/>
                <w:kern w:val="0"/>
                <w:sz w:val="20"/>
                <w:szCs w:val="20"/>
              </w:rPr>
              <w:t>。</w:t>
            </w:r>
          </w:p>
        </w:tc>
        <w:tc>
          <w:tcPr>
            <w:tcW w:w="451" w:type="dxa"/>
            <w:tcBorders>
              <w:top w:val="nil"/>
              <w:left w:val="nil"/>
              <w:bottom w:val="single" w:color="auto" w:sz="4" w:space="0"/>
              <w:right w:val="single" w:color="auto" w:sz="4" w:space="0"/>
            </w:tcBorders>
            <w:vAlign w:val="center"/>
          </w:tcPr>
          <w:p>
            <w:pPr>
              <w:widowControl/>
              <w:spacing w:line="200" w:lineRule="exact"/>
              <w:jc w:val="center"/>
              <w:rPr>
                <w:rFonts w:ascii="楷体_GB2312" w:hAnsi="宋体" w:eastAsia="楷体_GB2312" w:cs="楷体_GB2312"/>
                <w:kern w:val="0"/>
                <w:sz w:val="20"/>
                <w:szCs w:val="20"/>
              </w:rPr>
            </w:pPr>
            <w:r>
              <w:rPr>
                <w:rFonts w:ascii="楷体_GB2312" w:hAnsi="宋体" w:eastAsia="楷体_GB2312" w:cs="楷体_GB2312"/>
                <w:kern w:val="0"/>
                <w:sz w:val="20"/>
                <w:szCs w:val="20"/>
              </w:rPr>
              <w:t>5</w:t>
            </w:r>
          </w:p>
        </w:tc>
        <w:tc>
          <w:tcPr>
            <w:tcW w:w="1114" w:type="dxa"/>
            <w:tcBorders>
              <w:top w:val="nil"/>
              <w:left w:val="nil"/>
              <w:bottom w:val="single" w:color="auto" w:sz="4" w:space="0"/>
              <w:right w:val="single" w:color="auto" w:sz="4" w:space="0"/>
            </w:tcBorders>
            <w:vAlign w:val="center"/>
          </w:tcPr>
          <w:p>
            <w:pPr>
              <w:widowControl/>
              <w:spacing w:line="200" w:lineRule="exact"/>
              <w:jc w:val="center"/>
              <w:rPr>
                <w:rFonts w:ascii="仿宋_GB2312" w:hAnsi="宋体" w:eastAsia="仿宋_GB2312" w:cs="Times New Roman"/>
                <w:kern w:val="0"/>
                <w:sz w:val="20"/>
                <w:szCs w:val="20"/>
              </w:rPr>
            </w:pPr>
            <w:r>
              <w:rPr>
                <w:rFonts w:hint="eastAsia" w:ascii="仿宋_GB2312" w:hAnsi="宋体" w:eastAsia="仿宋_GB2312" w:cs="仿宋_GB2312"/>
                <w:kern w:val="0"/>
                <w:sz w:val="20"/>
                <w:szCs w:val="20"/>
              </w:rPr>
              <w:t>已完成</w:t>
            </w:r>
          </w:p>
        </w:tc>
        <w:tc>
          <w:tcPr>
            <w:tcW w:w="1928" w:type="dxa"/>
            <w:tcBorders>
              <w:top w:val="nil"/>
              <w:left w:val="nil"/>
              <w:bottom w:val="single" w:color="auto" w:sz="4" w:space="0"/>
              <w:right w:val="single" w:color="auto" w:sz="4" w:space="0"/>
            </w:tcBorders>
            <w:vAlign w:val="center"/>
          </w:tcPr>
          <w:p>
            <w:pPr>
              <w:widowControl/>
              <w:spacing w:line="200" w:lineRule="exact"/>
              <w:jc w:val="center"/>
              <w:rPr>
                <w:rFonts w:ascii="仿宋_GB2312" w:hAnsi="宋体" w:eastAsia="仿宋_GB2312" w:cs="Times New Roman"/>
                <w:kern w:val="0"/>
                <w:sz w:val="20"/>
                <w:szCs w:val="20"/>
              </w:rPr>
            </w:pPr>
            <w:r>
              <w:rPr>
                <w:rFonts w:hint="eastAsia" w:ascii="仿宋_GB2312" w:hAnsi="宋体" w:eastAsia="仿宋_GB2312" w:cs="仿宋_GB2312"/>
                <w:kern w:val="0"/>
                <w:sz w:val="20"/>
                <w:szCs w:val="20"/>
              </w:rPr>
              <w:t>　</w:t>
            </w:r>
          </w:p>
        </w:tc>
      </w:tr>
      <w:tr>
        <w:tblPrEx>
          <w:tblCellMar>
            <w:top w:w="0" w:type="dxa"/>
            <w:left w:w="108" w:type="dxa"/>
            <w:bottom w:w="0" w:type="dxa"/>
            <w:right w:w="108" w:type="dxa"/>
          </w:tblCellMar>
        </w:tblPrEx>
        <w:trPr>
          <w:trHeight w:val="1058" w:hRule="atLeast"/>
        </w:trPr>
        <w:tc>
          <w:tcPr>
            <w:tcW w:w="47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Times New Roman"/>
                <w:kern w:val="0"/>
                <w:sz w:val="20"/>
                <w:szCs w:val="20"/>
              </w:rPr>
            </w:pPr>
          </w:p>
        </w:tc>
        <w:tc>
          <w:tcPr>
            <w:tcW w:w="72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Times New Roman"/>
                <w:kern w:val="0"/>
                <w:sz w:val="20"/>
                <w:szCs w:val="20"/>
              </w:rPr>
            </w:pPr>
          </w:p>
        </w:tc>
        <w:tc>
          <w:tcPr>
            <w:tcW w:w="751" w:type="dxa"/>
            <w:tcBorders>
              <w:top w:val="nil"/>
              <w:left w:val="nil"/>
              <w:bottom w:val="single" w:color="auto" w:sz="4" w:space="0"/>
              <w:right w:val="single" w:color="auto" w:sz="4" w:space="0"/>
            </w:tcBorders>
            <w:vAlign w:val="center"/>
          </w:tcPr>
          <w:p>
            <w:pPr>
              <w:widowControl/>
              <w:spacing w:line="24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预算编制准确率（</w:t>
            </w:r>
            <w:r>
              <w:rPr>
                <w:rFonts w:ascii="楷体_GB2312" w:hAnsi="宋体" w:eastAsia="楷体_GB2312" w:cs="楷体_GB2312"/>
                <w:kern w:val="0"/>
                <w:sz w:val="20"/>
                <w:szCs w:val="20"/>
              </w:rPr>
              <w:t>5</w:t>
            </w:r>
            <w:r>
              <w:rPr>
                <w:rFonts w:hint="eastAsia" w:ascii="楷体_GB2312" w:hAnsi="宋体" w:eastAsia="楷体_GB2312" w:cs="楷体_GB2312"/>
                <w:kern w:val="0"/>
                <w:sz w:val="20"/>
                <w:szCs w:val="20"/>
              </w:rPr>
              <w:t>分）</w:t>
            </w:r>
          </w:p>
        </w:tc>
        <w:tc>
          <w:tcPr>
            <w:tcW w:w="451" w:type="dxa"/>
            <w:tcBorders>
              <w:top w:val="nil"/>
              <w:left w:val="nil"/>
              <w:bottom w:val="single" w:color="auto" w:sz="4" w:space="0"/>
              <w:right w:val="single" w:color="auto" w:sz="4" w:space="0"/>
            </w:tcBorders>
            <w:vAlign w:val="center"/>
          </w:tcPr>
          <w:p>
            <w:pPr>
              <w:widowControl/>
              <w:spacing w:line="240" w:lineRule="exact"/>
              <w:jc w:val="center"/>
              <w:rPr>
                <w:rFonts w:ascii="楷体_GB2312" w:hAnsi="宋体" w:eastAsia="楷体_GB2312" w:cs="楷体_GB2312"/>
                <w:kern w:val="0"/>
                <w:sz w:val="20"/>
                <w:szCs w:val="20"/>
              </w:rPr>
            </w:pPr>
            <w:r>
              <w:rPr>
                <w:rFonts w:ascii="楷体_GB2312" w:hAnsi="宋体" w:eastAsia="楷体_GB2312" w:cs="楷体_GB2312"/>
                <w:kern w:val="0"/>
                <w:sz w:val="20"/>
                <w:szCs w:val="20"/>
              </w:rPr>
              <w:t>5</w:t>
            </w:r>
          </w:p>
        </w:tc>
        <w:tc>
          <w:tcPr>
            <w:tcW w:w="2429"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部门预算中除财政拨款外的其他收入预算与决算差异率。</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预算编制准确率＝其他收入决算数</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其他收入预算数×</w:t>
            </w:r>
            <w:r>
              <w:rPr>
                <w:rFonts w:ascii="楷体_GB2312" w:hAnsi="宋体" w:eastAsia="楷体_GB2312" w:cs="楷体_GB2312"/>
                <w:kern w:val="0"/>
                <w:sz w:val="20"/>
                <w:szCs w:val="20"/>
              </w:rPr>
              <w:t>100%-100%</w:t>
            </w:r>
            <w:r>
              <w:rPr>
                <w:rFonts w:hint="eastAsia" w:ascii="楷体_GB2312" w:hAnsi="宋体" w:eastAsia="楷体_GB2312" w:cs="楷体_GB2312"/>
                <w:kern w:val="0"/>
                <w:sz w:val="20"/>
                <w:szCs w:val="20"/>
              </w:rPr>
              <w:t>。</w:t>
            </w:r>
          </w:p>
        </w:tc>
        <w:tc>
          <w:tcPr>
            <w:tcW w:w="2245"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预算编制准确率≤</w:t>
            </w:r>
            <w:r>
              <w:rPr>
                <w:rFonts w:ascii="楷体_GB2312" w:hAnsi="宋体" w:eastAsia="楷体_GB2312" w:cs="楷体_GB2312"/>
                <w:kern w:val="0"/>
                <w:sz w:val="20"/>
                <w:szCs w:val="20"/>
              </w:rPr>
              <w:t>20%</w:t>
            </w:r>
            <w:r>
              <w:rPr>
                <w:rFonts w:hint="eastAsia" w:ascii="楷体_GB2312" w:hAnsi="宋体" w:eastAsia="楷体_GB2312" w:cs="楷体_GB2312"/>
                <w:kern w:val="0"/>
                <w:sz w:val="20"/>
                <w:szCs w:val="20"/>
              </w:rPr>
              <w:t>，得</w:t>
            </w:r>
            <w:r>
              <w:rPr>
                <w:rFonts w:ascii="楷体_GB2312" w:hAnsi="宋体" w:eastAsia="楷体_GB2312" w:cs="楷体_GB2312"/>
                <w:kern w:val="0"/>
                <w:sz w:val="20"/>
                <w:szCs w:val="20"/>
              </w:rPr>
              <w:t>5</w:t>
            </w:r>
            <w:r>
              <w:rPr>
                <w:rFonts w:hint="eastAsia" w:ascii="楷体_GB2312" w:hAnsi="宋体" w:eastAsia="楷体_GB2312" w:cs="楷体_GB2312"/>
                <w:kern w:val="0"/>
                <w:sz w:val="20"/>
                <w:szCs w:val="20"/>
              </w:rPr>
              <w:t>分。</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预算编制准确率在</w:t>
            </w:r>
            <w:r>
              <w:rPr>
                <w:rFonts w:ascii="楷体_GB2312" w:hAnsi="宋体" w:eastAsia="楷体_GB2312" w:cs="楷体_GB2312"/>
                <w:kern w:val="0"/>
                <w:sz w:val="20"/>
                <w:szCs w:val="20"/>
              </w:rPr>
              <w:t>20%</w:t>
            </w:r>
            <w:r>
              <w:rPr>
                <w:rFonts w:hint="eastAsia" w:ascii="楷体_GB2312" w:hAnsi="宋体" w:eastAsia="楷体_GB2312" w:cs="楷体_GB2312"/>
                <w:kern w:val="0"/>
                <w:sz w:val="20"/>
                <w:szCs w:val="20"/>
              </w:rPr>
              <w:t>和</w:t>
            </w:r>
            <w:r>
              <w:rPr>
                <w:rFonts w:ascii="楷体_GB2312" w:hAnsi="宋体" w:eastAsia="楷体_GB2312" w:cs="楷体_GB2312"/>
                <w:kern w:val="0"/>
                <w:sz w:val="20"/>
                <w:szCs w:val="20"/>
              </w:rPr>
              <w:t>40%</w:t>
            </w:r>
            <w:r>
              <w:rPr>
                <w:rFonts w:hint="eastAsia" w:ascii="楷体_GB2312" w:hAnsi="宋体" w:eastAsia="楷体_GB2312" w:cs="楷体_GB2312"/>
                <w:kern w:val="0"/>
                <w:sz w:val="20"/>
                <w:szCs w:val="20"/>
              </w:rPr>
              <w:t>（含）之间，得</w:t>
            </w:r>
            <w:r>
              <w:rPr>
                <w:rFonts w:ascii="楷体_GB2312" w:hAnsi="宋体" w:eastAsia="楷体_GB2312" w:cs="楷体_GB2312"/>
                <w:kern w:val="0"/>
                <w:sz w:val="20"/>
                <w:szCs w:val="20"/>
              </w:rPr>
              <w:t>3</w:t>
            </w:r>
            <w:r>
              <w:rPr>
                <w:rFonts w:hint="eastAsia" w:ascii="楷体_GB2312" w:hAnsi="宋体" w:eastAsia="楷体_GB2312" w:cs="楷体_GB2312"/>
                <w:kern w:val="0"/>
                <w:sz w:val="20"/>
                <w:szCs w:val="20"/>
              </w:rPr>
              <w:t>分。</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预算编制准确率＞</w:t>
            </w:r>
            <w:r>
              <w:rPr>
                <w:rFonts w:ascii="楷体_GB2312" w:hAnsi="宋体" w:eastAsia="楷体_GB2312" w:cs="楷体_GB2312"/>
                <w:kern w:val="0"/>
                <w:sz w:val="20"/>
                <w:szCs w:val="20"/>
              </w:rPr>
              <w:t>40%</w:t>
            </w:r>
            <w:r>
              <w:rPr>
                <w:rFonts w:hint="eastAsia" w:ascii="楷体_GB2312" w:hAnsi="宋体" w:eastAsia="楷体_GB2312" w:cs="楷体_GB2312"/>
                <w:kern w:val="0"/>
                <w:sz w:val="20"/>
                <w:szCs w:val="20"/>
              </w:rPr>
              <w:t>，得</w:t>
            </w:r>
            <w:r>
              <w:rPr>
                <w:rFonts w:ascii="楷体_GB2312" w:hAnsi="宋体" w:eastAsia="楷体_GB2312" w:cs="楷体_GB2312"/>
                <w:kern w:val="0"/>
                <w:sz w:val="20"/>
                <w:szCs w:val="20"/>
              </w:rPr>
              <w:t>0</w:t>
            </w:r>
            <w:r>
              <w:rPr>
                <w:rFonts w:hint="eastAsia" w:ascii="楷体_GB2312" w:hAnsi="宋体" w:eastAsia="楷体_GB2312" w:cs="楷体_GB2312"/>
                <w:kern w:val="0"/>
                <w:sz w:val="20"/>
                <w:szCs w:val="20"/>
              </w:rPr>
              <w:t>分。</w:t>
            </w:r>
          </w:p>
        </w:tc>
        <w:tc>
          <w:tcPr>
            <w:tcW w:w="1304"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预算编制准确率≤</w:t>
            </w:r>
            <w:r>
              <w:rPr>
                <w:rFonts w:ascii="楷体_GB2312" w:hAnsi="宋体" w:eastAsia="楷体_GB2312" w:cs="楷体_GB2312"/>
                <w:kern w:val="0"/>
                <w:sz w:val="20"/>
                <w:szCs w:val="20"/>
              </w:rPr>
              <w:t>20%</w:t>
            </w:r>
          </w:p>
        </w:tc>
        <w:tc>
          <w:tcPr>
            <w:tcW w:w="1154"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预算编制准确率≤</w:t>
            </w:r>
            <w:r>
              <w:rPr>
                <w:rFonts w:ascii="楷体_GB2312" w:hAnsi="宋体" w:eastAsia="楷体_GB2312" w:cs="楷体_GB2312"/>
                <w:kern w:val="0"/>
                <w:sz w:val="20"/>
                <w:szCs w:val="20"/>
              </w:rPr>
              <w:t>20%</w:t>
            </w:r>
          </w:p>
        </w:tc>
        <w:tc>
          <w:tcPr>
            <w:tcW w:w="1154"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预算编制准确率≤</w:t>
            </w:r>
            <w:r>
              <w:rPr>
                <w:rFonts w:ascii="楷体_GB2312" w:hAnsi="宋体" w:eastAsia="楷体_GB2312" w:cs="楷体_GB2312"/>
                <w:kern w:val="0"/>
                <w:sz w:val="20"/>
                <w:szCs w:val="20"/>
              </w:rPr>
              <w:t>20%</w:t>
            </w:r>
          </w:p>
        </w:tc>
        <w:tc>
          <w:tcPr>
            <w:tcW w:w="451" w:type="dxa"/>
            <w:tcBorders>
              <w:top w:val="nil"/>
              <w:left w:val="nil"/>
              <w:bottom w:val="single" w:color="auto" w:sz="4" w:space="0"/>
              <w:right w:val="single" w:color="auto" w:sz="4" w:space="0"/>
            </w:tcBorders>
            <w:vAlign w:val="center"/>
          </w:tcPr>
          <w:p>
            <w:pPr>
              <w:widowControl/>
              <w:spacing w:line="200" w:lineRule="exact"/>
              <w:jc w:val="center"/>
              <w:rPr>
                <w:rFonts w:ascii="楷体_GB2312" w:hAnsi="宋体" w:eastAsia="楷体_GB2312" w:cs="楷体_GB2312"/>
                <w:kern w:val="0"/>
                <w:sz w:val="20"/>
                <w:szCs w:val="20"/>
              </w:rPr>
            </w:pPr>
            <w:r>
              <w:rPr>
                <w:rFonts w:ascii="楷体_GB2312" w:hAnsi="宋体" w:eastAsia="楷体_GB2312" w:cs="楷体_GB2312"/>
                <w:kern w:val="0"/>
                <w:sz w:val="20"/>
                <w:szCs w:val="20"/>
              </w:rPr>
              <w:t>5</w:t>
            </w:r>
          </w:p>
        </w:tc>
        <w:tc>
          <w:tcPr>
            <w:tcW w:w="1114" w:type="dxa"/>
            <w:tcBorders>
              <w:top w:val="nil"/>
              <w:left w:val="nil"/>
              <w:bottom w:val="single" w:color="auto" w:sz="4" w:space="0"/>
              <w:right w:val="single" w:color="auto" w:sz="4" w:space="0"/>
            </w:tcBorders>
            <w:vAlign w:val="center"/>
          </w:tcPr>
          <w:p>
            <w:pPr>
              <w:widowControl/>
              <w:spacing w:line="200" w:lineRule="exact"/>
              <w:jc w:val="center"/>
              <w:rPr>
                <w:rFonts w:ascii="仿宋_GB2312" w:hAnsi="宋体" w:eastAsia="仿宋_GB2312" w:cs="Times New Roman"/>
                <w:kern w:val="0"/>
                <w:sz w:val="20"/>
                <w:szCs w:val="20"/>
              </w:rPr>
            </w:pPr>
            <w:r>
              <w:rPr>
                <w:rFonts w:hint="eastAsia" w:ascii="仿宋_GB2312" w:hAnsi="宋体" w:eastAsia="仿宋_GB2312" w:cs="仿宋_GB2312"/>
                <w:kern w:val="0"/>
                <w:sz w:val="20"/>
                <w:szCs w:val="20"/>
              </w:rPr>
              <w:t>已完成</w:t>
            </w:r>
          </w:p>
        </w:tc>
        <w:tc>
          <w:tcPr>
            <w:tcW w:w="1928" w:type="dxa"/>
            <w:tcBorders>
              <w:top w:val="nil"/>
              <w:left w:val="nil"/>
              <w:bottom w:val="single" w:color="auto" w:sz="4" w:space="0"/>
              <w:right w:val="single" w:color="auto" w:sz="4" w:space="0"/>
            </w:tcBorders>
            <w:vAlign w:val="center"/>
          </w:tcPr>
          <w:p>
            <w:pPr>
              <w:widowControl/>
              <w:spacing w:line="200" w:lineRule="exact"/>
              <w:jc w:val="center"/>
              <w:rPr>
                <w:rFonts w:ascii="仿宋_GB2312" w:hAnsi="宋体" w:eastAsia="仿宋_GB2312" w:cs="Times New Roman"/>
                <w:kern w:val="0"/>
                <w:sz w:val="20"/>
                <w:szCs w:val="20"/>
              </w:rPr>
            </w:pPr>
            <w:r>
              <w:rPr>
                <w:rFonts w:hint="eastAsia" w:ascii="仿宋_GB2312" w:hAnsi="宋体" w:eastAsia="仿宋_GB2312" w:cs="仿宋_GB2312"/>
                <w:kern w:val="0"/>
                <w:sz w:val="20"/>
                <w:szCs w:val="20"/>
              </w:rPr>
              <w:t>　</w:t>
            </w:r>
          </w:p>
        </w:tc>
      </w:tr>
      <w:tr>
        <w:tblPrEx>
          <w:tblCellMar>
            <w:top w:w="0" w:type="dxa"/>
            <w:left w:w="108" w:type="dxa"/>
            <w:bottom w:w="0" w:type="dxa"/>
            <w:right w:w="108" w:type="dxa"/>
          </w:tblCellMar>
        </w:tblPrEx>
        <w:trPr>
          <w:trHeight w:val="2206" w:hRule="atLeast"/>
        </w:trPr>
        <w:tc>
          <w:tcPr>
            <w:tcW w:w="473" w:type="dxa"/>
            <w:vMerge w:val="restart"/>
            <w:tcBorders>
              <w:top w:val="nil"/>
              <w:left w:val="single" w:color="auto" w:sz="4" w:space="0"/>
              <w:bottom w:val="single" w:color="auto" w:sz="4" w:space="0"/>
              <w:right w:val="single" w:color="auto" w:sz="4" w:space="0"/>
            </w:tcBorders>
            <w:noWrap/>
            <w:textDirection w:val="tbRlV"/>
            <w:vAlign w:val="center"/>
          </w:tcPr>
          <w:p>
            <w:pPr>
              <w:widowControl/>
              <w:spacing w:line="240" w:lineRule="exact"/>
              <w:jc w:val="center"/>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过程</w:t>
            </w:r>
          </w:p>
        </w:tc>
        <w:tc>
          <w:tcPr>
            <w:tcW w:w="720"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预算管理（</w:t>
            </w:r>
            <w:r>
              <w:rPr>
                <w:rFonts w:ascii="楷体_GB2312" w:hAnsi="宋体" w:eastAsia="楷体_GB2312" w:cs="楷体_GB2312"/>
                <w:kern w:val="0"/>
                <w:sz w:val="20"/>
                <w:szCs w:val="20"/>
              </w:rPr>
              <w:t>15</w:t>
            </w:r>
            <w:r>
              <w:rPr>
                <w:rFonts w:hint="eastAsia" w:ascii="楷体_GB2312" w:hAnsi="宋体" w:eastAsia="楷体_GB2312" w:cs="楷体_GB2312"/>
                <w:kern w:val="0"/>
                <w:sz w:val="20"/>
                <w:szCs w:val="20"/>
              </w:rPr>
              <w:t>分）</w:t>
            </w:r>
          </w:p>
        </w:tc>
        <w:tc>
          <w:tcPr>
            <w:tcW w:w="751" w:type="dxa"/>
            <w:tcBorders>
              <w:top w:val="nil"/>
              <w:left w:val="nil"/>
              <w:bottom w:val="single" w:color="auto" w:sz="4" w:space="0"/>
              <w:right w:val="single" w:color="auto" w:sz="4" w:space="0"/>
            </w:tcBorders>
            <w:vAlign w:val="center"/>
          </w:tcPr>
          <w:p>
            <w:pPr>
              <w:widowControl/>
              <w:spacing w:line="24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“三公经费”控制率</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5</w:t>
            </w:r>
            <w:r>
              <w:rPr>
                <w:rFonts w:hint="eastAsia" w:ascii="楷体_GB2312" w:hAnsi="宋体" w:eastAsia="楷体_GB2312" w:cs="楷体_GB2312"/>
                <w:kern w:val="0"/>
                <w:sz w:val="20"/>
                <w:szCs w:val="20"/>
              </w:rPr>
              <w:t>分）</w:t>
            </w:r>
          </w:p>
        </w:tc>
        <w:tc>
          <w:tcPr>
            <w:tcW w:w="451" w:type="dxa"/>
            <w:tcBorders>
              <w:top w:val="nil"/>
              <w:left w:val="nil"/>
              <w:bottom w:val="single" w:color="auto" w:sz="4" w:space="0"/>
              <w:right w:val="single" w:color="auto" w:sz="4" w:space="0"/>
            </w:tcBorders>
            <w:vAlign w:val="center"/>
          </w:tcPr>
          <w:p>
            <w:pPr>
              <w:widowControl/>
              <w:spacing w:line="240" w:lineRule="exact"/>
              <w:jc w:val="center"/>
              <w:rPr>
                <w:rFonts w:ascii="楷体_GB2312" w:hAnsi="宋体" w:eastAsia="楷体_GB2312" w:cs="楷体_GB2312"/>
                <w:kern w:val="0"/>
                <w:sz w:val="20"/>
                <w:szCs w:val="20"/>
              </w:rPr>
            </w:pPr>
            <w:r>
              <w:rPr>
                <w:rFonts w:ascii="楷体_GB2312" w:hAnsi="宋体" w:eastAsia="楷体_GB2312" w:cs="楷体_GB2312"/>
                <w:kern w:val="0"/>
                <w:sz w:val="20"/>
                <w:szCs w:val="20"/>
              </w:rPr>
              <w:t>5</w:t>
            </w:r>
          </w:p>
        </w:tc>
        <w:tc>
          <w:tcPr>
            <w:tcW w:w="2429"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“三公经费”控制率</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（“三公经费”实际支出数</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“三公经费”预算安排数）×</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，用以反映和考核部门（单位）对“三公经费”的实际控制程度。</w:t>
            </w:r>
          </w:p>
        </w:tc>
        <w:tc>
          <w:tcPr>
            <w:tcW w:w="2245"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三公经费控制率</w:t>
            </w:r>
            <w:r>
              <w:rPr>
                <w:rFonts w:ascii="楷体_GB2312" w:hAnsi="宋体" w:eastAsia="楷体_GB2312" w:cs="楷体_GB2312"/>
                <w:kern w:val="0"/>
                <w:sz w:val="20"/>
                <w:szCs w:val="20"/>
              </w:rPr>
              <w:t xml:space="preserve"> </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，得</w:t>
            </w:r>
            <w:r>
              <w:rPr>
                <w:rFonts w:ascii="楷体_GB2312" w:hAnsi="宋体" w:eastAsia="楷体_GB2312" w:cs="楷体_GB2312"/>
                <w:kern w:val="0"/>
                <w:sz w:val="20"/>
                <w:szCs w:val="20"/>
              </w:rPr>
              <w:t>5</w:t>
            </w:r>
            <w:r>
              <w:rPr>
                <w:rFonts w:hint="eastAsia" w:ascii="楷体_GB2312" w:hAnsi="宋体" w:eastAsia="楷体_GB2312" w:cs="楷体_GB2312"/>
                <w:kern w:val="0"/>
                <w:sz w:val="20"/>
                <w:szCs w:val="20"/>
              </w:rPr>
              <w:t>分，每增加</w:t>
            </w:r>
            <w:r>
              <w:rPr>
                <w:rFonts w:ascii="楷体_GB2312" w:hAnsi="宋体" w:eastAsia="楷体_GB2312" w:cs="楷体_GB2312"/>
                <w:kern w:val="0"/>
                <w:sz w:val="20"/>
                <w:szCs w:val="20"/>
              </w:rPr>
              <w:t>0.1</w:t>
            </w:r>
            <w:r>
              <w:rPr>
                <w:rFonts w:hint="eastAsia" w:ascii="楷体_GB2312" w:hAnsi="宋体" w:eastAsia="楷体_GB2312" w:cs="楷体_GB2312"/>
                <w:kern w:val="0"/>
                <w:sz w:val="20"/>
                <w:szCs w:val="20"/>
              </w:rPr>
              <w:t>个百分点扣</w:t>
            </w:r>
            <w:r>
              <w:rPr>
                <w:rFonts w:ascii="楷体_GB2312" w:hAnsi="宋体" w:eastAsia="楷体_GB2312" w:cs="楷体_GB2312"/>
                <w:kern w:val="0"/>
                <w:sz w:val="20"/>
                <w:szCs w:val="20"/>
              </w:rPr>
              <w:t>0.5</w:t>
            </w:r>
            <w:r>
              <w:rPr>
                <w:rFonts w:hint="eastAsia" w:ascii="楷体_GB2312" w:hAnsi="宋体" w:eastAsia="楷体_GB2312" w:cs="楷体_GB2312"/>
                <w:kern w:val="0"/>
                <w:sz w:val="20"/>
                <w:szCs w:val="20"/>
              </w:rPr>
              <w:t>分，扣完为止。</w:t>
            </w:r>
          </w:p>
        </w:tc>
        <w:tc>
          <w:tcPr>
            <w:tcW w:w="1304"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三公经费”控制率</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（“三公经费”实际支出数</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“三公经费”预算安排数）×</w:t>
            </w:r>
            <w:r>
              <w:rPr>
                <w:rFonts w:ascii="楷体_GB2312" w:hAnsi="宋体" w:eastAsia="楷体_GB2312" w:cs="楷体_GB2312"/>
                <w:kern w:val="0"/>
                <w:sz w:val="20"/>
                <w:szCs w:val="20"/>
              </w:rPr>
              <w:t>100%</w:t>
            </w:r>
          </w:p>
        </w:tc>
        <w:tc>
          <w:tcPr>
            <w:tcW w:w="1154"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三公经费控制率≤</w:t>
            </w:r>
            <w:r>
              <w:rPr>
                <w:rFonts w:ascii="楷体_GB2312" w:hAnsi="宋体" w:eastAsia="楷体_GB2312" w:cs="楷体_GB2312"/>
                <w:kern w:val="0"/>
                <w:sz w:val="20"/>
                <w:szCs w:val="20"/>
              </w:rPr>
              <w:t>100%</w:t>
            </w:r>
          </w:p>
        </w:tc>
        <w:tc>
          <w:tcPr>
            <w:tcW w:w="1154" w:type="dxa"/>
            <w:tcBorders>
              <w:top w:val="nil"/>
              <w:left w:val="nil"/>
              <w:bottom w:val="single" w:color="auto" w:sz="4" w:space="0"/>
              <w:right w:val="single" w:color="auto" w:sz="4" w:space="0"/>
            </w:tcBorders>
            <w:vAlign w:val="center"/>
          </w:tcPr>
          <w:p>
            <w:pPr>
              <w:widowControl/>
              <w:spacing w:line="200" w:lineRule="exact"/>
              <w:jc w:val="right"/>
              <w:rPr>
                <w:rFonts w:ascii="楷体_GB2312" w:hAnsi="宋体" w:eastAsia="楷体_GB2312" w:cs="楷体_GB2312"/>
                <w:kern w:val="0"/>
                <w:sz w:val="20"/>
                <w:szCs w:val="20"/>
              </w:rPr>
            </w:pPr>
            <w:r>
              <w:rPr>
                <w:rFonts w:ascii="楷体_GB2312" w:hAnsi="宋体" w:eastAsia="楷体_GB2312" w:cs="楷体_GB2312"/>
                <w:kern w:val="0"/>
                <w:sz w:val="20"/>
                <w:szCs w:val="20"/>
              </w:rPr>
              <w:t>100%</w:t>
            </w:r>
          </w:p>
        </w:tc>
        <w:tc>
          <w:tcPr>
            <w:tcW w:w="451" w:type="dxa"/>
            <w:tcBorders>
              <w:top w:val="nil"/>
              <w:left w:val="nil"/>
              <w:bottom w:val="single" w:color="auto" w:sz="4" w:space="0"/>
              <w:right w:val="single" w:color="auto" w:sz="4" w:space="0"/>
            </w:tcBorders>
            <w:vAlign w:val="center"/>
          </w:tcPr>
          <w:p>
            <w:pPr>
              <w:widowControl/>
              <w:spacing w:line="200" w:lineRule="exact"/>
              <w:jc w:val="center"/>
              <w:rPr>
                <w:rFonts w:ascii="楷体_GB2312" w:hAnsi="宋体" w:eastAsia="楷体_GB2312" w:cs="楷体_GB2312"/>
                <w:kern w:val="0"/>
                <w:sz w:val="20"/>
                <w:szCs w:val="20"/>
              </w:rPr>
            </w:pPr>
            <w:r>
              <w:rPr>
                <w:rFonts w:ascii="楷体_GB2312" w:hAnsi="宋体" w:eastAsia="楷体_GB2312" w:cs="楷体_GB2312"/>
                <w:kern w:val="0"/>
                <w:sz w:val="20"/>
                <w:szCs w:val="20"/>
              </w:rPr>
              <w:t>5</w:t>
            </w:r>
          </w:p>
        </w:tc>
        <w:tc>
          <w:tcPr>
            <w:tcW w:w="1114" w:type="dxa"/>
            <w:tcBorders>
              <w:top w:val="nil"/>
              <w:left w:val="nil"/>
              <w:bottom w:val="single" w:color="auto" w:sz="4" w:space="0"/>
              <w:right w:val="single" w:color="auto" w:sz="4" w:space="0"/>
            </w:tcBorders>
            <w:vAlign w:val="center"/>
          </w:tcPr>
          <w:p>
            <w:pPr>
              <w:widowControl/>
              <w:spacing w:line="200" w:lineRule="exact"/>
              <w:jc w:val="center"/>
              <w:rPr>
                <w:rFonts w:ascii="仿宋_GB2312" w:hAnsi="宋体" w:eastAsia="仿宋_GB2312" w:cs="Times New Roman"/>
                <w:kern w:val="0"/>
                <w:sz w:val="20"/>
                <w:szCs w:val="20"/>
              </w:rPr>
            </w:pPr>
            <w:r>
              <w:rPr>
                <w:rFonts w:hint="eastAsia" w:ascii="仿宋_GB2312" w:hAnsi="宋体" w:eastAsia="仿宋_GB2312" w:cs="仿宋_GB2312"/>
                <w:kern w:val="0"/>
                <w:sz w:val="20"/>
                <w:szCs w:val="20"/>
              </w:rPr>
              <w:t>已完成</w:t>
            </w:r>
          </w:p>
        </w:tc>
        <w:tc>
          <w:tcPr>
            <w:tcW w:w="1928" w:type="dxa"/>
            <w:tcBorders>
              <w:top w:val="nil"/>
              <w:left w:val="nil"/>
              <w:bottom w:val="single" w:color="auto" w:sz="4" w:space="0"/>
              <w:right w:val="single" w:color="auto" w:sz="4" w:space="0"/>
            </w:tcBorders>
            <w:vAlign w:val="center"/>
          </w:tcPr>
          <w:p>
            <w:pPr>
              <w:widowControl/>
              <w:spacing w:line="200" w:lineRule="exact"/>
              <w:jc w:val="center"/>
              <w:rPr>
                <w:rFonts w:ascii="仿宋_GB2312" w:hAnsi="宋体" w:eastAsia="仿宋_GB2312" w:cs="Times New Roman"/>
                <w:kern w:val="0"/>
                <w:sz w:val="20"/>
                <w:szCs w:val="20"/>
              </w:rPr>
            </w:pPr>
            <w:r>
              <w:rPr>
                <w:rFonts w:hint="eastAsia" w:ascii="仿宋_GB2312" w:hAnsi="宋体" w:eastAsia="仿宋_GB2312" w:cs="仿宋_GB2312"/>
                <w:kern w:val="0"/>
                <w:sz w:val="20"/>
                <w:szCs w:val="20"/>
              </w:rPr>
              <w:t>　</w:t>
            </w:r>
          </w:p>
        </w:tc>
      </w:tr>
      <w:tr>
        <w:tblPrEx>
          <w:tblCellMar>
            <w:top w:w="0" w:type="dxa"/>
            <w:left w:w="108" w:type="dxa"/>
            <w:bottom w:w="0" w:type="dxa"/>
            <w:right w:w="108" w:type="dxa"/>
          </w:tblCellMar>
        </w:tblPrEx>
        <w:trPr>
          <w:trHeight w:val="216" w:hRule="atLeast"/>
        </w:trPr>
        <w:tc>
          <w:tcPr>
            <w:tcW w:w="47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Times New Roman"/>
                <w:kern w:val="0"/>
                <w:sz w:val="20"/>
                <w:szCs w:val="20"/>
              </w:rPr>
            </w:pPr>
          </w:p>
        </w:tc>
        <w:tc>
          <w:tcPr>
            <w:tcW w:w="72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Times New Roman"/>
                <w:kern w:val="0"/>
                <w:sz w:val="20"/>
                <w:szCs w:val="20"/>
              </w:rPr>
            </w:pPr>
          </w:p>
        </w:tc>
        <w:tc>
          <w:tcPr>
            <w:tcW w:w="751" w:type="dxa"/>
            <w:tcBorders>
              <w:top w:val="nil"/>
              <w:left w:val="nil"/>
              <w:bottom w:val="single" w:color="auto" w:sz="4" w:space="0"/>
              <w:right w:val="single" w:color="auto" w:sz="4" w:space="0"/>
            </w:tcBorders>
            <w:vAlign w:val="center"/>
          </w:tcPr>
          <w:p>
            <w:pPr>
              <w:widowControl/>
              <w:spacing w:line="24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资产管理规范性</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5</w:t>
            </w:r>
            <w:r>
              <w:rPr>
                <w:rFonts w:hint="eastAsia" w:ascii="楷体_GB2312" w:hAnsi="宋体" w:eastAsia="楷体_GB2312" w:cs="楷体_GB2312"/>
                <w:kern w:val="0"/>
                <w:sz w:val="20"/>
                <w:szCs w:val="20"/>
              </w:rPr>
              <w:t>分）</w:t>
            </w:r>
          </w:p>
        </w:tc>
        <w:tc>
          <w:tcPr>
            <w:tcW w:w="451" w:type="dxa"/>
            <w:tcBorders>
              <w:top w:val="nil"/>
              <w:left w:val="nil"/>
              <w:bottom w:val="single" w:color="auto" w:sz="4" w:space="0"/>
              <w:right w:val="single" w:color="auto" w:sz="4" w:space="0"/>
            </w:tcBorders>
            <w:vAlign w:val="center"/>
          </w:tcPr>
          <w:p>
            <w:pPr>
              <w:widowControl/>
              <w:spacing w:line="240" w:lineRule="exact"/>
              <w:jc w:val="center"/>
              <w:rPr>
                <w:rFonts w:ascii="楷体_GB2312" w:hAnsi="宋体" w:eastAsia="楷体_GB2312" w:cs="楷体_GB2312"/>
                <w:kern w:val="0"/>
                <w:sz w:val="20"/>
                <w:szCs w:val="20"/>
              </w:rPr>
            </w:pPr>
            <w:r>
              <w:rPr>
                <w:rFonts w:ascii="楷体_GB2312" w:hAnsi="宋体" w:eastAsia="楷体_GB2312" w:cs="楷体_GB2312"/>
                <w:kern w:val="0"/>
                <w:sz w:val="20"/>
                <w:szCs w:val="20"/>
              </w:rPr>
              <w:t>5</w:t>
            </w:r>
          </w:p>
        </w:tc>
        <w:tc>
          <w:tcPr>
            <w:tcW w:w="2429"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部门（单位）资产管理是否规范，用以反映和考核部门（单位）资产管理情况。</w:t>
            </w:r>
            <w:r>
              <w:rPr>
                <w:rFonts w:ascii="楷体_GB2312" w:hAnsi="宋体" w:eastAsia="楷体_GB2312" w:cs="Times New Roman"/>
                <w:kern w:val="0"/>
                <w:sz w:val="20"/>
                <w:szCs w:val="20"/>
              </w:rPr>
              <w:br w:type="textWrapping"/>
            </w:r>
            <w:r>
              <w:rPr>
                <w:rFonts w:ascii="楷体_GB2312" w:hAnsi="宋体" w:eastAsia="楷体_GB2312" w:cs="楷体_GB2312"/>
                <w:kern w:val="0"/>
                <w:sz w:val="20"/>
                <w:szCs w:val="20"/>
              </w:rPr>
              <w:t>1.</w:t>
            </w:r>
            <w:r>
              <w:rPr>
                <w:rFonts w:hint="eastAsia" w:ascii="楷体_GB2312" w:hAnsi="宋体" w:eastAsia="楷体_GB2312" w:cs="楷体_GB2312"/>
                <w:kern w:val="0"/>
                <w:sz w:val="20"/>
                <w:szCs w:val="20"/>
              </w:rPr>
              <w:t>新增资产配置按预算执行。</w:t>
            </w:r>
            <w:r>
              <w:rPr>
                <w:rFonts w:ascii="楷体_GB2312" w:hAnsi="宋体" w:eastAsia="楷体_GB2312" w:cs="Times New Roman"/>
                <w:kern w:val="0"/>
                <w:sz w:val="20"/>
                <w:szCs w:val="20"/>
              </w:rPr>
              <w:br w:type="textWrapping"/>
            </w:r>
            <w:r>
              <w:rPr>
                <w:rFonts w:ascii="楷体_GB2312" w:hAnsi="宋体" w:eastAsia="楷体_GB2312" w:cs="楷体_GB2312"/>
                <w:kern w:val="0"/>
                <w:sz w:val="20"/>
                <w:szCs w:val="20"/>
              </w:rPr>
              <w:t>2.</w:t>
            </w:r>
            <w:r>
              <w:rPr>
                <w:rFonts w:hint="eastAsia" w:ascii="楷体_GB2312" w:hAnsi="宋体" w:eastAsia="楷体_GB2312" w:cs="楷体_GB2312"/>
                <w:kern w:val="0"/>
                <w:sz w:val="20"/>
                <w:szCs w:val="20"/>
              </w:rPr>
              <w:t>资产有偿使用、处置按规定程序审批。</w:t>
            </w:r>
            <w:r>
              <w:rPr>
                <w:rFonts w:ascii="楷体_GB2312" w:hAnsi="宋体" w:eastAsia="楷体_GB2312" w:cs="Times New Roman"/>
                <w:kern w:val="0"/>
                <w:sz w:val="20"/>
                <w:szCs w:val="20"/>
              </w:rPr>
              <w:br w:type="textWrapping"/>
            </w:r>
            <w:r>
              <w:rPr>
                <w:rFonts w:ascii="楷体_GB2312" w:hAnsi="宋体" w:eastAsia="楷体_GB2312" w:cs="楷体_GB2312"/>
                <w:kern w:val="0"/>
                <w:sz w:val="20"/>
                <w:szCs w:val="20"/>
              </w:rPr>
              <w:t>3.</w:t>
            </w:r>
            <w:r>
              <w:rPr>
                <w:rFonts w:hint="eastAsia" w:ascii="楷体_GB2312" w:hAnsi="宋体" w:eastAsia="楷体_GB2312" w:cs="楷体_GB2312"/>
                <w:kern w:val="0"/>
                <w:sz w:val="20"/>
                <w:szCs w:val="20"/>
              </w:rPr>
              <w:t>资产收益及时、足额上缴财政。</w:t>
            </w:r>
          </w:p>
        </w:tc>
        <w:tc>
          <w:tcPr>
            <w:tcW w:w="2245"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全部符合</w:t>
            </w:r>
            <w:r>
              <w:rPr>
                <w:rFonts w:ascii="楷体_GB2312" w:hAnsi="宋体" w:eastAsia="楷体_GB2312" w:cs="楷体_GB2312"/>
                <w:kern w:val="0"/>
                <w:sz w:val="20"/>
                <w:szCs w:val="20"/>
              </w:rPr>
              <w:t>5</w:t>
            </w:r>
            <w:r>
              <w:rPr>
                <w:rFonts w:hint="eastAsia" w:ascii="楷体_GB2312" w:hAnsi="宋体" w:eastAsia="楷体_GB2312" w:cs="楷体_GB2312"/>
                <w:kern w:val="0"/>
                <w:sz w:val="20"/>
                <w:szCs w:val="20"/>
              </w:rPr>
              <w:t>分，有</w:t>
            </w:r>
            <w:r>
              <w:rPr>
                <w:rFonts w:ascii="楷体_GB2312" w:hAnsi="宋体" w:eastAsia="楷体_GB2312" w:cs="楷体_GB2312"/>
                <w:kern w:val="0"/>
                <w:sz w:val="20"/>
                <w:szCs w:val="20"/>
              </w:rPr>
              <w:t>1</w:t>
            </w:r>
            <w:r>
              <w:rPr>
                <w:rFonts w:hint="eastAsia" w:ascii="楷体_GB2312" w:hAnsi="宋体" w:eastAsia="楷体_GB2312" w:cs="楷体_GB2312"/>
                <w:kern w:val="0"/>
                <w:sz w:val="20"/>
                <w:szCs w:val="20"/>
              </w:rPr>
              <w:t>项不符扣</w:t>
            </w:r>
            <w:r>
              <w:rPr>
                <w:rFonts w:ascii="楷体_GB2312" w:hAnsi="宋体" w:eastAsia="楷体_GB2312" w:cs="楷体_GB2312"/>
                <w:kern w:val="0"/>
                <w:sz w:val="20"/>
                <w:szCs w:val="20"/>
              </w:rPr>
              <w:t>2</w:t>
            </w:r>
            <w:r>
              <w:rPr>
                <w:rFonts w:hint="eastAsia" w:ascii="楷体_GB2312" w:hAnsi="宋体" w:eastAsia="楷体_GB2312" w:cs="楷体_GB2312"/>
                <w:kern w:val="0"/>
                <w:sz w:val="20"/>
                <w:szCs w:val="20"/>
              </w:rPr>
              <w:t>分</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扣完为止。</w:t>
            </w:r>
          </w:p>
        </w:tc>
        <w:tc>
          <w:tcPr>
            <w:tcW w:w="1304"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按照蓝田县财政局关于行政事业单位国有资产管理规定</w:t>
            </w:r>
          </w:p>
        </w:tc>
        <w:tc>
          <w:tcPr>
            <w:tcW w:w="1154"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资产管理严格按照规定执行</w:t>
            </w:r>
          </w:p>
        </w:tc>
        <w:tc>
          <w:tcPr>
            <w:tcW w:w="1154"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资产管理严格按照规定执行</w:t>
            </w:r>
          </w:p>
        </w:tc>
        <w:tc>
          <w:tcPr>
            <w:tcW w:w="451" w:type="dxa"/>
            <w:tcBorders>
              <w:top w:val="nil"/>
              <w:left w:val="nil"/>
              <w:bottom w:val="single" w:color="auto" w:sz="4" w:space="0"/>
              <w:right w:val="single" w:color="auto" w:sz="4" w:space="0"/>
            </w:tcBorders>
            <w:vAlign w:val="center"/>
          </w:tcPr>
          <w:p>
            <w:pPr>
              <w:widowControl/>
              <w:spacing w:line="200" w:lineRule="exact"/>
              <w:jc w:val="center"/>
              <w:rPr>
                <w:rFonts w:ascii="楷体_GB2312" w:hAnsi="宋体" w:eastAsia="楷体_GB2312" w:cs="楷体_GB2312"/>
                <w:kern w:val="0"/>
                <w:sz w:val="20"/>
                <w:szCs w:val="20"/>
              </w:rPr>
            </w:pPr>
            <w:r>
              <w:rPr>
                <w:rFonts w:ascii="楷体_GB2312" w:hAnsi="宋体" w:eastAsia="楷体_GB2312" w:cs="楷体_GB2312"/>
                <w:kern w:val="0"/>
                <w:sz w:val="20"/>
                <w:szCs w:val="20"/>
              </w:rPr>
              <w:t>5</w:t>
            </w:r>
          </w:p>
        </w:tc>
        <w:tc>
          <w:tcPr>
            <w:tcW w:w="1114" w:type="dxa"/>
            <w:tcBorders>
              <w:top w:val="nil"/>
              <w:left w:val="nil"/>
              <w:bottom w:val="single" w:color="auto" w:sz="4" w:space="0"/>
              <w:right w:val="single" w:color="auto" w:sz="4" w:space="0"/>
            </w:tcBorders>
            <w:vAlign w:val="center"/>
          </w:tcPr>
          <w:p>
            <w:pPr>
              <w:widowControl/>
              <w:spacing w:line="200" w:lineRule="exact"/>
              <w:jc w:val="center"/>
              <w:rPr>
                <w:rFonts w:ascii="仿宋_GB2312" w:hAnsi="宋体" w:eastAsia="仿宋_GB2312" w:cs="Times New Roman"/>
                <w:kern w:val="0"/>
                <w:sz w:val="20"/>
                <w:szCs w:val="20"/>
              </w:rPr>
            </w:pPr>
            <w:r>
              <w:rPr>
                <w:rFonts w:hint="eastAsia" w:ascii="仿宋_GB2312" w:hAnsi="宋体" w:eastAsia="仿宋_GB2312" w:cs="仿宋_GB2312"/>
                <w:kern w:val="0"/>
                <w:sz w:val="20"/>
                <w:szCs w:val="20"/>
              </w:rPr>
              <w:t>已完成</w:t>
            </w:r>
          </w:p>
        </w:tc>
        <w:tc>
          <w:tcPr>
            <w:tcW w:w="1928"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加快资产购置和处置审批，提高资产管理效率。</w:t>
            </w:r>
          </w:p>
        </w:tc>
      </w:tr>
      <w:tr>
        <w:tblPrEx>
          <w:tblCellMar>
            <w:top w:w="0" w:type="dxa"/>
            <w:left w:w="108" w:type="dxa"/>
            <w:bottom w:w="0" w:type="dxa"/>
            <w:right w:w="108" w:type="dxa"/>
          </w:tblCellMar>
        </w:tblPrEx>
        <w:trPr>
          <w:trHeight w:val="216" w:hRule="atLeast"/>
        </w:trPr>
        <w:tc>
          <w:tcPr>
            <w:tcW w:w="473" w:type="dxa"/>
            <w:tcBorders>
              <w:top w:val="nil"/>
              <w:left w:val="nil"/>
              <w:bottom w:val="nil"/>
              <w:right w:val="nil"/>
            </w:tcBorders>
            <w:noWrap/>
            <w:textDirection w:val="tbRlV"/>
            <w:vAlign w:val="center"/>
          </w:tcPr>
          <w:p>
            <w:pPr>
              <w:widowControl/>
              <w:spacing w:line="240" w:lineRule="exact"/>
              <w:jc w:val="center"/>
              <w:rPr>
                <w:rFonts w:ascii="楷体_GB2312" w:hAnsi="宋体" w:eastAsia="楷体_GB2312" w:cs="Times New Roman"/>
                <w:kern w:val="0"/>
                <w:sz w:val="20"/>
                <w:szCs w:val="20"/>
              </w:rPr>
            </w:pPr>
          </w:p>
        </w:tc>
        <w:tc>
          <w:tcPr>
            <w:tcW w:w="720" w:type="dxa"/>
            <w:tcBorders>
              <w:top w:val="nil"/>
              <w:left w:val="nil"/>
              <w:bottom w:val="nil"/>
              <w:right w:val="nil"/>
            </w:tcBorders>
            <w:vAlign w:val="center"/>
          </w:tcPr>
          <w:p>
            <w:pPr>
              <w:widowControl/>
              <w:spacing w:line="240" w:lineRule="exact"/>
              <w:jc w:val="center"/>
              <w:rPr>
                <w:rFonts w:ascii="楷体_GB2312" w:hAnsi="宋体" w:eastAsia="楷体_GB2312" w:cs="Times New Roman"/>
                <w:kern w:val="0"/>
                <w:sz w:val="20"/>
                <w:szCs w:val="20"/>
              </w:rPr>
            </w:pPr>
          </w:p>
        </w:tc>
        <w:tc>
          <w:tcPr>
            <w:tcW w:w="751" w:type="dxa"/>
            <w:tcBorders>
              <w:top w:val="nil"/>
              <w:left w:val="nil"/>
              <w:bottom w:val="nil"/>
              <w:right w:val="nil"/>
            </w:tcBorders>
            <w:vAlign w:val="center"/>
          </w:tcPr>
          <w:p>
            <w:pPr>
              <w:widowControl/>
              <w:spacing w:line="240" w:lineRule="exact"/>
              <w:jc w:val="left"/>
              <w:rPr>
                <w:rFonts w:ascii="楷体_GB2312" w:hAnsi="宋体" w:eastAsia="楷体_GB2312" w:cs="Times New Roman"/>
                <w:kern w:val="0"/>
                <w:sz w:val="20"/>
                <w:szCs w:val="20"/>
              </w:rPr>
            </w:pPr>
          </w:p>
        </w:tc>
        <w:tc>
          <w:tcPr>
            <w:tcW w:w="451" w:type="dxa"/>
            <w:tcBorders>
              <w:top w:val="nil"/>
              <w:left w:val="nil"/>
              <w:bottom w:val="nil"/>
              <w:right w:val="nil"/>
            </w:tcBorders>
            <w:vAlign w:val="center"/>
          </w:tcPr>
          <w:p>
            <w:pPr>
              <w:widowControl/>
              <w:spacing w:line="240" w:lineRule="exact"/>
              <w:jc w:val="center"/>
              <w:rPr>
                <w:rFonts w:ascii="楷体_GB2312" w:hAnsi="宋体" w:eastAsia="楷体_GB2312" w:cs="Times New Roman"/>
                <w:kern w:val="0"/>
                <w:sz w:val="20"/>
                <w:szCs w:val="20"/>
              </w:rPr>
            </w:pPr>
          </w:p>
        </w:tc>
        <w:tc>
          <w:tcPr>
            <w:tcW w:w="2429" w:type="dxa"/>
            <w:tcBorders>
              <w:top w:val="nil"/>
              <w:left w:val="nil"/>
              <w:bottom w:val="nil"/>
              <w:right w:val="nil"/>
            </w:tcBorders>
            <w:vAlign w:val="center"/>
          </w:tcPr>
          <w:p>
            <w:pPr>
              <w:widowControl/>
              <w:spacing w:line="200" w:lineRule="exact"/>
              <w:jc w:val="left"/>
              <w:rPr>
                <w:rFonts w:ascii="楷体_GB2312" w:hAnsi="宋体" w:eastAsia="楷体_GB2312" w:cs="Times New Roman"/>
                <w:kern w:val="0"/>
                <w:sz w:val="20"/>
                <w:szCs w:val="20"/>
              </w:rPr>
            </w:pPr>
          </w:p>
        </w:tc>
        <w:tc>
          <w:tcPr>
            <w:tcW w:w="2245" w:type="dxa"/>
            <w:tcBorders>
              <w:top w:val="nil"/>
              <w:left w:val="nil"/>
              <w:bottom w:val="nil"/>
              <w:right w:val="nil"/>
            </w:tcBorders>
            <w:vAlign w:val="center"/>
          </w:tcPr>
          <w:p>
            <w:pPr>
              <w:widowControl/>
              <w:spacing w:line="200" w:lineRule="exact"/>
              <w:jc w:val="left"/>
              <w:rPr>
                <w:rFonts w:ascii="楷体_GB2312" w:hAnsi="宋体" w:eastAsia="楷体_GB2312" w:cs="Times New Roman"/>
                <w:kern w:val="0"/>
                <w:sz w:val="20"/>
                <w:szCs w:val="20"/>
              </w:rPr>
            </w:pPr>
          </w:p>
          <w:p>
            <w:pPr>
              <w:widowControl/>
              <w:spacing w:line="200" w:lineRule="exact"/>
              <w:jc w:val="left"/>
              <w:rPr>
                <w:rFonts w:ascii="楷体_GB2312" w:hAnsi="宋体" w:eastAsia="楷体_GB2312" w:cs="Times New Roman"/>
                <w:kern w:val="0"/>
                <w:sz w:val="20"/>
                <w:szCs w:val="20"/>
              </w:rPr>
            </w:pPr>
          </w:p>
        </w:tc>
        <w:tc>
          <w:tcPr>
            <w:tcW w:w="1304" w:type="dxa"/>
            <w:tcBorders>
              <w:top w:val="nil"/>
              <w:left w:val="nil"/>
              <w:bottom w:val="nil"/>
              <w:right w:val="nil"/>
            </w:tcBorders>
            <w:vAlign w:val="center"/>
          </w:tcPr>
          <w:p>
            <w:pPr>
              <w:widowControl/>
              <w:spacing w:line="200" w:lineRule="exact"/>
              <w:jc w:val="left"/>
              <w:rPr>
                <w:rFonts w:ascii="楷体_GB2312" w:hAnsi="宋体" w:eastAsia="楷体_GB2312" w:cs="Times New Roman"/>
                <w:kern w:val="0"/>
                <w:sz w:val="20"/>
                <w:szCs w:val="20"/>
              </w:rPr>
            </w:pPr>
          </w:p>
        </w:tc>
        <w:tc>
          <w:tcPr>
            <w:tcW w:w="1154" w:type="dxa"/>
            <w:tcBorders>
              <w:top w:val="nil"/>
              <w:left w:val="nil"/>
              <w:bottom w:val="nil"/>
              <w:right w:val="nil"/>
            </w:tcBorders>
            <w:vAlign w:val="center"/>
          </w:tcPr>
          <w:p>
            <w:pPr>
              <w:widowControl/>
              <w:spacing w:line="200" w:lineRule="exact"/>
              <w:jc w:val="left"/>
              <w:rPr>
                <w:rFonts w:ascii="楷体_GB2312" w:hAnsi="宋体" w:eastAsia="楷体_GB2312" w:cs="Times New Roman"/>
                <w:kern w:val="0"/>
                <w:sz w:val="20"/>
                <w:szCs w:val="20"/>
              </w:rPr>
            </w:pPr>
          </w:p>
        </w:tc>
        <w:tc>
          <w:tcPr>
            <w:tcW w:w="1154" w:type="dxa"/>
            <w:tcBorders>
              <w:top w:val="nil"/>
              <w:left w:val="nil"/>
              <w:bottom w:val="nil"/>
              <w:right w:val="nil"/>
            </w:tcBorders>
            <w:vAlign w:val="center"/>
          </w:tcPr>
          <w:p>
            <w:pPr>
              <w:widowControl/>
              <w:spacing w:line="200" w:lineRule="exact"/>
              <w:jc w:val="left"/>
              <w:rPr>
                <w:rFonts w:ascii="楷体_GB2312" w:hAnsi="宋体" w:eastAsia="楷体_GB2312" w:cs="Times New Roman"/>
                <w:kern w:val="0"/>
                <w:sz w:val="20"/>
                <w:szCs w:val="20"/>
              </w:rPr>
            </w:pPr>
          </w:p>
        </w:tc>
        <w:tc>
          <w:tcPr>
            <w:tcW w:w="451" w:type="dxa"/>
            <w:tcBorders>
              <w:top w:val="nil"/>
              <w:left w:val="nil"/>
              <w:bottom w:val="nil"/>
              <w:right w:val="nil"/>
            </w:tcBorders>
            <w:vAlign w:val="center"/>
          </w:tcPr>
          <w:p>
            <w:pPr>
              <w:widowControl/>
              <w:spacing w:line="200" w:lineRule="exact"/>
              <w:jc w:val="center"/>
              <w:rPr>
                <w:rFonts w:ascii="楷体_GB2312" w:hAnsi="宋体" w:eastAsia="楷体_GB2312" w:cs="Times New Roman"/>
                <w:kern w:val="0"/>
                <w:sz w:val="20"/>
                <w:szCs w:val="20"/>
              </w:rPr>
            </w:pPr>
          </w:p>
        </w:tc>
        <w:tc>
          <w:tcPr>
            <w:tcW w:w="1114" w:type="dxa"/>
            <w:tcBorders>
              <w:top w:val="nil"/>
              <w:left w:val="nil"/>
              <w:bottom w:val="nil"/>
              <w:right w:val="nil"/>
            </w:tcBorders>
            <w:noWrap/>
            <w:vAlign w:val="center"/>
          </w:tcPr>
          <w:p>
            <w:pPr>
              <w:widowControl/>
              <w:spacing w:line="200" w:lineRule="exact"/>
              <w:jc w:val="center"/>
              <w:rPr>
                <w:rFonts w:ascii="宋体" w:hAnsi="宋体" w:eastAsia="宋体" w:cs="Times New Roman"/>
                <w:kern w:val="0"/>
                <w:sz w:val="24"/>
                <w:szCs w:val="24"/>
              </w:rPr>
            </w:pPr>
          </w:p>
        </w:tc>
        <w:tc>
          <w:tcPr>
            <w:tcW w:w="1928" w:type="dxa"/>
            <w:tcBorders>
              <w:top w:val="nil"/>
              <w:left w:val="nil"/>
              <w:bottom w:val="nil"/>
              <w:right w:val="nil"/>
            </w:tcBorders>
            <w:noWrap/>
            <w:vAlign w:val="center"/>
          </w:tcPr>
          <w:p>
            <w:pPr>
              <w:widowControl/>
              <w:spacing w:line="200" w:lineRule="exact"/>
              <w:jc w:val="left"/>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96" w:hRule="atLeast"/>
        </w:trPr>
        <w:tc>
          <w:tcPr>
            <w:tcW w:w="473"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一级</w:t>
            </w:r>
            <w:r>
              <w:rPr>
                <w:rFonts w:ascii="楷体_GB2312" w:hAnsi="宋体" w:eastAsia="楷体_GB2312" w:cs="Times New Roman"/>
                <w:b/>
                <w:bCs/>
                <w:kern w:val="0"/>
                <w:sz w:val="20"/>
                <w:szCs w:val="20"/>
              </w:rPr>
              <w:br w:type="textWrapping"/>
            </w:r>
            <w:r>
              <w:rPr>
                <w:rFonts w:hint="eastAsia" w:ascii="楷体_GB2312" w:hAnsi="宋体" w:eastAsia="楷体_GB2312" w:cs="楷体_GB2312"/>
                <w:b/>
                <w:bCs/>
                <w:kern w:val="0"/>
                <w:sz w:val="20"/>
                <w:szCs w:val="20"/>
              </w:rPr>
              <w:t>指标</w:t>
            </w:r>
          </w:p>
        </w:tc>
        <w:tc>
          <w:tcPr>
            <w:tcW w:w="72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二级</w:t>
            </w:r>
            <w:r>
              <w:rPr>
                <w:rFonts w:ascii="楷体_GB2312" w:hAnsi="宋体" w:eastAsia="楷体_GB2312" w:cs="Times New Roman"/>
                <w:b/>
                <w:bCs/>
                <w:kern w:val="0"/>
                <w:sz w:val="20"/>
                <w:szCs w:val="20"/>
              </w:rPr>
              <w:br w:type="textWrapping"/>
            </w:r>
            <w:r>
              <w:rPr>
                <w:rFonts w:hint="eastAsia" w:ascii="楷体_GB2312" w:hAnsi="宋体" w:eastAsia="楷体_GB2312" w:cs="楷体_GB2312"/>
                <w:b/>
                <w:bCs/>
                <w:kern w:val="0"/>
                <w:sz w:val="20"/>
                <w:szCs w:val="20"/>
              </w:rPr>
              <w:t>指标</w:t>
            </w:r>
          </w:p>
        </w:tc>
        <w:tc>
          <w:tcPr>
            <w:tcW w:w="751"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三级指标</w:t>
            </w:r>
          </w:p>
        </w:tc>
        <w:tc>
          <w:tcPr>
            <w:tcW w:w="451"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分值</w:t>
            </w:r>
          </w:p>
        </w:tc>
        <w:tc>
          <w:tcPr>
            <w:tcW w:w="2429"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指标说明</w:t>
            </w:r>
          </w:p>
        </w:tc>
        <w:tc>
          <w:tcPr>
            <w:tcW w:w="2245"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评分标准</w:t>
            </w:r>
          </w:p>
        </w:tc>
        <w:tc>
          <w:tcPr>
            <w:tcW w:w="1304"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指标值计算公式和数据获取方式</w:t>
            </w:r>
          </w:p>
        </w:tc>
        <w:tc>
          <w:tcPr>
            <w:tcW w:w="1154"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年初目标值</w:t>
            </w:r>
          </w:p>
        </w:tc>
        <w:tc>
          <w:tcPr>
            <w:tcW w:w="1154"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实际完成值</w:t>
            </w:r>
          </w:p>
        </w:tc>
        <w:tc>
          <w:tcPr>
            <w:tcW w:w="451"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得分</w:t>
            </w:r>
          </w:p>
        </w:tc>
        <w:tc>
          <w:tcPr>
            <w:tcW w:w="1114"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仿宋_GB2312" w:hAnsi="宋体" w:eastAsia="仿宋_GB2312" w:cs="Times New Roman"/>
                <w:b/>
                <w:bCs/>
                <w:kern w:val="0"/>
                <w:sz w:val="20"/>
                <w:szCs w:val="20"/>
              </w:rPr>
            </w:pPr>
            <w:r>
              <w:rPr>
                <w:rFonts w:hint="eastAsia" w:ascii="仿宋_GB2312" w:hAnsi="宋体" w:eastAsia="仿宋_GB2312" w:cs="仿宋_GB2312"/>
                <w:b/>
                <w:bCs/>
                <w:kern w:val="0"/>
                <w:sz w:val="20"/>
                <w:szCs w:val="20"/>
              </w:rPr>
              <w:t>未完成原因分析与改进措施</w:t>
            </w:r>
          </w:p>
        </w:tc>
        <w:tc>
          <w:tcPr>
            <w:tcW w:w="1928"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仿宋_GB2312" w:hAnsi="宋体" w:eastAsia="仿宋_GB2312" w:cs="Times New Roman"/>
                <w:b/>
                <w:bCs/>
                <w:kern w:val="0"/>
                <w:sz w:val="20"/>
                <w:szCs w:val="20"/>
              </w:rPr>
            </w:pPr>
            <w:r>
              <w:rPr>
                <w:rFonts w:hint="eastAsia" w:ascii="仿宋_GB2312" w:hAnsi="宋体" w:eastAsia="仿宋_GB2312" w:cs="仿宋_GB2312"/>
                <w:b/>
                <w:bCs/>
                <w:kern w:val="0"/>
                <w:sz w:val="20"/>
                <w:szCs w:val="20"/>
              </w:rPr>
              <w:t>绩效指标分析与建议</w:t>
            </w:r>
          </w:p>
        </w:tc>
      </w:tr>
      <w:tr>
        <w:tblPrEx>
          <w:tblCellMar>
            <w:top w:w="0" w:type="dxa"/>
            <w:left w:w="108" w:type="dxa"/>
            <w:bottom w:w="0" w:type="dxa"/>
            <w:right w:w="108" w:type="dxa"/>
          </w:tblCellMar>
        </w:tblPrEx>
        <w:trPr>
          <w:trHeight w:val="3410" w:hRule="atLeast"/>
        </w:trPr>
        <w:tc>
          <w:tcPr>
            <w:tcW w:w="473" w:type="dxa"/>
            <w:tcBorders>
              <w:top w:val="nil"/>
              <w:left w:val="single" w:color="auto" w:sz="4" w:space="0"/>
              <w:bottom w:val="single" w:color="auto" w:sz="4" w:space="0"/>
              <w:right w:val="single" w:color="auto" w:sz="4" w:space="0"/>
            </w:tcBorders>
            <w:noWrap/>
            <w:textDirection w:val="tbRlV"/>
            <w:vAlign w:val="center"/>
          </w:tcPr>
          <w:p>
            <w:pPr>
              <w:widowControl/>
              <w:spacing w:line="240" w:lineRule="exact"/>
              <w:jc w:val="center"/>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过程</w:t>
            </w:r>
          </w:p>
        </w:tc>
        <w:tc>
          <w:tcPr>
            <w:tcW w:w="720" w:type="dxa"/>
            <w:tcBorders>
              <w:top w:val="nil"/>
              <w:left w:val="nil"/>
              <w:bottom w:val="single" w:color="auto" w:sz="4" w:space="0"/>
              <w:right w:val="single" w:color="auto" w:sz="4" w:space="0"/>
            </w:tcBorders>
            <w:vAlign w:val="center"/>
          </w:tcPr>
          <w:p>
            <w:pPr>
              <w:widowControl/>
              <w:spacing w:line="24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预算管理（</w:t>
            </w:r>
            <w:r>
              <w:rPr>
                <w:rFonts w:ascii="楷体_GB2312" w:hAnsi="宋体" w:eastAsia="楷体_GB2312" w:cs="楷体_GB2312"/>
                <w:kern w:val="0"/>
                <w:sz w:val="20"/>
                <w:szCs w:val="20"/>
              </w:rPr>
              <w:t>15</w:t>
            </w:r>
            <w:r>
              <w:rPr>
                <w:rFonts w:hint="eastAsia" w:ascii="楷体_GB2312" w:hAnsi="宋体" w:eastAsia="楷体_GB2312" w:cs="楷体_GB2312"/>
                <w:kern w:val="0"/>
                <w:sz w:val="20"/>
                <w:szCs w:val="20"/>
              </w:rPr>
              <w:t>分）</w:t>
            </w:r>
          </w:p>
        </w:tc>
        <w:tc>
          <w:tcPr>
            <w:tcW w:w="751" w:type="dxa"/>
            <w:tcBorders>
              <w:top w:val="nil"/>
              <w:left w:val="nil"/>
              <w:bottom w:val="single" w:color="auto" w:sz="4" w:space="0"/>
              <w:right w:val="single" w:color="auto" w:sz="4" w:space="0"/>
            </w:tcBorders>
            <w:vAlign w:val="center"/>
          </w:tcPr>
          <w:p>
            <w:pPr>
              <w:widowControl/>
              <w:spacing w:line="24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资金使用合规性</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5</w:t>
            </w:r>
            <w:r>
              <w:rPr>
                <w:rFonts w:hint="eastAsia" w:ascii="楷体_GB2312" w:hAnsi="宋体" w:eastAsia="楷体_GB2312" w:cs="楷体_GB2312"/>
                <w:kern w:val="0"/>
                <w:sz w:val="20"/>
                <w:szCs w:val="20"/>
              </w:rPr>
              <w:t>分）</w:t>
            </w:r>
          </w:p>
        </w:tc>
        <w:tc>
          <w:tcPr>
            <w:tcW w:w="451" w:type="dxa"/>
            <w:tcBorders>
              <w:top w:val="nil"/>
              <w:left w:val="nil"/>
              <w:bottom w:val="single" w:color="auto" w:sz="4" w:space="0"/>
              <w:right w:val="single" w:color="auto" w:sz="4" w:space="0"/>
            </w:tcBorders>
            <w:vAlign w:val="center"/>
          </w:tcPr>
          <w:p>
            <w:pPr>
              <w:widowControl/>
              <w:spacing w:line="240" w:lineRule="exact"/>
              <w:jc w:val="center"/>
              <w:rPr>
                <w:rFonts w:ascii="楷体_GB2312" w:hAnsi="宋体" w:eastAsia="楷体_GB2312" w:cs="楷体_GB2312"/>
                <w:kern w:val="0"/>
                <w:sz w:val="20"/>
                <w:szCs w:val="20"/>
              </w:rPr>
            </w:pPr>
            <w:r>
              <w:rPr>
                <w:rFonts w:ascii="楷体_GB2312" w:hAnsi="宋体" w:eastAsia="楷体_GB2312" w:cs="楷体_GB2312"/>
                <w:kern w:val="0"/>
                <w:sz w:val="20"/>
                <w:szCs w:val="20"/>
              </w:rPr>
              <w:t>5</w:t>
            </w:r>
          </w:p>
        </w:tc>
        <w:tc>
          <w:tcPr>
            <w:tcW w:w="2429"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部门（单位）使用预算资金是否符合相关的预算财务管理制度的规定，用以反映和考核部门（单位）预算资金的规范运行情况。</w:t>
            </w:r>
            <w:r>
              <w:rPr>
                <w:rFonts w:ascii="楷体_GB2312" w:hAnsi="宋体" w:eastAsia="楷体_GB2312" w:cs="Times New Roman"/>
                <w:kern w:val="0"/>
                <w:sz w:val="20"/>
                <w:szCs w:val="20"/>
              </w:rPr>
              <w:br w:type="textWrapping"/>
            </w:r>
            <w:r>
              <w:rPr>
                <w:rFonts w:ascii="楷体_GB2312" w:hAnsi="宋体" w:eastAsia="楷体_GB2312" w:cs="楷体_GB2312"/>
                <w:kern w:val="0"/>
                <w:sz w:val="20"/>
                <w:szCs w:val="20"/>
              </w:rPr>
              <w:t>1.</w:t>
            </w:r>
            <w:r>
              <w:rPr>
                <w:rFonts w:hint="eastAsia" w:ascii="楷体_GB2312" w:hAnsi="宋体" w:eastAsia="楷体_GB2312" w:cs="楷体_GB2312"/>
                <w:kern w:val="0"/>
                <w:sz w:val="20"/>
                <w:szCs w:val="20"/>
              </w:rPr>
              <w:t>符合国家财经法规和财务管理制度规定以及有关专项资金管理办法的规定；</w:t>
            </w:r>
            <w:r>
              <w:rPr>
                <w:rFonts w:ascii="楷体_GB2312" w:hAnsi="宋体" w:eastAsia="楷体_GB2312" w:cs="Times New Roman"/>
                <w:kern w:val="0"/>
                <w:sz w:val="20"/>
                <w:szCs w:val="20"/>
              </w:rPr>
              <w:br w:type="textWrapping"/>
            </w:r>
            <w:r>
              <w:rPr>
                <w:rFonts w:ascii="楷体_GB2312" w:hAnsi="宋体" w:eastAsia="楷体_GB2312" w:cs="楷体_GB2312"/>
                <w:kern w:val="0"/>
                <w:sz w:val="20"/>
                <w:szCs w:val="20"/>
              </w:rPr>
              <w:t>2.</w:t>
            </w:r>
            <w:r>
              <w:rPr>
                <w:rFonts w:hint="eastAsia" w:ascii="楷体_GB2312" w:hAnsi="宋体" w:eastAsia="楷体_GB2312" w:cs="楷体_GB2312"/>
                <w:kern w:val="0"/>
                <w:sz w:val="20"/>
                <w:szCs w:val="20"/>
              </w:rPr>
              <w:t>资金的拨付有完整的审批程序和手续；</w:t>
            </w:r>
            <w:r>
              <w:rPr>
                <w:rFonts w:ascii="楷体_GB2312" w:hAnsi="宋体" w:eastAsia="楷体_GB2312" w:cs="Times New Roman"/>
                <w:kern w:val="0"/>
                <w:sz w:val="20"/>
                <w:szCs w:val="20"/>
              </w:rPr>
              <w:br w:type="textWrapping"/>
            </w:r>
            <w:r>
              <w:rPr>
                <w:rFonts w:ascii="楷体_GB2312" w:hAnsi="宋体" w:eastAsia="楷体_GB2312" w:cs="楷体_GB2312"/>
                <w:kern w:val="0"/>
                <w:sz w:val="20"/>
                <w:szCs w:val="20"/>
              </w:rPr>
              <w:t>3.</w:t>
            </w:r>
            <w:r>
              <w:rPr>
                <w:rFonts w:hint="eastAsia" w:ascii="楷体_GB2312" w:hAnsi="宋体" w:eastAsia="楷体_GB2312" w:cs="楷体_GB2312"/>
                <w:kern w:val="0"/>
                <w:sz w:val="20"/>
                <w:szCs w:val="20"/>
              </w:rPr>
              <w:t>重大项目开支经过评估论证；</w:t>
            </w:r>
            <w:r>
              <w:rPr>
                <w:rFonts w:ascii="楷体_GB2312" w:hAnsi="宋体" w:eastAsia="楷体_GB2312" w:cs="Times New Roman"/>
                <w:kern w:val="0"/>
                <w:sz w:val="20"/>
                <w:szCs w:val="20"/>
              </w:rPr>
              <w:br w:type="textWrapping"/>
            </w:r>
            <w:r>
              <w:rPr>
                <w:rFonts w:ascii="楷体_GB2312" w:hAnsi="宋体" w:eastAsia="楷体_GB2312" w:cs="楷体_GB2312"/>
                <w:kern w:val="0"/>
                <w:sz w:val="20"/>
                <w:szCs w:val="20"/>
              </w:rPr>
              <w:t>4.</w:t>
            </w:r>
            <w:r>
              <w:rPr>
                <w:rFonts w:hint="eastAsia" w:ascii="楷体_GB2312" w:hAnsi="宋体" w:eastAsia="楷体_GB2312" w:cs="楷体_GB2312"/>
                <w:kern w:val="0"/>
                <w:sz w:val="20"/>
                <w:szCs w:val="20"/>
              </w:rPr>
              <w:t>符合部门预算批复的用途；</w:t>
            </w:r>
            <w:r>
              <w:rPr>
                <w:rFonts w:ascii="楷体_GB2312" w:hAnsi="宋体" w:eastAsia="楷体_GB2312" w:cs="Times New Roman"/>
                <w:kern w:val="0"/>
                <w:sz w:val="20"/>
                <w:szCs w:val="20"/>
              </w:rPr>
              <w:br w:type="textWrapping"/>
            </w:r>
            <w:r>
              <w:rPr>
                <w:rFonts w:ascii="楷体_GB2312" w:hAnsi="宋体" w:eastAsia="楷体_GB2312" w:cs="楷体_GB2312"/>
                <w:kern w:val="0"/>
                <w:sz w:val="20"/>
                <w:szCs w:val="20"/>
              </w:rPr>
              <w:t>5.</w:t>
            </w:r>
            <w:r>
              <w:rPr>
                <w:rFonts w:hint="eastAsia" w:ascii="楷体_GB2312" w:hAnsi="宋体" w:eastAsia="楷体_GB2312" w:cs="楷体_GB2312"/>
                <w:kern w:val="0"/>
                <w:sz w:val="20"/>
                <w:szCs w:val="20"/>
              </w:rPr>
              <w:t>不存在截留、挤占、挪用、虚列支出等情况。</w:t>
            </w:r>
          </w:p>
        </w:tc>
        <w:tc>
          <w:tcPr>
            <w:tcW w:w="2245"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全部符合</w:t>
            </w:r>
            <w:r>
              <w:rPr>
                <w:rFonts w:ascii="楷体_GB2312" w:hAnsi="宋体" w:eastAsia="楷体_GB2312" w:cs="楷体_GB2312"/>
                <w:kern w:val="0"/>
                <w:sz w:val="20"/>
                <w:szCs w:val="20"/>
              </w:rPr>
              <w:t>5</w:t>
            </w:r>
            <w:r>
              <w:rPr>
                <w:rFonts w:hint="eastAsia" w:ascii="楷体_GB2312" w:hAnsi="宋体" w:eastAsia="楷体_GB2312" w:cs="楷体_GB2312"/>
                <w:kern w:val="0"/>
                <w:sz w:val="20"/>
                <w:szCs w:val="20"/>
              </w:rPr>
              <w:t>分</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有</w:t>
            </w:r>
            <w:r>
              <w:rPr>
                <w:rFonts w:ascii="楷体_GB2312" w:hAnsi="宋体" w:eastAsia="楷体_GB2312" w:cs="楷体_GB2312"/>
                <w:kern w:val="0"/>
                <w:sz w:val="20"/>
                <w:szCs w:val="20"/>
              </w:rPr>
              <w:t>1</w:t>
            </w:r>
            <w:r>
              <w:rPr>
                <w:rFonts w:hint="eastAsia" w:ascii="楷体_GB2312" w:hAnsi="宋体" w:eastAsia="楷体_GB2312" w:cs="楷体_GB2312"/>
                <w:kern w:val="0"/>
                <w:sz w:val="20"/>
                <w:szCs w:val="20"/>
              </w:rPr>
              <w:t>项不符扣</w:t>
            </w:r>
            <w:r>
              <w:rPr>
                <w:rFonts w:ascii="楷体_GB2312" w:hAnsi="宋体" w:eastAsia="楷体_GB2312" w:cs="楷体_GB2312"/>
                <w:kern w:val="0"/>
                <w:sz w:val="20"/>
                <w:szCs w:val="20"/>
              </w:rPr>
              <w:t>2</w:t>
            </w:r>
            <w:r>
              <w:rPr>
                <w:rFonts w:hint="eastAsia" w:ascii="楷体_GB2312" w:hAnsi="宋体" w:eastAsia="楷体_GB2312" w:cs="楷体_GB2312"/>
                <w:kern w:val="0"/>
                <w:sz w:val="20"/>
                <w:szCs w:val="20"/>
              </w:rPr>
              <w:t>分。</w:t>
            </w:r>
          </w:p>
        </w:tc>
        <w:tc>
          <w:tcPr>
            <w:tcW w:w="1304"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根据本年度资产实际情况分析</w:t>
            </w:r>
          </w:p>
        </w:tc>
        <w:tc>
          <w:tcPr>
            <w:tcW w:w="1154"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资金使用严格按照相关法律法规执行</w:t>
            </w:r>
          </w:p>
        </w:tc>
        <w:tc>
          <w:tcPr>
            <w:tcW w:w="1154"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资金使用严格按照相关法律法规执行</w:t>
            </w:r>
          </w:p>
        </w:tc>
        <w:tc>
          <w:tcPr>
            <w:tcW w:w="451" w:type="dxa"/>
            <w:tcBorders>
              <w:top w:val="nil"/>
              <w:left w:val="nil"/>
              <w:bottom w:val="single" w:color="auto" w:sz="4" w:space="0"/>
              <w:right w:val="single" w:color="auto" w:sz="4" w:space="0"/>
            </w:tcBorders>
            <w:vAlign w:val="center"/>
          </w:tcPr>
          <w:p>
            <w:pPr>
              <w:widowControl/>
              <w:spacing w:line="200" w:lineRule="exact"/>
              <w:jc w:val="center"/>
              <w:rPr>
                <w:rFonts w:ascii="楷体_GB2312" w:hAnsi="宋体" w:eastAsia="楷体_GB2312" w:cs="楷体_GB2312"/>
                <w:kern w:val="0"/>
                <w:sz w:val="20"/>
                <w:szCs w:val="20"/>
              </w:rPr>
            </w:pPr>
            <w:r>
              <w:rPr>
                <w:rFonts w:ascii="楷体_GB2312" w:hAnsi="宋体" w:eastAsia="楷体_GB2312" w:cs="楷体_GB2312"/>
                <w:kern w:val="0"/>
                <w:sz w:val="20"/>
                <w:szCs w:val="20"/>
              </w:rPr>
              <w:t>5</w:t>
            </w:r>
          </w:p>
        </w:tc>
        <w:tc>
          <w:tcPr>
            <w:tcW w:w="1114" w:type="dxa"/>
            <w:tcBorders>
              <w:top w:val="nil"/>
              <w:left w:val="nil"/>
              <w:bottom w:val="single" w:color="auto" w:sz="4" w:space="0"/>
              <w:right w:val="single" w:color="auto" w:sz="4" w:space="0"/>
            </w:tcBorders>
            <w:noWrap/>
            <w:vAlign w:val="center"/>
          </w:tcPr>
          <w:p>
            <w:pPr>
              <w:widowControl/>
              <w:jc w:val="center"/>
              <w:rPr>
                <w:rFonts w:ascii="仿宋" w:hAnsi="仿宋" w:eastAsia="仿宋" w:cs="Times New Roman"/>
                <w:kern w:val="0"/>
                <w:sz w:val="20"/>
                <w:szCs w:val="20"/>
              </w:rPr>
            </w:pPr>
            <w:r>
              <w:rPr>
                <w:rFonts w:hint="eastAsia" w:ascii="仿宋" w:hAnsi="仿宋" w:eastAsia="仿宋" w:cs="仿宋"/>
                <w:kern w:val="0"/>
                <w:sz w:val="20"/>
                <w:szCs w:val="20"/>
              </w:rPr>
              <w:t>已完成</w:t>
            </w:r>
          </w:p>
        </w:tc>
        <w:tc>
          <w:tcPr>
            <w:tcW w:w="1928" w:type="dxa"/>
            <w:tcBorders>
              <w:top w:val="nil"/>
              <w:left w:val="nil"/>
              <w:bottom w:val="single" w:color="auto" w:sz="4" w:space="0"/>
              <w:right w:val="single" w:color="auto" w:sz="4" w:space="0"/>
            </w:tcBorders>
            <w:vAlign w:val="center"/>
          </w:tcPr>
          <w:p>
            <w:pPr>
              <w:widowControl/>
              <w:spacing w:line="18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预算资金</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符合国家财经法规和财务管理制度规定以及有关专项资金管理办法的规定；资金的拨付有完整的审批程序和手续；</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重大项目开支经过评估论证；符合部门预算批复的用途；不存在截留、挤占、挪用、虚列支出等情况。</w:t>
            </w:r>
          </w:p>
        </w:tc>
      </w:tr>
      <w:tr>
        <w:tblPrEx>
          <w:tblCellMar>
            <w:top w:w="0" w:type="dxa"/>
            <w:left w:w="108" w:type="dxa"/>
            <w:bottom w:w="0" w:type="dxa"/>
            <w:right w:w="108" w:type="dxa"/>
          </w:tblCellMar>
        </w:tblPrEx>
        <w:trPr>
          <w:trHeight w:val="198" w:hRule="atLeast"/>
        </w:trPr>
        <w:tc>
          <w:tcPr>
            <w:tcW w:w="473" w:type="dxa"/>
            <w:vMerge w:val="restart"/>
            <w:tcBorders>
              <w:top w:val="nil"/>
              <w:left w:val="single" w:color="auto" w:sz="4" w:space="0"/>
              <w:bottom w:val="single" w:color="auto" w:sz="4" w:space="0"/>
              <w:right w:val="single" w:color="auto" w:sz="4" w:space="0"/>
            </w:tcBorders>
            <w:noWrap/>
            <w:textDirection w:val="tbRlV"/>
            <w:vAlign w:val="center"/>
          </w:tcPr>
          <w:p>
            <w:pPr>
              <w:widowControl/>
              <w:spacing w:line="240" w:lineRule="exact"/>
              <w:jc w:val="center"/>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效果</w:t>
            </w:r>
          </w:p>
        </w:tc>
        <w:tc>
          <w:tcPr>
            <w:tcW w:w="720"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履职尽责（</w:t>
            </w:r>
            <w:r>
              <w:rPr>
                <w:rFonts w:ascii="楷体_GB2312" w:hAnsi="宋体" w:eastAsia="楷体_GB2312" w:cs="楷体_GB2312"/>
                <w:kern w:val="0"/>
                <w:sz w:val="20"/>
                <w:szCs w:val="20"/>
              </w:rPr>
              <w:t>60</w:t>
            </w:r>
            <w:r>
              <w:rPr>
                <w:rFonts w:hint="eastAsia" w:ascii="楷体_GB2312" w:hAnsi="宋体" w:eastAsia="楷体_GB2312" w:cs="楷体_GB2312"/>
                <w:kern w:val="0"/>
                <w:sz w:val="20"/>
                <w:szCs w:val="20"/>
              </w:rPr>
              <w:t>分）</w:t>
            </w:r>
          </w:p>
        </w:tc>
        <w:tc>
          <w:tcPr>
            <w:tcW w:w="751" w:type="dxa"/>
            <w:tcBorders>
              <w:top w:val="nil"/>
              <w:left w:val="nil"/>
              <w:bottom w:val="single" w:color="auto" w:sz="4" w:space="0"/>
              <w:right w:val="single" w:color="auto" w:sz="4" w:space="0"/>
            </w:tcBorders>
            <w:vAlign w:val="center"/>
          </w:tcPr>
          <w:p>
            <w:pPr>
              <w:widowControl/>
              <w:spacing w:line="24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项目产出</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40</w:t>
            </w:r>
            <w:r>
              <w:rPr>
                <w:rFonts w:hint="eastAsia" w:ascii="楷体_GB2312" w:hAnsi="宋体" w:eastAsia="楷体_GB2312" w:cs="楷体_GB2312"/>
                <w:kern w:val="0"/>
                <w:sz w:val="20"/>
                <w:szCs w:val="20"/>
              </w:rPr>
              <w:t>分）</w:t>
            </w:r>
          </w:p>
        </w:tc>
        <w:tc>
          <w:tcPr>
            <w:tcW w:w="451" w:type="dxa"/>
            <w:tcBorders>
              <w:top w:val="nil"/>
              <w:left w:val="nil"/>
              <w:bottom w:val="single" w:color="auto" w:sz="4" w:space="0"/>
              <w:right w:val="single" w:color="auto" w:sz="4" w:space="0"/>
            </w:tcBorders>
            <w:vAlign w:val="center"/>
          </w:tcPr>
          <w:p>
            <w:pPr>
              <w:widowControl/>
              <w:spacing w:line="240" w:lineRule="exact"/>
              <w:jc w:val="center"/>
              <w:rPr>
                <w:rFonts w:ascii="楷体_GB2312" w:hAnsi="宋体" w:eastAsia="楷体_GB2312" w:cs="楷体_GB2312"/>
                <w:kern w:val="0"/>
                <w:sz w:val="20"/>
                <w:szCs w:val="20"/>
              </w:rPr>
            </w:pPr>
            <w:r>
              <w:rPr>
                <w:rFonts w:ascii="楷体_GB2312" w:hAnsi="宋体" w:eastAsia="楷体_GB2312" w:cs="楷体_GB2312"/>
                <w:kern w:val="0"/>
                <w:sz w:val="20"/>
                <w:szCs w:val="20"/>
              </w:rPr>
              <w:t>40</w:t>
            </w:r>
          </w:p>
        </w:tc>
        <w:tc>
          <w:tcPr>
            <w:tcW w:w="2429"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　</w:t>
            </w:r>
          </w:p>
        </w:tc>
        <w:tc>
          <w:tcPr>
            <w:tcW w:w="2245" w:type="dxa"/>
            <w:vMerge w:val="restart"/>
            <w:tcBorders>
              <w:top w:val="nil"/>
              <w:left w:val="single" w:color="auto" w:sz="4" w:space="0"/>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ascii="楷体_GB2312" w:hAnsi="宋体" w:eastAsia="楷体_GB2312" w:cs="楷体_GB2312"/>
                <w:kern w:val="0"/>
                <w:sz w:val="20"/>
                <w:szCs w:val="20"/>
              </w:rPr>
              <w:t>1.</w:t>
            </w:r>
            <w:r>
              <w:rPr>
                <w:rFonts w:hint="eastAsia" w:ascii="楷体_GB2312" w:hAnsi="宋体" w:eastAsia="楷体_GB2312" w:cs="楷体_GB2312"/>
                <w:kern w:val="0"/>
                <w:sz w:val="20"/>
                <w:szCs w:val="20"/>
              </w:rPr>
              <w:t>若为定性指标，根据“三档”原则分别按照指标分值的</w:t>
            </w:r>
            <w:r>
              <w:rPr>
                <w:rFonts w:ascii="楷体_GB2312" w:hAnsi="宋体" w:eastAsia="楷体_GB2312" w:cs="楷体_GB2312"/>
                <w:kern w:val="0"/>
                <w:sz w:val="20"/>
                <w:szCs w:val="20"/>
              </w:rPr>
              <w:t>100-80%</w:t>
            </w:r>
            <w:r>
              <w:rPr>
                <w:rFonts w:hint="eastAsia" w:ascii="楷体_GB2312" w:hAnsi="宋体" w:eastAsia="楷体_GB2312" w:cs="楷体_GB2312"/>
                <w:kern w:val="0"/>
                <w:sz w:val="20"/>
                <w:szCs w:val="20"/>
              </w:rPr>
              <w:t>（含）、</w:t>
            </w:r>
            <w:r>
              <w:rPr>
                <w:rFonts w:ascii="楷体_GB2312" w:hAnsi="宋体" w:eastAsia="楷体_GB2312" w:cs="楷体_GB2312"/>
                <w:kern w:val="0"/>
                <w:sz w:val="20"/>
                <w:szCs w:val="20"/>
              </w:rPr>
              <w:t>80-50%</w:t>
            </w:r>
            <w:r>
              <w:rPr>
                <w:rFonts w:hint="eastAsia" w:ascii="楷体_GB2312" w:hAnsi="宋体" w:eastAsia="楷体_GB2312" w:cs="楷体_GB2312"/>
                <w:kern w:val="0"/>
                <w:sz w:val="20"/>
                <w:szCs w:val="20"/>
              </w:rPr>
              <w:t>（含）、</w:t>
            </w:r>
            <w:r>
              <w:rPr>
                <w:rFonts w:ascii="楷体_GB2312" w:hAnsi="宋体" w:eastAsia="楷体_GB2312" w:cs="楷体_GB2312"/>
                <w:kern w:val="0"/>
                <w:sz w:val="20"/>
                <w:szCs w:val="20"/>
              </w:rPr>
              <w:t>50-10%</w:t>
            </w:r>
            <w:r>
              <w:rPr>
                <w:rFonts w:hint="eastAsia" w:ascii="楷体_GB2312" w:hAnsi="宋体" w:eastAsia="楷体_GB2312" w:cs="楷体_GB2312"/>
                <w:kern w:val="0"/>
                <w:sz w:val="20"/>
                <w:szCs w:val="20"/>
              </w:rPr>
              <w:t>来记分；</w:t>
            </w:r>
            <w:r>
              <w:rPr>
                <w:rFonts w:ascii="楷体_GB2312" w:hAnsi="宋体" w:eastAsia="楷体_GB2312" w:cs="Times New Roman"/>
                <w:kern w:val="0"/>
                <w:sz w:val="20"/>
                <w:szCs w:val="20"/>
              </w:rPr>
              <w:br w:type="textWrapping"/>
            </w:r>
            <w:r>
              <w:rPr>
                <w:rFonts w:ascii="楷体_GB2312" w:hAnsi="宋体" w:eastAsia="楷体_GB2312" w:cs="楷体_GB2312"/>
                <w:kern w:val="0"/>
                <w:sz w:val="20"/>
                <w:szCs w:val="20"/>
              </w:rPr>
              <w:t>2.</w:t>
            </w:r>
            <w:r>
              <w:rPr>
                <w:rFonts w:hint="eastAsia" w:ascii="楷体_GB2312" w:hAnsi="宋体" w:eastAsia="楷体_GB2312" w:cs="楷体_GB2312"/>
                <w:kern w:val="0"/>
                <w:sz w:val="20"/>
                <w:szCs w:val="20"/>
              </w:rPr>
              <w:t>若为定量指标，完成值达到指标值，记满分；未达到指标值，按完成比率计分，正向指标（即指标值为≥</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）得分＝实际完成值</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年初目标值</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该指标分值，反向指标（即指标值为≤</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）得分＝年初目标值</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实际完成值</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该指标分值。</w:t>
            </w:r>
          </w:p>
        </w:tc>
        <w:tc>
          <w:tcPr>
            <w:tcW w:w="1304"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ascii="楷体_GB2312" w:hAnsi="宋体" w:eastAsia="楷体_GB2312" w:cs="楷体_GB2312"/>
                <w:kern w:val="0"/>
                <w:sz w:val="20"/>
                <w:szCs w:val="20"/>
              </w:rPr>
              <w:t>2019</w:t>
            </w:r>
            <w:r>
              <w:rPr>
                <w:rFonts w:hint="eastAsia" w:ascii="楷体_GB2312" w:hAnsi="宋体" w:eastAsia="楷体_GB2312" w:cs="楷体_GB2312"/>
                <w:kern w:val="0"/>
                <w:sz w:val="20"/>
                <w:szCs w:val="20"/>
              </w:rPr>
              <w:t>年决算数并与年初预算目标绩效表对比</w:t>
            </w:r>
          </w:p>
        </w:tc>
        <w:tc>
          <w:tcPr>
            <w:tcW w:w="1154"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定性指标部分完成</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定量指标全部完成。</w:t>
            </w:r>
          </w:p>
        </w:tc>
        <w:tc>
          <w:tcPr>
            <w:tcW w:w="1154"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定性指标部分完成，定量指标全部完成。</w:t>
            </w:r>
          </w:p>
        </w:tc>
        <w:tc>
          <w:tcPr>
            <w:tcW w:w="451" w:type="dxa"/>
            <w:tcBorders>
              <w:top w:val="nil"/>
              <w:left w:val="nil"/>
              <w:bottom w:val="single" w:color="auto" w:sz="4" w:space="0"/>
              <w:right w:val="single" w:color="auto" w:sz="4" w:space="0"/>
            </w:tcBorders>
            <w:vAlign w:val="center"/>
          </w:tcPr>
          <w:p>
            <w:pPr>
              <w:widowControl/>
              <w:spacing w:line="200" w:lineRule="exact"/>
              <w:jc w:val="center"/>
              <w:rPr>
                <w:rFonts w:ascii="楷体_GB2312" w:hAnsi="宋体" w:eastAsia="楷体_GB2312" w:cs="楷体_GB2312"/>
                <w:kern w:val="0"/>
                <w:sz w:val="20"/>
                <w:szCs w:val="20"/>
              </w:rPr>
            </w:pPr>
            <w:r>
              <w:rPr>
                <w:rFonts w:ascii="楷体_GB2312" w:hAnsi="宋体" w:eastAsia="楷体_GB2312" w:cs="楷体_GB2312"/>
                <w:kern w:val="0"/>
                <w:sz w:val="20"/>
                <w:szCs w:val="20"/>
              </w:rPr>
              <w:t>40</w:t>
            </w:r>
          </w:p>
        </w:tc>
        <w:tc>
          <w:tcPr>
            <w:tcW w:w="1114" w:type="dxa"/>
            <w:tcBorders>
              <w:top w:val="nil"/>
              <w:left w:val="nil"/>
              <w:bottom w:val="single" w:color="auto" w:sz="4" w:space="0"/>
              <w:right w:val="single" w:color="auto" w:sz="4" w:space="0"/>
            </w:tcBorders>
            <w:noWrap/>
            <w:vAlign w:val="center"/>
          </w:tcPr>
          <w:p>
            <w:pPr>
              <w:widowControl/>
              <w:jc w:val="center"/>
              <w:rPr>
                <w:rFonts w:ascii="仿宋" w:hAnsi="仿宋" w:eastAsia="仿宋" w:cs="Times New Roman"/>
                <w:kern w:val="0"/>
                <w:sz w:val="20"/>
                <w:szCs w:val="20"/>
              </w:rPr>
            </w:pPr>
            <w:r>
              <w:rPr>
                <w:rFonts w:hint="eastAsia" w:ascii="仿宋" w:hAnsi="仿宋" w:eastAsia="仿宋" w:cs="仿宋"/>
                <w:kern w:val="0"/>
                <w:sz w:val="20"/>
                <w:szCs w:val="20"/>
              </w:rPr>
              <w:t>已完成</w:t>
            </w:r>
          </w:p>
        </w:tc>
        <w:tc>
          <w:tcPr>
            <w:tcW w:w="1928" w:type="dxa"/>
            <w:tcBorders>
              <w:top w:val="nil"/>
              <w:left w:val="nil"/>
              <w:bottom w:val="single" w:color="auto" w:sz="4" w:space="0"/>
              <w:right w:val="single" w:color="auto" w:sz="4" w:space="0"/>
            </w:tcBorders>
            <w:vAlign w:val="center"/>
          </w:tcPr>
          <w:p>
            <w:pPr>
              <w:widowControl/>
              <w:spacing w:line="18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我单位绩效目标自评表含定量指标和定性指标。本年度数量指标、时效指标、成本指标、效益指标完成情况良好。</w:t>
            </w:r>
          </w:p>
        </w:tc>
      </w:tr>
      <w:tr>
        <w:tblPrEx>
          <w:tblCellMar>
            <w:top w:w="0" w:type="dxa"/>
            <w:left w:w="108" w:type="dxa"/>
            <w:bottom w:w="0" w:type="dxa"/>
            <w:right w:w="108" w:type="dxa"/>
          </w:tblCellMar>
        </w:tblPrEx>
        <w:trPr>
          <w:trHeight w:val="198" w:hRule="atLeast"/>
        </w:trPr>
        <w:tc>
          <w:tcPr>
            <w:tcW w:w="47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Times New Roman"/>
                <w:kern w:val="0"/>
                <w:sz w:val="20"/>
                <w:szCs w:val="20"/>
              </w:rPr>
            </w:pPr>
          </w:p>
        </w:tc>
        <w:tc>
          <w:tcPr>
            <w:tcW w:w="72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Times New Roman"/>
                <w:kern w:val="0"/>
                <w:sz w:val="20"/>
                <w:szCs w:val="20"/>
              </w:rPr>
            </w:pPr>
          </w:p>
        </w:tc>
        <w:tc>
          <w:tcPr>
            <w:tcW w:w="751" w:type="dxa"/>
            <w:tcBorders>
              <w:top w:val="nil"/>
              <w:left w:val="nil"/>
              <w:bottom w:val="single" w:color="auto" w:sz="4" w:space="0"/>
              <w:right w:val="single" w:color="auto" w:sz="4" w:space="0"/>
            </w:tcBorders>
            <w:vAlign w:val="center"/>
          </w:tcPr>
          <w:p>
            <w:pPr>
              <w:widowControl/>
              <w:spacing w:line="24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项目效益</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20</w:t>
            </w:r>
            <w:r>
              <w:rPr>
                <w:rFonts w:hint="eastAsia" w:ascii="楷体_GB2312" w:hAnsi="宋体" w:eastAsia="楷体_GB2312" w:cs="楷体_GB2312"/>
                <w:kern w:val="0"/>
                <w:sz w:val="20"/>
                <w:szCs w:val="20"/>
              </w:rPr>
              <w:t>分）</w:t>
            </w:r>
          </w:p>
        </w:tc>
        <w:tc>
          <w:tcPr>
            <w:tcW w:w="451" w:type="dxa"/>
            <w:tcBorders>
              <w:top w:val="nil"/>
              <w:left w:val="nil"/>
              <w:bottom w:val="single" w:color="auto" w:sz="4" w:space="0"/>
              <w:right w:val="single" w:color="auto" w:sz="4" w:space="0"/>
            </w:tcBorders>
            <w:vAlign w:val="center"/>
          </w:tcPr>
          <w:p>
            <w:pPr>
              <w:widowControl/>
              <w:spacing w:line="240" w:lineRule="exact"/>
              <w:jc w:val="center"/>
              <w:rPr>
                <w:rFonts w:ascii="楷体_GB2312" w:hAnsi="宋体" w:eastAsia="楷体_GB2312" w:cs="楷体_GB2312"/>
                <w:kern w:val="0"/>
                <w:sz w:val="20"/>
                <w:szCs w:val="20"/>
              </w:rPr>
            </w:pPr>
            <w:r>
              <w:rPr>
                <w:rFonts w:ascii="楷体_GB2312" w:hAnsi="宋体" w:eastAsia="楷体_GB2312" w:cs="楷体_GB2312"/>
                <w:kern w:val="0"/>
                <w:sz w:val="20"/>
                <w:szCs w:val="20"/>
              </w:rPr>
              <w:t>20</w:t>
            </w:r>
          </w:p>
        </w:tc>
        <w:tc>
          <w:tcPr>
            <w:tcW w:w="2429"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　</w:t>
            </w:r>
          </w:p>
        </w:tc>
        <w:tc>
          <w:tcPr>
            <w:tcW w:w="2245" w:type="dxa"/>
            <w:vMerge w:val="continue"/>
            <w:tcBorders>
              <w:top w:val="nil"/>
              <w:left w:val="single" w:color="auto" w:sz="4" w:space="0"/>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p>
        </w:tc>
        <w:tc>
          <w:tcPr>
            <w:tcW w:w="1304"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根据工作实际与年初预算目标绩效表对比</w:t>
            </w:r>
          </w:p>
        </w:tc>
        <w:tc>
          <w:tcPr>
            <w:tcW w:w="1154"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定性指标全部完成。</w:t>
            </w:r>
          </w:p>
        </w:tc>
        <w:tc>
          <w:tcPr>
            <w:tcW w:w="1154" w:type="dxa"/>
            <w:tcBorders>
              <w:top w:val="nil"/>
              <w:left w:val="nil"/>
              <w:bottom w:val="single" w:color="auto" w:sz="4" w:space="0"/>
              <w:right w:val="single" w:color="auto" w:sz="4" w:space="0"/>
            </w:tcBorders>
            <w:vAlign w:val="center"/>
          </w:tcPr>
          <w:p>
            <w:pPr>
              <w:widowControl/>
              <w:spacing w:line="20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定性指标全部完成。</w:t>
            </w:r>
          </w:p>
        </w:tc>
        <w:tc>
          <w:tcPr>
            <w:tcW w:w="451" w:type="dxa"/>
            <w:tcBorders>
              <w:top w:val="nil"/>
              <w:left w:val="nil"/>
              <w:bottom w:val="single" w:color="auto" w:sz="4" w:space="0"/>
              <w:right w:val="single" w:color="auto" w:sz="4" w:space="0"/>
            </w:tcBorders>
            <w:vAlign w:val="center"/>
          </w:tcPr>
          <w:p>
            <w:pPr>
              <w:widowControl/>
              <w:spacing w:line="200" w:lineRule="exact"/>
              <w:jc w:val="center"/>
              <w:rPr>
                <w:rFonts w:ascii="楷体_GB2312" w:hAnsi="宋体" w:eastAsia="楷体_GB2312" w:cs="楷体_GB2312"/>
                <w:kern w:val="0"/>
                <w:sz w:val="20"/>
                <w:szCs w:val="20"/>
              </w:rPr>
            </w:pPr>
            <w:r>
              <w:rPr>
                <w:rFonts w:ascii="楷体_GB2312" w:hAnsi="宋体" w:eastAsia="楷体_GB2312" w:cs="楷体_GB2312"/>
                <w:kern w:val="0"/>
                <w:sz w:val="20"/>
                <w:szCs w:val="20"/>
              </w:rPr>
              <w:t>20</w:t>
            </w:r>
          </w:p>
        </w:tc>
        <w:tc>
          <w:tcPr>
            <w:tcW w:w="1114" w:type="dxa"/>
            <w:tcBorders>
              <w:top w:val="nil"/>
              <w:left w:val="nil"/>
              <w:bottom w:val="single" w:color="auto" w:sz="4" w:space="0"/>
              <w:right w:val="single" w:color="auto" w:sz="4" w:space="0"/>
            </w:tcBorders>
            <w:noWrap/>
            <w:vAlign w:val="center"/>
          </w:tcPr>
          <w:p>
            <w:pPr>
              <w:widowControl/>
              <w:jc w:val="center"/>
              <w:rPr>
                <w:rFonts w:ascii="仿宋" w:hAnsi="仿宋" w:eastAsia="仿宋" w:cs="Times New Roman"/>
                <w:kern w:val="0"/>
                <w:sz w:val="20"/>
                <w:szCs w:val="20"/>
              </w:rPr>
            </w:pPr>
            <w:r>
              <w:rPr>
                <w:rFonts w:hint="eastAsia" w:ascii="仿宋" w:hAnsi="仿宋" w:eastAsia="仿宋" w:cs="仿宋"/>
                <w:kern w:val="0"/>
                <w:sz w:val="20"/>
                <w:szCs w:val="20"/>
              </w:rPr>
              <w:t>已完成</w:t>
            </w:r>
          </w:p>
        </w:tc>
        <w:tc>
          <w:tcPr>
            <w:tcW w:w="1928" w:type="dxa"/>
            <w:tcBorders>
              <w:top w:val="nil"/>
              <w:left w:val="nil"/>
              <w:bottom w:val="single" w:color="auto" w:sz="4" w:space="0"/>
              <w:right w:val="single" w:color="auto" w:sz="4" w:space="0"/>
            </w:tcBorders>
            <w:vAlign w:val="center"/>
          </w:tcPr>
          <w:p>
            <w:pPr>
              <w:widowControl/>
              <w:spacing w:line="180" w:lineRule="exact"/>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我单位绩效目标自评表含定量指标和定性指标。本年度数量指标、时效指标、成本指标、效益指标完成情况良好。</w:t>
            </w:r>
          </w:p>
        </w:tc>
      </w:tr>
      <w:tr>
        <w:tblPrEx>
          <w:tblCellMar>
            <w:top w:w="0" w:type="dxa"/>
            <w:left w:w="108" w:type="dxa"/>
            <w:bottom w:w="0" w:type="dxa"/>
            <w:right w:w="108" w:type="dxa"/>
          </w:tblCellMar>
        </w:tblPrEx>
        <w:trPr>
          <w:trHeight w:val="843" w:hRule="atLeast"/>
        </w:trPr>
        <w:tc>
          <w:tcPr>
            <w:tcW w:w="14174" w:type="dxa"/>
            <w:gridSpan w:val="12"/>
            <w:tcBorders>
              <w:top w:val="single" w:color="auto" w:sz="4" w:space="0"/>
              <w:left w:val="single" w:color="auto" w:sz="4" w:space="0"/>
              <w:bottom w:val="single" w:color="auto" w:sz="4" w:space="0"/>
              <w:right w:val="single" w:color="auto" w:sz="4" w:space="0"/>
            </w:tcBorders>
            <w:vAlign w:val="center"/>
          </w:tcPr>
          <w:p>
            <w:pPr>
              <w:widowControl/>
              <w:spacing w:line="200" w:lineRule="exact"/>
              <w:jc w:val="left"/>
              <w:rPr>
                <w:rFonts w:ascii="宋体" w:hAnsi="宋体" w:eastAsia="宋体" w:cs="Times New Roman"/>
                <w:kern w:val="0"/>
                <w:sz w:val="20"/>
                <w:szCs w:val="20"/>
              </w:rPr>
            </w:pPr>
            <w:r>
              <w:rPr>
                <w:rFonts w:hint="eastAsia" w:ascii="宋体" w:hAnsi="宋体" w:eastAsia="宋体" w:cs="宋体"/>
                <w:kern w:val="0"/>
                <w:sz w:val="20"/>
                <w:szCs w:val="20"/>
              </w:rPr>
              <w:t>备注：</w:t>
            </w:r>
            <w:r>
              <w:rPr>
                <w:rFonts w:ascii="宋体" w:hAnsi="宋体" w:eastAsia="宋体" w:cs="Times New Roman"/>
                <w:kern w:val="0"/>
                <w:sz w:val="20"/>
                <w:szCs w:val="20"/>
              </w:rPr>
              <w:br w:type="textWrapping"/>
            </w:r>
            <w:r>
              <w:rPr>
                <w:rFonts w:ascii="宋体" w:hAnsi="宋体" w:eastAsia="宋体" w:cs="宋体"/>
                <w:kern w:val="0"/>
                <w:sz w:val="20"/>
                <w:szCs w:val="20"/>
              </w:rPr>
              <w:t>1.</w:t>
            </w:r>
            <w:r>
              <w:rPr>
                <w:rFonts w:hint="eastAsia" w:ascii="宋体" w:hAnsi="宋体" w:eastAsia="宋体" w:cs="宋体"/>
                <w:kern w:val="0"/>
                <w:sz w:val="20"/>
                <w:szCs w:val="20"/>
              </w:rPr>
              <w:t>“项目产出”和“项目效果”直接细化成部门年初绩效目标中的指标，并根据重要程度赋权。</w:t>
            </w:r>
            <w:r>
              <w:rPr>
                <w:rFonts w:ascii="宋体" w:hAnsi="宋体" w:eastAsia="宋体" w:cs="Times New Roman"/>
                <w:kern w:val="0"/>
                <w:sz w:val="20"/>
                <w:szCs w:val="20"/>
              </w:rPr>
              <w:br w:type="textWrapping"/>
            </w:r>
            <w:r>
              <w:rPr>
                <w:rFonts w:ascii="宋体" w:hAnsi="宋体" w:eastAsia="宋体" w:cs="宋体"/>
                <w:kern w:val="0"/>
                <w:sz w:val="20"/>
                <w:szCs w:val="20"/>
              </w:rPr>
              <w:t>2.</w:t>
            </w:r>
            <w:r>
              <w:rPr>
                <w:rFonts w:hint="eastAsia" w:ascii="宋体" w:hAnsi="宋体" w:eastAsia="宋体" w:cs="宋体"/>
                <w:kern w:val="0"/>
                <w:sz w:val="20"/>
                <w:szCs w:val="20"/>
              </w:rPr>
              <w:t>“绩效指标分析”是指参考历史数据、行业标准及绩效目标实际完成情况等相关资料，从“是否与项目密切相关，指标值是否可获取，指标值设置是否合理”等角度，从产出和效果类指标中找出需要改进的指标，并逐项提出次年的编制意见和建议。</w:t>
            </w:r>
          </w:p>
        </w:tc>
      </w:tr>
    </w:tbl>
    <w:p>
      <w:pPr>
        <w:rPr>
          <w:rFonts w:ascii="黑体" w:hAnsi="黑体" w:eastAsia="黑体" w:cs="Times New Roman"/>
        </w:rPr>
      </w:pPr>
    </w:p>
    <w:p>
      <w:pPr>
        <w:rPr>
          <w:rFonts w:ascii="黑体" w:hAnsi="黑体" w:eastAsia="黑体" w:cs="Times New Roman"/>
        </w:rPr>
        <w:sectPr>
          <w:pgSz w:w="16838" w:h="11906" w:orient="landscape"/>
          <w:pgMar w:top="1800" w:right="1440" w:bottom="1800" w:left="1440" w:header="851" w:footer="992" w:gutter="0"/>
          <w:cols w:space="425" w:num="1"/>
          <w:docGrid w:type="lines" w:linePitch="312" w:charSpace="0"/>
        </w:sectPr>
      </w:pPr>
    </w:p>
    <w:p>
      <w:pPr>
        <w:ind w:firstLine="640" w:firstLineChars="200"/>
        <w:rPr>
          <w:rFonts w:ascii="黑体" w:hAnsi="黑体" w:eastAsia="黑体" w:cs="Times New Roman"/>
        </w:rPr>
      </w:pPr>
      <w:r>
        <w:rPr>
          <w:rFonts w:hint="eastAsia" w:ascii="黑体" w:hAnsi="黑体" w:eastAsia="黑体" w:cs="黑体"/>
          <w:color w:val="000000"/>
          <w:kern w:val="0"/>
        </w:rPr>
        <w:t>十一、其他重要事项说明</w:t>
      </w:r>
    </w:p>
    <w:p>
      <w:pPr>
        <w:widowControl/>
        <w:ind w:firstLine="643" w:firstLineChars="200"/>
        <w:jc w:val="left"/>
        <w:rPr>
          <w:rFonts w:cs="Times New Roman"/>
        </w:rPr>
      </w:pPr>
      <w:r>
        <w:rPr>
          <w:rFonts w:hint="eastAsia" w:ascii="楷体_GB2312" w:hAnsi="宋体" w:eastAsia="楷体_GB2312" w:cs="楷体_GB2312"/>
          <w:b/>
          <w:bCs/>
          <w:color w:val="000000"/>
          <w:kern w:val="0"/>
        </w:rPr>
        <w:t>（一）机关运行经费支出情况说明。</w:t>
      </w:r>
      <w:r>
        <w:rPr>
          <w:rFonts w:ascii="楷体_GB2312" w:hAnsi="宋体" w:eastAsia="楷体_GB2312" w:cs="楷体_GB2312"/>
          <w:b/>
          <w:bCs/>
          <w:color w:val="000000"/>
          <w:kern w:val="0"/>
        </w:rPr>
        <w:t xml:space="preserve"> </w:t>
      </w:r>
    </w:p>
    <w:p>
      <w:pPr>
        <w:widowControl/>
        <w:ind w:firstLine="640" w:firstLineChars="200"/>
        <w:jc w:val="left"/>
        <w:rPr>
          <w:rFonts w:ascii="仿宋_GB2312" w:hAnsi="宋体" w:eastAsia="仿宋_GB2312" w:cs="Times New Roman"/>
          <w:color w:val="000000"/>
          <w:kern w:val="0"/>
        </w:rPr>
      </w:pPr>
      <w:r>
        <w:rPr>
          <w:rFonts w:hint="eastAsia" w:ascii="仿宋_GB2312" w:hAnsi="仿宋_GB2312" w:eastAsia="仿宋_GB2312" w:cs="仿宋_GB2312"/>
        </w:rPr>
        <w:t>本部门</w:t>
      </w:r>
      <w:r>
        <w:rPr>
          <w:rFonts w:ascii="仿宋_GB2312" w:hAnsi="仿宋_GB2312" w:eastAsia="仿宋_GB2312" w:cs="仿宋_GB2312"/>
          <w:color w:val="000000"/>
          <w:kern w:val="0"/>
          <w:sz w:val="31"/>
          <w:szCs w:val="31"/>
        </w:rPr>
        <w:t>2019</w:t>
      </w:r>
      <w:r>
        <w:rPr>
          <w:rFonts w:hint="eastAsia" w:ascii="仿宋_GB2312" w:hAnsi="仿宋_GB2312" w:eastAsia="仿宋_GB2312" w:cs="仿宋_GB2312"/>
          <w:color w:val="000000"/>
          <w:kern w:val="0"/>
          <w:sz w:val="31"/>
          <w:szCs w:val="31"/>
        </w:rPr>
        <w:t>年度机关运行经费</w:t>
      </w:r>
      <w:r>
        <w:rPr>
          <w:rFonts w:hint="eastAsia" w:ascii="仿宋_GB2312" w:hAnsi="宋体" w:eastAsia="仿宋_GB2312" w:cs="仿宋_GB2312"/>
          <w:color w:val="000000"/>
          <w:kern w:val="0"/>
        </w:rPr>
        <w:t>预算为</w:t>
      </w:r>
      <w:r>
        <w:rPr>
          <w:rFonts w:ascii="仿宋_GB2312" w:hAnsi="宋体" w:eastAsia="仿宋_GB2312" w:cs="仿宋_GB2312"/>
          <w:color w:val="000000"/>
          <w:kern w:val="0"/>
        </w:rPr>
        <w:t>12.96</w:t>
      </w:r>
      <w:r>
        <w:rPr>
          <w:rFonts w:hint="eastAsia" w:ascii="仿宋_GB2312" w:hAnsi="宋体" w:eastAsia="仿宋_GB2312" w:cs="仿宋_GB2312"/>
          <w:color w:val="000000"/>
          <w:kern w:val="0"/>
        </w:rPr>
        <w:t>万元，支出决算为</w:t>
      </w:r>
      <w:r>
        <w:rPr>
          <w:rFonts w:ascii="仿宋_GB2312" w:hAnsi="宋体" w:eastAsia="仿宋_GB2312" w:cs="仿宋_GB2312"/>
          <w:color w:val="000000"/>
          <w:kern w:val="0"/>
        </w:rPr>
        <w:t>12.23</w:t>
      </w:r>
      <w:r>
        <w:rPr>
          <w:rFonts w:hint="eastAsia" w:ascii="仿宋_GB2312" w:hAnsi="宋体" w:eastAsia="仿宋_GB2312" w:cs="仿宋_GB2312"/>
          <w:color w:val="000000"/>
          <w:kern w:val="0"/>
        </w:rPr>
        <w:t>万元，完成预算的</w:t>
      </w:r>
      <w:r>
        <w:rPr>
          <w:rFonts w:ascii="仿宋_GB2312" w:hAnsi="宋体" w:eastAsia="仿宋_GB2312" w:cs="仿宋_GB2312"/>
          <w:color w:val="000000"/>
          <w:kern w:val="0"/>
        </w:rPr>
        <w:t>94.37%</w:t>
      </w:r>
      <w:r>
        <w:rPr>
          <w:rFonts w:hint="eastAsia" w:ascii="仿宋_GB2312" w:hAnsi="宋体" w:eastAsia="仿宋_GB2312" w:cs="仿宋_GB2312"/>
          <w:color w:val="000000"/>
          <w:kern w:val="0"/>
        </w:rPr>
        <w:t>。决算数较预算数减少</w:t>
      </w:r>
      <w:r>
        <w:rPr>
          <w:rFonts w:ascii="仿宋_GB2312" w:hAnsi="宋体" w:eastAsia="仿宋_GB2312" w:cs="仿宋_GB2312"/>
          <w:color w:val="000000"/>
          <w:kern w:val="0"/>
        </w:rPr>
        <w:t>0.73</w:t>
      </w:r>
      <w:r>
        <w:rPr>
          <w:rFonts w:hint="eastAsia" w:ascii="仿宋_GB2312" w:hAnsi="宋体" w:eastAsia="仿宋_GB2312" w:cs="仿宋_GB2312"/>
          <w:color w:val="000000"/>
          <w:kern w:val="0"/>
        </w:rPr>
        <w:t>万元，主要原因是人员变化，公用经费减少。</w:t>
      </w:r>
    </w:p>
    <w:p>
      <w:pPr>
        <w:widowControl/>
        <w:ind w:firstLine="643" w:firstLineChars="200"/>
        <w:jc w:val="left"/>
        <w:rPr>
          <w:rFonts w:ascii="楷体_GB2312" w:hAnsi="宋体" w:eastAsia="楷体_GB2312" w:cs="Times New Roman"/>
          <w:b/>
          <w:bCs/>
          <w:color w:val="000000"/>
          <w:kern w:val="0"/>
        </w:rPr>
      </w:pPr>
      <w:r>
        <w:rPr>
          <w:rFonts w:hint="eastAsia" w:ascii="楷体_GB2312" w:hAnsi="宋体" w:eastAsia="楷体_GB2312" w:cs="楷体_GB2312"/>
          <w:b/>
          <w:bCs/>
          <w:color w:val="000000"/>
          <w:kern w:val="0"/>
        </w:rPr>
        <w:t>（二）政府采购支出情况说明。</w:t>
      </w:r>
    </w:p>
    <w:p>
      <w:pPr>
        <w:ind w:firstLine="640"/>
        <w:rPr>
          <w:rFonts w:ascii="仿宋_GB2312" w:hAnsi="仿宋_GB2312" w:eastAsia="仿宋_GB2312" w:cs="Times New Roman"/>
        </w:rPr>
      </w:pPr>
      <w:r>
        <w:rPr>
          <w:rFonts w:hint="eastAsia" w:ascii="仿宋_GB2312" w:hAnsi="仿宋_GB2312" w:eastAsia="仿宋_GB2312" w:cs="仿宋_GB2312"/>
        </w:rPr>
        <w:t>本部门</w:t>
      </w:r>
      <w:r>
        <w:rPr>
          <w:rFonts w:ascii="仿宋_GB2312" w:hAnsi="仿宋_GB2312" w:eastAsia="仿宋_GB2312" w:cs="仿宋_GB2312"/>
        </w:rPr>
        <w:t>2019</w:t>
      </w:r>
      <w:r>
        <w:rPr>
          <w:rFonts w:hint="eastAsia" w:ascii="仿宋_GB2312" w:hAnsi="仿宋_GB2312" w:eastAsia="仿宋_GB2312" w:cs="仿宋_GB2312"/>
        </w:rPr>
        <w:t>年度无政府采购支出</w:t>
      </w:r>
    </w:p>
    <w:p>
      <w:pPr>
        <w:widowControl/>
        <w:ind w:firstLine="643" w:firstLineChars="200"/>
        <w:jc w:val="left"/>
        <w:rPr>
          <w:rFonts w:ascii="楷体_GB2312" w:hAnsi="宋体" w:eastAsia="楷体_GB2312" w:cs="Times New Roman"/>
          <w:b/>
          <w:bCs/>
          <w:color w:val="000000"/>
          <w:kern w:val="0"/>
        </w:rPr>
      </w:pPr>
      <w:r>
        <w:rPr>
          <w:rFonts w:hint="eastAsia" w:ascii="楷体_GB2312" w:hAnsi="宋体" w:eastAsia="楷体_GB2312" w:cs="楷体_GB2312"/>
          <w:b/>
          <w:bCs/>
          <w:color w:val="000000"/>
          <w:kern w:val="0"/>
        </w:rPr>
        <w:t>（三）国有资产占用及购置情况说明。</w:t>
      </w:r>
    </w:p>
    <w:p>
      <w:pPr>
        <w:ind w:firstLine="640"/>
        <w:rPr>
          <w:rFonts w:ascii="仿宋_GB2312" w:hAnsi="仿宋_GB2312" w:eastAsia="仿宋_GB2312" w:cs="Times New Roman"/>
        </w:rPr>
      </w:pPr>
      <w:r>
        <w:rPr>
          <w:rFonts w:hint="eastAsia" w:ascii="仿宋_GB2312" w:hAnsi="仿宋_GB2312" w:eastAsia="仿宋_GB2312" w:cs="仿宋_GB2312"/>
        </w:rPr>
        <w:t>截至</w:t>
      </w:r>
      <w:r>
        <w:rPr>
          <w:rFonts w:ascii="仿宋_GB2312" w:hAnsi="仿宋_GB2312" w:eastAsia="仿宋_GB2312" w:cs="仿宋_GB2312"/>
        </w:rPr>
        <w:t>2019</w:t>
      </w:r>
      <w:r>
        <w:rPr>
          <w:rFonts w:hint="eastAsia" w:ascii="仿宋_GB2312" w:hAnsi="仿宋_GB2312" w:eastAsia="仿宋_GB2312" w:cs="仿宋_GB2312"/>
        </w:rPr>
        <w:t>年末，本部门机关及所属单位共有车辆</w:t>
      </w:r>
      <w:r>
        <w:rPr>
          <w:rFonts w:ascii="仿宋_GB2312" w:hAnsi="仿宋_GB2312" w:eastAsia="仿宋_GB2312" w:cs="仿宋_GB2312"/>
        </w:rPr>
        <w:t>0</w:t>
      </w:r>
      <w:r>
        <w:rPr>
          <w:rFonts w:hint="eastAsia" w:ascii="仿宋_GB2312" w:hAnsi="仿宋_GB2312" w:eastAsia="仿宋_GB2312" w:cs="仿宋_GB2312"/>
        </w:rPr>
        <w:t>辆；单价</w:t>
      </w:r>
      <w:r>
        <w:rPr>
          <w:rFonts w:ascii="仿宋_GB2312" w:hAnsi="仿宋_GB2312" w:eastAsia="仿宋_GB2312" w:cs="仿宋_GB2312"/>
        </w:rPr>
        <w:t>50</w:t>
      </w:r>
      <w:r>
        <w:rPr>
          <w:rFonts w:hint="eastAsia" w:ascii="仿宋_GB2312" w:hAnsi="仿宋_GB2312" w:eastAsia="仿宋_GB2312" w:cs="仿宋_GB2312"/>
        </w:rPr>
        <w:t>万元以上的通用设备</w:t>
      </w:r>
      <w:r>
        <w:rPr>
          <w:rFonts w:ascii="仿宋_GB2312" w:hAnsi="仿宋_GB2312" w:eastAsia="仿宋_GB2312" w:cs="仿宋_GB2312"/>
        </w:rPr>
        <w:t>0</w:t>
      </w:r>
      <w:r>
        <w:rPr>
          <w:rFonts w:hint="eastAsia" w:ascii="仿宋_GB2312" w:hAnsi="仿宋_GB2312" w:eastAsia="仿宋_GB2312" w:cs="仿宋_GB2312"/>
        </w:rPr>
        <w:t>台（套）；单价</w:t>
      </w:r>
      <w:r>
        <w:rPr>
          <w:rFonts w:ascii="仿宋_GB2312" w:hAnsi="仿宋_GB2312" w:eastAsia="仿宋_GB2312" w:cs="仿宋_GB2312"/>
        </w:rPr>
        <w:t>100</w:t>
      </w:r>
      <w:r>
        <w:rPr>
          <w:rFonts w:hint="eastAsia" w:ascii="仿宋_GB2312" w:hAnsi="仿宋_GB2312" w:eastAsia="仿宋_GB2312" w:cs="仿宋_GB2312"/>
        </w:rPr>
        <w:t>万元以上的专用设备</w:t>
      </w:r>
      <w:r>
        <w:rPr>
          <w:rFonts w:ascii="仿宋_GB2312" w:hAnsi="仿宋_GB2312" w:eastAsia="仿宋_GB2312" w:cs="仿宋_GB2312"/>
        </w:rPr>
        <w:t>0</w:t>
      </w:r>
      <w:r>
        <w:rPr>
          <w:rFonts w:hint="eastAsia" w:ascii="仿宋_GB2312" w:hAnsi="仿宋_GB2312" w:eastAsia="仿宋_GB2312" w:cs="仿宋_GB2312"/>
        </w:rPr>
        <w:t>台（套）。</w:t>
      </w:r>
      <w:r>
        <w:rPr>
          <w:rFonts w:ascii="仿宋_GB2312" w:hAnsi="仿宋_GB2312" w:eastAsia="仿宋_GB2312" w:cs="仿宋_GB2312"/>
        </w:rPr>
        <w:t>2019</w:t>
      </w:r>
      <w:r>
        <w:rPr>
          <w:rFonts w:hint="eastAsia" w:ascii="仿宋_GB2312" w:hAnsi="仿宋_GB2312" w:eastAsia="仿宋_GB2312" w:cs="仿宋_GB2312"/>
        </w:rPr>
        <w:t>年当年购置车辆</w:t>
      </w:r>
      <w:r>
        <w:rPr>
          <w:rFonts w:ascii="仿宋_GB2312" w:hAnsi="仿宋_GB2312" w:eastAsia="仿宋_GB2312" w:cs="仿宋_GB2312"/>
        </w:rPr>
        <w:t>0</w:t>
      </w:r>
      <w:r>
        <w:rPr>
          <w:rFonts w:hint="eastAsia" w:ascii="仿宋_GB2312" w:hAnsi="仿宋_GB2312" w:eastAsia="仿宋_GB2312" w:cs="仿宋_GB2312"/>
        </w:rPr>
        <w:t>辆；购置单价</w:t>
      </w:r>
      <w:r>
        <w:rPr>
          <w:rFonts w:ascii="仿宋_GB2312" w:hAnsi="仿宋_GB2312" w:eastAsia="仿宋_GB2312" w:cs="仿宋_GB2312"/>
        </w:rPr>
        <w:t>50</w:t>
      </w:r>
      <w:r>
        <w:rPr>
          <w:rFonts w:hint="eastAsia" w:ascii="仿宋_GB2312" w:hAnsi="仿宋_GB2312" w:eastAsia="仿宋_GB2312" w:cs="仿宋_GB2312"/>
        </w:rPr>
        <w:t>万元以上的通用设备</w:t>
      </w:r>
      <w:r>
        <w:rPr>
          <w:rFonts w:ascii="仿宋_GB2312" w:hAnsi="仿宋_GB2312" w:eastAsia="仿宋_GB2312" w:cs="仿宋_GB2312"/>
        </w:rPr>
        <w:t>0</w:t>
      </w:r>
      <w:r>
        <w:rPr>
          <w:rFonts w:hint="eastAsia" w:ascii="仿宋_GB2312" w:hAnsi="仿宋_GB2312" w:eastAsia="仿宋_GB2312" w:cs="仿宋_GB2312"/>
        </w:rPr>
        <w:t>台（套）；购置单价</w:t>
      </w:r>
      <w:r>
        <w:rPr>
          <w:rFonts w:ascii="仿宋_GB2312" w:hAnsi="仿宋_GB2312" w:eastAsia="仿宋_GB2312" w:cs="仿宋_GB2312"/>
        </w:rPr>
        <w:t>100</w:t>
      </w:r>
      <w:r>
        <w:rPr>
          <w:rFonts w:hint="eastAsia" w:ascii="仿宋_GB2312" w:hAnsi="仿宋_GB2312" w:eastAsia="仿宋_GB2312" w:cs="仿宋_GB2312"/>
        </w:rPr>
        <w:t>万元以上的专用设备</w:t>
      </w:r>
      <w:r>
        <w:rPr>
          <w:rFonts w:ascii="仿宋_GB2312" w:hAnsi="仿宋_GB2312" w:eastAsia="仿宋_GB2312" w:cs="仿宋_GB2312"/>
        </w:rPr>
        <w:t>0</w:t>
      </w:r>
      <w:r>
        <w:rPr>
          <w:rFonts w:hint="eastAsia" w:ascii="仿宋_GB2312" w:hAnsi="仿宋_GB2312" w:eastAsia="仿宋_GB2312" w:cs="仿宋_GB2312"/>
        </w:rPr>
        <w:t>台（套）。</w:t>
      </w:r>
    </w:p>
    <w:p>
      <w:pPr>
        <w:widowControl/>
        <w:jc w:val="left"/>
        <w:rPr>
          <w:rFonts w:ascii="黑体" w:hAnsi="宋体" w:eastAsia="黑体" w:cs="Times New Roman"/>
          <w:color w:val="000000"/>
          <w:kern w:val="0"/>
        </w:rPr>
      </w:pPr>
    </w:p>
    <w:p>
      <w:pPr>
        <w:widowControl/>
        <w:jc w:val="left"/>
        <w:rPr>
          <w:rFonts w:ascii="黑体" w:hAnsi="宋体" w:eastAsia="黑体" w:cs="Times New Roman"/>
          <w:color w:val="000000"/>
          <w:kern w:val="0"/>
        </w:rPr>
      </w:pPr>
    </w:p>
    <w:p>
      <w:pPr>
        <w:widowControl/>
        <w:jc w:val="left"/>
        <w:rPr>
          <w:rFonts w:ascii="黑体" w:hAnsi="宋体" w:eastAsia="黑体" w:cs="Times New Roman"/>
          <w:color w:val="000000"/>
          <w:kern w:val="0"/>
        </w:rPr>
      </w:pPr>
    </w:p>
    <w:p>
      <w:pPr>
        <w:widowControl/>
        <w:jc w:val="left"/>
        <w:rPr>
          <w:rFonts w:ascii="黑体" w:hAnsi="宋体" w:eastAsia="黑体" w:cs="Times New Roman"/>
          <w:color w:val="000000"/>
          <w:kern w:val="0"/>
        </w:rPr>
      </w:pPr>
    </w:p>
    <w:p>
      <w:pPr>
        <w:widowControl/>
        <w:jc w:val="left"/>
        <w:rPr>
          <w:rFonts w:ascii="黑体" w:hAnsi="宋体" w:eastAsia="黑体" w:cs="Times New Roman"/>
          <w:color w:val="000000"/>
          <w:kern w:val="0"/>
        </w:rPr>
      </w:pPr>
    </w:p>
    <w:p>
      <w:pPr>
        <w:widowControl/>
        <w:jc w:val="left"/>
        <w:rPr>
          <w:rFonts w:ascii="黑体" w:hAnsi="宋体" w:eastAsia="黑体" w:cs="Times New Roman"/>
          <w:color w:val="000000"/>
          <w:kern w:val="0"/>
        </w:rPr>
      </w:pPr>
    </w:p>
    <w:p>
      <w:pPr>
        <w:widowControl/>
        <w:jc w:val="left"/>
        <w:rPr>
          <w:rFonts w:ascii="黑体" w:hAnsi="宋体" w:eastAsia="黑体" w:cs="Times New Roman"/>
          <w:color w:val="000000"/>
          <w:kern w:val="0"/>
        </w:rPr>
      </w:pPr>
    </w:p>
    <w:p>
      <w:pPr>
        <w:widowControl/>
        <w:jc w:val="left"/>
        <w:rPr>
          <w:rFonts w:ascii="黑体" w:hAnsi="宋体" w:eastAsia="黑体" w:cs="Times New Roman"/>
          <w:color w:val="000000"/>
          <w:kern w:val="0"/>
        </w:rPr>
      </w:pPr>
    </w:p>
    <w:p>
      <w:pPr>
        <w:widowControl/>
        <w:jc w:val="left"/>
        <w:rPr>
          <w:rFonts w:ascii="黑体" w:hAnsi="宋体" w:eastAsia="黑体" w:cs="Times New Roman"/>
          <w:color w:val="000000"/>
          <w:kern w:val="0"/>
        </w:rPr>
      </w:pPr>
    </w:p>
    <w:p>
      <w:pPr>
        <w:numPr>
          <w:ilvl w:val="0"/>
          <w:numId w:val="2"/>
        </w:numPr>
        <w:jc w:val="center"/>
        <w:rPr>
          <w:rFonts w:ascii="黑体" w:hAnsi="宋体" w:eastAsia="黑体" w:cs="Times New Roman"/>
          <w:color w:val="000000"/>
          <w:kern w:val="0"/>
          <w:sz w:val="44"/>
          <w:szCs w:val="44"/>
        </w:rPr>
      </w:pPr>
      <w:r>
        <w:rPr>
          <w:rFonts w:hint="eastAsia" w:ascii="黑体" w:hAnsi="宋体" w:eastAsia="黑体" w:cs="黑体"/>
          <w:color w:val="000000"/>
          <w:kern w:val="0"/>
          <w:sz w:val="44"/>
          <w:szCs w:val="44"/>
        </w:rPr>
        <w:t>专业名词解释</w:t>
      </w:r>
    </w:p>
    <w:p>
      <w:pPr>
        <w:rPr>
          <w:rFonts w:ascii="黑体" w:hAnsi="宋体" w:eastAsia="黑体" w:cs="Times New Roman"/>
          <w:color w:val="000000"/>
          <w:kern w:val="0"/>
          <w:sz w:val="44"/>
          <w:szCs w:val="44"/>
        </w:rPr>
      </w:pPr>
    </w:p>
    <w:p>
      <w:pPr>
        <w:widowControl/>
        <w:ind w:firstLine="640" w:firstLineChars="200"/>
        <w:jc w:val="left"/>
        <w:rPr>
          <w:rFonts w:ascii="仿宋_GB2312" w:hAnsi="仿宋_GB2312" w:eastAsia="仿宋_GB2312" w:cs="Times New Roman"/>
        </w:rPr>
      </w:pPr>
      <w:r>
        <w:rPr>
          <w:rFonts w:hint="eastAsia" w:ascii="仿宋_GB2312" w:hAnsi="仿宋_GB2312" w:eastAsia="仿宋_GB2312" w:cs="仿宋_GB2312"/>
        </w:rPr>
        <w:t>文字说明。专业名词解释可由部门根据业务内容等自行选择。</w:t>
      </w:r>
    </w:p>
    <w:p>
      <w:pPr>
        <w:widowControl/>
        <w:ind w:firstLine="640" w:firstLineChars="200"/>
        <w:jc w:val="left"/>
        <w:rPr>
          <w:rFonts w:ascii="仿宋_GB2312" w:hAnsi="仿宋_GB2312" w:eastAsia="仿宋_GB2312" w:cs="Times New Roman"/>
        </w:rPr>
      </w:pPr>
      <w:r>
        <w:rPr>
          <w:rFonts w:hint="eastAsia" w:ascii="仿宋_GB2312" w:hAnsi="仿宋_GB2312" w:eastAsia="仿宋_GB2312" w:cs="仿宋_GB2312"/>
        </w:rPr>
        <w:t>示例：</w:t>
      </w:r>
    </w:p>
    <w:p>
      <w:pPr>
        <w:ind w:firstLine="643" w:firstLineChars="200"/>
        <w:rPr>
          <w:rFonts w:ascii="仿宋_GB2312" w:hAnsi="仿宋_GB2312" w:eastAsia="仿宋_GB2312" w:cs="Times New Roman"/>
        </w:rPr>
      </w:pPr>
      <w:r>
        <w:rPr>
          <w:rFonts w:ascii="仿宋_GB2312" w:hAnsi="仿宋_GB2312" w:eastAsia="仿宋_GB2312" w:cs="仿宋_GB2312"/>
          <w:b/>
          <w:bCs/>
        </w:rPr>
        <w:t>1.</w:t>
      </w:r>
      <w:r>
        <w:rPr>
          <w:rFonts w:hint="eastAsia" w:ascii="仿宋_GB2312" w:hAnsi="仿宋_GB2312" w:eastAsia="仿宋_GB2312" w:cs="仿宋_GB2312"/>
          <w:b/>
          <w:bCs/>
        </w:rPr>
        <w:t>基本支出</w:t>
      </w:r>
      <w:r>
        <w:rPr>
          <w:rFonts w:hint="eastAsia" w:ascii="仿宋_GB2312" w:hAnsi="仿宋_GB2312" w:eastAsia="仿宋_GB2312" w:cs="仿宋_GB2312"/>
        </w:rPr>
        <w:t>：指为保障机构正常运转、完成日常工作任务而发生的各项支出。</w:t>
      </w:r>
    </w:p>
    <w:p>
      <w:pPr>
        <w:ind w:firstLine="643" w:firstLineChars="200"/>
        <w:rPr>
          <w:rFonts w:ascii="仿宋_GB2312" w:hAnsi="仿宋_GB2312" w:eastAsia="仿宋_GB2312" w:cs="Times New Roman"/>
        </w:rPr>
      </w:pPr>
      <w:r>
        <w:rPr>
          <w:rFonts w:ascii="仿宋_GB2312" w:hAnsi="仿宋_GB2312" w:eastAsia="仿宋_GB2312" w:cs="仿宋_GB2312"/>
          <w:b/>
          <w:bCs/>
        </w:rPr>
        <w:t>2.</w:t>
      </w:r>
      <w:r>
        <w:rPr>
          <w:rFonts w:hint="eastAsia" w:ascii="仿宋_GB2312" w:hAnsi="仿宋_GB2312" w:eastAsia="仿宋_GB2312" w:cs="仿宋_GB2312"/>
          <w:b/>
          <w:bCs/>
        </w:rPr>
        <w:t>项目支出</w:t>
      </w:r>
      <w:r>
        <w:rPr>
          <w:rFonts w:hint="eastAsia" w:ascii="仿宋_GB2312" w:hAnsi="仿宋_GB2312" w:eastAsia="仿宋_GB2312" w:cs="仿宋_GB2312"/>
        </w:rPr>
        <w:t>：指单位为完成特定的行政工作任务或事业发展目标所发生的各项支出。</w:t>
      </w:r>
    </w:p>
    <w:p>
      <w:pPr>
        <w:ind w:firstLine="640"/>
        <w:rPr>
          <w:rFonts w:ascii="仿宋_GB2312" w:hAnsi="仿宋_GB2312" w:eastAsia="仿宋_GB2312" w:cs="Times New Roman"/>
        </w:rPr>
      </w:pPr>
      <w:r>
        <w:rPr>
          <w:rFonts w:ascii="仿宋_GB2312" w:hAnsi="仿宋_GB2312" w:eastAsia="仿宋_GB2312" w:cs="仿宋_GB2312"/>
          <w:b/>
          <w:bCs/>
        </w:rPr>
        <w:t>3.</w:t>
      </w:r>
      <w:r>
        <w:rPr>
          <w:rFonts w:hint="eastAsia" w:ascii="仿宋_GB2312" w:hAnsi="仿宋_GB2312" w:eastAsia="仿宋_GB2312" w:cs="仿宋_GB2312"/>
          <w:b/>
          <w:bCs/>
        </w:rPr>
        <w:t>“三公”经费</w:t>
      </w:r>
      <w:r>
        <w:rPr>
          <w:rFonts w:hint="eastAsia" w:ascii="仿宋_GB2312" w:hAnsi="仿宋_GB2312" w:eastAsia="仿宋_GB2312" w:cs="仿宋_GB2312"/>
        </w:rPr>
        <w:t>：指部门使用一般公共预算财政拨款安排的因公出国（境）费、公务用车购置及运行费和公务接待费支出。</w:t>
      </w:r>
    </w:p>
    <w:p>
      <w:pPr>
        <w:ind w:firstLine="640"/>
        <w:rPr>
          <w:rFonts w:ascii="仿宋_GB2312" w:hAnsi="仿宋_GB2312" w:eastAsia="仿宋_GB2312" w:cs="Times New Roman"/>
        </w:rPr>
      </w:pPr>
      <w:r>
        <w:rPr>
          <w:rFonts w:ascii="仿宋_GB2312" w:hAnsi="仿宋_GB2312" w:eastAsia="仿宋_GB2312" w:cs="仿宋_GB2312"/>
          <w:b/>
          <w:bCs/>
        </w:rPr>
        <w:t>4.</w:t>
      </w:r>
      <w:r>
        <w:rPr>
          <w:rFonts w:hint="eastAsia" w:ascii="仿宋_GB2312" w:hAnsi="仿宋_GB2312" w:eastAsia="仿宋_GB2312" w:cs="仿宋_GB2312"/>
          <w:b/>
          <w:bCs/>
        </w:rPr>
        <w:t>财政拨款收入</w:t>
      </w:r>
      <w:r>
        <w:rPr>
          <w:rFonts w:hint="eastAsia" w:ascii="仿宋_GB2312" w:hAnsi="仿宋_GB2312" w:eastAsia="仿宋_GB2312" w:cs="仿宋_GB2312"/>
        </w:rPr>
        <w:t>：指本级财政当年拨付的资金。</w:t>
      </w:r>
    </w:p>
    <w:p>
      <w:pPr>
        <w:ind w:firstLine="640"/>
        <w:rPr>
          <w:rFonts w:ascii="仿宋_GB2312" w:hAnsi="仿宋_GB2312" w:eastAsia="仿宋_GB2312" w:cs="Times New Roman"/>
        </w:rPr>
      </w:pPr>
      <w:r>
        <w:rPr>
          <w:rFonts w:ascii="仿宋_GB2312" w:hAnsi="仿宋_GB2312" w:eastAsia="仿宋_GB2312" w:cs="仿宋_GB2312"/>
          <w:b/>
          <w:bCs/>
        </w:rPr>
        <w:t>5.</w:t>
      </w:r>
      <w:r>
        <w:rPr>
          <w:rFonts w:hint="eastAsia" w:ascii="仿宋_GB2312" w:hAnsi="仿宋_GB2312" w:eastAsia="仿宋_GB2312" w:cs="仿宋_GB2312"/>
          <w:b/>
          <w:bCs/>
        </w:rPr>
        <w:t>调整预算数：</w:t>
      </w:r>
      <w:r>
        <w:rPr>
          <w:rFonts w:hint="eastAsia" w:ascii="仿宋_GB2312" w:hAnsi="宋体" w:eastAsia="仿宋_GB2312" w:cs="仿宋_GB2312"/>
        </w:rPr>
        <w:t>填列经调整后的全年预算数，包括年初预算数和预算调增调减数</w:t>
      </w:r>
      <w:r>
        <w:rPr>
          <w:rFonts w:hint="eastAsia" w:ascii="仿宋_GB2312" w:eastAsia="仿宋_GB2312" w:cs="仿宋_GB2312"/>
        </w:rPr>
        <w:t>，即：调整预算数＝年初预算数＋预算调增数－预算调减数</w:t>
      </w:r>
      <w:r>
        <w:rPr>
          <w:rFonts w:hint="eastAsia" w:ascii="仿宋_GB2312" w:hAnsi="宋体" w:eastAsia="仿宋_GB2312" w:cs="仿宋_GB2312"/>
        </w:rPr>
        <w:t>。</w:t>
      </w:r>
    </w:p>
    <w:p>
      <w:pPr>
        <w:widowControl/>
        <w:ind w:firstLine="620" w:firstLineChars="200"/>
        <w:jc w:val="left"/>
        <w:rPr>
          <w:rFonts w:ascii="仿宋_GB2312" w:hAnsi="仿宋_GB2312" w:eastAsia="仿宋_GB2312" w:cs="Times New Roman"/>
          <w:color w:val="000000"/>
          <w:kern w:val="0"/>
          <w:sz w:val="31"/>
          <w:szCs w:val="31"/>
        </w:rPr>
      </w:pPr>
    </w:p>
    <w:p>
      <w:pPr>
        <w:widowControl/>
        <w:ind w:firstLine="620" w:firstLineChars="200"/>
        <w:jc w:val="left"/>
        <w:rPr>
          <w:rFonts w:ascii="仿宋_GB2312" w:hAnsi="仿宋_GB2312" w:eastAsia="仿宋_GB2312" w:cs="Times New Roman"/>
          <w:color w:val="000000"/>
          <w:kern w:val="0"/>
          <w:sz w:val="31"/>
          <w:szCs w:val="31"/>
        </w:rPr>
      </w:pPr>
    </w:p>
    <w:p>
      <w:pPr>
        <w:widowControl/>
        <w:ind w:firstLine="620" w:firstLineChars="200"/>
        <w:jc w:val="left"/>
        <w:rPr>
          <w:rFonts w:ascii="仿宋_GB2312" w:hAnsi="仿宋_GB2312" w:eastAsia="仿宋_GB2312" w:cs="Times New Roman"/>
          <w:color w:val="000000"/>
          <w:kern w:val="0"/>
          <w:sz w:val="31"/>
          <w:szCs w:val="31"/>
        </w:rPr>
      </w:pPr>
    </w:p>
    <w:p>
      <w:pPr>
        <w:widowControl/>
        <w:ind w:firstLine="620" w:firstLineChars="200"/>
        <w:jc w:val="left"/>
        <w:rPr>
          <w:rFonts w:ascii="仿宋_GB2312" w:hAnsi="仿宋_GB2312" w:eastAsia="仿宋_GB2312" w:cs="Times New Roman"/>
          <w:color w:val="000000"/>
          <w:kern w:val="0"/>
          <w:sz w:val="31"/>
          <w:szCs w:val="31"/>
        </w:rPr>
      </w:pPr>
    </w:p>
    <w:p>
      <w:pPr>
        <w:widowControl/>
        <w:jc w:val="left"/>
        <w:rPr>
          <w:rFonts w:ascii="仿宋_GB2312" w:hAnsi="仿宋_GB2312" w:eastAsia="仿宋_GB2312" w:cs="Times New Roman"/>
          <w:color w:val="000000"/>
          <w:kern w:val="0"/>
          <w:sz w:val="31"/>
          <w:szCs w:val="31"/>
        </w:rPr>
      </w:pPr>
    </w:p>
    <w:p>
      <w:pPr>
        <w:rPr>
          <w:rFonts w:cs="Times New Roman"/>
        </w:rPr>
      </w:pPr>
      <w:r>
        <w:rPr>
          <w:rFonts w:ascii="仿宋_GB2312" w:hAnsi="仿宋_GB2312" w:eastAsia="仿宋_GB2312" w:cs="仿宋_GB2312"/>
          <w:color w:val="000000"/>
          <w:kern w:val="0"/>
          <w:sz w:val="31"/>
          <w:szCs w:val="31"/>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宋体"/>
    <w:panose1 w:val="00000000000000000000"/>
    <w:charset w:val="86"/>
    <w:family w:val="auto"/>
    <w:pitch w:val="default"/>
    <w:sig w:usb0="00000000" w:usb1="0000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w:panose1 w:val="020B0604020202020204"/>
    <w:charset w:val="00"/>
    <w:family w:val="swiss"/>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232710"/>
    <w:multiLevelType w:val="singleLevel"/>
    <w:tmpl w:val="9F232710"/>
    <w:lvl w:ilvl="0" w:tentative="0">
      <w:start w:val="1"/>
      <w:numFmt w:val="chineseCounting"/>
      <w:suff w:val="space"/>
      <w:lvlText w:val="第%1部分"/>
      <w:lvlJc w:val="left"/>
      <w:rPr>
        <w:rFonts w:hint="eastAsia"/>
      </w:rPr>
    </w:lvl>
  </w:abstractNum>
  <w:abstractNum w:abstractNumId="1">
    <w:nsid w:val="39BEA4A8"/>
    <w:multiLevelType w:val="singleLevel"/>
    <w:tmpl w:val="39BEA4A8"/>
    <w:lvl w:ilvl="0" w:tentative="0">
      <w:start w:val="4"/>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gwYmVhYzQ2YWZlNzMwMTU1M2Y1NTg2MGU1ZWY2NDgifQ=="/>
  </w:docVars>
  <w:rsids>
    <w:rsidRoot w:val="20E506C4"/>
    <w:rsid w:val="00015455"/>
    <w:rsid w:val="000E02F2"/>
    <w:rsid w:val="00176A43"/>
    <w:rsid w:val="00215A09"/>
    <w:rsid w:val="00325A10"/>
    <w:rsid w:val="00347F25"/>
    <w:rsid w:val="00394C38"/>
    <w:rsid w:val="003F3B0A"/>
    <w:rsid w:val="00430FBC"/>
    <w:rsid w:val="00446E9C"/>
    <w:rsid w:val="00467018"/>
    <w:rsid w:val="00497BFB"/>
    <w:rsid w:val="004A375E"/>
    <w:rsid w:val="004D30A0"/>
    <w:rsid w:val="00510FC5"/>
    <w:rsid w:val="0057009A"/>
    <w:rsid w:val="0057275B"/>
    <w:rsid w:val="005929C8"/>
    <w:rsid w:val="00592FDC"/>
    <w:rsid w:val="005971FB"/>
    <w:rsid w:val="005F153A"/>
    <w:rsid w:val="005F67D0"/>
    <w:rsid w:val="00612144"/>
    <w:rsid w:val="006421BC"/>
    <w:rsid w:val="00645731"/>
    <w:rsid w:val="0065322D"/>
    <w:rsid w:val="00654303"/>
    <w:rsid w:val="006646FA"/>
    <w:rsid w:val="006D108C"/>
    <w:rsid w:val="006E6463"/>
    <w:rsid w:val="00705D9A"/>
    <w:rsid w:val="00755578"/>
    <w:rsid w:val="00767736"/>
    <w:rsid w:val="007D39BD"/>
    <w:rsid w:val="00803916"/>
    <w:rsid w:val="0082076E"/>
    <w:rsid w:val="00843293"/>
    <w:rsid w:val="008526FE"/>
    <w:rsid w:val="008A046D"/>
    <w:rsid w:val="008A6DD5"/>
    <w:rsid w:val="008E5206"/>
    <w:rsid w:val="00910C97"/>
    <w:rsid w:val="00926DEC"/>
    <w:rsid w:val="00952056"/>
    <w:rsid w:val="00980AB6"/>
    <w:rsid w:val="009C50D3"/>
    <w:rsid w:val="009E72D7"/>
    <w:rsid w:val="00A1276B"/>
    <w:rsid w:val="00A61B68"/>
    <w:rsid w:val="00A77A2C"/>
    <w:rsid w:val="00AA6708"/>
    <w:rsid w:val="00AF426D"/>
    <w:rsid w:val="00AF5C24"/>
    <w:rsid w:val="00B15379"/>
    <w:rsid w:val="00B72936"/>
    <w:rsid w:val="00B72C81"/>
    <w:rsid w:val="00B825AA"/>
    <w:rsid w:val="00B91CFD"/>
    <w:rsid w:val="00BC4A55"/>
    <w:rsid w:val="00C61D66"/>
    <w:rsid w:val="00C74003"/>
    <w:rsid w:val="00C9339C"/>
    <w:rsid w:val="00CC6DD1"/>
    <w:rsid w:val="00D82BDF"/>
    <w:rsid w:val="00E05446"/>
    <w:rsid w:val="00E112CA"/>
    <w:rsid w:val="00E223AE"/>
    <w:rsid w:val="00E57A87"/>
    <w:rsid w:val="00E628BC"/>
    <w:rsid w:val="00EA0C55"/>
    <w:rsid w:val="00EF4026"/>
    <w:rsid w:val="00F10021"/>
    <w:rsid w:val="00F11EB9"/>
    <w:rsid w:val="00F362BD"/>
    <w:rsid w:val="00F555F8"/>
    <w:rsid w:val="00F73AAA"/>
    <w:rsid w:val="00FC59FF"/>
    <w:rsid w:val="00FC6C20"/>
    <w:rsid w:val="00FC6D41"/>
    <w:rsid w:val="00FE7711"/>
    <w:rsid w:val="086C1E64"/>
    <w:rsid w:val="1AF22409"/>
    <w:rsid w:val="1D8B0C78"/>
    <w:rsid w:val="20B96E79"/>
    <w:rsid w:val="20E506C4"/>
    <w:rsid w:val="30DF4759"/>
    <w:rsid w:val="3669223E"/>
    <w:rsid w:val="3D904069"/>
    <w:rsid w:val="3FCA23EC"/>
    <w:rsid w:val="424D60E4"/>
    <w:rsid w:val="42FA4769"/>
    <w:rsid w:val="43BC1030"/>
    <w:rsid w:val="47964FBE"/>
    <w:rsid w:val="4A1752A2"/>
    <w:rsid w:val="4B18398F"/>
    <w:rsid w:val="52AC7AB3"/>
    <w:rsid w:val="54207C4C"/>
    <w:rsid w:val="596D661C"/>
    <w:rsid w:val="69A157A9"/>
    <w:rsid w:val="6B3B79EC"/>
    <w:rsid w:val="6F094735"/>
    <w:rsid w:val="6FD863CC"/>
    <w:rsid w:val="73431FE5"/>
    <w:rsid w:val="778B0394"/>
    <w:rsid w:val="7B6D5E4A"/>
    <w:rsid w:val="7C6A305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简体" w:cs="Calibri"/>
      <w:kern w:val="2"/>
      <w:sz w:val="32"/>
      <w:szCs w:val="32"/>
      <w:lang w:val="en-US" w:eastAsia="zh-CN" w:bidi="ar-SA"/>
    </w:rPr>
  </w:style>
  <w:style w:type="character" w:default="1" w:styleId="7">
    <w:name w:val="Default Paragraph Font"/>
    <w:semiHidden/>
    <w:qFormat/>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8"/>
    <w:uiPriority w:val="99"/>
    <w:rPr>
      <w:rFonts w:ascii="宋体" w:hAnsi="Courier New" w:eastAsia="宋体" w:cs="宋体"/>
      <w:sz w:val="21"/>
      <w:szCs w:val="21"/>
    </w:rPr>
  </w:style>
  <w:style w:type="paragraph" w:styleId="3">
    <w:name w:val="footer"/>
    <w:basedOn w:val="1"/>
    <w:link w:val="17"/>
    <w:qFormat/>
    <w:uiPriority w:val="99"/>
    <w:pPr>
      <w:tabs>
        <w:tab w:val="center" w:pos="4153"/>
        <w:tab w:val="right" w:pos="8306"/>
      </w:tabs>
      <w:snapToGrid w:val="0"/>
      <w:jc w:val="left"/>
    </w:pPr>
    <w:rPr>
      <w:sz w:val="18"/>
      <w:szCs w:val="18"/>
    </w:rPr>
  </w:style>
  <w:style w:type="paragraph" w:styleId="4">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Plain Text Char"/>
    <w:basedOn w:val="7"/>
    <w:link w:val="2"/>
    <w:semiHidden/>
    <w:locked/>
    <w:uiPriority w:val="99"/>
    <w:rPr>
      <w:rFonts w:ascii="宋体" w:hAnsi="Courier New" w:cs="宋体"/>
      <w:sz w:val="21"/>
      <w:szCs w:val="21"/>
    </w:rPr>
  </w:style>
  <w:style w:type="character" w:customStyle="1" w:styleId="9">
    <w:name w:val="font11"/>
    <w:basedOn w:val="7"/>
    <w:qFormat/>
    <w:uiPriority w:val="99"/>
    <w:rPr>
      <w:rFonts w:ascii="宋体" w:hAnsi="宋体" w:eastAsia="宋体" w:cs="宋体"/>
      <w:b/>
      <w:bCs/>
      <w:color w:val="000000"/>
      <w:sz w:val="32"/>
      <w:szCs w:val="32"/>
      <w:u w:val="none"/>
    </w:rPr>
  </w:style>
  <w:style w:type="character" w:customStyle="1" w:styleId="10">
    <w:name w:val="font91"/>
    <w:basedOn w:val="7"/>
    <w:qFormat/>
    <w:uiPriority w:val="99"/>
    <w:rPr>
      <w:rFonts w:ascii="宋体" w:hAnsi="宋体" w:eastAsia="宋体" w:cs="宋体"/>
      <w:color w:val="000000"/>
      <w:sz w:val="32"/>
      <w:szCs w:val="32"/>
      <w:u w:val="none"/>
    </w:rPr>
  </w:style>
  <w:style w:type="character" w:customStyle="1" w:styleId="11">
    <w:name w:val="font51"/>
    <w:basedOn w:val="7"/>
    <w:qFormat/>
    <w:uiPriority w:val="99"/>
    <w:rPr>
      <w:rFonts w:ascii="宋体" w:hAnsi="宋体" w:eastAsia="宋体" w:cs="宋体"/>
      <w:color w:val="000000"/>
      <w:sz w:val="20"/>
      <w:szCs w:val="20"/>
      <w:u w:val="none"/>
    </w:rPr>
  </w:style>
  <w:style w:type="character" w:customStyle="1" w:styleId="12">
    <w:name w:val="font101"/>
    <w:basedOn w:val="7"/>
    <w:qFormat/>
    <w:uiPriority w:val="99"/>
    <w:rPr>
      <w:rFonts w:ascii="宋体" w:hAnsi="宋体" w:eastAsia="宋体" w:cs="宋体"/>
      <w:color w:val="000000"/>
      <w:sz w:val="20"/>
      <w:szCs w:val="20"/>
      <w:u w:val="none"/>
    </w:rPr>
  </w:style>
  <w:style w:type="character" w:customStyle="1" w:styleId="13">
    <w:name w:val="font21"/>
    <w:basedOn w:val="7"/>
    <w:qFormat/>
    <w:uiPriority w:val="99"/>
    <w:rPr>
      <w:rFonts w:ascii="宋体" w:hAnsi="宋体" w:eastAsia="宋体" w:cs="宋体"/>
      <w:color w:val="000000"/>
      <w:sz w:val="18"/>
      <w:szCs w:val="18"/>
      <w:u w:val="none"/>
    </w:rPr>
  </w:style>
  <w:style w:type="character" w:customStyle="1" w:styleId="14">
    <w:name w:val="font112"/>
    <w:basedOn w:val="7"/>
    <w:qFormat/>
    <w:uiPriority w:val="99"/>
    <w:rPr>
      <w:rFonts w:ascii="宋体" w:hAnsi="宋体" w:eastAsia="宋体" w:cs="宋体"/>
      <w:color w:val="000000"/>
      <w:sz w:val="20"/>
      <w:szCs w:val="20"/>
      <w:u w:val="none"/>
    </w:rPr>
  </w:style>
  <w:style w:type="character" w:customStyle="1" w:styleId="15">
    <w:name w:val="font61"/>
    <w:basedOn w:val="7"/>
    <w:qFormat/>
    <w:uiPriority w:val="99"/>
    <w:rPr>
      <w:rFonts w:ascii="宋体" w:hAnsi="宋体" w:eastAsia="宋体" w:cs="宋体"/>
      <w:color w:val="000000"/>
      <w:sz w:val="24"/>
      <w:szCs w:val="24"/>
      <w:u w:val="none"/>
    </w:rPr>
  </w:style>
  <w:style w:type="character" w:customStyle="1" w:styleId="16">
    <w:name w:val="Header Char"/>
    <w:basedOn w:val="7"/>
    <w:link w:val="4"/>
    <w:qFormat/>
    <w:locked/>
    <w:uiPriority w:val="99"/>
    <w:rPr>
      <w:rFonts w:ascii="Calibri" w:hAnsi="Calibri" w:eastAsia="方正仿宋简体" w:cs="Calibri"/>
      <w:kern w:val="2"/>
      <w:sz w:val="18"/>
      <w:szCs w:val="18"/>
    </w:rPr>
  </w:style>
  <w:style w:type="character" w:customStyle="1" w:styleId="17">
    <w:name w:val="Footer Char"/>
    <w:basedOn w:val="7"/>
    <w:link w:val="3"/>
    <w:qFormat/>
    <w:locked/>
    <w:uiPriority w:val="99"/>
    <w:rPr>
      <w:rFonts w:ascii="Calibri" w:hAnsi="Calibri" w:eastAsia="方正仿宋简体" w:cs="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emf"/><Relationship Id="rId7" Type="http://schemas.openxmlformats.org/officeDocument/2006/relationships/image" Target="media/image4.emf"/><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Lenovo</Company>
  <Pages>39</Pages>
  <Words>3032</Words>
  <Characters>17287</Characters>
  <Lines>0</Lines>
  <Paragraphs>0</Paragraphs>
  <TotalTime>378</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2020-09-17T02:35:00Z</dcterms:created>
  <dc:creator>lenovo</dc:creator>
  <cp:lastModifiedBy>Administrator</cp:lastModifiedBy>
  <cp:lastPrinted>2020-09-17T02:30:00Z</cp:lastPrinted>
  <dcterms:modified xsi:type="dcterms:W3CDTF">2024-05-27T09:55:49Z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6E722C223CC6483985884250C5CFBC6C_12</vt:lpwstr>
  </property>
</Properties>
</file>