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ind w:firstLine="482"/>
        <w:contextualSpacing/>
        <w:jc w:val="center"/>
        <w:rPr>
          <w:rFonts w:hint="eastAsia" w:ascii="方正小标宋简体" w:hAnsi="微软雅黑" w:eastAsia="方正小标宋简体" w:cs="宋体"/>
          <w:color w:val="3D3D3C"/>
          <w:kern w:val="0"/>
          <w:sz w:val="44"/>
          <w:szCs w:val="44"/>
        </w:rPr>
      </w:pPr>
    </w:p>
    <w:p>
      <w:pPr>
        <w:widowControl/>
        <w:shd w:val="clear" w:color="auto" w:fill="FFFFFF"/>
        <w:spacing w:line="560" w:lineRule="exact"/>
        <w:ind w:firstLine="482"/>
        <w:contextualSpacing/>
        <w:jc w:val="center"/>
        <w:rPr>
          <w:rFonts w:hint="eastAsia" w:ascii="方正小标宋简体" w:hAnsi="微软雅黑" w:eastAsia="方正小标宋简体" w:cs="宋体"/>
          <w:color w:val="3D3D3C"/>
          <w:kern w:val="0"/>
          <w:sz w:val="44"/>
          <w:szCs w:val="44"/>
        </w:rPr>
      </w:pPr>
      <w:r>
        <w:rPr>
          <w:rFonts w:hint="eastAsia" w:ascii="方正小标宋简体" w:hAnsi="微软雅黑" w:eastAsia="方正小标宋简体" w:cs="宋体"/>
          <w:color w:val="3D3D3C"/>
          <w:kern w:val="0"/>
          <w:sz w:val="44"/>
          <w:szCs w:val="44"/>
        </w:rPr>
        <w:t>原蓝田县卫生和计划生育局</w:t>
      </w:r>
    </w:p>
    <w:p>
      <w:pPr>
        <w:widowControl/>
        <w:shd w:val="clear" w:color="auto" w:fill="FFFFFF"/>
        <w:spacing w:line="560" w:lineRule="exact"/>
        <w:ind w:firstLine="482"/>
        <w:contextualSpacing/>
        <w:jc w:val="center"/>
        <w:rPr>
          <w:rFonts w:hint="eastAsia" w:ascii="方正小标宋简体" w:hAnsi="微软雅黑" w:eastAsia="方正小标宋简体" w:cs="宋体"/>
          <w:color w:val="3D3D3C"/>
          <w:kern w:val="0"/>
          <w:sz w:val="44"/>
          <w:szCs w:val="44"/>
          <w:lang w:eastAsia="zh-CN"/>
        </w:rPr>
      </w:pPr>
      <w:r>
        <w:rPr>
          <w:rFonts w:hint="eastAsia" w:ascii="方正小标宋简体" w:hAnsi="微软雅黑" w:eastAsia="方正小标宋简体" w:cs="宋体"/>
          <w:color w:val="3D3D3C"/>
          <w:kern w:val="0"/>
          <w:sz w:val="44"/>
          <w:szCs w:val="44"/>
        </w:rPr>
        <w:t>2018年度部门决算说明</w:t>
      </w:r>
    </w:p>
    <w:p>
      <w:pPr>
        <w:widowControl/>
        <w:shd w:val="clear" w:color="auto" w:fill="FFFFFF"/>
        <w:spacing w:line="560" w:lineRule="exact"/>
        <w:ind w:firstLine="482"/>
        <w:contextualSpacing/>
        <w:jc w:val="center"/>
        <w:rPr>
          <w:rFonts w:hint="eastAsia" w:ascii="方正小标宋简体" w:hAnsi="微软雅黑" w:eastAsia="方正小标宋简体" w:cs="宋体"/>
          <w:color w:val="3D3D3C"/>
          <w:kern w:val="0"/>
          <w:sz w:val="44"/>
          <w:szCs w:val="44"/>
          <w:lang w:eastAsia="zh-CN"/>
        </w:rPr>
      </w:pP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hAnsi="黑体" w:eastAsia="仿宋_GB2312" w:cs="宋体"/>
          <w:color w:val="3D3D3C"/>
          <w:kern w:val="0"/>
          <w:sz w:val="32"/>
          <w:szCs w:val="32"/>
        </w:rPr>
      </w:pPr>
      <w:r>
        <w:rPr>
          <w:rFonts w:hint="eastAsia" w:ascii="仿宋_GB2312" w:hAnsi="黑体" w:eastAsia="仿宋_GB2312" w:cs="宋体"/>
          <w:color w:val="3D3D3C"/>
          <w:kern w:val="0"/>
          <w:sz w:val="32"/>
          <w:szCs w:val="32"/>
        </w:rPr>
        <w:t>一、部门主要职责</w:t>
      </w:r>
    </w:p>
    <w:p>
      <w:pPr>
        <w:pBdr>
          <w:bottom w:val="single" w:color="FFFFFF" w:sz="4" w:space="31"/>
        </w:pBdr>
        <w:tabs>
          <w:tab w:val="left" w:pos="7380"/>
        </w:tabs>
        <w:autoSpaceDE w:val="0"/>
        <w:autoSpaceDN w:val="0"/>
        <w:adjustRightInd w:val="0"/>
        <w:snapToGrid w:val="0"/>
        <w:spacing w:line="360" w:lineRule="auto"/>
        <w:ind w:firstLine="640" w:firstLineChars="200"/>
        <w:rPr>
          <w:rFonts w:hint="eastAsia" w:ascii="仿宋_GB2312" w:eastAsia="仿宋_GB2312"/>
          <w:sz w:val="32"/>
          <w:szCs w:val="32"/>
        </w:rPr>
      </w:pPr>
      <w:r>
        <w:rPr>
          <w:rFonts w:hint="eastAsia" w:ascii="仿宋_GB2312" w:hAnsi="微软雅黑" w:eastAsia="仿宋_GB2312"/>
          <w:color w:val="3D3D3C"/>
          <w:sz w:val="32"/>
          <w:szCs w:val="32"/>
          <w:shd w:val="clear" w:color="auto" w:fill="FFFFFF"/>
        </w:rPr>
        <w:t>原蓝田县卫生和计划生育局内设机构共14个，包括综合办公室、药政药管科、应急公卫科、信息统计科、计生管理科、妇幼健康科、法治监督科、家庭发展科、宣传科、医政医管科、财务项目科、行政审批科、工会、计生协会。</w:t>
      </w:r>
      <w:r>
        <w:rPr>
          <w:rFonts w:hint="eastAsia" w:ascii="仿宋_GB2312" w:eastAsia="仿宋_GB2312"/>
          <w:color w:val="000000"/>
          <w:sz w:val="32"/>
          <w:szCs w:val="32"/>
        </w:rPr>
        <w:t>根据县委县政府蓝办字〔2019〕42号机构改革方案，本部门2019年更名为蓝田县卫生健康局，相关内设机构随之调整。</w:t>
      </w:r>
    </w:p>
    <w:p>
      <w:pPr>
        <w:pStyle w:val="9"/>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贯彻执行国家卫生健康工作的法律法规和方针政策，拟订全县人民健康政策及卫生健康事业发展规划并组织实施，统筹规划全县卫生健康资源配置，负责卫生健康信息化建设，依法组织实施统计调查，加快推进卫生健康基本公共服务均等化、普惠化、便捷化和公共资源向基层延伸。</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贯彻落实中、省、市深化医药卫生体制改革的重大方针政策，协调推进深化医药卫生体制改革，研究提出全县深化医药卫生体制改革的政策措施和建议，组织深化公立医院综合改革，健全现代医院管理制度，制定并组织实施推动卫生健康公共服务提供主体多元化、提供方式多样化的政策措施，提出全县医疗服务和药品价格政策的建议。</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（三）制定并组织落实全县疾病预防控制规划、国家免疫规划以及严重危害人民健康的公共卫生问题的干预措施，</w:t>
      </w:r>
      <w:r>
        <w:rPr>
          <w:rFonts w:hint="eastAsia" w:ascii="仿宋_GB2312" w:eastAsia="仿宋_GB2312"/>
          <w:color w:val="000000"/>
          <w:sz w:val="32"/>
          <w:szCs w:val="32"/>
        </w:rPr>
        <w:t>负责卫生应急工作，</w:t>
      </w:r>
      <w:r>
        <w:rPr>
          <w:rFonts w:hint="eastAsia" w:ascii="仿宋_GB2312" w:hAnsi="仿宋" w:eastAsia="仿宋_GB2312" w:cs="仿宋_GB2312"/>
          <w:color w:val="000000"/>
          <w:sz w:val="32"/>
          <w:szCs w:val="32"/>
        </w:rPr>
        <w:t>组织</w:t>
      </w:r>
      <w:r>
        <w:rPr>
          <w:rFonts w:hint="eastAsia" w:ascii="仿宋_GB2312" w:eastAsia="仿宋_GB2312"/>
          <w:color w:val="000000"/>
          <w:sz w:val="32"/>
          <w:szCs w:val="32"/>
        </w:rPr>
        <w:t>协调全县突发公共卫生事件的预防控制和各类突发公共事件的医疗卫生救援，开展监测预警和风险评估。</w:t>
      </w:r>
    </w:p>
    <w:p>
      <w:pPr>
        <w:pStyle w:val="9"/>
        <w:ind w:firstLine="640" w:firstLineChars="200"/>
        <w:contextualSpacing/>
        <w:rPr>
          <w:rFonts w:hint="eastAsia" w:ascii="仿宋_GB2312" w:hAnsi="仿宋" w:eastAsia="仿宋_GB2312" w:cs="仿宋_GB2312"/>
          <w:b/>
          <w:bCs/>
          <w:color w:val="000000"/>
          <w:sz w:val="32"/>
          <w:szCs w:val="32"/>
          <w:u w:val="single"/>
        </w:rPr>
      </w:pPr>
      <w:r>
        <w:rPr>
          <w:rFonts w:hint="eastAsia" w:ascii="仿宋_GB2312" w:hAnsi="仿宋" w:eastAsia="仿宋_GB2312" w:cs="仿宋_GB2312"/>
          <w:color w:val="000000"/>
          <w:sz w:val="32"/>
          <w:szCs w:val="32"/>
        </w:rPr>
        <w:t>（四）组织拟订并协调落实应对人口老龄化政策措施，负责推进全县老年健康服务体系建设和医养结合工作，</w:t>
      </w:r>
      <w:r>
        <w:rPr>
          <w:rFonts w:hint="eastAsia" w:ascii="仿宋_GB2312" w:hAnsi="仿宋" w:eastAsia="仿宋_GB2312" w:cs="仿宋_GB2312"/>
          <w:bCs/>
          <w:color w:val="000000"/>
          <w:sz w:val="32"/>
          <w:szCs w:val="32"/>
        </w:rPr>
        <w:t>推动老龄事业和产业发展。</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（五）组织实施国家药物政策和国家基本药物制度，执行药品法典和国家基本药物目录，开展药品使用监测、临床综合评价和短缺药品预警，提出基本药物生产鼓励政策建议。</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（六）</w:t>
      </w:r>
      <w:r>
        <w:rPr>
          <w:rFonts w:hint="eastAsia" w:ascii="仿宋_GB2312" w:hAnsi="仿宋" w:eastAsia="仿宋_GB2312" w:cs="仿宋_GB2312"/>
          <w:bCs/>
          <w:color w:val="000000"/>
          <w:sz w:val="32"/>
          <w:szCs w:val="32"/>
        </w:rPr>
        <w:t>负责职业范围内的职业卫生、放射卫生、环境卫生、学校卫生、公共场所卫生、饮用水卫生安全监督管理</w:t>
      </w:r>
      <w:r>
        <w:rPr>
          <w:rFonts w:hint="eastAsia" w:ascii="仿宋_GB2312" w:hAnsi="仿宋" w:eastAsia="仿宋_GB2312" w:cs="仿宋_GB2312"/>
          <w:color w:val="000000"/>
          <w:sz w:val="32"/>
          <w:szCs w:val="32"/>
        </w:rPr>
        <w:t>，负责传染病、职业病、地方病防治监督,负责实验室生物安全监督管理，组织开展食品安全风险监测评估工作，建立健全卫生健康综合监督体系。</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七）负责制定全县医疗机构和医疗服务行业管理办法并监督实施，建立健全医疗服务评价和监督管理体系，会同有关部门贯彻执行卫生健康专业技术人员资格准入标准,制定医疗机构及其医疗服务、医疗技术、医疗质量、医疗安全、采供血机构管理的政策、规范、标准和卫生健康专业技术人员执业规则、服务规范，并组织实施。</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（八）贯彻执行国家中医药和民族医药事业发展战略、规划、政策和相关标准，拟订中医药事业发展规划和年度计划并组织实施，负责中医（含中西医结合）医疗、教育、科研等工作。</w:t>
      </w:r>
    </w:p>
    <w:p>
      <w:pPr>
        <w:pStyle w:val="9"/>
        <w:ind w:firstLine="640" w:firstLineChars="200"/>
        <w:contextualSpacing/>
        <w:rPr>
          <w:rFonts w:hint="eastAsia" w:ascii="仿宋_GB2312" w:hAnsi="仿宋" w:eastAsia="仿宋_GB2312" w:cs="仿宋_GB2312"/>
          <w:b/>
          <w:bCs/>
          <w:color w:val="000000"/>
          <w:sz w:val="32"/>
          <w:szCs w:val="32"/>
          <w:u w:val="single"/>
        </w:rPr>
      </w:pPr>
      <w:r>
        <w:rPr>
          <w:rFonts w:hint="eastAsia" w:ascii="仿宋_GB2312" w:hAnsi="仿宋" w:eastAsia="仿宋_GB2312" w:cs="仿宋_GB2312"/>
          <w:color w:val="000000"/>
          <w:sz w:val="32"/>
          <w:szCs w:val="32"/>
        </w:rPr>
        <w:t>（九）贯彻落实陕西省计划生育政策，负责计划生育管理和服务工作，开展人口监测预警，研究提出人口与家庭发展相关政策建议，制定优生优育和提高出生人口素质的政策措施并组织实施，</w:t>
      </w:r>
      <w:r>
        <w:rPr>
          <w:rFonts w:hint="eastAsia" w:ascii="仿宋_GB2312" w:hAnsi="仿宋" w:eastAsia="仿宋_GB2312" w:cs="仿宋_GB2312"/>
          <w:bCs/>
          <w:color w:val="000000"/>
          <w:sz w:val="32"/>
          <w:szCs w:val="32"/>
        </w:rPr>
        <w:t>实施生殖健康促进计划，降低出生缺陷人口数量。</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（十）贯彻落实国</w:t>
      </w:r>
      <w:r>
        <w:rPr>
          <w:rFonts w:hint="eastAsia" w:ascii="仿宋_GB2312" w:eastAsia="仿宋_GB2312"/>
          <w:color w:val="000000"/>
          <w:sz w:val="32"/>
          <w:szCs w:val="32"/>
        </w:rPr>
        <w:t>家和省、市</w:t>
      </w:r>
      <w:r>
        <w:rPr>
          <w:rFonts w:hint="eastAsia" w:ascii="仿宋_GB2312" w:hAnsi="仿宋" w:eastAsia="仿宋_GB2312" w:cs="仿宋_GB2312"/>
          <w:color w:val="000000"/>
          <w:sz w:val="32"/>
          <w:szCs w:val="32"/>
        </w:rPr>
        <w:t>基层卫生健康服务、妇幼健康发展规划，指导基层医疗卫生、妇幼健康服务体系建设和</w:t>
      </w:r>
      <w:r>
        <w:rPr>
          <w:rFonts w:hint="eastAsia" w:ascii="仿宋_GB2312" w:hAnsi="仿宋" w:eastAsia="仿宋_GB2312" w:cs="仿宋_GB2312"/>
          <w:bCs/>
          <w:color w:val="000000"/>
          <w:sz w:val="32"/>
          <w:szCs w:val="32"/>
        </w:rPr>
        <w:t>全科医生队伍建设</w:t>
      </w:r>
      <w:r>
        <w:rPr>
          <w:rFonts w:hint="eastAsia" w:ascii="仿宋_GB2312" w:hAnsi="仿宋" w:eastAsia="仿宋_GB2312" w:cs="仿宋_GB2312"/>
          <w:color w:val="000000"/>
          <w:sz w:val="32"/>
          <w:szCs w:val="32"/>
        </w:rPr>
        <w:t>，完善基层卫生健康机构运行新机制和乡村医生管理制度。</w:t>
      </w:r>
    </w:p>
    <w:p>
      <w:pPr>
        <w:ind w:firstLine="640" w:firstLineChars="200"/>
        <w:contextualSpacing/>
        <w:rPr>
          <w:rFonts w:hint="eastAsia" w:ascii="仿宋_GB2312" w:hAnsi="仿宋" w:eastAsia="仿宋_GB2312" w:cs="仿宋_GB2312"/>
          <w:b/>
          <w:bCs/>
          <w:color w:val="000000"/>
          <w:sz w:val="32"/>
          <w:szCs w:val="32"/>
          <w:u w:val="single"/>
        </w:rPr>
      </w:pPr>
      <w:r>
        <w:rPr>
          <w:rFonts w:hint="eastAsia" w:ascii="仿宋_GB2312" w:hAnsi="仿宋" w:eastAsia="仿宋_GB2312" w:cs="仿宋_GB2312"/>
          <w:color w:val="000000"/>
          <w:sz w:val="32"/>
          <w:szCs w:val="32"/>
        </w:rPr>
        <w:t>（十一）拟订全县卫生健康人才发展和科技发展规划，负责卫生健康人才队伍建设，推进卫生健康科技创新发展,</w:t>
      </w:r>
      <w:r>
        <w:rPr>
          <w:rFonts w:hint="eastAsia" w:ascii="仿宋_GB2312" w:hAnsi="仿宋" w:eastAsia="仿宋_GB2312" w:cs="仿宋_GB2312"/>
          <w:bCs/>
          <w:color w:val="000000"/>
          <w:sz w:val="32"/>
          <w:szCs w:val="32"/>
        </w:rPr>
        <w:t>组织实施卫生健康专业技术人员资格考试、评审和聘任考核工作，组织医疗卫生科研攻关，指导医学科研成果审定、普及和应用工作。</w:t>
      </w:r>
    </w:p>
    <w:p>
      <w:pPr>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（十二）负责全县卫生健康宣传、健康教育、健康促进等工作，负责卫生健康对外交流合作与卫生援外工作。</w:t>
      </w:r>
    </w:p>
    <w:p>
      <w:pPr>
        <w:pStyle w:val="9"/>
        <w:ind w:firstLine="640" w:firstLineChars="200"/>
        <w:contextualSpacing/>
        <w:rPr>
          <w:rFonts w:hint="eastAsia" w:ascii="仿宋_GB2312" w:hAnsi="仿宋" w:eastAsia="仿宋_GB2312" w:cs="仿宋_GB2312"/>
          <w:color w:val="000000"/>
          <w:sz w:val="32"/>
          <w:szCs w:val="32"/>
        </w:rPr>
      </w:pPr>
      <w:r>
        <w:rPr>
          <w:rFonts w:hint="eastAsia" w:ascii="仿宋_GB2312" w:hAnsi="仿宋" w:eastAsia="仿宋_GB2312" w:cs="仿宋_GB2312"/>
          <w:color w:val="000000"/>
          <w:sz w:val="32"/>
          <w:szCs w:val="32"/>
        </w:rPr>
        <w:t>（十三）负责重要会议和重大活动医疗保障工作。</w:t>
      </w:r>
    </w:p>
    <w:p>
      <w:pPr>
        <w:pStyle w:val="9"/>
        <w:ind w:firstLine="664" w:firstLineChars="200"/>
        <w:contextualSpacing/>
        <w:rPr>
          <w:rFonts w:hint="eastAsia" w:ascii="仿宋_GB2312" w:hAnsi="仿宋_GB2312" w:eastAsia="仿宋_GB2312" w:cs="仿宋_GB2312"/>
          <w:snapToGrid w:val="0"/>
          <w:color w:val="000000"/>
          <w:spacing w:val="6"/>
          <w:kern w:val="0"/>
          <w:sz w:val="32"/>
          <w:szCs w:val="32"/>
        </w:rPr>
      </w:pPr>
      <w:r>
        <w:rPr>
          <w:rFonts w:hint="eastAsia" w:ascii="仿宋_GB2312" w:hAnsi="仿宋_GB2312" w:eastAsia="仿宋_GB2312" w:cs="仿宋_GB2312"/>
          <w:snapToGrid w:val="0"/>
          <w:color w:val="000000"/>
          <w:spacing w:val="6"/>
          <w:kern w:val="0"/>
          <w:sz w:val="32"/>
          <w:szCs w:val="32"/>
        </w:rPr>
        <w:t>（十四）指导县计划生育协会业务工作。</w:t>
      </w:r>
    </w:p>
    <w:p>
      <w:pPr>
        <w:ind w:firstLine="664" w:firstLineChars="200"/>
        <w:contextualSpacing/>
        <w:rPr>
          <w:rFonts w:hint="eastAsia" w:ascii="仿宋_GB2312" w:hAnsi="仿宋_GB2312" w:eastAsia="仿宋_GB2312" w:cs="仿宋_GB2312"/>
          <w:snapToGrid w:val="0"/>
          <w:color w:val="000000"/>
          <w:spacing w:val="6"/>
          <w:kern w:val="0"/>
          <w:sz w:val="32"/>
          <w:szCs w:val="32"/>
        </w:rPr>
      </w:pPr>
      <w:r>
        <w:rPr>
          <w:rFonts w:hint="eastAsia" w:ascii="仿宋_GB2312" w:hAnsi="仿宋_GB2312" w:eastAsia="仿宋_GB2312" w:cs="仿宋_GB2312"/>
          <w:snapToGrid w:val="0"/>
          <w:color w:val="000000"/>
          <w:spacing w:val="6"/>
          <w:kern w:val="0"/>
          <w:sz w:val="32"/>
          <w:szCs w:val="32"/>
        </w:rPr>
        <w:t>（十五）负责机关及所属事业单位安全生产管理工作。</w:t>
      </w:r>
    </w:p>
    <w:p>
      <w:pPr>
        <w:ind w:firstLine="664" w:firstLineChars="200"/>
        <w:contextualSpacing/>
        <w:rPr>
          <w:rFonts w:hint="eastAsia" w:ascii="仿宋_GB2312" w:hAnsi="仿宋_GB2312" w:eastAsia="仿宋_GB2312" w:cs="仿宋_GB2312"/>
          <w:snapToGrid w:val="0"/>
          <w:color w:val="000000"/>
          <w:spacing w:val="6"/>
          <w:kern w:val="0"/>
          <w:sz w:val="32"/>
          <w:szCs w:val="32"/>
        </w:rPr>
      </w:pPr>
      <w:r>
        <w:rPr>
          <w:rFonts w:hint="eastAsia" w:ascii="仿宋_GB2312" w:hAnsi="仿宋_GB2312" w:eastAsia="仿宋_GB2312" w:cs="仿宋_GB2312"/>
          <w:snapToGrid w:val="0"/>
          <w:color w:val="000000"/>
          <w:spacing w:val="6"/>
          <w:sz w:val="32"/>
          <w:szCs w:val="32"/>
        </w:rPr>
        <w:t>（十六）</w:t>
      </w:r>
      <w:r>
        <w:rPr>
          <w:rFonts w:hint="eastAsia" w:ascii="仿宋_GB2312" w:hAnsi="仿宋_GB2312" w:eastAsia="仿宋_GB2312" w:cs="仿宋_GB2312"/>
          <w:snapToGrid w:val="0"/>
          <w:color w:val="000000"/>
          <w:spacing w:val="6"/>
          <w:kern w:val="0"/>
          <w:sz w:val="32"/>
          <w:szCs w:val="32"/>
        </w:rPr>
        <w:t>完成县委、县政府交办的其他任务。</w:t>
      </w:r>
    </w:p>
    <w:p>
      <w:pPr>
        <w:ind w:firstLine="640" w:firstLineChars="200"/>
        <w:contextualSpacing/>
        <w:rPr>
          <w:rFonts w:hint="eastAsia" w:ascii="仿宋_GB2312" w:eastAsia="仿宋_GB2312"/>
          <w:color w:val="000000"/>
          <w:sz w:val="32"/>
          <w:szCs w:val="32"/>
        </w:rPr>
      </w:pPr>
      <w:r>
        <w:rPr>
          <w:rFonts w:hint="eastAsia" w:ascii="仿宋_GB2312" w:eastAsia="仿宋_GB2312"/>
          <w:color w:val="000000"/>
          <w:sz w:val="32"/>
          <w:szCs w:val="32"/>
        </w:rPr>
        <w:t>（十七）职能转变。</w:t>
      </w:r>
    </w:p>
    <w:p>
      <w:pPr>
        <w:ind w:firstLine="640" w:firstLineChars="200"/>
        <w:contextualSpacing/>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一是更加注重预防为主和健康促进</w:t>
      </w:r>
      <w:r>
        <w:rPr>
          <w:rFonts w:hint="eastAsia" w:ascii="仿宋_GB2312" w:hAnsi="仿宋" w:eastAsia="仿宋_GB2312" w:cs="仿宋_GB2312"/>
          <w:bCs/>
          <w:color w:val="000000"/>
          <w:sz w:val="32"/>
          <w:szCs w:val="32"/>
        </w:rPr>
        <w:t>，</w:t>
      </w:r>
      <w:r>
        <w:rPr>
          <w:rFonts w:hint="eastAsia" w:ascii="仿宋_GB2312" w:hAnsi="仿宋_GB2312" w:eastAsia="仿宋_GB2312" w:cs="仿宋_GB2312"/>
          <w:color w:val="000000"/>
          <w:sz w:val="32"/>
          <w:szCs w:val="32"/>
        </w:rPr>
        <w:t>加强预防控制重大疾</w:t>
      </w:r>
    </w:p>
    <w:p>
      <w:pPr>
        <w:ind w:firstLine="640" w:firstLineChars="200"/>
        <w:contextualSpacing/>
        <w:rPr>
          <w:rFonts w:hint="eastAsia" w:ascii="仿宋_GB2312" w:hAnsi="仿宋_GB2312" w:eastAsia="仿宋_GB2312" w:cs="仿宋_GB2312"/>
          <w:snapToGrid w:val="0"/>
          <w:color w:val="000000"/>
          <w:spacing w:val="6"/>
          <w:sz w:val="32"/>
          <w:szCs w:val="32"/>
        </w:rPr>
      </w:pPr>
      <w:r>
        <w:rPr>
          <w:rFonts w:hint="eastAsia" w:ascii="仿宋_GB2312" w:hAnsi="仿宋_GB2312" w:eastAsia="仿宋_GB2312" w:cs="仿宋_GB2312"/>
          <w:color w:val="000000"/>
          <w:sz w:val="32"/>
          <w:szCs w:val="32"/>
        </w:rPr>
        <w:t>病工作，积极应对人口老龄化，健全健康服务体系。二是更加注重工作重心下移和资源下沉，推进卫生健康公共资源向基层延伸、向农村覆盖、向偏远山岭地区和生活困难群众倾斜。三是更加注重提供服务质量和水平，推进卫生健康基本公共服务均等化、普惠化、便捷化。四是协调推进深化医药卫生体制改革，加大公立医院综合改革力度，推进管办分离，推动卫生健康公共服务提供主体多元化、提供方式多样化。</w:t>
      </w:r>
    </w:p>
    <w:p>
      <w:pPr>
        <w:ind w:firstLine="664" w:firstLineChars="200"/>
        <w:contextualSpacing/>
        <w:rPr>
          <w:rFonts w:hint="eastAsia" w:ascii="仿宋_GB2312" w:hAnsi="仿宋_GB2312" w:eastAsia="仿宋_GB2312" w:cs="仿宋_GB2312"/>
          <w:snapToGrid w:val="0"/>
          <w:color w:val="000000"/>
          <w:spacing w:val="6"/>
          <w:kern w:val="0"/>
          <w:sz w:val="32"/>
          <w:szCs w:val="32"/>
        </w:rPr>
      </w:pPr>
      <w:r>
        <w:rPr>
          <w:rFonts w:hint="eastAsia" w:ascii="仿宋_GB2312" w:hAnsi="仿宋_GB2312" w:eastAsia="仿宋_GB2312" w:cs="仿宋_GB2312"/>
          <w:snapToGrid w:val="0"/>
          <w:color w:val="000000"/>
          <w:spacing w:val="6"/>
          <w:kern w:val="0"/>
          <w:sz w:val="32"/>
          <w:szCs w:val="32"/>
        </w:rPr>
        <w:t>（十八）</w:t>
      </w:r>
      <w:r>
        <w:rPr>
          <w:rFonts w:hint="eastAsia" w:ascii="仿宋_GB2312" w:hAnsi="仿宋_GB2312" w:eastAsia="仿宋_GB2312" w:cs="仿宋_GB2312"/>
          <w:color w:val="000000"/>
          <w:sz w:val="32"/>
          <w:szCs w:val="32"/>
        </w:rPr>
        <w:t>有关职责分工。</w:t>
      </w:r>
    </w:p>
    <w:p>
      <w:pPr>
        <w:ind w:firstLine="664" w:firstLineChars="200"/>
        <w:contextualSpacing/>
        <w:rPr>
          <w:rFonts w:hint="eastAsia" w:ascii="仿宋_GB2312" w:hAnsi="仿宋_GB2312" w:eastAsia="仿宋_GB2312" w:cs="仿宋_GB2312"/>
          <w:bCs/>
          <w:snapToGrid w:val="0"/>
          <w:color w:val="000000"/>
          <w:spacing w:val="6"/>
          <w:kern w:val="0"/>
          <w:sz w:val="32"/>
          <w:szCs w:val="32"/>
        </w:rPr>
      </w:pPr>
      <w:r>
        <w:rPr>
          <w:rFonts w:hint="eastAsia" w:ascii="仿宋_GB2312" w:hAnsi="仿宋_GB2312" w:eastAsia="仿宋_GB2312" w:cs="仿宋_GB2312"/>
          <w:bCs/>
          <w:snapToGrid w:val="0"/>
          <w:color w:val="000000"/>
          <w:spacing w:val="6"/>
          <w:kern w:val="0"/>
          <w:sz w:val="32"/>
          <w:szCs w:val="32"/>
        </w:rPr>
        <w:t>1.与县发展和改革委员会的有关职责分工。县卫生健康局负责开展全县人口监测预警工作，研究提出与生育相关的人口数量、素质、结构、分布方面的政策建议，完善全县生育政策，促进生育政策和相关经济社会政策配套衔接，参与制定全县人口发展规划和政策，落实人口发展规划中的有关任务。县发展和改革委员会负责组织监测和评估全县人口变动情况及趋势影响，建立人口预测预报制度，开展重大决策人口影响评估，完善重大人口政策咨询机制，研究提出全县人口发展战略，拟订全县人口发展规划和人口政策，研究提出人口与经济、社会、资源、环境协调可持续发展，以及统筹促进全县人口长期均衡发展的政策建议。</w:t>
      </w:r>
    </w:p>
    <w:p>
      <w:pPr>
        <w:ind w:firstLine="664" w:firstLineChars="200"/>
        <w:contextualSpacing/>
        <w:rPr>
          <w:rFonts w:hint="eastAsia" w:ascii="仿宋_GB2312" w:hAnsi="仿宋_GB2312" w:eastAsia="仿宋_GB2312" w:cs="仿宋_GB2312"/>
          <w:bCs/>
          <w:snapToGrid w:val="0"/>
          <w:color w:val="000000"/>
          <w:spacing w:val="6"/>
          <w:kern w:val="0"/>
          <w:sz w:val="32"/>
          <w:szCs w:val="32"/>
        </w:rPr>
      </w:pPr>
      <w:r>
        <w:rPr>
          <w:rFonts w:hint="eastAsia" w:ascii="仿宋_GB2312" w:hAnsi="仿宋_GB2312" w:eastAsia="仿宋_GB2312" w:cs="仿宋_GB2312"/>
          <w:bCs/>
          <w:snapToGrid w:val="0"/>
          <w:color w:val="000000"/>
          <w:spacing w:val="6"/>
          <w:kern w:val="0"/>
          <w:sz w:val="32"/>
          <w:szCs w:val="32"/>
        </w:rPr>
        <w:t>2.与县民政局的有关职责分工。县</w:t>
      </w:r>
      <w:r>
        <w:rPr>
          <w:rFonts w:hint="eastAsia" w:ascii="仿宋_GB2312" w:eastAsia="仿宋_GB2312" w:cs="仿宋_GB2312"/>
          <w:color w:val="000000"/>
          <w:sz w:val="32"/>
          <w:szCs w:val="32"/>
        </w:rPr>
        <w:t>卫生健康局</w:t>
      </w:r>
      <w:r>
        <w:rPr>
          <w:rFonts w:hint="eastAsia" w:ascii="仿宋_GB2312" w:hAnsi="仿宋_GB2312" w:eastAsia="仿宋_GB2312" w:cs="仿宋_GB2312"/>
          <w:bCs/>
          <w:snapToGrid w:val="0"/>
          <w:color w:val="000000"/>
          <w:spacing w:val="6"/>
          <w:kern w:val="0"/>
          <w:sz w:val="32"/>
          <w:szCs w:val="32"/>
        </w:rPr>
        <w:t>负责拟订应对全县人口老龄化、医养结合政策措施，综合协调、督促指导，组织推进老龄事业发展，承担老年疾病防治、老年人医疗照护、老年人心理健康与关怀服务等老年健康工作。县民政局负责统筹推进、督促指导、监督管理养老服务工作，拟订全县养老服务体系建设规划、法规、政策、标准并组织实施，承担老年人福利和特殊困难老年人救助工作。</w:t>
      </w:r>
    </w:p>
    <w:p>
      <w:pPr>
        <w:pStyle w:val="4"/>
        <w:shd w:val="clear" w:color="auto" w:fill="FFFFFF"/>
        <w:spacing w:before="0" w:beforeAutospacing="0" w:after="0" w:afterAutospacing="0"/>
        <w:ind w:firstLine="664" w:firstLineChars="200"/>
        <w:contextualSpacing/>
        <w:jc w:val="both"/>
        <w:rPr>
          <w:rFonts w:hint="eastAsia" w:ascii="仿宋_GB2312" w:eastAsia="仿宋_GB2312" w:cs="仿宋_GB2312"/>
          <w:color w:val="000000"/>
          <w:sz w:val="32"/>
          <w:szCs w:val="32"/>
        </w:rPr>
      </w:pPr>
      <w:r>
        <w:rPr>
          <w:rFonts w:hint="eastAsia" w:ascii="仿宋_GB2312" w:hAnsi="仿宋_GB2312" w:eastAsia="仿宋_GB2312" w:cs="仿宋_GB2312"/>
          <w:bCs/>
          <w:snapToGrid w:val="0"/>
          <w:color w:val="000000"/>
          <w:spacing w:val="6"/>
          <w:sz w:val="32"/>
          <w:szCs w:val="32"/>
        </w:rPr>
        <w:t>3.与县市场监督管理局有关职责分工。县</w:t>
      </w:r>
      <w:r>
        <w:rPr>
          <w:rFonts w:hint="eastAsia" w:ascii="仿宋_GB2312" w:eastAsia="仿宋_GB2312" w:cs="仿宋_GB2312"/>
          <w:color w:val="000000"/>
          <w:sz w:val="32"/>
          <w:szCs w:val="32"/>
        </w:rPr>
        <w:t>卫生健康局负责全县食品安全风险监测和制定食品安全标准等相关工作，拟定并组织实施食品安全风险监测方案。县卫生健康局对通过食品安全风险监测或者接到举报发现食品可能存在安全隐患的，应当立即组织检验并向市卫生健康委申请开展食品安全风险评估，及时向县市场监督管理局等部门通报食品安全风险监测评估结果。对得出不安全结论的食品，县市场监督管理局等部门应当立即采取措施。县市场监督管理局等部门在监督管理工作中发现需要进行食品安全风险评估的，应当及时向县卫生健康局提出建议。县市场监督管理局会同县卫生健康局建立重大药品不良反应和医疗器械不良事件相互通报机制和联合处置机制。</w:t>
      </w:r>
    </w:p>
    <w:p>
      <w:pPr>
        <w:pStyle w:val="4"/>
        <w:shd w:val="clear" w:color="auto" w:fill="FFFFFF"/>
        <w:spacing w:before="0" w:beforeAutospacing="0" w:after="0" w:afterAutospacing="0"/>
        <w:ind w:firstLine="640" w:firstLineChars="200"/>
        <w:contextualSpacing/>
        <w:jc w:val="both"/>
        <w:rPr>
          <w:rFonts w:hint="eastAsia" w:ascii="仿宋_GB2312" w:eastAsia="仿宋_GB2312" w:cs="仿宋_GB2312"/>
          <w:color w:val="000000"/>
          <w:sz w:val="32"/>
          <w:szCs w:val="32"/>
        </w:rPr>
      </w:pPr>
      <w:r>
        <w:rPr>
          <w:rFonts w:hint="eastAsia" w:ascii="仿宋_GB2312" w:eastAsia="仿宋_GB2312" w:cs="仿宋_GB2312"/>
          <w:color w:val="000000"/>
          <w:sz w:val="32"/>
          <w:szCs w:val="32"/>
        </w:rPr>
        <w:t>4.与县医疗保障局的有关职责分工。县卫生健康局、县医疗保障局等部门在医疗、医保、医药等方面加强制度、政策衔接，建立协商沟通机制，协同推进改革，提高医疗资源使用效率和医疗保障水平。</w:t>
      </w:r>
    </w:p>
    <w:p>
      <w:pPr>
        <w:pStyle w:val="4"/>
        <w:shd w:val="clear" w:color="auto" w:fill="FFFFFF"/>
        <w:spacing w:before="0" w:beforeAutospacing="0" w:after="0" w:afterAutospacing="0"/>
        <w:ind w:firstLine="640" w:firstLineChars="200"/>
        <w:contextualSpacing/>
        <w:jc w:val="both"/>
        <w:rPr>
          <w:rFonts w:hint="eastAsia" w:ascii="仿宋_GB2312" w:hAnsi="仿宋_GB2312" w:eastAsia="仿宋_GB2312" w:cs="仿宋_GB2312"/>
          <w:snapToGrid w:val="0"/>
          <w:color w:val="000000"/>
          <w:spacing w:val="6"/>
          <w:sz w:val="32"/>
          <w:szCs w:val="32"/>
        </w:rPr>
      </w:pPr>
      <w:r>
        <w:rPr>
          <w:rFonts w:hint="eastAsia" w:ascii="仿宋_GB2312" w:eastAsia="仿宋_GB2312" w:cs="仿宋_GB2312"/>
          <w:color w:val="000000"/>
          <w:sz w:val="32"/>
          <w:szCs w:val="32"/>
        </w:rPr>
        <w:t>根据县委县政府机构改革方案，本部门2019年更名为蓝田县卫生健康局，相关内设机构随之调整。</w:t>
      </w:r>
    </w:p>
    <w:p>
      <w:pPr>
        <w:widowControl/>
        <w:shd w:val="clear" w:color="auto" w:fill="FFFFFF"/>
        <w:ind w:firstLine="640" w:firstLineChars="200"/>
        <w:contextualSpacing/>
        <w:rPr>
          <w:rFonts w:hint="eastAsia" w:ascii="黑体" w:hAnsi="黑体" w:eastAsia="黑体" w:cs="宋体"/>
          <w:color w:val="3D3D3C"/>
          <w:kern w:val="0"/>
          <w:sz w:val="32"/>
          <w:szCs w:val="32"/>
        </w:rPr>
      </w:pPr>
      <w:r>
        <w:rPr>
          <w:rFonts w:hint="eastAsia" w:ascii="黑体" w:hAnsi="黑体" w:eastAsia="黑体" w:cs="宋体"/>
          <w:color w:val="3D3D3C"/>
          <w:kern w:val="0"/>
          <w:sz w:val="32"/>
          <w:szCs w:val="32"/>
        </w:rPr>
        <w:t>二、部门决算单位构成</w:t>
      </w:r>
    </w:p>
    <w:p>
      <w:pPr>
        <w:rPr>
          <w:rFonts w:hint="eastAsia" w:ascii="仿宋_GB2312" w:hAnsi="微软雅黑" w:eastAsia="仿宋_GB2312" w:cs="宋体"/>
          <w:color w:val="3D3D3C"/>
          <w:kern w:val="0"/>
          <w:sz w:val="32"/>
          <w:szCs w:val="32"/>
        </w:rPr>
      </w:pPr>
      <w:r>
        <w:rPr>
          <w:rFonts w:hint="eastAsia" w:ascii="仿宋_GB2312" w:hAnsi="微软雅黑" w:eastAsia="仿宋_GB2312" w:cs="宋体"/>
          <w:color w:val="3D3D3C"/>
          <w:kern w:val="0"/>
          <w:sz w:val="32"/>
          <w:szCs w:val="32"/>
        </w:rPr>
        <w:t>蓝田县卫生健康局内设机构共14个，包括综合办公室、</w:t>
      </w:r>
      <w:r>
        <w:rPr>
          <w:rFonts w:hint="eastAsia" w:ascii="仿宋_GB2312" w:hAnsi="楷体" w:eastAsia="仿宋_GB2312" w:cs="楷体"/>
          <w:color w:val="000000"/>
          <w:sz w:val="32"/>
          <w:szCs w:val="32"/>
        </w:rPr>
        <w:t>信息宣传科、</w:t>
      </w:r>
      <w:r>
        <w:rPr>
          <w:rFonts w:hint="eastAsia" w:ascii="仿宋_GB2312" w:hAnsi="楷体" w:eastAsia="仿宋_GB2312" w:cs="楷体"/>
          <w:kern w:val="0"/>
          <w:sz w:val="32"/>
          <w:szCs w:val="32"/>
        </w:rPr>
        <w:t>卫生应急与公共卫生科、</w:t>
      </w:r>
      <w:r>
        <w:rPr>
          <w:rFonts w:hint="eastAsia" w:ascii="仿宋_GB2312" w:hAnsi="楷体" w:eastAsia="仿宋_GB2312" w:cs="楷体"/>
          <w:color w:val="000000"/>
          <w:sz w:val="32"/>
          <w:szCs w:val="32"/>
        </w:rPr>
        <w:t>医政医管科、基层卫生科、法制与综合监督科、药物政策与基本药物制度科、中医管理科、健康促进科（县爱国卫生运动委员会办公室）、老龄健康科、妇幼健康科、职业健康科、人口监测与家庭发展科、</w:t>
      </w:r>
      <w:r>
        <w:rPr>
          <w:rFonts w:hint="eastAsia" w:ascii="仿宋_GB2312" w:eastAsia="仿宋_GB2312"/>
          <w:color w:val="000000"/>
          <w:sz w:val="32"/>
          <w:szCs w:val="32"/>
        </w:rPr>
        <w:t>体制改革科</w:t>
      </w:r>
      <w:r>
        <w:rPr>
          <w:rFonts w:hint="eastAsia" w:ascii="仿宋_GB2312" w:hAnsi="微软雅黑" w:eastAsia="仿宋_GB2312" w:cs="宋体"/>
          <w:color w:val="3D3D3C"/>
          <w:kern w:val="0"/>
          <w:sz w:val="32"/>
          <w:szCs w:val="32"/>
        </w:rPr>
        <w:t>。纳入本部门2018年部门决算编制范围的一级决算单位1个，二级决算单位共有36个，包括：</w:t>
      </w:r>
    </w:p>
    <w:tbl>
      <w:tblPr>
        <w:tblStyle w:val="5"/>
        <w:tblW w:w="0" w:type="auto"/>
        <w:jc w:val="center"/>
        <w:tblCellSpacing w:w="0"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040"/>
        <w:gridCol w:w="8380"/>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序号</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单位名称</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原蓝田县卫生和计划生育局</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蓝田县县医院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蓝田县中医医院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4</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蓝田县妇幼保健计划生育服务中心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5</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蓝田县疾病预防控制中心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6</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蓝田县卫生监督所</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7</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蓝田县农村新型合作医疗经办中心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8</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原蓝田县流动人口计划生育管理办公室</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9</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蓝田县泄湖中心卫生院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10</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蓝田县普化中心卫生院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11</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蓝田县玉山中心卫生院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12</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蓝田县灞源中心卫生院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13</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蓝田县横岭中心卫生院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14</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蓝田县焦岱中心卫生院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15</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蓝田县鹿塬中心卫生院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16</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蓝田县葛玉中心卫生院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17</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蓝田县葛牌镇卫生院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18</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蓝田县华胥卫生院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19</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蓝田县洩湖镇冯家村卫生院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20</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蓝田县三里镇卫生院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21</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蓝田县三里镇李后卫生院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22</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蓝田县马楼卫生院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23</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蓝田县厚镇卫生院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24</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蓝田县金山卫生院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25</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蓝田县蓝桥镇卫生院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26</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蓝田县九间房镇卫生院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27</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蓝田县张家坪卫生院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28</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蓝田县蓝关镇卫生院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29</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蓝田县辋川镇卫生院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30</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蓝田县玉川卫生院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31</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蓝田县红门寺卫生院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32</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蓝田县孟村卫生院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33</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蓝田县安村卫生院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34</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蓝田县汤峪卫生院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35</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蓝田县小寨镇卫生院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ascii="宋体" w:hAnsi="宋体" w:cs="宋体"/>
                <w:kern w:val="0"/>
                <w:sz w:val="24"/>
              </w:rPr>
              <w:t>36</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蓝田县史家寨卫生院</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4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hint="eastAsia" w:ascii="宋体" w:hAnsi="宋体" w:cs="宋体"/>
                <w:kern w:val="0"/>
                <w:sz w:val="24"/>
              </w:rPr>
            </w:pPr>
            <w:r>
              <w:rPr>
                <w:rFonts w:ascii="宋体" w:hAnsi="宋体" w:cs="宋体"/>
                <w:kern w:val="0"/>
                <w:sz w:val="24"/>
              </w:rPr>
              <w:t>3</w:t>
            </w:r>
            <w:r>
              <w:rPr>
                <w:rFonts w:hint="eastAsia" w:ascii="宋体" w:hAnsi="宋体" w:cs="宋体"/>
                <w:kern w:val="0"/>
                <w:sz w:val="24"/>
              </w:rPr>
              <w:t>7</w:t>
            </w:r>
          </w:p>
        </w:tc>
        <w:tc>
          <w:tcPr>
            <w:tcW w:w="838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kern w:val="0"/>
                <w:sz w:val="24"/>
              </w:rPr>
            </w:pPr>
            <w:r>
              <w:rPr>
                <w:rFonts w:hint="eastAsia" w:ascii="宋体" w:hAnsi="宋体" w:cs="宋体"/>
                <w:kern w:val="0"/>
                <w:sz w:val="24"/>
              </w:rPr>
              <w:t>蓝田县药品采购与结算管理中心</w:t>
            </w:r>
          </w:p>
        </w:tc>
      </w:tr>
    </w:tbl>
    <w:p>
      <w:pPr>
        <w:widowControl/>
        <w:shd w:val="clear" w:color="auto" w:fill="FFFFFF"/>
        <w:ind w:firstLine="480"/>
        <w:jc w:val="left"/>
        <w:rPr>
          <w:rFonts w:ascii="黑体" w:hAnsi="黑体" w:eastAsia="黑体" w:cs="楷体"/>
          <w:color w:val="000000"/>
          <w:sz w:val="32"/>
          <w:szCs w:val="32"/>
        </w:rPr>
      </w:pPr>
      <w:r>
        <w:rPr>
          <w:rFonts w:hint="eastAsia" w:ascii="黑体" w:hAnsi="黑体" w:eastAsia="黑体" w:cs="楷体"/>
          <w:color w:val="000000"/>
          <w:sz w:val="32"/>
          <w:szCs w:val="32"/>
        </w:rPr>
        <w:t>三</w:t>
      </w:r>
      <w:r>
        <w:rPr>
          <w:rFonts w:ascii="黑体" w:hAnsi="黑体" w:eastAsia="黑体" w:cs="楷体"/>
          <w:color w:val="000000"/>
          <w:sz w:val="32"/>
          <w:szCs w:val="32"/>
        </w:rPr>
        <w:t>、部门人员情况说明</w:t>
      </w:r>
    </w:p>
    <w:p>
      <w:pPr>
        <w:widowControl/>
        <w:shd w:val="clear" w:color="auto" w:fill="FFFFFF"/>
        <w:ind w:firstLine="480"/>
        <w:jc w:val="left"/>
        <w:rPr>
          <w:rFonts w:hint="eastAsia" w:ascii="仿宋_GB2312" w:hAnsi="楷体" w:eastAsia="仿宋_GB2312" w:cs="楷体"/>
          <w:color w:val="000000"/>
          <w:sz w:val="32"/>
          <w:szCs w:val="32"/>
        </w:rPr>
      </w:pPr>
      <w:r>
        <w:rPr>
          <w:rFonts w:ascii="仿宋_GB2312" w:hAnsi="楷体" w:eastAsia="仿宋_GB2312" w:cs="楷体"/>
          <w:color w:val="000000"/>
          <w:sz w:val="32"/>
          <w:szCs w:val="32"/>
        </w:rPr>
        <w:t>截</w:t>
      </w:r>
      <w:r>
        <w:rPr>
          <w:rFonts w:hint="eastAsia" w:ascii="仿宋_GB2312" w:hAnsi="楷体" w:eastAsia="仿宋_GB2312" w:cs="楷体"/>
          <w:color w:val="000000"/>
          <w:sz w:val="32"/>
          <w:szCs w:val="32"/>
        </w:rPr>
        <w:t>至</w:t>
      </w:r>
      <w:r>
        <w:rPr>
          <w:rFonts w:ascii="仿宋_GB2312" w:hAnsi="楷体" w:eastAsia="仿宋_GB2312" w:cs="楷体"/>
          <w:color w:val="000000"/>
          <w:sz w:val="32"/>
          <w:szCs w:val="32"/>
        </w:rPr>
        <w:t>201</w:t>
      </w:r>
      <w:r>
        <w:rPr>
          <w:rFonts w:hint="eastAsia" w:ascii="仿宋_GB2312" w:hAnsi="楷体" w:eastAsia="仿宋_GB2312" w:cs="楷体"/>
          <w:color w:val="000000"/>
          <w:sz w:val="32"/>
          <w:szCs w:val="32"/>
        </w:rPr>
        <w:t>8</w:t>
      </w:r>
      <w:r>
        <w:rPr>
          <w:rFonts w:ascii="仿宋_GB2312" w:hAnsi="楷体" w:eastAsia="仿宋_GB2312" w:cs="楷体"/>
          <w:color w:val="000000"/>
          <w:sz w:val="32"/>
          <w:szCs w:val="32"/>
        </w:rPr>
        <w:t>年底，本部门人员编制16</w:t>
      </w:r>
      <w:r>
        <w:rPr>
          <w:rFonts w:hint="eastAsia" w:ascii="仿宋_GB2312" w:hAnsi="楷体" w:eastAsia="仿宋_GB2312" w:cs="楷体"/>
          <w:color w:val="000000"/>
          <w:sz w:val="32"/>
          <w:szCs w:val="32"/>
        </w:rPr>
        <w:t>32</w:t>
      </w:r>
      <w:r>
        <w:rPr>
          <w:rFonts w:ascii="仿宋_GB2312" w:hAnsi="楷体" w:eastAsia="仿宋_GB2312" w:cs="楷体"/>
          <w:color w:val="000000"/>
          <w:sz w:val="32"/>
          <w:szCs w:val="32"/>
        </w:rPr>
        <w:t>人，其中行政编制23人、事业编制160</w:t>
      </w:r>
      <w:r>
        <w:rPr>
          <w:rFonts w:hint="eastAsia" w:ascii="仿宋_GB2312" w:hAnsi="楷体" w:eastAsia="仿宋_GB2312" w:cs="楷体"/>
          <w:color w:val="000000"/>
          <w:sz w:val="32"/>
          <w:szCs w:val="32"/>
        </w:rPr>
        <w:t>9</w:t>
      </w:r>
      <w:r>
        <w:rPr>
          <w:rFonts w:ascii="仿宋_GB2312" w:hAnsi="楷体" w:eastAsia="仿宋_GB2312" w:cs="楷体"/>
          <w:color w:val="000000"/>
          <w:sz w:val="32"/>
          <w:szCs w:val="32"/>
        </w:rPr>
        <w:t>人；实有人员15</w:t>
      </w:r>
      <w:r>
        <w:rPr>
          <w:rFonts w:hint="eastAsia" w:ascii="仿宋_GB2312" w:hAnsi="楷体" w:eastAsia="仿宋_GB2312" w:cs="楷体"/>
          <w:color w:val="000000"/>
          <w:sz w:val="32"/>
          <w:szCs w:val="32"/>
        </w:rPr>
        <w:t>57</w:t>
      </w:r>
      <w:r>
        <w:rPr>
          <w:rFonts w:ascii="仿宋_GB2312" w:hAnsi="楷体" w:eastAsia="仿宋_GB2312" w:cs="楷体"/>
          <w:color w:val="000000"/>
          <w:sz w:val="32"/>
          <w:szCs w:val="32"/>
        </w:rPr>
        <w:t>人，其中行政</w:t>
      </w:r>
      <w:r>
        <w:rPr>
          <w:rFonts w:hint="eastAsia" w:ascii="仿宋_GB2312" w:hAnsi="楷体" w:eastAsia="仿宋_GB2312" w:cs="楷体"/>
          <w:color w:val="000000"/>
          <w:sz w:val="32"/>
          <w:szCs w:val="32"/>
        </w:rPr>
        <w:t>28</w:t>
      </w:r>
      <w:r>
        <w:rPr>
          <w:rFonts w:ascii="仿宋_GB2312" w:hAnsi="楷体" w:eastAsia="仿宋_GB2312" w:cs="楷体"/>
          <w:color w:val="000000"/>
          <w:sz w:val="32"/>
          <w:szCs w:val="32"/>
        </w:rPr>
        <w:t>人、事业</w:t>
      </w:r>
      <w:r>
        <w:rPr>
          <w:rFonts w:hint="eastAsia" w:ascii="仿宋_GB2312" w:hAnsi="楷体" w:eastAsia="仿宋_GB2312" w:cs="楷体"/>
          <w:color w:val="000000"/>
          <w:sz w:val="32"/>
          <w:szCs w:val="32"/>
        </w:rPr>
        <w:t>1529</w:t>
      </w:r>
      <w:r>
        <w:rPr>
          <w:rFonts w:ascii="仿宋_GB2312" w:hAnsi="楷体" w:eastAsia="仿宋_GB2312" w:cs="楷体"/>
          <w:color w:val="000000"/>
          <w:sz w:val="32"/>
          <w:szCs w:val="32"/>
        </w:rPr>
        <w:t>人。</w:t>
      </w:r>
      <w:r>
        <w:rPr>
          <w:rFonts w:hint="eastAsia" w:ascii="仿宋_GB2312" w:eastAsia="仿宋_GB2312"/>
          <w:sz w:val="32"/>
          <w:szCs w:val="32"/>
        </w:rPr>
        <w:t>单位管理的离退休人员3人。</w:t>
      </w:r>
    </w:p>
    <w:p>
      <w:pPr>
        <w:widowControl/>
        <w:shd w:val="clear" w:color="auto" w:fill="FFFFFF"/>
        <w:ind w:firstLine="480"/>
        <w:jc w:val="left"/>
        <w:rPr>
          <w:rFonts w:hint="eastAsia" w:ascii="黑体" w:hAnsi="黑体" w:eastAsia="黑体" w:cs="宋体"/>
          <w:color w:val="3D3D3C"/>
          <w:kern w:val="0"/>
          <w:sz w:val="32"/>
          <w:szCs w:val="32"/>
        </w:rPr>
      </w:pPr>
      <w:r>
        <w:rPr>
          <w:sz w:val="32"/>
        </w:rPr>
        <w:pict>
          <v:rect id="_x0000_s1047" o:spid="_x0000_s1047" o:spt="1" style="position:absolute;left:0pt;margin-left:102.85pt;margin-top:242.05pt;height:6pt;width:6.65pt;z-index:251664384;mso-width-relative:page;mso-height-relative:page;" fillcolor="#7030A0" filled="t" stroked="t" coordsize="21600,21600">
            <v:path/>
            <v:fill on="t" focussize="0,0"/>
            <v:stroke color="#7030A0"/>
            <v:imagedata o:title=""/>
            <o:lock v:ext="edit"/>
          </v:rect>
        </w:pict>
      </w:r>
      <w:r>
        <w:rPr>
          <w:sz w:val="32"/>
        </w:rPr>
        <w:pict>
          <v:shape id="_x0000_s1050" o:spid="_x0000_s1050" o:spt="202" type="#_x0000_t202" style="position:absolute;left:0pt;margin-left:112.8pt;margin-top:237.2pt;height:15.15pt;width:40.95pt;z-index:251666432;mso-width-relative:page;mso-height-relative:page;" stroked="t" coordsize="21600,21600">
            <v:path/>
            <v:fill focussize="0,0"/>
            <v:stroke color="#FFFFFF" joinstyle="miter"/>
            <v:imagedata o:title=""/>
            <o:lock v:ext="edit"/>
            <v:textbox inset="0mm,0mm,0mm,0mm">
              <w:txbxContent>
                <w:p>
                  <w:pPr>
                    <w:rPr>
                      <w:rFonts w:hint="eastAsia"/>
                      <w:sz w:val="18"/>
                      <w:szCs w:val="18"/>
                    </w:rPr>
                  </w:pPr>
                  <w:r>
                    <w:rPr>
                      <w:rFonts w:hint="eastAsia"/>
                      <w:sz w:val="18"/>
                      <w:szCs w:val="18"/>
                    </w:rPr>
                    <w:t>离休人员</w:t>
                  </w:r>
                </w:p>
              </w:txbxContent>
            </v:textbox>
          </v:shape>
        </w:pict>
      </w:r>
      <w:r>
        <w:rPr>
          <w:sz w:val="32"/>
        </w:rPr>
        <w:pict>
          <v:shape id="_x0000_s1048" o:spid="_x0000_s1048" o:spt="202" type="#_x0000_t202" style="position:absolute;left:0pt;margin-left:239.6pt;margin-top:198.1pt;height:13.2pt;width:8.05pt;z-index:251665408;mso-width-relative:page;mso-height-relative:page;" stroked="t" coordsize="21600,21600">
            <v:path/>
            <v:fill focussize="0,0"/>
            <v:stroke color="#FFFFFF" joinstyle="miter"/>
            <v:imagedata o:title=""/>
            <o:lock v:ext="edit"/>
            <v:textbox inset="0mm,0mm,0mm,0mm">
              <w:txbxContent>
                <w:p>
                  <w:pPr>
                    <w:rPr>
                      <w:rFonts w:hint="eastAsia"/>
                    </w:rPr>
                  </w:pPr>
                  <w:r>
                    <w:rPr>
                      <w:rFonts w:hint="eastAsia"/>
                    </w:rPr>
                    <w:t>3</w:t>
                  </w:r>
                </w:p>
              </w:txbxContent>
            </v:textbox>
          </v:shape>
        </w:pict>
      </w:r>
      <w:r>
        <w:rPr>
          <w:sz w:val="32"/>
        </w:rPr>
        <w:pict>
          <v:shape id="_x0000_s1046" o:spid="_x0000_s1046" o:spt="202" type="#_x0000_t202" style="position:absolute;left:0pt;margin-left:242.35pt;margin-top:197.4pt;height:13.2pt;width:8.05pt;z-index:251663360;mso-width-relative:page;mso-height-relative:page;" stroked="t" coordsize="21600,21600">
            <v:path/>
            <v:fill focussize="0,0"/>
            <v:stroke color="#FFFFFF" joinstyle="miter"/>
            <v:imagedata o:title=""/>
            <o:lock v:ext="edit"/>
            <v:textbox inset="0mm,0mm,0mm,0mm">
              <w:txbxContent>
                <w:p>
                  <w:pPr>
                    <w:rPr>
                      <w:rFonts w:hint="eastAsia"/>
                    </w:rPr>
                  </w:pPr>
                  <w:r>
                    <w:rPr>
                      <w:rFonts w:hint="eastAsia"/>
                    </w:rPr>
                    <w:t>3</w:t>
                  </w:r>
                </w:p>
              </w:txbxContent>
            </v:textbox>
          </v:shape>
        </w:pict>
      </w:r>
      <w:r>
        <w:rPr>
          <w:rFonts w:ascii="黑体" w:hAnsi="黑体" w:eastAsia="黑体"/>
          <w:sz w:val="32"/>
          <w:szCs w:val="32"/>
        </w:rPr>
        <w:pict>
          <v:group id="_x0000_s1037" o:spid="_x0000_s1037" o:spt="203" style="position:absolute;left:0pt;margin-left:107.95pt;margin-top:57pt;height:151.5pt;width:270.65pt;z-index:251661312;mso-width-relative:page;mso-height-relative:page;" coordorigin="8085,106837" coordsize="5413,3030">
            <o:lock v:ext="edit"/>
            <v:shape id="_x0000_s1031" o:spid="_x0000_s1031" o:spt="202" type="#_x0000_t202" style="position:absolute;left:9706;top:106853;height:270;width:657;" stroked="t" coordsize="21600,21600">
              <v:path/>
              <v:fill focussize="0,0"/>
              <v:stroke color="#FFFFFF" joinstyle="miter"/>
              <v:imagedata o:title=""/>
              <o:lock v:ext="edit"/>
              <v:textbox inset="0mm,0mm,0mm,0mm">
                <w:txbxContent>
                  <w:p>
                    <w:pPr>
                      <w:rPr>
                        <w:rFonts w:hint="eastAsia"/>
                      </w:rPr>
                    </w:pPr>
                    <w:r>
                      <w:rPr>
                        <w:rFonts w:hint="eastAsia"/>
                      </w:rPr>
                      <w:t>1632</w:t>
                    </w:r>
                  </w:p>
                  <w:p>
                    <w:pPr>
                      <w:rPr>
                        <w:rFonts w:hint="eastAsia"/>
                      </w:rPr>
                    </w:pPr>
                  </w:p>
                </w:txbxContent>
              </v:textbox>
            </v:shape>
            <v:shape id="_x0000_s1032" o:spid="_x0000_s1032" o:spt="202" type="#_x0000_t202" style="position:absolute;left:8879;top:106837;height:313;width:584;" stroked="t" coordsize="21600,21600">
              <v:path/>
              <v:fill focussize="0,0"/>
              <v:stroke color="#FFFFFF" joinstyle="miter"/>
              <v:imagedata o:title=""/>
              <o:lock v:ext="edit"/>
              <v:textbox inset="0mm,0mm,0mm,0mm">
                <w:txbxContent>
                  <w:p>
                    <w:pPr>
                      <w:rPr>
                        <w:rFonts w:hint="eastAsia"/>
                      </w:rPr>
                    </w:pPr>
                    <w:r>
                      <w:rPr>
                        <w:rFonts w:hint="eastAsia"/>
                      </w:rPr>
                      <w:t>1609</w:t>
                    </w:r>
                  </w:p>
                </w:txbxContent>
              </v:textbox>
            </v:shape>
            <v:shape id="_x0000_s1033" o:spid="_x0000_s1033" o:spt="202" type="#_x0000_t202" style="position:absolute;left:12091;top:106957;height:286;width:581;" stroked="t" coordsize="21600,21600">
              <v:path/>
              <v:fill focussize="0,0"/>
              <v:stroke color="#FFFFFF" joinstyle="miter"/>
              <v:imagedata o:title=""/>
              <o:lock v:ext="edit"/>
              <v:textbox inset="0mm,0mm,0mm,0mm">
                <w:txbxContent>
                  <w:p>
                    <w:pPr>
                      <w:rPr>
                        <w:rFonts w:hint="eastAsia"/>
                      </w:rPr>
                    </w:pPr>
                    <w:r>
                      <w:rPr>
                        <w:rFonts w:hint="eastAsia"/>
                      </w:rPr>
                      <w:t>1529</w:t>
                    </w:r>
                  </w:p>
                  <w:p>
                    <w:pPr>
                      <w:rPr>
                        <w:rFonts w:hint="eastAsia"/>
                      </w:rPr>
                    </w:pPr>
                  </w:p>
                </w:txbxContent>
              </v:textbox>
            </v:shape>
            <v:shape id="_x0000_s1034" o:spid="_x0000_s1034" o:spt="202" type="#_x0000_t202" style="position:absolute;left:12916;top:106912;height:286;width:582;" stroked="t" coordsize="21600,21600">
              <v:path/>
              <v:fill focussize="0,0"/>
              <v:stroke color="#FFFFFF" joinstyle="miter"/>
              <v:imagedata o:title=""/>
              <o:lock v:ext="edit"/>
              <v:textbox inset="0mm,0mm,0mm,0mm">
                <w:txbxContent>
                  <w:p>
                    <w:pPr>
                      <w:rPr>
                        <w:rFonts w:hint="eastAsia"/>
                      </w:rPr>
                    </w:pPr>
                    <w:r>
                      <w:rPr>
                        <w:rFonts w:hint="eastAsia"/>
                      </w:rPr>
                      <w:t>1557</w:t>
                    </w:r>
                  </w:p>
                  <w:p>
                    <w:pPr>
                      <w:rPr>
                        <w:rFonts w:hint="eastAsia"/>
                      </w:rPr>
                    </w:pPr>
                  </w:p>
                </w:txbxContent>
              </v:textbox>
            </v:shape>
            <v:shape id="_x0000_s1035" o:spid="_x0000_s1035" o:spt="202" type="#_x0000_t202" style="position:absolute;left:11326;top:109583;height:285;width:388;" stroked="t" coordsize="21600,21600">
              <v:path/>
              <v:fill focussize="0,0"/>
              <v:stroke color="#FFFFFF" joinstyle="miter"/>
              <v:imagedata o:title=""/>
              <o:lock v:ext="edit"/>
              <v:textbox inset="0mm,0mm,0mm,0mm">
                <w:txbxContent>
                  <w:p>
                    <w:pPr>
                      <w:rPr>
                        <w:rFonts w:hint="eastAsia"/>
                      </w:rPr>
                    </w:pPr>
                    <w:r>
                      <w:rPr>
                        <w:rFonts w:hint="eastAsia"/>
                      </w:rPr>
                      <w:t>28</w:t>
                    </w:r>
                  </w:p>
                  <w:p>
                    <w:pPr>
                      <w:rPr>
                        <w:rFonts w:hint="eastAsia"/>
                      </w:rPr>
                    </w:pPr>
                  </w:p>
                  <w:p>
                    <w:pPr>
                      <w:rPr>
                        <w:rFonts w:hint="eastAsia"/>
                      </w:rPr>
                    </w:pPr>
                  </w:p>
                </w:txbxContent>
              </v:textbox>
            </v:shape>
            <v:shape id="_x0000_s1036" o:spid="_x0000_s1036" o:spt="202" type="#_x0000_t202" style="position:absolute;left:8085;top:109568;height:285;width:299;" stroked="t" coordsize="21600,21600">
              <v:path/>
              <v:fill focussize="0,0"/>
              <v:stroke color="#FFFFFF" joinstyle="miter"/>
              <v:imagedata o:title=""/>
              <o:lock v:ext="edit"/>
              <v:textbox inset="0mm,0mm,0mm,0mm">
                <w:txbxContent>
                  <w:p>
                    <w:pPr>
                      <w:rPr>
                        <w:rFonts w:hint="eastAsia"/>
                      </w:rPr>
                    </w:pPr>
                    <w:r>
                      <w:rPr>
                        <w:rFonts w:hint="eastAsia"/>
                      </w:rPr>
                      <w:t>23</w:t>
                    </w:r>
                  </w:p>
                  <w:p>
                    <w:pPr>
                      <w:rPr>
                        <w:rFonts w:hint="eastAsia"/>
                      </w:rPr>
                    </w:pPr>
                  </w:p>
                  <w:p>
                    <w:pPr>
                      <w:rPr>
                        <w:rFonts w:hint="eastAsia"/>
                      </w:rPr>
                    </w:pPr>
                  </w:p>
                </w:txbxContent>
              </v:textbox>
            </v:shape>
          </v:group>
        </w:pict>
      </w:r>
      <w:r>
        <w:rPr>
          <w:sz w:val="32"/>
        </w:rPr>
        <w:pict>
          <v:rect id="_x0000_s1038" o:spid="_x0000_s1038" o:spt="1" style="position:absolute;left:0pt;margin-left:232.3pt;margin-top:212.9pt;height:0.05pt;width:25.5pt;z-index:251662336;mso-width-relative:page;mso-height-relative:page;" fillcolor="#7030A0" filled="t" stroked="t" coordsize="21600,21600">
            <v:path/>
            <v:fill on="t" focussize="0,0"/>
            <v:stroke weight="1.25pt" color="#7030A0"/>
            <v:imagedata o:title=""/>
            <o:lock v:ext="edit"/>
          </v:rect>
        </w:pict>
      </w:r>
      <w:r>
        <w:rPr>
          <w:rFonts w:ascii="黑体" w:hAnsi="黑体" w:eastAsia="黑体"/>
          <w:sz w:val="32"/>
          <w:szCs w:val="32"/>
          <w:lang w:val="en-US" w:eastAsia="zh-CN"/>
        </w:rPr>
        <w:pict>
          <v:shape id="_x0000_s1026" o:spid="_x0000_s1026" o:spt="202" type="#_x0000_t202" style="position:absolute;left:0pt;margin-left:0pt;margin-top:29.7pt;height:241.95pt;width:414.15pt;mso-wrap-distance-bottom:0pt;mso-wrap-distance-left:9pt;mso-wrap-distance-right:9pt;mso-wrap-distance-top:0pt;mso-wrap-style:none;z-index:251659264;mso-width-relative:page;mso-height-relative:page;" coordsize="21600,21600">
            <v:path/>
            <v:fill focussize="0,0"/>
            <v:stroke joinstyle="miter"/>
            <v:imagedata o:title=""/>
            <o:lock v:ext="edit"/>
            <v:textbox style="mso-fit-shape-to-text:t;">
              <w:txbxContent>
                <w:p>
                  <w:pPr>
                    <w:widowControl/>
                    <w:shd w:val="clear" w:color="auto" w:fill="FFFFFF"/>
                    <w:ind w:firstLine="480"/>
                    <w:jc w:val="center"/>
                    <w:rPr>
                      <w:rFonts w:ascii="微软雅黑" w:hAnsi="微软雅黑" w:cs="宋体"/>
                      <w:color w:val="3D3D3C"/>
                      <w:kern w:val="0"/>
                      <w:szCs w:val="21"/>
                    </w:rPr>
                  </w:pPr>
                  <w:r>
                    <w:rPr>
                      <w:rFonts w:ascii="微软雅黑" w:hAnsi="微软雅黑" w:cs="宋体"/>
                      <w:color w:val="3D3D3C"/>
                      <w:kern w:val="0"/>
                      <w:szCs w:val="21"/>
                    </w:rPr>
                    <w:drawing>
                      <wp:inline distT="0" distB="0" distL="0" distR="0">
                        <wp:extent cx="4763135" cy="2785745"/>
                        <wp:effectExtent l="19050" t="0" r="0" b="0"/>
                        <wp:docPr id="1" name="图片 9" descr="20180911171444_9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20180911171444_9707"/>
                                <pic:cNvPicPr>
                                  <a:picLocks noChangeAspect="1" noChangeArrowheads="1"/>
                                </pic:cNvPicPr>
                              </pic:nvPicPr>
                              <pic:blipFill>
                                <a:blip r:embed="rId5"/>
                                <a:srcRect/>
                                <a:stretch>
                                  <a:fillRect/>
                                </a:stretch>
                              </pic:blipFill>
                              <pic:spPr>
                                <a:xfrm>
                                  <a:off x="0" y="0"/>
                                  <a:ext cx="4763135" cy="2785745"/>
                                </a:xfrm>
                                <a:prstGeom prst="rect">
                                  <a:avLst/>
                                </a:prstGeom>
                                <a:noFill/>
                                <a:ln w="9525">
                                  <a:noFill/>
                                  <a:miter lim="800000"/>
                                  <a:headEnd/>
                                  <a:tailEnd/>
                                </a:ln>
                              </pic:spPr>
                            </pic:pic>
                          </a:graphicData>
                        </a:graphic>
                      </wp:inline>
                    </w:drawing>
                  </w:r>
                </w:p>
              </w:txbxContent>
            </v:textbox>
            <w10:wrap type="square"/>
          </v:shape>
        </w:pict>
      </w:r>
      <w:r>
        <w:rPr>
          <w:rFonts w:ascii="黑体" w:hAnsi="黑体" w:eastAsia="黑体"/>
          <w:sz w:val="32"/>
          <w:szCs w:val="32"/>
        </w:rPr>
        <w:pict>
          <v:shape id="_x0000_s1030" o:spid="_x0000_s1030" o:spt="202" type="#_x0000_t202" style="position:absolute;left:0pt;margin-left:192.6pt;margin-top:58.55pt;height:16.5pt;width:21pt;z-index:251660288;mso-width-relative:page;mso-height-relative:page;" stroked="t" coordsize="21600,21600">
            <v:path/>
            <v:fill focussize="0,0"/>
            <v:stroke color="#FFFFFF" joinstyle="miter"/>
            <v:imagedata o:title=""/>
            <o:lock v:ext="edit"/>
            <v:textbox inset="0mm,0mm,0mm,0mm">
              <w:txbxContent>
                <w:p>
                  <w:pPr>
                    <w:rPr>
                      <w:rFonts w:hint="eastAsia"/>
                    </w:rPr>
                  </w:pPr>
                  <w:r>
                    <w:rPr>
                      <w:rFonts w:hint="eastAsia"/>
                    </w:rPr>
                    <w:t>1609</w:t>
                  </w:r>
                </w:p>
              </w:txbxContent>
            </v:textbox>
          </v:shape>
        </w:pict>
      </w:r>
      <w:r>
        <w:rPr>
          <w:rFonts w:hint="eastAsia" w:ascii="黑体" w:hAnsi="黑体" w:eastAsia="黑体" w:cs="宋体"/>
          <w:color w:val="3D3D3C"/>
          <w:kern w:val="0"/>
          <w:sz w:val="32"/>
          <w:szCs w:val="32"/>
        </w:rPr>
        <w:t>四、2018年度部门工作完成情况</w:t>
      </w:r>
    </w:p>
    <w:p>
      <w:pPr>
        <w:tabs>
          <w:tab w:val="left" w:pos="7214"/>
        </w:tabs>
        <w:spacing w:line="120" w:lineRule="auto"/>
        <w:ind w:firstLine="640" w:firstLineChars="200"/>
        <w:rPr>
          <w:rFonts w:hint="eastAsia" w:ascii="楷体" w:hAnsi="楷体" w:eastAsia="楷体" w:cs="仿宋"/>
          <w:color w:val="000000"/>
          <w:sz w:val="32"/>
          <w:szCs w:val="32"/>
        </w:rPr>
      </w:pPr>
      <w:r>
        <w:rPr>
          <w:rFonts w:hint="eastAsia" w:ascii="楷体" w:hAnsi="楷体" w:eastAsia="楷体" w:cs="黑体"/>
          <w:color w:val="000000"/>
          <w:sz w:val="32"/>
          <w:szCs w:val="32"/>
        </w:rPr>
        <w:t>(一)重点项目及职能工作完成情况。</w:t>
      </w:r>
      <w:r>
        <w:rPr>
          <w:rFonts w:ascii="楷体" w:hAnsi="楷体" w:eastAsia="楷体" w:cs="黑体"/>
          <w:color w:val="000000"/>
          <w:sz w:val="32"/>
          <w:szCs w:val="32"/>
        </w:rPr>
        <w:tab/>
      </w:r>
    </w:p>
    <w:p>
      <w:pPr>
        <w:pBdr>
          <w:bottom w:val="single" w:color="FFFFFF" w:sz="4" w:space="31"/>
        </w:pBdr>
        <w:tabs>
          <w:tab w:val="left" w:pos="1440"/>
        </w:tabs>
        <w:adjustRightInd w:val="0"/>
        <w:snapToGrid w:val="0"/>
        <w:spacing w:line="560" w:lineRule="exact"/>
        <w:ind w:firstLine="640"/>
        <w:contextualSpacing/>
        <w:rPr>
          <w:rFonts w:hint="eastAsia" w:ascii="仿宋_GB2312" w:eastAsia="仿宋_GB2312"/>
          <w:color w:val="000000"/>
          <w:sz w:val="32"/>
          <w:szCs w:val="32"/>
        </w:rPr>
      </w:pPr>
      <w:r>
        <w:rPr>
          <w:rFonts w:hint="eastAsia" w:ascii="仿宋_GB2312" w:hAnsi="楷体" w:eastAsia="仿宋_GB2312" w:cs="楷体"/>
          <w:b/>
          <w:bCs/>
          <w:color w:val="000000"/>
          <w:kern w:val="64"/>
          <w:sz w:val="32"/>
          <w:szCs w:val="32"/>
        </w:rPr>
        <w:t>一是综合医改深入推进。</w:t>
      </w:r>
      <w:r>
        <w:rPr>
          <w:rFonts w:hint="eastAsia" w:ascii="仿宋_GB2312" w:eastAsia="仿宋_GB2312"/>
          <w:color w:val="000000"/>
          <w:sz w:val="32"/>
          <w:szCs w:val="32"/>
        </w:rPr>
        <w:t>新农合参合率达到99.71%，贫困人口“四重保障”机制全面建立，医保“防大病、兜底线”能力进一步增强。持续深化新农合支付方式改革，及时调整报销比例，落实异地结算备案制，制定常见疾病分级诊疗指南，规范转诊程序和流程，强化医保政策对分级诊疗的引导，</w:t>
      </w:r>
      <w:r>
        <w:rPr>
          <w:rFonts w:hint="eastAsia" w:ascii="仿宋_GB2312" w:hAnsi="仿宋" w:eastAsia="仿宋_GB2312"/>
          <w:color w:val="000000"/>
          <w:sz w:val="32"/>
          <w:szCs w:val="32"/>
        </w:rPr>
        <w:t>新农合政策范围内报销比例达到77.99%。</w:t>
      </w:r>
      <w:r>
        <w:rPr>
          <w:rFonts w:hint="eastAsia" w:ascii="仿宋_GB2312" w:eastAsia="仿宋_GB2312"/>
          <w:color w:val="000000"/>
          <w:sz w:val="32"/>
          <w:szCs w:val="32"/>
        </w:rPr>
        <w:t>启动新一轮改善医疗服务行动计划，不断优化市县医疗联合，在5家镇街卫生院建立“县镇一体化”服务模式，在17家村级卫生室建立“镇村一体化”管理模式。以慢病诊疗为突破口，建立三级医师签约服务模式,贫困人口签约全覆盖，重点人群签约服务率60%以上。</w:t>
      </w:r>
    </w:p>
    <w:p>
      <w:pPr>
        <w:pBdr>
          <w:bottom w:val="single" w:color="FFFFFF" w:sz="4" w:space="31"/>
        </w:pBdr>
        <w:tabs>
          <w:tab w:val="left" w:pos="1440"/>
        </w:tabs>
        <w:adjustRightInd w:val="0"/>
        <w:snapToGrid w:val="0"/>
        <w:spacing w:line="560" w:lineRule="exact"/>
        <w:ind w:firstLine="640"/>
        <w:contextualSpacing/>
        <w:rPr>
          <w:rFonts w:hint="eastAsia" w:ascii="仿宋_GB2312" w:hAnsi="仿宋" w:eastAsia="仿宋_GB2312" w:cs="仿宋"/>
          <w:color w:val="000000"/>
          <w:kern w:val="64"/>
          <w:sz w:val="32"/>
          <w:szCs w:val="32"/>
        </w:rPr>
      </w:pPr>
      <w:r>
        <w:rPr>
          <w:rFonts w:hint="eastAsia" w:ascii="仿宋_GB2312" w:hAnsi="楷体" w:eastAsia="仿宋_GB2312" w:cs="楷体"/>
          <w:b/>
          <w:bCs/>
          <w:color w:val="000000"/>
          <w:sz w:val="32"/>
          <w:szCs w:val="32"/>
        </w:rPr>
        <w:t>二</w:t>
      </w:r>
      <w:r>
        <w:rPr>
          <w:rFonts w:hint="eastAsia" w:ascii="仿宋_GB2312" w:hAnsi="楷体" w:eastAsia="仿宋_GB2312" w:cs="楷体"/>
          <w:b/>
          <w:bCs/>
          <w:color w:val="000000"/>
          <w:kern w:val="64"/>
          <w:sz w:val="32"/>
          <w:szCs w:val="32"/>
        </w:rPr>
        <w:t>是医联体建设成效初显。</w:t>
      </w:r>
      <w:r>
        <w:rPr>
          <w:rFonts w:hint="eastAsia" w:ascii="仿宋_GB2312" w:hAnsi="仿宋" w:eastAsia="仿宋_GB2312" w:cs="仿宋"/>
          <w:color w:val="000000"/>
          <w:kern w:val="64"/>
          <w:sz w:val="32"/>
          <w:szCs w:val="32"/>
        </w:rPr>
        <w:t>推进紧密型医联体建设，市九院顺利托管县人民医院，</w:t>
      </w:r>
      <w:r>
        <w:rPr>
          <w:rFonts w:hint="eastAsia" w:ascii="仿宋_GB2312" w:hAnsi="仿宋" w:eastAsia="仿宋_GB2312" w:cs="仿宋"/>
          <w:color w:val="000000"/>
          <w:sz w:val="32"/>
          <w:szCs w:val="32"/>
        </w:rPr>
        <w:t>先后</w:t>
      </w:r>
      <w:r>
        <w:rPr>
          <w:rFonts w:hint="eastAsia" w:ascii="仿宋_GB2312" w:hAnsi="仿宋_GB2312" w:eastAsia="仿宋_GB2312" w:cs="仿宋_GB2312"/>
          <w:color w:val="000000"/>
          <w:sz w:val="32"/>
          <w:szCs w:val="32"/>
        </w:rPr>
        <w:t>选派医务、护理、质控、院感、药学等部门35人次对县医院开展管理指导，常态化落实专家坐诊帮扶，接诊患者7900余人次，会诊疑难危重患者84人次，开展高难度手术65台，举办各类学术研讨会34场，新成立心血管内科、呼吸内科、消化内科、神经内分泌科等四个二级学科。举办行风监督员座谈会、媒体见面会，建立双向转诊绿色通道，营造了共帮共建的浓厚氛围。</w:t>
      </w:r>
      <w:r>
        <w:rPr>
          <w:rFonts w:hint="eastAsia" w:ascii="仿宋_GB2312" w:hAnsi="仿宋" w:eastAsia="仿宋_GB2312" w:cs="仿宋"/>
          <w:color w:val="000000"/>
          <w:kern w:val="64"/>
          <w:sz w:val="32"/>
          <w:szCs w:val="32"/>
        </w:rPr>
        <w:t>通过实施紧密型医联体建设，市级优质医疗资源有效下沉，医院精细化管理、重点学科建设、人才培养初见成效，为全县医改起到很好的引领和示范带动作用。</w:t>
      </w:r>
    </w:p>
    <w:p>
      <w:pPr>
        <w:pBdr>
          <w:bottom w:val="single" w:color="FFFFFF" w:sz="4" w:space="31"/>
        </w:pBdr>
        <w:tabs>
          <w:tab w:val="left" w:pos="1440"/>
        </w:tabs>
        <w:adjustRightInd w:val="0"/>
        <w:snapToGrid w:val="0"/>
        <w:spacing w:line="560" w:lineRule="exact"/>
        <w:ind w:firstLine="640"/>
        <w:contextualSpacing/>
        <w:rPr>
          <w:rFonts w:hint="eastAsia" w:ascii="仿宋_GB2312" w:hAnsi="华文仿宋" w:eastAsia="仿宋_GB2312"/>
          <w:color w:val="000000"/>
          <w:sz w:val="32"/>
          <w:szCs w:val="32"/>
        </w:rPr>
      </w:pPr>
      <w:r>
        <w:rPr>
          <w:rFonts w:hint="eastAsia" w:ascii="仿宋_GB2312" w:hAnsi="楷体" w:eastAsia="仿宋_GB2312" w:cs="楷体"/>
          <w:b/>
          <w:bCs/>
          <w:color w:val="000000"/>
          <w:sz w:val="32"/>
          <w:szCs w:val="32"/>
        </w:rPr>
        <w:t>三是健康扶贫深入人心。</w:t>
      </w:r>
      <w:r>
        <w:rPr>
          <w:rFonts w:hint="eastAsia" w:ascii="仿宋_GB2312" w:hAnsi="仿宋" w:eastAsia="仿宋_GB2312"/>
          <w:color w:val="000000"/>
          <w:spacing w:val="-6"/>
          <w:sz w:val="32"/>
          <w:szCs w:val="32"/>
        </w:rPr>
        <w:t>坚持健康扶贫统揽卫计工作全局，</w:t>
      </w:r>
      <w:r>
        <w:rPr>
          <w:rFonts w:hint="eastAsia" w:ascii="仿宋_GB2312" w:hAnsi="仿宋" w:eastAsia="仿宋_GB2312" w:cs="仿宋"/>
          <w:color w:val="000000"/>
          <w:spacing w:val="-6"/>
          <w:sz w:val="32"/>
          <w:szCs w:val="32"/>
        </w:rPr>
        <w:t>围绕四个“100%”， 以“减存量、控增量”抓手，全面实施“精准识别、精准救治、精准施策”，</w:t>
      </w:r>
      <w:r>
        <w:rPr>
          <w:rFonts w:hint="eastAsia" w:ascii="仿宋_GB2312" w:hAnsi="仿宋" w:eastAsia="仿宋_GB2312"/>
          <w:color w:val="000000"/>
          <w:spacing w:val="-6"/>
          <w:sz w:val="32"/>
          <w:szCs w:val="32"/>
        </w:rPr>
        <w:t>探索推进“12445”健康扶贫模式，</w:t>
      </w:r>
      <w:r>
        <w:rPr>
          <w:rFonts w:hint="eastAsia" w:ascii="仿宋_GB2312" w:hAnsi="仿宋" w:eastAsia="仿宋_GB2312" w:cs="仿宋"/>
          <w:color w:val="000000"/>
          <w:spacing w:val="-6"/>
          <w:sz w:val="32"/>
          <w:szCs w:val="32"/>
        </w:rPr>
        <w:t>有力守住贫困人口健康底线。</w:t>
      </w:r>
      <w:r>
        <w:rPr>
          <w:rFonts w:hint="eastAsia" w:ascii="仿宋_GB2312" w:hAnsi="仿宋" w:eastAsia="仿宋_GB2312" w:cs="仿宋"/>
          <w:bCs/>
          <w:color w:val="000000"/>
          <w:sz w:val="32"/>
          <w:szCs w:val="32"/>
        </w:rPr>
        <w:t>对照</w:t>
      </w:r>
      <w:r>
        <w:rPr>
          <w:rFonts w:hint="eastAsia" w:ascii="仿宋_GB2312" w:hAnsi="仿宋" w:eastAsia="仿宋_GB2312" w:cs="仿宋"/>
          <w:color w:val="000000"/>
          <w:sz w:val="32"/>
          <w:szCs w:val="32"/>
          <w:shd w:val="clear" w:color="auto" w:fill="FFFFFF"/>
        </w:rPr>
        <w:t>脱贫退出相关指标，</w:t>
      </w:r>
      <w:r>
        <w:rPr>
          <w:rFonts w:hint="eastAsia" w:ascii="仿宋_GB2312" w:hAnsi="仿宋" w:eastAsia="仿宋_GB2312" w:cs="仿宋"/>
          <w:color w:val="000000"/>
          <w:sz w:val="32"/>
          <w:szCs w:val="32"/>
        </w:rPr>
        <w:t>全县建档立卡贫困人口6041户15011人全部参合并纳入健康管理，发放小药箱2650个，市县定点医疗机构全面落实“一站式”结算，因病致贫1433户3940人全部分类施策、精准救治，48个村卫生室全部达标，全面完成了970个监测点水质检测。2018年10月全省“深化健康扶贫，服务百姓健康”扶贫日活动启动仪式在我县举行，“12445”健康扶贫、慢病小药箱管理模式在全市推广，多地卫计部门来我县考察学习，健康扶贫助力全县脱贫攻坚成效得到各级充分肯定和好评</w:t>
      </w:r>
      <w:r>
        <w:rPr>
          <w:rFonts w:hint="eastAsia" w:ascii="仿宋_GB2312" w:hAnsi="华文仿宋" w:eastAsia="仿宋_GB2312"/>
          <w:color w:val="000000"/>
          <w:sz w:val="32"/>
          <w:szCs w:val="32"/>
        </w:rPr>
        <w:t>。</w:t>
      </w:r>
    </w:p>
    <w:p>
      <w:pPr>
        <w:pBdr>
          <w:bottom w:val="single" w:color="FFFFFF" w:sz="4" w:space="31"/>
        </w:pBdr>
        <w:tabs>
          <w:tab w:val="left" w:pos="1440"/>
        </w:tabs>
        <w:adjustRightInd w:val="0"/>
        <w:snapToGrid w:val="0"/>
        <w:spacing w:line="560" w:lineRule="exact"/>
        <w:ind w:firstLine="640"/>
        <w:contextualSpacing/>
        <w:rPr>
          <w:rFonts w:hint="eastAsia" w:ascii="仿宋_GB2312" w:hAnsi="仿宋" w:eastAsia="仿宋_GB2312" w:cs="仿宋"/>
          <w:color w:val="000000"/>
          <w:kern w:val="11"/>
          <w:sz w:val="32"/>
          <w:szCs w:val="32"/>
        </w:rPr>
      </w:pPr>
      <w:r>
        <w:rPr>
          <w:rFonts w:hint="eastAsia" w:ascii="仿宋_GB2312" w:hAnsi="楷体" w:eastAsia="仿宋_GB2312" w:cs="楷体"/>
          <w:b/>
          <w:bCs/>
          <w:color w:val="000000"/>
          <w:kern w:val="64"/>
          <w:sz w:val="32"/>
          <w:szCs w:val="32"/>
        </w:rPr>
        <w:t>四是户改厕工作全面铺开。</w:t>
      </w:r>
      <w:r>
        <w:rPr>
          <w:rFonts w:hint="eastAsia" w:ascii="仿宋_GB2312" w:hAnsi="仿宋" w:eastAsia="仿宋_GB2312" w:cs="仿宋"/>
          <w:color w:val="000000"/>
          <w:kern w:val="64"/>
          <w:sz w:val="32"/>
          <w:szCs w:val="32"/>
        </w:rPr>
        <w:t>制定户改厕三年行动计划和2018年实施方案，多次召开专题会、现场会、培训会和促进会，</w:t>
      </w:r>
      <w:r>
        <w:rPr>
          <w:rFonts w:hint="eastAsia" w:ascii="仿宋_GB2312" w:hAnsi="仿宋" w:eastAsia="仿宋_GB2312"/>
          <w:color w:val="000000"/>
          <w:kern w:val="11"/>
          <w:sz w:val="32"/>
          <w:szCs w:val="32"/>
        </w:rPr>
        <w:t>采取镇负总责、村为主导，组为施工单元，专业队分户实施的办法，先行在48个贫困村和美丽乡村试点，进而在全县</w:t>
      </w:r>
      <w:r>
        <w:rPr>
          <w:rFonts w:hint="eastAsia" w:ascii="仿宋_GB2312" w:hAnsi="_4eff_5b8b_GB2312" w:eastAsia="仿宋_GB2312"/>
          <w:color w:val="000000"/>
          <w:sz w:val="32"/>
          <w:szCs w:val="32"/>
        </w:rPr>
        <w:t>19个镇街全面铺开</w:t>
      </w:r>
      <w:r>
        <w:rPr>
          <w:rFonts w:hint="eastAsia" w:ascii="仿宋_GB2312" w:hAnsi="仿宋" w:eastAsia="仿宋_GB2312"/>
          <w:color w:val="000000"/>
          <w:kern w:val="11"/>
          <w:sz w:val="32"/>
          <w:szCs w:val="32"/>
        </w:rPr>
        <w:t>。强化资金保障、技术培训和督导检查，将农村“厕所革命”作为</w:t>
      </w:r>
      <w:r>
        <w:rPr>
          <w:rFonts w:hint="eastAsia" w:ascii="仿宋_GB2312" w:hAnsi="仿宋" w:eastAsia="仿宋_GB2312" w:cs="仿宋"/>
          <w:color w:val="000000"/>
          <w:kern w:val="11"/>
          <w:sz w:val="32"/>
          <w:szCs w:val="32"/>
        </w:rPr>
        <w:t>脱贫攻坚考核的重点，纳入大督查机制，实行日报告、周汇总、月通报制度，县委、县政府主要领导对工作滞后单位亲自下发提醒函，一线督导推进落实，确保改厕工作强势推进。</w:t>
      </w:r>
      <w:r>
        <w:rPr>
          <w:rFonts w:hint="eastAsia" w:ascii="仿宋_GB2312" w:hAnsi="_4eff_5b8b_GB2312" w:eastAsia="仿宋_GB2312"/>
          <w:color w:val="000000"/>
          <w:sz w:val="32"/>
          <w:szCs w:val="32"/>
        </w:rPr>
        <w:t>目前，</w:t>
      </w:r>
      <w:r>
        <w:rPr>
          <w:rFonts w:hint="eastAsia" w:ascii="仿宋_GB2312" w:hAnsi="仿宋" w:eastAsia="仿宋_GB2312" w:cs="仿宋"/>
          <w:color w:val="000000"/>
          <w:sz w:val="32"/>
          <w:szCs w:val="32"/>
        </w:rPr>
        <w:t>全县共投放厕具22347套，完成无害化户厕建设35200户，</w:t>
      </w:r>
      <w:r>
        <w:rPr>
          <w:rFonts w:hint="eastAsia" w:ascii="仿宋_GB2312" w:hAnsi="仿宋" w:eastAsia="仿宋_GB2312" w:cs="仿宋"/>
          <w:color w:val="000000"/>
          <w:kern w:val="11"/>
          <w:sz w:val="32"/>
          <w:szCs w:val="32"/>
        </w:rPr>
        <w:t>2018年3.5万户改厕任务按期完成。</w:t>
      </w:r>
    </w:p>
    <w:p>
      <w:pPr>
        <w:pBdr>
          <w:bottom w:val="single" w:color="FFFFFF" w:sz="4" w:space="31"/>
        </w:pBdr>
        <w:tabs>
          <w:tab w:val="left" w:pos="1440"/>
        </w:tabs>
        <w:adjustRightInd w:val="0"/>
        <w:snapToGrid w:val="0"/>
        <w:spacing w:line="560" w:lineRule="exact"/>
        <w:ind w:firstLine="640"/>
        <w:contextualSpacing/>
        <w:rPr>
          <w:rFonts w:hint="eastAsia" w:ascii="仿宋_GB2312" w:hAnsi="仿宋" w:eastAsia="仿宋_GB2312" w:cs="仿宋"/>
          <w:color w:val="000000"/>
          <w:sz w:val="32"/>
          <w:szCs w:val="32"/>
        </w:rPr>
      </w:pPr>
      <w:r>
        <w:rPr>
          <w:rFonts w:hint="eastAsia" w:ascii="仿宋_GB2312" w:hAnsi="楷体" w:eastAsia="仿宋_GB2312" w:cs="楷体"/>
          <w:b/>
          <w:color w:val="000000"/>
          <w:sz w:val="32"/>
          <w:szCs w:val="32"/>
        </w:rPr>
        <w:t>五是公卫服务水平不断提升。</w:t>
      </w:r>
      <w:r>
        <w:rPr>
          <w:rFonts w:hint="eastAsia" w:ascii="仿宋_GB2312" w:eastAsia="仿宋_GB2312"/>
          <w:color w:val="000000"/>
          <w:sz w:val="32"/>
          <w:szCs w:val="32"/>
        </w:rPr>
        <w:t>基本公共卫生服务经费补助标准提高到人均55元。</w:t>
      </w:r>
      <w:r>
        <w:rPr>
          <w:rFonts w:hint="eastAsia" w:ascii="仿宋_GB2312" w:hAnsi="宋体" w:eastAsia="仿宋_GB2312" w:cs="宋体"/>
          <w:color w:val="000000"/>
          <w:kern w:val="0"/>
          <w:sz w:val="32"/>
          <w:szCs w:val="32"/>
        </w:rPr>
        <w:t>建立重大疾病防治工作联席会议制度，</w:t>
      </w:r>
      <w:r>
        <w:rPr>
          <w:rFonts w:hint="eastAsia" w:ascii="仿宋_GB2312" w:eastAsia="仿宋_GB2312"/>
          <w:color w:val="000000"/>
          <w:sz w:val="32"/>
          <w:szCs w:val="32"/>
        </w:rPr>
        <w:t>“专病、专策”精准化防控10类重点传染病，对慢性病和重性精神疾病实行重点管理，持续开展精细化管理和质量提升活动，落实65岁以上老年人免费健康体检新增项目，</w:t>
      </w:r>
      <w:r>
        <w:rPr>
          <w:rFonts w:hint="eastAsia" w:ascii="仿宋_GB2312" w:hAnsi="仿宋" w:eastAsia="仿宋_GB2312" w:cs="仿宋"/>
          <w:color w:val="000000"/>
          <w:sz w:val="32"/>
          <w:szCs w:val="32"/>
        </w:rPr>
        <w:t>电子建档率达</w:t>
      </w:r>
      <w:r>
        <w:rPr>
          <w:rFonts w:hint="eastAsia" w:ascii="仿宋_GB2312" w:hAnsi="仿宋" w:eastAsia="仿宋_GB2312"/>
          <w:color w:val="000000"/>
          <w:sz w:val="32"/>
          <w:szCs w:val="32"/>
        </w:rPr>
        <w:t>95%以上，</w:t>
      </w:r>
      <w:r>
        <w:rPr>
          <w:rFonts w:hint="eastAsia" w:ascii="仿宋_GB2312" w:eastAsia="仿宋_GB2312"/>
          <w:color w:val="000000"/>
          <w:sz w:val="32"/>
          <w:szCs w:val="32"/>
        </w:rPr>
        <w:t>12类服务项目达到或超过省市考核指标，残疾人签约服务4973人。</w:t>
      </w:r>
      <w:r>
        <w:rPr>
          <w:rFonts w:hint="eastAsia" w:ascii="仿宋_GB2312" w:hAnsi="仿宋" w:eastAsia="仿宋_GB2312" w:cs="仿宋"/>
          <w:color w:val="000000"/>
          <w:sz w:val="32"/>
          <w:szCs w:val="32"/>
        </w:rPr>
        <w:t>改革完善计生服务管理，</w:t>
      </w:r>
      <w:r>
        <w:rPr>
          <w:rFonts w:hint="eastAsia" w:ascii="仿宋_GB2312" w:hAnsi="仿宋" w:eastAsia="仿宋_GB2312" w:cs="仿宋"/>
          <w:color w:val="000000"/>
          <w:kern w:val="64"/>
          <w:sz w:val="32"/>
          <w:szCs w:val="32"/>
        </w:rPr>
        <w:t>县镇村三级卫计资源优化整合全面到位，</w:t>
      </w:r>
      <w:r>
        <w:rPr>
          <w:rFonts w:hint="eastAsia" w:ascii="仿宋_GB2312" w:hAnsi="仿宋" w:eastAsia="仿宋_GB2312" w:cs="仿宋"/>
          <w:color w:val="000000"/>
          <w:sz w:val="32"/>
          <w:szCs w:val="32"/>
        </w:rPr>
        <w:t>顺利完成省级妇幼健康服务示范县创建，荣获2017年全国生育抽样调查省级优秀单位。</w:t>
      </w:r>
    </w:p>
    <w:p>
      <w:pPr>
        <w:pBdr>
          <w:bottom w:val="single" w:color="FFFFFF" w:sz="4" w:space="31"/>
        </w:pBdr>
        <w:tabs>
          <w:tab w:val="left" w:pos="0"/>
        </w:tabs>
        <w:adjustRightInd w:val="0"/>
        <w:spacing w:line="560" w:lineRule="exact"/>
        <w:ind w:firstLine="643" w:firstLineChars="200"/>
        <w:rPr>
          <w:rFonts w:hint="eastAsia" w:ascii="仿宋_GB2312" w:hAnsi="仿宋" w:eastAsia="仿宋_GB2312" w:cs="仿宋"/>
          <w:color w:val="000000"/>
          <w:sz w:val="32"/>
          <w:szCs w:val="32"/>
        </w:rPr>
      </w:pPr>
      <w:r>
        <w:rPr>
          <w:rFonts w:hint="eastAsia" w:ascii="仿宋_GB2312" w:hAnsi="楷体" w:eastAsia="仿宋_GB2312" w:cs="楷体"/>
          <w:b/>
          <w:color w:val="000000"/>
          <w:sz w:val="32"/>
          <w:szCs w:val="32"/>
        </w:rPr>
        <w:t>六是群众就医环境持续改善。</w:t>
      </w:r>
      <w:r>
        <w:rPr>
          <w:rFonts w:hint="eastAsia" w:ascii="仿宋_GB2312" w:eastAsia="仿宋_GB2312"/>
          <w:color w:val="000000"/>
          <w:sz w:val="32"/>
          <w:szCs w:val="32"/>
        </w:rPr>
        <w:t>总投资5.2亿元，6万多平方米的县医院迁建项目经过五年的艰辛付出，整体建设接近尾声，除周转房在2019年6月完工外，目前具备搬迁条件。投入819万元集中改造14家镇街卫生院，</w:t>
      </w:r>
      <w:r>
        <w:rPr>
          <w:rFonts w:hint="eastAsia" w:ascii="仿宋_GB2312" w:hAnsi="仿宋" w:eastAsia="仿宋_GB2312"/>
          <w:color w:val="000000"/>
          <w:kern w:val="0"/>
          <w:sz w:val="32"/>
          <w:szCs w:val="32"/>
        </w:rPr>
        <w:t>改扩建村标准化卫生室69家，</w:t>
      </w:r>
      <w:r>
        <w:rPr>
          <w:rFonts w:hint="eastAsia" w:ascii="仿宋_GB2312" w:eastAsia="仿宋_GB2312"/>
          <w:color w:val="000000"/>
          <w:sz w:val="32"/>
          <w:szCs w:val="32"/>
        </w:rPr>
        <w:t>配发各类器械 1200 台，投入330万元，新建集体产权卫生室22家，贫困村标准化卫生室建设实现全覆盖。县中医院迁建正在论证，县妇幼保健院</w:t>
      </w:r>
      <w:r>
        <w:rPr>
          <w:rFonts w:hint="eastAsia" w:ascii="仿宋_GB2312" w:hAnsi="仿宋_GB2312" w:eastAsia="仿宋_GB2312"/>
          <w:color w:val="000000"/>
          <w:sz w:val="32"/>
          <w:szCs w:val="32"/>
        </w:rPr>
        <w:t>门诊综合楼建设前期准备已经到位</w:t>
      </w:r>
      <w:r>
        <w:rPr>
          <w:rFonts w:hint="eastAsia" w:ascii="仿宋_GB2312" w:eastAsia="仿宋_GB2312"/>
          <w:color w:val="000000"/>
          <w:sz w:val="32"/>
          <w:szCs w:val="32"/>
        </w:rPr>
        <w:t>。</w:t>
      </w:r>
      <w:r>
        <w:rPr>
          <w:rFonts w:hint="eastAsia" w:ascii="仿宋_GB2312" w:hAnsi="仿宋" w:eastAsia="仿宋_GB2312" w:cs="仿宋"/>
          <w:color w:val="000000"/>
          <w:sz w:val="32"/>
          <w:szCs w:val="32"/>
        </w:rPr>
        <w:t>县域信息化与市级平台成功对接，“互联网+智慧医院”在县医院完成试点。</w:t>
      </w:r>
      <w:r>
        <w:rPr>
          <w:rFonts w:hint="eastAsia" w:ascii="仿宋_GB2312" w:hAnsi="仿宋" w:eastAsia="仿宋_GB2312" w:cs="仿宋"/>
          <w:color w:val="000000"/>
          <w:kern w:val="64"/>
          <w:sz w:val="32"/>
          <w:szCs w:val="32"/>
        </w:rPr>
        <w:t>顺利通过第二轮中医先进县复审，</w:t>
      </w:r>
      <w:r>
        <w:rPr>
          <w:rFonts w:hint="eastAsia" w:ascii="仿宋_GB2312" w:eastAsia="仿宋_GB2312"/>
          <w:color w:val="000000"/>
          <w:sz w:val="32"/>
          <w:szCs w:val="32"/>
        </w:rPr>
        <w:t>建成</w:t>
      </w:r>
      <w:r>
        <w:rPr>
          <w:rFonts w:hint="eastAsia" w:ascii="仿宋_GB2312" w:hAnsi="仿宋" w:eastAsia="仿宋_GB2312" w:cs="仿宋"/>
          <w:color w:val="000000"/>
          <w:sz w:val="32"/>
          <w:szCs w:val="32"/>
        </w:rPr>
        <w:t>县中医</w:t>
      </w:r>
      <w:r>
        <w:rPr>
          <w:rFonts w:hint="eastAsia" w:ascii="仿宋_GB2312" w:eastAsia="仿宋_GB2312"/>
          <w:color w:val="000000"/>
          <w:sz w:val="32"/>
          <w:szCs w:val="32"/>
        </w:rPr>
        <w:t>院等5个省市级重点专科及3个名医工作室，基层“国医馆”建设实现全覆盖，</w:t>
      </w:r>
      <w:r>
        <w:rPr>
          <w:rFonts w:hint="eastAsia" w:ascii="仿宋_GB2312" w:hAnsi="仿宋" w:eastAsia="仿宋_GB2312" w:cs="仿宋"/>
          <w:color w:val="000000"/>
          <w:kern w:val="64"/>
          <w:sz w:val="32"/>
          <w:szCs w:val="32"/>
        </w:rPr>
        <w:t>焦岱中心卫生院成功创建“百佳乡镇卫生院”</w:t>
      </w:r>
      <w:r>
        <w:rPr>
          <w:rFonts w:hint="eastAsia" w:ascii="仿宋_GB2312" w:hAnsi="仿宋" w:eastAsia="仿宋_GB2312" w:cs="仿宋"/>
          <w:color w:val="000000"/>
          <w:sz w:val="32"/>
          <w:szCs w:val="32"/>
        </w:rPr>
        <w:t>，</w:t>
      </w:r>
      <w:r>
        <w:rPr>
          <w:rFonts w:hint="eastAsia" w:ascii="仿宋_GB2312" w:eastAsia="仿宋_GB2312"/>
          <w:color w:val="000000"/>
          <w:spacing w:val="-6"/>
          <w:sz w:val="32"/>
          <w:szCs w:val="32"/>
        </w:rPr>
        <w:t>4家基层单位被评为国家级群众满意乡镇卫生院，</w:t>
      </w:r>
      <w:r>
        <w:rPr>
          <w:rFonts w:hint="eastAsia" w:ascii="仿宋_GB2312" w:hAnsi="仿宋" w:eastAsia="仿宋_GB2312" w:cs="仿宋"/>
          <w:color w:val="000000"/>
          <w:sz w:val="32"/>
          <w:szCs w:val="32"/>
        </w:rPr>
        <w:t>县域内就诊率首次达到90.43%。在今年的满意度测评中，蓝田在全市卫计系统排名第一。</w:t>
      </w:r>
    </w:p>
    <w:p>
      <w:pPr>
        <w:pBdr>
          <w:bottom w:val="single" w:color="FFFFFF" w:sz="4" w:space="31"/>
        </w:pBdr>
        <w:tabs>
          <w:tab w:val="left" w:pos="0"/>
        </w:tabs>
        <w:adjustRightInd w:val="0"/>
        <w:spacing w:line="560" w:lineRule="exact"/>
        <w:ind w:firstLine="643" w:firstLineChars="200"/>
        <w:rPr>
          <w:rFonts w:hint="eastAsia" w:ascii="仿宋_GB2312" w:hAnsi="仿宋" w:eastAsia="仿宋_GB2312"/>
          <w:color w:val="000000"/>
          <w:kern w:val="64"/>
          <w:sz w:val="32"/>
          <w:szCs w:val="32"/>
        </w:rPr>
      </w:pPr>
      <w:r>
        <w:rPr>
          <w:rFonts w:hint="eastAsia" w:ascii="仿宋_GB2312" w:hAnsi="楷体" w:eastAsia="仿宋_GB2312" w:cs="楷体"/>
          <w:b/>
          <w:bCs/>
          <w:color w:val="000000"/>
          <w:kern w:val="64"/>
          <w:sz w:val="32"/>
          <w:szCs w:val="32"/>
        </w:rPr>
        <w:t>七是基本药物制度得以巩固。</w:t>
      </w:r>
      <w:r>
        <w:rPr>
          <w:rFonts w:hint="eastAsia" w:ascii="仿宋_GB2312" w:hAnsi="仿宋" w:eastAsia="仿宋_GB2312" w:cs="仿宋"/>
          <w:color w:val="000000"/>
          <w:kern w:val="64"/>
          <w:sz w:val="32"/>
          <w:szCs w:val="32"/>
        </w:rPr>
        <w:t>全面</w:t>
      </w:r>
      <w:r>
        <w:rPr>
          <w:rFonts w:hint="eastAsia" w:ascii="仿宋_GB2312" w:hAnsi="仿宋" w:eastAsia="仿宋_GB2312" w:cs="仿宋"/>
          <w:color w:val="000000"/>
          <w:sz w:val="32"/>
          <w:szCs w:val="32"/>
          <w:shd w:val="clear" w:color="auto" w:fill="FFFFFF"/>
        </w:rPr>
        <w:t>推行药品耗材“两票制”及高值医用耗材阳光采购，</w:t>
      </w:r>
      <w:r>
        <w:rPr>
          <w:rFonts w:hint="eastAsia" w:ascii="仿宋_GB2312" w:eastAsia="仿宋_GB2312"/>
          <w:color w:val="000000"/>
          <w:kern w:val="64"/>
          <w:sz w:val="32"/>
          <w:szCs w:val="32"/>
        </w:rPr>
        <w:t>完成挂网药品备案采购及药品议价工作，以县医院为牵头，成立采购联合体，指导各医疗机构完成目录勾选和采购汇总，确保临床用药安全及时。</w:t>
      </w:r>
      <w:r>
        <w:rPr>
          <w:rFonts w:hint="eastAsia" w:ascii="仿宋_GB2312" w:hAnsi="仿宋" w:eastAsia="仿宋_GB2312" w:cs="仿宋"/>
          <w:color w:val="000000"/>
          <w:kern w:val="64"/>
          <w:sz w:val="32"/>
          <w:szCs w:val="32"/>
        </w:rPr>
        <w:t>强化采购监管，建立日统计、月排名、季通报制度，县级公立医院和基层卫生院网采率分别达到95.2%、95%，基药使用率分别达到42%、80%，</w:t>
      </w:r>
      <w:r>
        <w:rPr>
          <w:rFonts w:hint="eastAsia" w:ascii="仿宋_GB2312" w:hAnsi="仿宋" w:eastAsia="仿宋_GB2312"/>
          <w:color w:val="000000"/>
          <w:kern w:val="64"/>
          <w:sz w:val="32"/>
          <w:szCs w:val="32"/>
        </w:rPr>
        <w:t>县级公立医院药占比控制在35.03%，较去年降低5.14个百分点，百元医疗收入中消耗的卫生材料费下降到20.2元，较去年下降6.5个百分点，医疗的公益性不断彰显。</w:t>
      </w:r>
    </w:p>
    <w:p>
      <w:pPr>
        <w:pBdr>
          <w:bottom w:val="single" w:color="FFFFFF" w:sz="4" w:space="31"/>
        </w:pBdr>
        <w:tabs>
          <w:tab w:val="left" w:pos="1440"/>
        </w:tabs>
        <w:adjustRightInd w:val="0"/>
        <w:snapToGrid w:val="0"/>
        <w:spacing w:line="560" w:lineRule="exact"/>
        <w:ind w:firstLine="643" w:firstLineChars="200"/>
        <w:contextualSpacing/>
        <w:rPr>
          <w:rFonts w:hint="eastAsia" w:ascii="仿宋_GB2312" w:hAnsi="仿宋" w:eastAsia="仿宋_GB2312" w:cs="仿宋"/>
          <w:color w:val="000000"/>
          <w:sz w:val="32"/>
          <w:szCs w:val="32"/>
        </w:rPr>
      </w:pPr>
      <w:r>
        <w:rPr>
          <w:rFonts w:hint="eastAsia" w:ascii="仿宋_GB2312" w:hAnsi="楷体" w:eastAsia="仿宋_GB2312" w:cs="楷体"/>
          <w:b/>
          <w:bCs/>
          <w:color w:val="000000"/>
          <w:sz w:val="32"/>
          <w:szCs w:val="32"/>
        </w:rPr>
        <w:t>八是计生妇幼工作融合发展。</w:t>
      </w:r>
      <w:r>
        <w:rPr>
          <w:rFonts w:hint="eastAsia" w:ascii="仿宋_GB2312" w:hAnsi="仿宋" w:eastAsia="仿宋_GB2312" w:cs="仿宋"/>
          <w:color w:val="000000"/>
          <w:sz w:val="32"/>
          <w:szCs w:val="32"/>
        </w:rPr>
        <w:t>持续巩固省级妇幼示范县创建成果，扎实开展7个精细化管理镇街和6个网格化管理社区建设，完成</w:t>
      </w:r>
      <w:r>
        <w:rPr>
          <w:rFonts w:hint="eastAsia" w:ascii="仿宋_GB2312" w:hAnsi="仿宋" w:eastAsia="仿宋_GB2312"/>
          <w:color w:val="000000"/>
          <w:sz w:val="32"/>
          <w:szCs w:val="32"/>
        </w:rPr>
        <w:t>孕前优生健康检查9406人，检查率93%，第六轮母亲健康工程检查40825人，检查率53.3%，全部超过省市指令性要求。发放奖扶特扶资金318.37万元，为10543户独生子女家庭发放2017年度独生子女保健费 311.59万元，各项惠民政策有效落实。2018年，我县荣获全市基层卫计服务管理基础知识竞赛团体优秀组织奖，2名个人获得优秀选手奖，完成创建市级幸福家庭示范镇街6个，泄湖卫生院冯团让、安村计生办邵为分别荣获健康扶贫幸福使者和优秀志愿者称号，</w:t>
      </w:r>
      <w:r>
        <w:rPr>
          <w:rFonts w:hint="eastAsia" w:ascii="仿宋_GB2312" w:hAnsi="仿宋" w:eastAsia="仿宋_GB2312" w:cs="仿宋"/>
          <w:color w:val="000000"/>
          <w:sz w:val="32"/>
          <w:szCs w:val="32"/>
        </w:rPr>
        <w:t>计生特殊家庭实现全年零上访。</w:t>
      </w:r>
    </w:p>
    <w:p>
      <w:pPr>
        <w:pBdr>
          <w:bottom w:val="single" w:color="FFFFFF" w:sz="4" w:space="31"/>
        </w:pBdr>
        <w:tabs>
          <w:tab w:val="left" w:pos="1440"/>
        </w:tabs>
        <w:adjustRightInd w:val="0"/>
        <w:snapToGrid w:val="0"/>
        <w:spacing w:line="560" w:lineRule="exact"/>
        <w:ind w:firstLine="643" w:firstLineChars="200"/>
        <w:contextualSpacing/>
        <w:rPr>
          <w:rFonts w:hint="eastAsia" w:ascii="仿宋_GB2312" w:hAnsi="仿宋" w:eastAsia="仿宋_GB2312"/>
          <w:color w:val="000000"/>
          <w:sz w:val="32"/>
          <w:szCs w:val="32"/>
        </w:rPr>
      </w:pPr>
      <w:r>
        <w:rPr>
          <w:rFonts w:hint="eastAsia" w:ascii="仿宋_GB2312" w:hAnsi="楷体" w:eastAsia="仿宋_GB2312" w:cs="楷体"/>
          <w:b/>
          <w:color w:val="000000"/>
          <w:sz w:val="32"/>
          <w:szCs w:val="32"/>
        </w:rPr>
        <w:t>九是各领域改革统筹推进。</w:t>
      </w:r>
      <w:r>
        <w:rPr>
          <w:rFonts w:hint="eastAsia" w:ascii="仿宋_GB2312" w:hAnsi="仿宋" w:eastAsia="仿宋_GB2312" w:cs="仿宋"/>
          <w:color w:val="000000"/>
          <w:kern w:val="64"/>
          <w:sz w:val="32"/>
          <w:szCs w:val="32"/>
        </w:rPr>
        <w:t>深化“放管服”改革，在政务大厅设立“一站式办理窗口”，只跑一次即办事项扩大到62项。</w:t>
      </w:r>
      <w:r>
        <w:rPr>
          <w:rFonts w:hint="eastAsia" w:ascii="仿宋_GB2312" w:eastAsia="仿宋_GB2312"/>
          <w:color w:val="000000"/>
          <w:sz w:val="32"/>
          <w:szCs w:val="32"/>
        </w:rPr>
        <w:t>开展以公共场所、生活饮用水、学校卫生和医疗市场为重点的专项监督检查，卫生监督协管机制实现上下联动。</w:t>
      </w:r>
      <w:r>
        <w:rPr>
          <w:rFonts w:hint="eastAsia" w:ascii="仿宋_GB2312" w:hAnsi="仿宋" w:eastAsia="仿宋_GB2312" w:cs="仿宋"/>
          <w:color w:val="000000"/>
          <w:kern w:val="64"/>
          <w:sz w:val="32"/>
          <w:szCs w:val="32"/>
        </w:rPr>
        <w:t>依托省级诚信平台，推行</w:t>
      </w:r>
      <w:r>
        <w:rPr>
          <w:rFonts w:hint="eastAsia" w:ascii="仿宋_GB2312" w:hAnsi="仿宋" w:eastAsia="仿宋_GB2312" w:cs="仿宋"/>
          <w:color w:val="000000"/>
          <w:kern w:val="64"/>
          <w:sz w:val="32"/>
          <w:szCs w:val="32"/>
          <w:lang w:eastAsia="zh-CN"/>
        </w:rPr>
        <w:t>“</w:t>
      </w:r>
      <w:r>
        <w:rPr>
          <w:rFonts w:hint="eastAsia" w:ascii="仿宋_GB2312" w:hAnsi="仿宋" w:eastAsia="仿宋_GB2312" w:cs="仿宋"/>
          <w:color w:val="000000"/>
          <w:kern w:val="64"/>
          <w:sz w:val="32"/>
          <w:szCs w:val="32"/>
        </w:rPr>
        <w:t>双随机</w:t>
      </w:r>
      <w:r>
        <w:rPr>
          <w:rFonts w:hint="eastAsia" w:ascii="仿宋_GB2312" w:hAnsi="仿宋" w:eastAsia="仿宋_GB2312" w:cs="仿宋"/>
          <w:color w:val="000000"/>
          <w:kern w:val="64"/>
          <w:sz w:val="32"/>
          <w:szCs w:val="32"/>
          <w:lang w:eastAsia="zh-CN"/>
        </w:rPr>
        <w:t>、</w:t>
      </w:r>
      <w:r>
        <w:rPr>
          <w:rFonts w:hint="eastAsia" w:ascii="仿宋_GB2312" w:hAnsi="仿宋" w:eastAsia="仿宋_GB2312" w:cs="仿宋"/>
          <w:color w:val="000000"/>
          <w:kern w:val="64"/>
          <w:sz w:val="32"/>
          <w:szCs w:val="32"/>
        </w:rPr>
        <w:t>一公开</w:t>
      </w:r>
      <w:r>
        <w:rPr>
          <w:rFonts w:hint="eastAsia" w:ascii="仿宋_GB2312" w:hAnsi="仿宋" w:eastAsia="仿宋_GB2312" w:cs="仿宋"/>
          <w:color w:val="000000"/>
          <w:kern w:val="64"/>
          <w:sz w:val="32"/>
          <w:szCs w:val="32"/>
          <w:lang w:eastAsia="zh-CN"/>
        </w:rPr>
        <w:t>”监管</w:t>
      </w:r>
      <w:bookmarkStart w:id="0" w:name="_GoBack"/>
      <w:bookmarkEnd w:id="0"/>
      <w:r>
        <w:rPr>
          <w:rFonts w:hint="eastAsia" w:ascii="仿宋_GB2312" w:hAnsi="仿宋" w:eastAsia="仿宋_GB2312" w:cs="仿宋"/>
          <w:color w:val="000000"/>
          <w:kern w:val="64"/>
          <w:sz w:val="32"/>
          <w:szCs w:val="32"/>
        </w:rPr>
        <w:t>，及时发布监督信息。建立民营医疗机构量化分级和信用分级管理机制，坚决杜绝过度诊疗等损害群众利益行为，</w:t>
      </w:r>
      <w:r>
        <w:rPr>
          <w:rFonts w:hint="eastAsia" w:ascii="仿宋_GB2312" w:eastAsia="仿宋_GB2312"/>
          <w:color w:val="000000"/>
          <w:spacing w:val="-6"/>
          <w:sz w:val="32"/>
          <w:szCs w:val="32"/>
        </w:rPr>
        <w:t>成立纪检监察室，落实常态化纪律巡查制度，持续加强行业作风建设，全面推进精细化、规范化管理，群众就医获得感普遍增强。</w:t>
      </w:r>
    </w:p>
    <w:p>
      <w:pPr>
        <w:pBdr>
          <w:bottom w:val="single" w:color="FFFFFF" w:sz="4" w:space="31"/>
        </w:pBdr>
        <w:tabs>
          <w:tab w:val="left" w:pos="1440"/>
        </w:tabs>
        <w:snapToGrid w:val="0"/>
        <w:spacing w:line="660" w:lineRule="exact"/>
        <w:contextualSpacing/>
        <w:rPr>
          <w:rFonts w:hint="eastAsia" w:ascii="楷体" w:hAnsi="楷体" w:eastAsia="楷体"/>
          <w:sz w:val="32"/>
          <w:szCs w:val="32"/>
        </w:rPr>
      </w:pPr>
      <w:r>
        <w:rPr>
          <w:rFonts w:hint="eastAsia" w:ascii="楷体" w:hAnsi="楷体" w:eastAsia="楷体" w:cs="黑体"/>
          <w:sz w:val="32"/>
          <w:szCs w:val="32"/>
        </w:rPr>
        <w:t xml:space="preserve">    （二）共性考核指标完成情况。</w:t>
      </w:r>
    </w:p>
    <w:p>
      <w:pPr>
        <w:pBdr>
          <w:bottom w:val="single" w:color="FFFFFF" w:sz="4" w:space="31"/>
        </w:pBdr>
        <w:tabs>
          <w:tab w:val="left" w:pos="1440"/>
        </w:tabs>
        <w:snapToGrid w:val="0"/>
        <w:spacing w:line="600" w:lineRule="exact"/>
        <w:ind w:firstLine="643" w:firstLineChars="200"/>
        <w:contextualSpacing/>
        <w:rPr>
          <w:rFonts w:hint="eastAsia" w:ascii="仿宋_GB2312" w:hAnsi="仿宋" w:eastAsia="仿宋_GB2312" w:cs="仿宋_GB2312"/>
          <w:sz w:val="32"/>
          <w:szCs w:val="32"/>
        </w:rPr>
      </w:pPr>
      <w:r>
        <w:rPr>
          <w:rFonts w:hint="eastAsia" w:ascii="仿宋_GB2312" w:hAnsi="华文楷体" w:eastAsia="仿宋_GB2312" w:cs="华文楷体"/>
          <w:b/>
          <w:sz w:val="32"/>
          <w:szCs w:val="32"/>
        </w:rPr>
        <w:t>一是党建+医疗统领行业发展。</w:t>
      </w:r>
      <w:r>
        <w:rPr>
          <w:rFonts w:hint="eastAsia" w:ascii="仿宋_GB2312" w:hAnsi="仿宋" w:eastAsia="仿宋_GB2312" w:cs="仿宋"/>
          <w:bCs/>
          <w:sz w:val="32"/>
          <w:szCs w:val="32"/>
        </w:rPr>
        <w:t>局党委认真履行主体责任，</w:t>
      </w:r>
      <w:r>
        <w:rPr>
          <w:rFonts w:hint="eastAsia" w:ascii="仿宋_GB2312" w:hAnsi="仿宋" w:eastAsia="仿宋_GB2312" w:cs="仿宋"/>
          <w:sz w:val="32"/>
          <w:szCs w:val="32"/>
        </w:rPr>
        <w:t>坚持把抓好党建作为最大的政治，</w:t>
      </w:r>
      <w:r>
        <w:rPr>
          <w:rFonts w:hint="eastAsia" w:ascii="仿宋_GB2312" w:hAnsi="仿宋" w:eastAsia="仿宋_GB2312"/>
          <w:sz w:val="32"/>
          <w:szCs w:val="32"/>
        </w:rPr>
        <w:t>建立支部例会和班子成员联系制度。</w:t>
      </w:r>
      <w:r>
        <w:rPr>
          <w:rFonts w:hint="eastAsia" w:ascii="仿宋_GB2312" w:hAnsi="宋体" w:eastAsia="仿宋_GB2312" w:cs="宋体"/>
          <w:kern w:val="0"/>
          <w:sz w:val="32"/>
          <w:szCs w:val="32"/>
        </w:rPr>
        <w:t>在下属11个支部全部建立了党员活动室，健全和规范了相关制度，配备必要的器材设备，实现了“六有”标准，形成党委为龙头，支部为阵地，党小组为补充，理论学习和培训相结合，上下联动共抓党建机制。</w:t>
      </w:r>
      <w:r>
        <w:rPr>
          <w:rFonts w:hint="eastAsia" w:ascii="仿宋_GB2312" w:hAnsi="仿宋" w:eastAsia="仿宋_GB2312"/>
          <w:sz w:val="32"/>
          <w:szCs w:val="32"/>
        </w:rPr>
        <w:t>以“三会一课”落实为重点，实行党建工作月报制，</w:t>
      </w:r>
      <w:r>
        <w:rPr>
          <w:rFonts w:hint="eastAsia" w:ascii="仿宋_GB2312" w:hAnsi="仿宋_GB2312" w:eastAsia="仿宋_GB2312" w:cs="仿宋_GB2312"/>
          <w:sz w:val="32"/>
          <w:szCs w:val="32"/>
        </w:rPr>
        <w:t>建立周一例会学习制度，</w:t>
      </w:r>
      <w:r>
        <w:rPr>
          <w:rFonts w:hint="eastAsia" w:ascii="仿宋_GB2312" w:hAnsi="宋体" w:eastAsia="仿宋_GB2312" w:cs="宋体"/>
          <w:kern w:val="0"/>
          <w:sz w:val="32"/>
          <w:szCs w:val="32"/>
        </w:rPr>
        <w:t>严格每月“固定党日”和党小组会召开，</w:t>
      </w:r>
      <w:r>
        <w:rPr>
          <w:rFonts w:hint="eastAsia" w:ascii="仿宋_GB2312" w:hAnsi="宋体" w:eastAsia="仿宋_GB2312"/>
          <w:color w:val="000000"/>
          <w:spacing w:val="-6"/>
          <w:kern w:val="0"/>
          <w:sz w:val="32"/>
          <w:szCs w:val="32"/>
        </w:rPr>
        <w:t>坚持“每月一活动、每月一主题、每月一点评”，确</w:t>
      </w:r>
      <w:r>
        <w:rPr>
          <w:rFonts w:hint="eastAsia" w:ascii="仿宋_GB2312" w:hAnsi="宋体" w:eastAsia="仿宋_GB2312"/>
          <w:color w:val="000000"/>
          <w:spacing w:val="-6"/>
          <w:sz w:val="32"/>
          <w:szCs w:val="32"/>
        </w:rPr>
        <w:t>保党建工作融入日常、抓在经常。</w:t>
      </w:r>
      <w:r>
        <w:rPr>
          <w:rFonts w:hint="eastAsia" w:ascii="仿宋_GB2312" w:hAnsi="仿宋" w:eastAsia="仿宋_GB2312" w:cs="仿宋_GB2312"/>
          <w:sz w:val="32"/>
          <w:szCs w:val="32"/>
        </w:rPr>
        <w:t>牵头抓好非公企业党建第十分团工作，采取现场观摩、交流研讨、集中授课等多种形式，把党员发展、党务规范、法律援助、企业管理等工作融入日常党建，助推县域经济发展，康盛堂药业荣获企业“三星级”党组织荣誉称号。</w:t>
      </w:r>
    </w:p>
    <w:p>
      <w:pPr>
        <w:pBdr>
          <w:bottom w:val="single" w:color="FFFFFF" w:sz="4" w:space="31"/>
        </w:pBdr>
        <w:tabs>
          <w:tab w:val="left" w:pos="1440"/>
        </w:tabs>
        <w:snapToGrid w:val="0"/>
        <w:spacing w:line="600" w:lineRule="exact"/>
        <w:ind w:firstLine="643" w:firstLineChars="200"/>
        <w:contextualSpacing/>
        <w:rPr>
          <w:rFonts w:hint="eastAsia" w:ascii="仿宋_GB2312" w:hAnsi="宋体" w:eastAsia="仿宋_GB2312" w:cs="宋体"/>
          <w:color w:val="000000"/>
          <w:kern w:val="0"/>
          <w:sz w:val="32"/>
          <w:szCs w:val="32"/>
        </w:rPr>
      </w:pPr>
      <w:r>
        <w:rPr>
          <w:rFonts w:hint="eastAsia" w:ascii="仿宋_GB2312" w:hAnsi="华文楷体" w:eastAsia="仿宋_GB2312" w:cs="华文楷体"/>
          <w:b/>
          <w:sz w:val="32"/>
          <w:szCs w:val="32"/>
        </w:rPr>
        <w:t>二是持续加强党风廉政建设。</w:t>
      </w:r>
      <w:r>
        <w:rPr>
          <w:rFonts w:hint="eastAsia" w:ascii="仿宋_GB2312" w:hAnsi="仿宋" w:eastAsia="仿宋_GB2312" w:cs="仿宋"/>
          <w:bCs/>
          <w:sz w:val="32"/>
          <w:szCs w:val="32"/>
        </w:rPr>
        <w:t>深入</w:t>
      </w:r>
      <w:r>
        <w:rPr>
          <w:rFonts w:hint="eastAsia" w:ascii="仿宋_GB2312" w:hAnsi="宋体" w:eastAsia="仿宋_GB2312" w:cs="宋体"/>
          <w:color w:val="000000"/>
          <w:kern w:val="0"/>
          <w:sz w:val="32"/>
          <w:szCs w:val="32"/>
        </w:rPr>
        <w:t>学习《准则》和《条例》，以医德规范、卫生行业“八不准”、“十条禁令”等为侧重，通过以案说法，以案警示，使党员干部守规矩、知敬畏。在事关“三重一大”决策上，坚持集体讨论，科学民主决策。加强廉政风险排查防控，通过下发提醒函、约谈、集体谈话等形式，做到预警在先、提醒在先，确保权力在阳光下运行。</w:t>
      </w:r>
      <w:r>
        <w:rPr>
          <w:rFonts w:hint="eastAsia" w:ascii="仿宋_GB2312" w:hAnsi="仿宋" w:eastAsia="仿宋_GB2312"/>
          <w:sz w:val="32"/>
          <w:szCs w:val="32"/>
        </w:rPr>
        <w:t>在全行业牢固树立“业务里面有政治”的工作理念，把抓好落实，强化服务作为讲政治的底色，确保县委、县政府决策部署落到实处。</w:t>
      </w:r>
    </w:p>
    <w:p>
      <w:pPr>
        <w:pBdr>
          <w:bottom w:val="single" w:color="FFFFFF" w:sz="4" w:space="31"/>
        </w:pBdr>
        <w:tabs>
          <w:tab w:val="left" w:pos="1440"/>
        </w:tabs>
        <w:snapToGrid w:val="0"/>
        <w:spacing w:line="600" w:lineRule="exact"/>
        <w:ind w:firstLine="643" w:firstLineChars="200"/>
        <w:contextualSpacing/>
        <w:rPr>
          <w:rFonts w:hint="eastAsia" w:ascii="仿宋_GB2312" w:hAnsi="仿宋" w:eastAsia="仿宋_GB2312"/>
          <w:sz w:val="32"/>
          <w:szCs w:val="32"/>
        </w:rPr>
      </w:pPr>
      <w:r>
        <w:rPr>
          <w:rFonts w:hint="eastAsia" w:ascii="仿宋_GB2312" w:hAnsi="华文楷体" w:eastAsia="仿宋_GB2312" w:cs="华文楷体"/>
          <w:b/>
          <w:sz w:val="32"/>
          <w:szCs w:val="32"/>
        </w:rPr>
        <w:t>三是坚决维护系统大局稳定。</w:t>
      </w:r>
      <w:r>
        <w:rPr>
          <w:rFonts w:hint="eastAsia" w:ascii="仿宋_GB2312" w:hAnsi="仿宋" w:eastAsia="仿宋_GB2312" w:cs="仿宋"/>
          <w:bCs/>
          <w:sz w:val="32"/>
          <w:szCs w:val="32"/>
        </w:rPr>
        <w:t>切实做到安全警钟长鸣，安全教育逢会必讲，全面加强核心制度落实和医</w:t>
      </w:r>
      <w:r>
        <w:rPr>
          <w:rFonts w:hint="eastAsia" w:ascii="仿宋_GB2312" w:hAnsi="宋体" w:eastAsia="仿宋_GB2312" w:cs="仿宋_GB2312"/>
          <w:sz w:val="32"/>
          <w:szCs w:val="32"/>
        </w:rPr>
        <w:t>疗运行重点环节管理，针对消防重点部位、重点环节，开展拉网式隐患排查，全面实施安全隐患公示制度，进一步夯实安全生产管理责任。修订完善突发公共卫生应急、紧急医疗救护和防暴恐应急预案，加强物资储备，开展应急及消防安全演练8次。</w:t>
      </w:r>
      <w:r>
        <w:rPr>
          <w:rFonts w:hint="eastAsia" w:ascii="仿宋_GB2312" w:hAnsi="仿宋" w:eastAsia="仿宋_GB2312"/>
          <w:sz w:val="32"/>
          <w:szCs w:val="32"/>
        </w:rPr>
        <w:t>成立信访工作领导小组，定期召开信访专题会议，建立新闻发言人及突发事件应对制度，2018年全行业总体安全稳定。</w:t>
      </w:r>
    </w:p>
    <w:p>
      <w:pPr>
        <w:pBdr>
          <w:bottom w:val="single" w:color="FFFFFF" w:sz="4" w:space="31"/>
        </w:pBdr>
        <w:tabs>
          <w:tab w:val="left" w:pos="1440"/>
        </w:tabs>
        <w:snapToGrid w:val="0"/>
        <w:spacing w:line="600" w:lineRule="exact"/>
        <w:ind w:firstLine="643" w:firstLineChars="200"/>
        <w:contextualSpacing/>
        <w:rPr>
          <w:rFonts w:hint="eastAsia" w:ascii="仿宋_GB2312" w:hAnsi="华文楷体" w:eastAsia="仿宋_GB2312" w:cs="华文楷体"/>
          <w:b/>
          <w:sz w:val="32"/>
          <w:szCs w:val="32"/>
        </w:rPr>
      </w:pPr>
      <w:r>
        <w:rPr>
          <w:rFonts w:hint="eastAsia" w:ascii="仿宋_GB2312" w:hAnsi="华文楷体" w:eastAsia="仿宋_GB2312" w:cs="华文楷体"/>
          <w:b/>
          <w:sz w:val="32"/>
          <w:szCs w:val="32"/>
        </w:rPr>
        <w:t>四是着力打造卫计铁军队伍。</w:t>
      </w:r>
      <w:r>
        <w:rPr>
          <w:rFonts w:hint="eastAsia" w:ascii="仿宋_GB2312" w:hAnsi="仿宋" w:eastAsia="仿宋_GB2312" w:cs="仿宋"/>
          <w:color w:val="000000"/>
          <w:sz w:val="32"/>
          <w:szCs w:val="32"/>
        </w:rPr>
        <w:t>认真贯彻落实中央及省市县委组织工作会议精神，把“五坚持五重用”作为行业干部培养的导向，进一步强化医务人员宗旨意识、服务意识，</w:t>
      </w:r>
      <w:r>
        <w:rPr>
          <w:rFonts w:hint="eastAsia" w:ascii="仿宋_GB2312" w:hAnsi="仿宋" w:eastAsia="仿宋_GB2312"/>
          <w:sz w:val="32"/>
          <w:szCs w:val="32"/>
        </w:rPr>
        <w:t>在服务窗口设立党员示范岗，在一线科室建立服务标兵、最美护士推介平台，通过局域网站和微信公众号进行宣传报道，有效传递行业正能量。充分发挥党员示范引领作用，设立党员学习教育公示专栏、开辟学习园地，落实“亮比评”公示制度，重点宣传和展示党员中的先进人物和典型案例，</w:t>
      </w:r>
      <w:r>
        <w:rPr>
          <w:rFonts w:hint="eastAsia" w:ascii="仿宋_GB2312" w:eastAsia="仿宋_GB2312"/>
          <w:sz w:val="32"/>
          <w:szCs w:val="32"/>
        </w:rPr>
        <w:t>达到鼓励先进、鞭策后进的目的，形成了党员率先垂范，全员创先争优的良好氛围</w:t>
      </w:r>
      <w:r>
        <w:rPr>
          <w:rFonts w:hint="eastAsia" w:ascii="仿宋_GB2312" w:hAnsi="仿宋" w:eastAsia="仿宋_GB2312"/>
          <w:sz w:val="32"/>
          <w:szCs w:val="32"/>
        </w:rPr>
        <w:t>。</w:t>
      </w:r>
      <w:r>
        <w:rPr>
          <w:rFonts w:hint="eastAsia" w:ascii="仿宋_GB2312" w:hAnsi="宋体" w:eastAsia="仿宋_GB2312"/>
          <w:color w:val="000000"/>
          <w:spacing w:val="-6"/>
          <w:sz w:val="32"/>
          <w:szCs w:val="32"/>
        </w:rPr>
        <w:t>县医院孙瑞平同志荣获第三届道德模范，5名一线医务人员被评为“蓝田之星”，县卫计局、中医院、县医院分别荣获庆祝改革开放40周年社会主义核心价值观主题歌曲群众传唱展演组织奖、一等奖和三等奖。</w:t>
      </w:r>
    </w:p>
    <w:p>
      <w:pPr>
        <w:pBdr>
          <w:bottom w:val="single" w:color="FFFFFF" w:sz="4" w:space="31"/>
        </w:pBdr>
        <w:spacing w:line="660" w:lineRule="exact"/>
        <w:ind w:firstLine="640" w:firstLineChars="200"/>
        <w:rPr>
          <w:rFonts w:hint="eastAsia" w:ascii="楷体" w:hAnsi="楷体" w:eastAsia="楷体" w:cs="黑体"/>
          <w:bCs/>
          <w:sz w:val="32"/>
          <w:szCs w:val="32"/>
        </w:rPr>
      </w:pPr>
      <w:r>
        <w:rPr>
          <w:rFonts w:hint="eastAsia" w:ascii="楷体" w:hAnsi="楷体" w:eastAsia="楷体" w:cs="仿宋_GB2312"/>
          <w:sz w:val="32"/>
          <w:szCs w:val="32"/>
        </w:rPr>
        <w:t>（三）</w:t>
      </w:r>
      <w:r>
        <w:rPr>
          <w:rFonts w:hint="eastAsia" w:ascii="楷体" w:hAnsi="楷体" w:eastAsia="楷体" w:cs="黑体"/>
          <w:bCs/>
          <w:sz w:val="32"/>
          <w:szCs w:val="32"/>
        </w:rPr>
        <w:t>存在问题及下一步工作方向。</w:t>
      </w:r>
    </w:p>
    <w:p>
      <w:pPr>
        <w:pBdr>
          <w:bottom w:val="single" w:color="FFFFFF" w:sz="4" w:space="31"/>
        </w:pBdr>
        <w:tabs>
          <w:tab w:val="left" w:pos="0"/>
        </w:tabs>
        <w:adjustRightInd w:val="0"/>
        <w:spacing w:line="560" w:lineRule="exact"/>
        <w:ind w:firstLine="640"/>
        <w:rPr>
          <w:rFonts w:hint="eastAsia" w:ascii="仿宋_GB2312" w:hAnsi="仿宋" w:eastAsia="仿宋_GB2312" w:cs="仿宋"/>
          <w:color w:val="000000"/>
          <w:kern w:val="0"/>
          <w:sz w:val="32"/>
          <w:szCs w:val="32"/>
          <w:shd w:val="clear" w:color="auto" w:fill="FFFFFF"/>
        </w:rPr>
      </w:pPr>
      <w:r>
        <w:rPr>
          <w:rFonts w:hint="eastAsia" w:ascii="仿宋_GB2312" w:hAnsi="楷体" w:eastAsia="仿宋_GB2312" w:cs="楷体"/>
          <w:b/>
          <w:bCs/>
          <w:color w:val="000000"/>
          <w:sz w:val="32"/>
          <w:szCs w:val="32"/>
        </w:rPr>
        <w:t>一是</w:t>
      </w:r>
      <w:r>
        <w:rPr>
          <w:rFonts w:hint="eastAsia" w:ascii="仿宋_GB2312" w:hAnsi="仿宋" w:eastAsia="仿宋_GB2312" w:cs="仿宋"/>
          <w:color w:val="000000"/>
          <w:sz w:val="32"/>
          <w:szCs w:val="32"/>
        </w:rPr>
        <w:t>全县医疗</w:t>
      </w:r>
      <w:r>
        <w:rPr>
          <w:rFonts w:hint="eastAsia" w:ascii="仿宋_GB2312" w:hAnsi="仿宋" w:eastAsia="仿宋_GB2312" w:cs="仿宋"/>
          <w:color w:val="000000"/>
          <w:kern w:val="0"/>
          <w:sz w:val="32"/>
          <w:szCs w:val="32"/>
          <w:shd w:val="clear" w:color="auto" w:fill="FFFFFF"/>
        </w:rPr>
        <w:t>资源分布还不均衡，周转房、绿化采暖以及服务配套设施还不到位，县域信息化水平不高。全县急救体系建设相对薄弱，基层布点过少，人员、车辆及设施配置还需加强。</w:t>
      </w:r>
      <w:r>
        <w:rPr>
          <w:rFonts w:hint="eastAsia" w:ascii="仿宋_GB2312" w:hAnsi="楷体" w:eastAsia="仿宋_GB2312" w:cs="楷体"/>
          <w:b/>
          <w:bCs/>
          <w:color w:val="000000"/>
          <w:kern w:val="0"/>
          <w:sz w:val="32"/>
          <w:szCs w:val="32"/>
          <w:shd w:val="clear" w:color="auto" w:fill="FFFFFF"/>
        </w:rPr>
        <w:t>二是</w:t>
      </w:r>
      <w:r>
        <w:rPr>
          <w:rFonts w:hint="eastAsia" w:ascii="仿宋_GB2312" w:hAnsi="仿宋" w:eastAsia="仿宋_GB2312" w:cs="仿宋"/>
          <w:color w:val="000000"/>
          <w:sz w:val="32"/>
          <w:szCs w:val="32"/>
        </w:rPr>
        <w:t>受系统编制不足、人事薪酬制度改革滞后等因素影响，基层进人难、留人难、提升难问题突出，专科建设和服务能力还不能很好不能满足人民群众日益增长的就医需求。</w:t>
      </w:r>
      <w:r>
        <w:rPr>
          <w:rFonts w:hint="eastAsia" w:ascii="仿宋_GB2312" w:hAnsi="楷体" w:eastAsia="仿宋_GB2312" w:cs="楷体"/>
          <w:b/>
          <w:bCs/>
          <w:color w:val="000000"/>
          <w:sz w:val="32"/>
          <w:szCs w:val="32"/>
        </w:rPr>
        <w:t>三是</w:t>
      </w:r>
      <w:r>
        <w:rPr>
          <w:rFonts w:hint="eastAsia" w:ascii="仿宋_GB2312" w:hAnsi="仿宋" w:eastAsia="仿宋_GB2312" w:cs="仿宋"/>
          <w:color w:val="000000"/>
          <w:sz w:val="32"/>
          <w:szCs w:val="32"/>
        </w:rPr>
        <w:t>“三医”联动仍需加强，</w:t>
      </w:r>
      <w:r>
        <w:rPr>
          <w:rFonts w:hint="eastAsia" w:ascii="仿宋_GB2312" w:eastAsia="仿宋_GB2312"/>
          <w:color w:val="000000"/>
          <w:sz w:val="32"/>
          <w:szCs w:val="32"/>
        </w:rPr>
        <w:t>改革的整体性、系统性和协同性有待提升，“看病难”问题尚未完全解决，群众</w:t>
      </w:r>
      <w:r>
        <w:rPr>
          <w:rFonts w:hint="eastAsia" w:ascii="仿宋_GB2312" w:hAnsi="仿宋" w:eastAsia="仿宋_GB2312" w:cs="仿宋"/>
          <w:color w:val="000000"/>
          <w:kern w:val="0"/>
          <w:sz w:val="32"/>
          <w:szCs w:val="32"/>
          <w:shd w:val="clear" w:color="auto" w:fill="FFFFFF"/>
        </w:rPr>
        <w:t>对医疗的满意度总体偏低。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2019年，我们将迎来伟大祖国70周年华诞，全县卫计系统将紧扣“健康西安”建设总体部署，全力推进12566工作部署。第一，坚持一条主线，即健康蓝田建设。第二，突出两个重点，以县医院搬迁为契机，突出管理、内涵建设，做强医疗龙头；以县域医疗中心和规范化卫生室建设为抓手，做到保基本。第三，强化五个抓手，即以县医院二甲复审为抓手，管理、内涵两提升；以健康扶贫为抓手，确保卫计各项惠民政策落地、落实、落细；以慢病示范县创建为抓手，全面提升公卫质量和效益；以互联网+智慧医院建设为抓手，打造15分钟医疗圈；以医改为抓手，在薪酬制度改革上迈出坚实一步。第四，实施六大工程，即县医院周转房、附属用房续建、中医院搬迁前期准备、县妇幼保健院综合楼建设、20家卫生院污水处理、玉川卫生院新址建设、4.5万户农户改厕。第五，六大措施保障，即讲政治、敢担当、改作风，以铁军纪律保障任务完成；落实目标管理，实行项目问效，全面改革考核办法；放管服再发力，行政效能全面提升；人才强医战略，每年投入100万，与交大医学部建立院校合作模式，充电培训，提升素质能力；加快医疗质量提升，深化专科建设、县镇村一体化、对口帮扶、签约服务工作；加强党的建设，全面落实党组织领导下的院长负责制。面对新的机遇与挑战，全县卫计人将整装再出发，为建设“人文山水蓝田，丝路生态慢城”作出新的更大贡献。</w:t>
      </w:r>
    </w:p>
    <w:p>
      <w:pPr>
        <w:pBdr>
          <w:bottom w:val="single" w:color="FFFFFF" w:sz="4" w:space="31"/>
        </w:pBdr>
        <w:spacing w:line="660" w:lineRule="exact"/>
        <w:ind w:firstLine="640" w:firstLineChars="200"/>
        <w:rPr>
          <w:rFonts w:hint="eastAsia" w:ascii="黑体" w:hAnsi="黑体" w:eastAsia="黑体" w:cs="仿宋"/>
          <w:color w:val="000000"/>
          <w:kern w:val="0"/>
          <w:sz w:val="32"/>
          <w:szCs w:val="32"/>
          <w:shd w:val="clear" w:color="auto" w:fill="FFFFFF"/>
        </w:rPr>
      </w:pPr>
      <w:r>
        <w:rPr>
          <w:rFonts w:hint="eastAsia" w:ascii="黑体" w:hAnsi="黑体" w:eastAsia="黑体" w:cs="仿宋"/>
          <w:color w:val="000000"/>
          <w:kern w:val="0"/>
          <w:sz w:val="32"/>
          <w:szCs w:val="32"/>
          <w:shd w:val="clear" w:color="auto" w:fill="FFFFFF"/>
        </w:rPr>
        <w:t>五、部门决算收支情况说明</w:t>
      </w:r>
    </w:p>
    <w:p>
      <w:pPr>
        <w:pBdr>
          <w:bottom w:val="single" w:color="FFFFFF" w:sz="4" w:space="31"/>
        </w:pBdr>
        <w:spacing w:line="660" w:lineRule="exact"/>
        <w:ind w:firstLine="640" w:firstLineChars="200"/>
        <w:rPr>
          <w:rFonts w:hint="eastAsia" w:ascii="楷体" w:hAnsi="楷体" w:eastAsia="楷体" w:cs="仿宋"/>
          <w:color w:val="000000"/>
          <w:kern w:val="0"/>
          <w:sz w:val="32"/>
          <w:szCs w:val="32"/>
          <w:shd w:val="clear" w:color="auto" w:fill="FFFFFF"/>
        </w:rPr>
      </w:pPr>
      <w:r>
        <w:rPr>
          <w:rFonts w:hint="eastAsia" w:ascii="楷体" w:hAnsi="楷体" w:eastAsia="楷体" w:cs="仿宋"/>
          <w:color w:val="000000"/>
          <w:kern w:val="0"/>
          <w:sz w:val="32"/>
          <w:szCs w:val="32"/>
          <w:shd w:val="clear" w:color="auto" w:fill="FFFFFF"/>
        </w:rPr>
        <w:t>（一）2018年度收入支出总体情况说明。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1、本年度收入支出总体情况及比上年增长（减少）情况。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2018年收入总计40430.77万元，比上年增长5207.81万元。2018年支出总计39378.73万元，比上年增长5879.06万元。主要原因2018年度调整工资标准及项目内容增加。</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2、本年度收入构成情况。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2018年收入总计40430.77万元，其中：财政拨款收入20064.02万元，事业收入20296.58万元，其他收入70.17万元。主要原因2018年度调整工资标准及项目内容增加。</w:t>
      </w:r>
    </w:p>
    <w:tbl>
      <w:tblPr>
        <w:tblStyle w:val="5"/>
        <w:tblW w:w="9674" w:type="dxa"/>
        <w:tblInd w:w="91" w:type="dxa"/>
        <w:tblLayout w:type="autofit"/>
        <w:tblCellMar>
          <w:top w:w="0" w:type="dxa"/>
          <w:left w:w="108" w:type="dxa"/>
          <w:bottom w:w="0" w:type="dxa"/>
          <w:right w:w="108" w:type="dxa"/>
        </w:tblCellMar>
      </w:tblPr>
      <w:tblGrid>
        <w:gridCol w:w="3994"/>
        <w:gridCol w:w="1420"/>
        <w:gridCol w:w="1420"/>
        <w:gridCol w:w="1420"/>
        <w:gridCol w:w="1420"/>
      </w:tblGrid>
      <w:tr>
        <w:tblPrEx>
          <w:tblCellMar>
            <w:top w:w="0" w:type="dxa"/>
            <w:left w:w="108" w:type="dxa"/>
            <w:bottom w:w="0" w:type="dxa"/>
            <w:right w:w="108" w:type="dxa"/>
          </w:tblCellMar>
        </w:tblPrEx>
        <w:trPr>
          <w:trHeight w:val="255" w:hRule="atLeast"/>
        </w:trPr>
        <w:tc>
          <w:tcPr>
            <w:tcW w:w="399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CellMar>
            <w:top w:w="0" w:type="dxa"/>
            <w:left w:w="108" w:type="dxa"/>
            <w:bottom w:w="0" w:type="dxa"/>
            <w:right w:w="108" w:type="dxa"/>
          </w:tblCellMar>
        </w:tblPrEx>
        <w:trPr>
          <w:trHeight w:val="308" w:hRule="atLeast"/>
        </w:trPr>
        <w:tc>
          <w:tcPr>
            <w:tcW w:w="3994"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14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14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1420" w:type="dxa"/>
            <w:vMerge w:val="restart"/>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1420" w:type="dxa"/>
            <w:vMerge w:val="restart"/>
            <w:tcBorders>
              <w:top w:val="single" w:color="000000" w:sz="4" w:space="0"/>
              <w:left w:val="nil"/>
              <w:bottom w:val="single" w:color="000000" w:sz="4" w:space="0"/>
              <w:right w:val="single" w:color="000000" w:sz="8"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3994" w:type="dxa"/>
            <w:vMerge w:val="restar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99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99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42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40,430.77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20,064.02</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20,296.58</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70.17</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其他一般公共服务支出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其他一般公共服务支出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190.12</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190.12</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人力资源和社会保障管理事务</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20.36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20.36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社会保险经办机构</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20.36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20.36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行政事业单位离退休</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169.76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169.76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169.76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169.76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医疗卫生与计划生育支出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39,975.75</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19,609.01</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20,296.58</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70.17</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医疗卫生与计划生育管理事务</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736.17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736.17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行政运行</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304.03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304.03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其他医疗卫生与计划生育管理事务支出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432.14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432.14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公立医院</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19,316.41</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4,295.51</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14,988.70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32.20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综合医院</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12,437.32</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2,229.57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10,186.50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21.25</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中医(民族)医院</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6,423.09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1,609.94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4,802.20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10.95</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其他公立医院支出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456.00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456.00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基层医疗卫生机构</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12,092.05</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7,820.38</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4,233.70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37.97</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乡镇卫生院</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10,538.36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6,266.69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4,233.70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37.97</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其他基层医疗卫生机构支出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1,553.69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1,553.69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公共卫生</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5,839.86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4,765.69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1,074.18</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疾病预防控制机构</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329.15</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329.15</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卫生监督机构</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283.26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283.26</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妇幼保健机构</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1,590.77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516.60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1,074.18</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基本公共卫生服务</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2,585.91</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2,585.91</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重大公共卫生专项</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353.34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353.34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其他公共卫生支出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697.43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697.43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中医药</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其他中医药支出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40.00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计划生育事务</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1,811.43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1,811.43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计划生育机构</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122.77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122.77</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计划生育服务</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1,290.84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1,290.84</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其他计划生育事务支出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397.82</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397.82</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财政对基本医疗保险基金的补助</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45.73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45.73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财政对新型农村合作医疗基金的补助</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45.73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45.73</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其他医疗卫生与计划生育支出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94.10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94.10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其他医疗卫生与计划生育支出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94.10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94.10</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农林水支出</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263.89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263.89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扶贫</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263.89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263.89</w:t>
            </w:r>
          </w:p>
        </w:tc>
        <w:tc>
          <w:tcPr>
            <w:tcW w:w="142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994" w:type="dxa"/>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其他扶贫支出</w:t>
            </w:r>
          </w:p>
        </w:tc>
        <w:tc>
          <w:tcPr>
            <w:tcW w:w="142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263.89</w:t>
            </w:r>
          </w:p>
        </w:tc>
        <w:tc>
          <w:tcPr>
            <w:tcW w:w="142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263.89</w:t>
            </w:r>
          </w:p>
        </w:tc>
        <w:tc>
          <w:tcPr>
            <w:tcW w:w="1420" w:type="dxa"/>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420" w:type="dxa"/>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bl>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3、本年度支出构成情况。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2018年支出总计39378.73万元，其中：基本支出30884.2万元，项目支出8494.52万元。主要原因2018年度调整工资标准及项目内容增加。</w:t>
      </w:r>
    </w:p>
    <w:p>
      <w:pPr>
        <w:pBdr>
          <w:bottom w:val="single" w:color="FFFFFF" w:sz="4" w:space="31"/>
        </w:pBdr>
        <w:spacing w:line="660" w:lineRule="exact"/>
        <w:ind w:firstLine="640" w:firstLineChars="200"/>
        <w:rPr>
          <w:rFonts w:hint="eastAsia" w:ascii="楷体" w:hAnsi="楷体" w:eastAsia="楷体" w:cs="仿宋"/>
          <w:color w:val="000000"/>
          <w:kern w:val="0"/>
          <w:sz w:val="32"/>
          <w:szCs w:val="32"/>
          <w:shd w:val="clear" w:color="auto" w:fill="FFFFFF"/>
        </w:rPr>
      </w:pPr>
      <w:r>
        <w:rPr>
          <w:rFonts w:hint="eastAsia" w:ascii="楷体" w:hAnsi="楷体" w:eastAsia="楷体" w:cs="仿宋"/>
          <w:color w:val="000000"/>
          <w:kern w:val="0"/>
          <w:sz w:val="32"/>
          <w:szCs w:val="32"/>
          <w:shd w:val="clear" w:color="auto" w:fill="FFFFFF"/>
        </w:rPr>
        <w:t>（二）2018年度财政拨款收入支出总体情况说明。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1、财政拨款收入支出总体情况及比上年增减情况。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2018年财政拨款收入20064.02万元，比上年增长2873.98万元。主要原因2018年度调整工资标准及项目内容增加。2018年财政拨款支出20064.02万元，比上年增长2873.98万元，主要原因2018年度调整工资标准及项目内容增加。</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2、一般公共预算财政拨款支出情况。（按政府功能分类科目说明支出具体内容）</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2018年度一般公共预算支出20064.02万元，具体支出内容如下：</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（1）一般公共服务支出1万元。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（2）社会保障和就业支出190.12万元。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（3）医疗卫生与计划生育管理事务736.17万元。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（4）公立医院4295.51万元。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（5）基层医疗卫生机构7820.38万元。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（6）公共卫生4765.69万元。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（7）中医药40万元。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（8）计划生育事务1811.43万元。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（9）财政对基本医疗保险基金的补助45.73万元。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（10）其他医疗卫生与计划生育支出94.1万元。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（11）扶贫263.89万元。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3、一般公共预算财政拨款基本支出决算情况。（按人员经费和公用经费分别进行说明）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2018年一般公共预算财政拨款基本支出11608.4万元，其中：人员经费11365.36万元，公用经费243.04万元。</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4、政府性基金财政拨款收支情说明。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本部门无政府性基金决算收支，并已公开空表。</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5、国有资本经营财政拨款收支情况说明。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本部门无国有资本经营决算拨款收支。</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6、政府采购支出情况。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2018年度本部门政府采购支出总额共4488.15万元，其中政府采购货物类支出4488.15万元。无政府采购工程类支出。无政府采购类服务支出。</w:t>
      </w:r>
      <w:r>
        <w:rPr>
          <w:rFonts w:hint="eastAsia" w:ascii="仿宋" w:hAnsi="仿宋" w:eastAsia="仿宋"/>
          <w:sz w:val="32"/>
          <w:szCs w:val="32"/>
        </w:rPr>
        <w:t>授予中小企业的合同金额4488.15万元，占政府采购金额的100%。</w:t>
      </w:r>
    </w:p>
    <w:p>
      <w:pPr>
        <w:pBdr>
          <w:bottom w:val="single" w:color="FFFFFF" w:sz="4" w:space="31"/>
        </w:pBdr>
        <w:spacing w:line="660" w:lineRule="exact"/>
        <w:ind w:firstLine="640" w:firstLineChars="200"/>
        <w:rPr>
          <w:rFonts w:hint="eastAsia" w:ascii="楷体" w:hAnsi="楷体" w:eastAsia="楷体" w:cs="仿宋"/>
          <w:color w:val="000000"/>
          <w:kern w:val="0"/>
          <w:sz w:val="32"/>
          <w:szCs w:val="32"/>
          <w:shd w:val="clear" w:color="auto" w:fill="FFFFFF"/>
        </w:rPr>
      </w:pPr>
      <w:r>
        <w:rPr>
          <w:rFonts w:hint="eastAsia" w:ascii="楷体" w:hAnsi="楷体" w:eastAsia="楷体" w:cs="仿宋"/>
          <w:color w:val="000000"/>
          <w:kern w:val="0"/>
          <w:sz w:val="32"/>
          <w:szCs w:val="32"/>
          <w:shd w:val="clear" w:color="auto" w:fill="FFFFFF"/>
        </w:rPr>
        <w:t>（三）2018年度“三公”经费支出情况说明。</w:t>
      </w:r>
    </w:p>
    <w:p>
      <w:pPr>
        <w:pBdr>
          <w:bottom w:val="single" w:color="FFFFFF" w:sz="4" w:space="31"/>
        </w:pBdr>
        <w:spacing w:line="660" w:lineRule="exact"/>
        <w:ind w:firstLine="640" w:firstLineChars="200"/>
        <w:rPr>
          <w:rFonts w:hint="eastAsia" w:ascii="仿宋" w:hAnsi="仿宋" w:eastAsia="仿宋"/>
          <w:sz w:val="32"/>
          <w:szCs w:val="32"/>
        </w:rPr>
      </w:pPr>
      <w:r>
        <w:rPr>
          <w:rFonts w:hint="eastAsia" w:ascii="仿宋" w:hAnsi="仿宋" w:eastAsia="仿宋"/>
          <w:sz w:val="32"/>
          <w:szCs w:val="32"/>
        </w:rPr>
        <w:t>2018年度一般公共预算拨款安排的“三公”经费支出 2.33万元，上年决算8.21万元，比上年减少5.88万元，减少率72%。本年预算5.54万元，上年预算21.66万元，比本年预算减少了16.12万元，减少率74%。</w:t>
      </w:r>
      <w:r>
        <w:rPr>
          <w:rFonts w:hint="eastAsia" w:ascii="仿宋_GB2312" w:hAnsi="仿宋" w:eastAsia="仿宋_GB2312" w:cs="仿宋"/>
          <w:color w:val="000000"/>
          <w:kern w:val="0"/>
          <w:sz w:val="32"/>
          <w:szCs w:val="32"/>
          <w:shd w:val="clear" w:color="auto" w:fill="FFFFFF"/>
        </w:rPr>
        <w:t>2018年度一般公共预算财政款安排的“三公”经费支出中，因公出国(境)费支出0万元，占“三公”经费的0％；公务接待费支出2.33万元，比上年决算减少2.01万元，比当年预算减少0.27万元，主要原因为减少公务接待费用，占“三公”经费的100％；公务用车购置费支出0万元，公务用车运行维护费支出0万元，占“三公”经费的0％。具体情况如下：</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1、本部门2018年无因公出国(境)费支出。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2018年因公出国(境)费支出0元，比上年决算无变化，与当年预算无变化，主要原因是节省开支，上级缩减费用。               2.公务接待费支出2.33万元，比上年决算减少2.01万元，比当年预算减少0.27万元，主要原因为减少公务接待费用，主要原因是认真贯彻落实</w:t>
      </w:r>
      <w:r>
        <w:rPr>
          <w:rFonts w:hint="eastAsia" w:ascii="仿宋_GB2312" w:hAnsi="仿宋" w:eastAsia="仿宋_GB2312" w:cs="仿宋"/>
          <w:color w:val="000000"/>
          <w:kern w:val="0"/>
          <w:sz w:val="32"/>
          <w:szCs w:val="32"/>
          <w:shd w:val="clear" w:color="auto" w:fill="FFFFFF"/>
          <w:lang w:val="en-US" w:eastAsia="zh-CN"/>
        </w:rPr>
        <w:t>中央</w:t>
      </w:r>
      <w:r>
        <w:rPr>
          <w:rFonts w:hint="eastAsia" w:ascii="仿宋_GB2312" w:hAnsi="仿宋" w:eastAsia="仿宋_GB2312" w:cs="仿宋"/>
          <w:color w:val="000000"/>
          <w:kern w:val="0"/>
          <w:sz w:val="32"/>
          <w:szCs w:val="32"/>
          <w:shd w:val="clear" w:color="auto" w:fill="FFFFFF"/>
        </w:rPr>
        <w:t>八项规定精神，压缩接待费用，全年使用一般公共预算财政拨款安排的公务接待12批次，352人次，开支内容主要为农村改厕、医改检查等开支。</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3、本部门2018年无公务用车购置费支出。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本部门无公务购车情况，2017年决算相比无变化，与2018年预算相比无变化，本部门使用一般公共预算财政拨款购置公务车0辆，上级拨公务车0辆，自有车辆0辆。</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4、本部门2018年无公务用车运行费支出。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本部门公务用车运行费支出0万元，当年预算0元，较上年减少3.87万元。主要原因是车改后无车辆费用支出。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5、会议费支出情况。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2018年会议费支出4.88万元。较上年增加1.37万元，主要原因是农村改厕、医改等会议增加。</w:t>
      </w:r>
      <w:r>
        <w:rPr>
          <w:rFonts w:hint="eastAsia" w:ascii="仿宋" w:hAnsi="仿宋" w:eastAsia="仿宋"/>
          <w:sz w:val="32"/>
          <w:szCs w:val="32"/>
        </w:rPr>
        <w:t>当年预算3.27万元，比当年预算增加了1.61万元，增长率49%，主要原因</w:t>
      </w:r>
      <w:r>
        <w:rPr>
          <w:rFonts w:hint="eastAsia" w:ascii="仿宋_GB2312" w:hAnsi="仿宋" w:eastAsia="仿宋_GB2312" w:cs="仿宋"/>
          <w:color w:val="000000"/>
          <w:kern w:val="0"/>
          <w:sz w:val="32"/>
          <w:szCs w:val="32"/>
          <w:shd w:val="clear" w:color="auto" w:fill="FFFFFF"/>
        </w:rPr>
        <w:t>是农村改厕、医改等会议增加，</w:t>
      </w:r>
      <w:r>
        <w:rPr>
          <w:rFonts w:hint="eastAsia" w:ascii="仿宋" w:hAnsi="仿宋" w:eastAsia="仿宋"/>
          <w:sz w:val="32"/>
          <w:szCs w:val="32"/>
        </w:rPr>
        <w:t>当年财力紧张，安排预算资金较小。</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6、培训费支出情况。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2018年培训费支出16.23万元。较上年减少26.90万元，主要原因培训次数减少。</w:t>
      </w:r>
      <w:r>
        <w:rPr>
          <w:rFonts w:hint="eastAsia" w:ascii="仿宋" w:hAnsi="仿宋" w:eastAsia="仿宋"/>
          <w:sz w:val="32"/>
          <w:szCs w:val="32"/>
        </w:rPr>
        <w:t>当年预算2.62万元，比当年预算增加了13.61万元，增长率519%，主要原因</w:t>
      </w:r>
      <w:r>
        <w:rPr>
          <w:rFonts w:hint="eastAsia" w:ascii="仿宋_GB2312" w:hAnsi="仿宋" w:eastAsia="仿宋_GB2312" w:cs="仿宋"/>
          <w:color w:val="000000"/>
          <w:kern w:val="0"/>
          <w:sz w:val="32"/>
          <w:szCs w:val="32"/>
          <w:shd w:val="clear" w:color="auto" w:fill="FFFFFF"/>
        </w:rPr>
        <w:t>是卫生技术人员培训增加，</w:t>
      </w:r>
      <w:r>
        <w:rPr>
          <w:rFonts w:hint="eastAsia" w:ascii="仿宋" w:hAnsi="仿宋" w:eastAsia="仿宋"/>
          <w:sz w:val="32"/>
          <w:szCs w:val="32"/>
        </w:rPr>
        <w:t>当年财力紧张，安排预算资金较小。</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黑体" w:hAnsi="黑体" w:eastAsia="黑体" w:cs="仿宋"/>
          <w:color w:val="000000"/>
          <w:kern w:val="0"/>
          <w:sz w:val="32"/>
          <w:szCs w:val="32"/>
          <w:shd w:val="clear" w:color="auto" w:fill="FFFFFF"/>
        </w:rPr>
        <w:t>六、2018年度部门绩效管理情况说明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根据预算绩效管理要求，本部门组织对2018年度一般公共预算项目支出303.84万元开展绩效自评，其中，一级项目0个，二级项目1个，（共涉及资金303.84万元）</w:t>
      </w:r>
      <w:r>
        <w:rPr>
          <w:rFonts w:hint="eastAsia" w:ascii="仿宋" w:hAnsi="仿宋" w:eastAsia="仿宋"/>
          <w:sz w:val="32"/>
          <w:szCs w:val="32"/>
        </w:rPr>
        <w:t>项目绩效评价结果满意度96%，评定级别为良</w:t>
      </w:r>
      <w:r>
        <w:rPr>
          <w:rFonts w:hint="eastAsia" w:ascii="仿宋_GB2312" w:hAnsi="仿宋" w:eastAsia="仿宋_GB2312" w:cs="仿宋"/>
          <w:color w:val="000000"/>
          <w:kern w:val="0"/>
          <w:sz w:val="32"/>
          <w:szCs w:val="32"/>
          <w:shd w:val="clear" w:color="auto" w:fill="FFFFFF"/>
        </w:rPr>
        <w:t>。</w:t>
      </w:r>
    </w:p>
    <w:tbl>
      <w:tblPr>
        <w:tblStyle w:val="5"/>
        <w:tblW w:w="9620" w:type="dxa"/>
        <w:tblInd w:w="-459" w:type="dxa"/>
        <w:tblLayout w:type="autofit"/>
        <w:tblCellMar>
          <w:top w:w="0" w:type="dxa"/>
          <w:left w:w="108" w:type="dxa"/>
          <w:bottom w:w="0" w:type="dxa"/>
          <w:right w:w="108" w:type="dxa"/>
        </w:tblCellMar>
      </w:tblPr>
      <w:tblGrid>
        <w:gridCol w:w="1060"/>
        <w:gridCol w:w="700"/>
        <w:gridCol w:w="1180"/>
        <w:gridCol w:w="2500"/>
        <w:gridCol w:w="1960"/>
        <w:gridCol w:w="840"/>
        <w:gridCol w:w="1380"/>
      </w:tblGrid>
      <w:tr>
        <w:tblPrEx>
          <w:tblCellMar>
            <w:top w:w="0" w:type="dxa"/>
            <w:left w:w="108" w:type="dxa"/>
            <w:bottom w:w="0" w:type="dxa"/>
            <w:right w:w="108" w:type="dxa"/>
          </w:tblCellMar>
        </w:tblPrEx>
        <w:trPr>
          <w:trHeight w:val="435" w:hRule="atLeast"/>
        </w:trPr>
        <w:tc>
          <w:tcPr>
            <w:tcW w:w="9620" w:type="dxa"/>
            <w:gridSpan w:val="7"/>
            <w:tcBorders>
              <w:top w:val="nil"/>
              <w:left w:val="nil"/>
              <w:bottom w:val="nil"/>
              <w:right w:val="nil"/>
            </w:tcBorders>
            <w:vAlign w:val="center"/>
          </w:tcPr>
          <w:p>
            <w:pPr>
              <w:widowControl/>
              <w:jc w:val="center"/>
              <w:rPr>
                <w:rFonts w:ascii="宋体" w:hAnsi="宋体" w:cs="宋体"/>
                <w:b/>
                <w:bCs/>
                <w:color w:val="000000"/>
                <w:kern w:val="0"/>
                <w:sz w:val="32"/>
                <w:szCs w:val="32"/>
              </w:rPr>
            </w:pPr>
            <w:r>
              <w:rPr>
                <w:rFonts w:hint="eastAsia" w:ascii="宋体" w:hAnsi="宋体" w:cs="宋体"/>
                <w:b/>
                <w:bCs/>
                <w:color w:val="000000"/>
                <w:kern w:val="0"/>
                <w:sz w:val="32"/>
                <w:szCs w:val="32"/>
              </w:rPr>
              <w:t>项目绩效目标自评表</w:t>
            </w:r>
          </w:p>
        </w:tc>
      </w:tr>
      <w:tr>
        <w:tblPrEx>
          <w:tblCellMar>
            <w:top w:w="0" w:type="dxa"/>
            <w:left w:w="108" w:type="dxa"/>
            <w:bottom w:w="0" w:type="dxa"/>
            <w:right w:w="108" w:type="dxa"/>
          </w:tblCellMar>
        </w:tblPrEx>
        <w:trPr>
          <w:trHeight w:val="300" w:hRule="atLeast"/>
        </w:trPr>
        <w:tc>
          <w:tcPr>
            <w:tcW w:w="9620" w:type="dxa"/>
            <w:gridSpan w:val="7"/>
            <w:tcBorders>
              <w:top w:val="nil"/>
              <w:left w:val="nil"/>
              <w:bottom w:val="nil"/>
              <w:right w:val="nil"/>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（2018年度）</w:t>
            </w:r>
          </w:p>
        </w:tc>
      </w:tr>
      <w:tr>
        <w:tblPrEx>
          <w:tblCellMar>
            <w:top w:w="0" w:type="dxa"/>
            <w:left w:w="108" w:type="dxa"/>
            <w:bottom w:w="0" w:type="dxa"/>
            <w:right w:w="108" w:type="dxa"/>
          </w:tblCellMar>
        </w:tblPrEx>
        <w:trPr>
          <w:trHeight w:val="379" w:hRule="atLeast"/>
        </w:trPr>
        <w:tc>
          <w:tcPr>
            <w:tcW w:w="2940"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专项（项目）名称</w:t>
            </w:r>
          </w:p>
        </w:tc>
        <w:tc>
          <w:tcPr>
            <w:tcW w:w="6680"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农村独生子女保健费</w:t>
            </w:r>
          </w:p>
        </w:tc>
      </w:tr>
      <w:tr>
        <w:tblPrEx>
          <w:tblCellMar>
            <w:top w:w="0" w:type="dxa"/>
            <w:left w:w="108" w:type="dxa"/>
            <w:bottom w:w="0" w:type="dxa"/>
            <w:right w:w="108" w:type="dxa"/>
          </w:tblCellMar>
        </w:tblPrEx>
        <w:trPr>
          <w:trHeight w:val="379" w:hRule="atLeast"/>
        </w:trPr>
        <w:tc>
          <w:tcPr>
            <w:tcW w:w="10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主管部门</w:t>
            </w:r>
          </w:p>
        </w:tc>
        <w:tc>
          <w:tcPr>
            <w:tcW w:w="438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蓝田县卫生和计划生育局</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实施单位</w:t>
            </w:r>
          </w:p>
        </w:tc>
        <w:tc>
          <w:tcPr>
            <w:tcW w:w="22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蓝田县卫生和计划生育局</w:t>
            </w:r>
          </w:p>
        </w:tc>
      </w:tr>
      <w:tr>
        <w:tblPrEx>
          <w:tblCellMar>
            <w:top w:w="0" w:type="dxa"/>
            <w:left w:w="108" w:type="dxa"/>
            <w:bottom w:w="0" w:type="dxa"/>
            <w:right w:w="108" w:type="dxa"/>
          </w:tblCellMar>
        </w:tblPrEx>
        <w:trPr>
          <w:trHeight w:val="450" w:hRule="atLeast"/>
        </w:trPr>
        <w:tc>
          <w:tcPr>
            <w:tcW w:w="10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项目资金（万元）</w:t>
            </w:r>
          </w:p>
        </w:tc>
        <w:tc>
          <w:tcPr>
            <w:tcW w:w="188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5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全年预算（A）</w:t>
            </w:r>
          </w:p>
        </w:tc>
        <w:tc>
          <w:tcPr>
            <w:tcW w:w="280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全年执行数（B）</w:t>
            </w:r>
          </w:p>
        </w:tc>
        <w:tc>
          <w:tcPr>
            <w:tcW w:w="13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执行率（B/A）</w:t>
            </w:r>
          </w:p>
        </w:tc>
      </w:tr>
      <w:tr>
        <w:tblPrEx>
          <w:tblCellMar>
            <w:top w:w="0" w:type="dxa"/>
            <w:left w:w="108" w:type="dxa"/>
            <w:bottom w:w="0" w:type="dxa"/>
            <w:right w:w="108" w:type="dxa"/>
          </w:tblCellMar>
        </w:tblPrEx>
        <w:trPr>
          <w:trHeight w:val="300" w:hRule="atLeast"/>
        </w:trPr>
        <w:tc>
          <w:tcPr>
            <w:tcW w:w="10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8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年度资金总额：</w:t>
            </w:r>
          </w:p>
        </w:tc>
        <w:tc>
          <w:tcPr>
            <w:tcW w:w="25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303.84</w:t>
            </w:r>
            <w:r>
              <w:rPr>
                <w:rFonts w:hint="eastAsia" w:ascii="宋体" w:hAnsi="宋体" w:cs="宋体"/>
                <w:color w:val="000000"/>
                <w:kern w:val="0"/>
                <w:sz w:val="22"/>
                <w:szCs w:val="22"/>
              </w:rPr>
              <w:t>　</w:t>
            </w:r>
          </w:p>
        </w:tc>
        <w:tc>
          <w:tcPr>
            <w:tcW w:w="280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303.84</w:t>
            </w:r>
            <w:r>
              <w:rPr>
                <w:rFonts w:hint="eastAsia" w:ascii="宋体" w:hAnsi="宋体" w:cs="宋体"/>
                <w:color w:val="000000"/>
                <w:kern w:val="0"/>
                <w:sz w:val="22"/>
                <w:szCs w:val="22"/>
              </w:rPr>
              <w:t>　</w:t>
            </w:r>
          </w:p>
        </w:tc>
        <w:tc>
          <w:tcPr>
            <w:tcW w:w="13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　</w:t>
            </w:r>
          </w:p>
        </w:tc>
      </w:tr>
      <w:tr>
        <w:tblPrEx>
          <w:tblCellMar>
            <w:top w:w="0" w:type="dxa"/>
            <w:left w:w="108" w:type="dxa"/>
            <w:bottom w:w="0" w:type="dxa"/>
            <w:right w:w="108" w:type="dxa"/>
          </w:tblCellMar>
        </w:tblPrEx>
        <w:trPr>
          <w:trHeight w:val="300" w:hRule="atLeast"/>
        </w:trPr>
        <w:tc>
          <w:tcPr>
            <w:tcW w:w="10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8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其中：省级财政资金</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80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8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     市县财政资金</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303.84</w:t>
            </w:r>
          </w:p>
        </w:tc>
        <w:tc>
          <w:tcPr>
            <w:tcW w:w="280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303.84</w:t>
            </w:r>
          </w:p>
        </w:tc>
        <w:tc>
          <w:tcPr>
            <w:tcW w:w="13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r>
      <w:tr>
        <w:tblPrEx>
          <w:tblCellMar>
            <w:top w:w="0" w:type="dxa"/>
            <w:left w:w="108" w:type="dxa"/>
            <w:bottom w:w="0" w:type="dxa"/>
            <w:right w:w="108" w:type="dxa"/>
          </w:tblCellMar>
        </w:tblPrEx>
        <w:trPr>
          <w:trHeight w:val="300" w:hRule="atLeast"/>
        </w:trPr>
        <w:tc>
          <w:tcPr>
            <w:tcW w:w="10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8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xml:space="preserve">    其他资金</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80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3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年度总体目标</w:t>
            </w:r>
          </w:p>
        </w:tc>
        <w:tc>
          <w:tcPr>
            <w:tcW w:w="438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年初设定目标</w:t>
            </w:r>
          </w:p>
        </w:tc>
        <w:tc>
          <w:tcPr>
            <w:tcW w:w="418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全年实际完成情况</w:t>
            </w:r>
          </w:p>
        </w:tc>
      </w:tr>
      <w:tr>
        <w:tblPrEx>
          <w:tblCellMar>
            <w:top w:w="0" w:type="dxa"/>
            <w:left w:w="108" w:type="dxa"/>
            <w:bottom w:w="0" w:type="dxa"/>
            <w:right w:w="108" w:type="dxa"/>
          </w:tblCellMar>
        </w:tblPrEx>
        <w:trPr>
          <w:trHeight w:val="405"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38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户籍在本县行政区域内、在国家提倡一对夫妻生育一个子女期间，领取《独生子女父母光荣证》的独生子女父母，自领证之日起至子女十八周岁止，凭《独生子女父母光荣证》每月领取不低于30元的独生子女保健费。</w:t>
            </w:r>
          </w:p>
        </w:tc>
        <w:tc>
          <w:tcPr>
            <w:tcW w:w="418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2018年全县符合领取农村独生子女费计划生育家庭共8440户，发放303.84万元。</w:t>
            </w:r>
          </w:p>
        </w:tc>
      </w:tr>
      <w:tr>
        <w:tblPrEx>
          <w:tblCellMar>
            <w:top w:w="0" w:type="dxa"/>
            <w:left w:w="108" w:type="dxa"/>
            <w:bottom w:w="0" w:type="dxa"/>
            <w:right w:w="108" w:type="dxa"/>
          </w:tblCellMar>
        </w:tblPrEx>
        <w:trPr>
          <w:trHeight w:val="582" w:hRule="atLeast"/>
        </w:trPr>
        <w:tc>
          <w:tcPr>
            <w:tcW w:w="106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绩</w:t>
            </w:r>
          </w:p>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效</w:t>
            </w:r>
          </w:p>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指</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w:t>
            </w:r>
          </w:p>
        </w:tc>
        <w:tc>
          <w:tcPr>
            <w:tcW w:w="7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一级指标</w:t>
            </w:r>
          </w:p>
        </w:tc>
        <w:tc>
          <w:tcPr>
            <w:tcW w:w="11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二级指标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三级指标</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年度指标</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全年完成值</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产</w:t>
            </w:r>
          </w:p>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出</w:t>
            </w:r>
          </w:p>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指</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w:t>
            </w: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全县发放符合政策农村独生子女家庭</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8440户，30元/户/月</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8440户，30元/户/月</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质量指标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在8月底前完成符合条件应享受家庭登记工作100%</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8440户</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8440户</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资金发放100%</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3038400</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3038400</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时效指标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2018年1月1日至12月31日</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1年</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已完成</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成本指标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效</w:t>
            </w:r>
          </w:p>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益</w:t>
            </w:r>
          </w:p>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rPr>
              <w:t>指</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w:t>
            </w: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经济效益指标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555"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社会效益指标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落实国家一孩化政策期间计划生育家庭的奖励优惠政策</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对在国家提倡一对夫妻生育一个子女期间，遵守国家政策法规的夫妻的补偿奖励。</w:t>
            </w:r>
            <w:r>
              <w:rPr>
                <w:rFonts w:ascii="宋体" w:hAnsi="宋体" w:cs="宋体"/>
                <w:color w:val="000000"/>
                <w:kern w:val="0"/>
                <w:sz w:val="22"/>
                <w:szCs w:val="22"/>
              </w:rPr>
              <w:t xml:space="preserve">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有力地维护了我县计划生育家庭的稳定和社会的安定。</w:t>
            </w:r>
          </w:p>
        </w:tc>
      </w:tr>
      <w:tr>
        <w:tblPrEx>
          <w:tblCellMar>
            <w:top w:w="0" w:type="dxa"/>
            <w:left w:w="108" w:type="dxa"/>
            <w:bottom w:w="0" w:type="dxa"/>
            <w:right w:w="108" w:type="dxa"/>
          </w:tblCellMar>
        </w:tblPrEx>
        <w:trPr>
          <w:trHeight w:val="555"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保护计划生育家庭的合法权益</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确保国家各项计划生育优惠政策的落实。</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有力地维护了我县计划生育家庭的稳定和社会的安定。</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生态效益指标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可持续影响指标</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满意度指标</w:t>
            </w:r>
          </w:p>
        </w:tc>
        <w:tc>
          <w:tcPr>
            <w:tcW w:w="118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服务对象指标</w:t>
            </w:r>
          </w:p>
        </w:tc>
        <w:tc>
          <w:tcPr>
            <w:tcW w:w="2500" w:type="dxa"/>
            <w:tcBorders>
              <w:top w:val="nil"/>
              <w:left w:val="nil"/>
              <w:bottom w:val="single" w:color="auto" w:sz="4" w:space="0"/>
              <w:right w:val="single" w:color="auto" w:sz="4" w:space="0"/>
            </w:tcBorders>
            <w:vAlign w:val="center"/>
          </w:tcPr>
          <w:p>
            <w:pPr>
              <w:widowControl/>
              <w:rPr>
                <w:rFonts w:ascii="宋体" w:hAnsi="宋体" w:cs="宋体"/>
                <w:color w:val="000000"/>
                <w:kern w:val="0"/>
                <w:sz w:val="22"/>
                <w:szCs w:val="22"/>
              </w:rPr>
            </w:pPr>
            <w:r>
              <w:rPr>
                <w:rFonts w:hint="eastAsia" w:ascii="宋体" w:hAnsi="宋体" w:cs="宋体"/>
                <w:color w:val="000000"/>
                <w:kern w:val="0"/>
                <w:sz w:val="22"/>
                <w:szCs w:val="22"/>
              </w:rPr>
              <w:t>计生家庭满意度</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96%</w:t>
            </w: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300" w:hRule="atLeast"/>
        </w:trPr>
        <w:tc>
          <w:tcPr>
            <w:tcW w:w="10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25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2220"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02" w:hRule="atLeast"/>
        </w:trPr>
        <w:tc>
          <w:tcPr>
            <w:tcW w:w="10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说明</w:t>
            </w:r>
          </w:p>
        </w:tc>
        <w:tc>
          <w:tcPr>
            <w:tcW w:w="8560" w:type="dxa"/>
            <w:gridSpan w:val="6"/>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p>
    <w:p>
      <w:pPr>
        <w:pBdr>
          <w:bottom w:val="single" w:color="FFFFFF" w:sz="4" w:space="31"/>
        </w:pBdr>
        <w:spacing w:line="660" w:lineRule="exact"/>
        <w:ind w:firstLine="640" w:firstLineChars="200"/>
        <w:rPr>
          <w:rFonts w:hint="eastAsia" w:ascii="黑体" w:hAnsi="黑体" w:eastAsia="黑体" w:cs="仿宋"/>
          <w:color w:val="000000"/>
          <w:kern w:val="0"/>
          <w:sz w:val="32"/>
          <w:szCs w:val="32"/>
          <w:shd w:val="clear" w:color="auto" w:fill="FFFFFF"/>
        </w:rPr>
      </w:pPr>
      <w:r>
        <w:rPr>
          <w:rFonts w:hint="eastAsia" w:ascii="黑体" w:hAnsi="黑体" w:eastAsia="黑体" w:cs="仿宋"/>
          <w:color w:val="000000"/>
          <w:kern w:val="0"/>
          <w:sz w:val="32"/>
          <w:szCs w:val="32"/>
          <w:shd w:val="clear" w:color="auto" w:fill="FFFFFF"/>
        </w:rPr>
        <w:t>七、其他重要事项的情况说明</w:t>
      </w:r>
    </w:p>
    <w:p>
      <w:pPr>
        <w:pBdr>
          <w:bottom w:val="single" w:color="FFFFFF" w:sz="4" w:space="31"/>
        </w:pBdr>
        <w:spacing w:line="660" w:lineRule="exact"/>
        <w:ind w:firstLine="640" w:firstLineChars="200"/>
        <w:rPr>
          <w:rFonts w:hint="eastAsia" w:ascii="楷体" w:hAnsi="楷体" w:eastAsia="楷体" w:cs="仿宋"/>
          <w:color w:val="000000"/>
          <w:kern w:val="0"/>
          <w:sz w:val="32"/>
          <w:szCs w:val="32"/>
          <w:shd w:val="clear" w:color="auto" w:fill="FFFFFF"/>
        </w:rPr>
      </w:pPr>
      <w:r>
        <w:rPr>
          <w:rFonts w:hint="eastAsia" w:ascii="楷体" w:hAnsi="楷体" w:eastAsia="楷体" w:cs="仿宋"/>
          <w:color w:val="000000"/>
          <w:kern w:val="0"/>
          <w:sz w:val="32"/>
          <w:szCs w:val="32"/>
          <w:shd w:val="clear" w:color="auto" w:fill="FFFFFF"/>
        </w:rPr>
        <w:t>（一）机关运行经费支出情况。</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2018年机关运行经费16.2万元，</w:t>
      </w:r>
      <w:r>
        <w:rPr>
          <w:rFonts w:hint="eastAsia" w:ascii="仿宋" w:hAnsi="仿宋" w:eastAsia="仿宋"/>
          <w:sz w:val="32"/>
          <w:szCs w:val="32"/>
        </w:rPr>
        <w:t>主要是单位办公费、差旅费、维修费、水电费等日常公用经费支出。</w:t>
      </w:r>
      <w:r>
        <w:rPr>
          <w:rFonts w:hint="eastAsia" w:ascii="仿宋_GB2312" w:hAnsi="仿宋" w:eastAsia="仿宋_GB2312" w:cs="仿宋"/>
          <w:color w:val="000000"/>
          <w:kern w:val="0"/>
          <w:sz w:val="32"/>
          <w:szCs w:val="32"/>
          <w:shd w:val="clear" w:color="auto" w:fill="FFFFFF"/>
        </w:rPr>
        <w:t>比上年减少54.3万元，</w:t>
      </w:r>
      <w:r>
        <w:rPr>
          <w:rFonts w:hint="eastAsia" w:ascii="仿宋" w:hAnsi="仿宋" w:eastAsia="仿宋"/>
          <w:sz w:val="32"/>
          <w:szCs w:val="32"/>
        </w:rPr>
        <w:t>原因是我部门本着厉行节约的目的，严格控制日常办公经费。</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楷体" w:hAnsi="楷体" w:eastAsia="楷体" w:cs="仿宋"/>
          <w:color w:val="000000"/>
          <w:kern w:val="0"/>
          <w:sz w:val="32"/>
          <w:szCs w:val="32"/>
          <w:shd w:val="clear" w:color="auto" w:fill="FFFFFF"/>
        </w:rPr>
        <w:t>（二）国有资产占用及购置情况说明。</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截至2018年末，本部门所属单位共有车辆43辆；单价50万元以上的通用设备2台（套）；单价100万元以上的通用设备10台（套）。2018年购置车辆0辆，单价50万元以上的通用设备0台（套）；单价100万元以上的通用设备0台（套）。</w:t>
      </w:r>
    </w:p>
    <w:p>
      <w:pPr>
        <w:pBdr>
          <w:bottom w:val="single" w:color="FFFFFF" w:sz="4" w:space="31"/>
        </w:pBdr>
        <w:spacing w:line="660" w:lineRule="exact"/>
        <w:ind w:firstLine="640" w:firstLineChars="200"/>
        <w:rPr>
          <w:rFonts w:hint="eastAsia" w:ascii="黑体" w:hAnsi="黑体" w:eastAsia="黑体" w:cs="仿宋"/>
          <w:color w:val="000000"/>
          <w:kern w:val="0"/>
          <w:sz w:val="32"/>
          <w:szCs w:val="32"/>
          <w:shd w:val="clear" w:color="auto" w:fill="FFFFFF"/>
        </w:rPr>
      </w:pPr>
      <w:r>
        <w:rPr>
          <w:rFonts w:hint="eastAsia" w:ascii="黑体" w:hAnsi="黑体" w:eastAsia="黑体" w:cs="仿宋"/>
          <w:color w:val="000000"/>
          <w:kern w:val="0"/>
          <w:sz w:val="32"/>
          <w:szCs w:val="32"/>
          <w:shd w:val="clear" w:color="auto" w:fill="FFFFFF"/>
        </w:rPr>
        <w:t>八、专业名词解释</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1、基本支出：指为保障机构正常运转、完成日常工作任务而发生的各项支出。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2、项目支出：指单位为完成特定的行政工作任务或事业发展目标所发生的各项支出。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3、“三公”经费：指部门使用一般公共预算财政拨款安排的因公出国（境）费、公务用车购置及运行费和公务接待费支出。</w:t>
      </w:r>
    </w:p>
    <w:p>
      <w:pPr>
        <w:pBdr>
          <w:bottom w:val="single" w:color="FFFFFF" w:sz="4" w:space="31"/>
        </w:pBdr>
        <w:spacing w:line="660" w:lineRule="exact"/>
        <w:ind w:firstLine="640" w:firstLineChars="200"/>
        <w:rPr>
          <w:rFonts w:hint="eastAsia" w:ascii="仿宋_GB2312" w:hAnsi="仿宋" w:eastAsia="仿宋_GB2312" w:cs="仿宋"/>
          <w:color w:val="000000"/>
          <w:kern w:val="0"/>
          <w:sz w:val="32"/>
          <w:szCs w:val="32"/>
          <w:shd w:val="clear" w:color="auto" w:fill="FFFFFF"/>
        </w:rPr>
      </w:pPr>
      <w:r>
        <w:rPr>
          <w:rFonts w:hint="eastAsia" w:ascii="仿宋_GB2312" w:hAnsi="仿宋" w:eastAsia="仿宋_GB2312" w:cs="仿宋"/>
          <w:color w:val="000000"/>
          <w:kern w:val="0"/>
          <w:sz w:val="32"/>
          <w:szCs w:val="32"/>
          <w:shd w:val="clear" w:color="auto" w:fill="FFFFFF"/>
        </w:rPr>
        <w:t>4、机关运行经费：指行政单位和参照公务员法管理的事业单位使用一般公共预算财政拨款安排的日常公用经费支出。</w:t>
      </w:r>
    </w:p>
    <w:p>
      <w:pPr>
        <w:pBdr>
          <w:bottom w:val="single" w:color="FFFFFF" w:sz="4" w:space="31"/>
        </w:pBdr>
        <w:spacing w:line="660" w:lineRule="exact"/>
        <w:ind w:firstLine="640" w:firstLineChars="200"/>
        <w:rPr>
          <w:rFonts w:hint="eastAsia" w:ascii="黑体" w:hAnsi="黑体" w:eastAsia="黑体" w:cs="仿宋"/>
          <w:color w:val="000000"/>
          <w:kern w:val="0"/>
          <w:sz w:val="32"/>
          <w:szCs w:val="32"/>
          <w:shd w:val="clear" w:color="auto" w:fill="FFFFFF"/>
        </w:rPr>
      </w:pPr>
      <w:r>
        <w:rPr>
          <w:rFonts w:hint="eastAsia" w:ascii="黑体" w:hAnsi="黑体" w:eastAsia="黑体" w:cs="仿宋"/>
          <w:color w:val="000000"/>
          <w:kern w:val="0"/>
          <w:sz w:val="32"/>
          <w:szCs w:val="32"/>
          <w:shd w:val="clear" w:color="auto" w:fill="FFFFFF"/>
        </w:rPr>
        <w:t>九、部门决算表</w:t>
      </w:r>
    </w:p>
    <w:sectPr>
      <w:headerReference r:id="rId3" w:type="default"/>
      <w:pgSz w:w="11906" w:h="16838"/>
      <w:pgMar w:top="993" w:right="1800" w:bottom="709"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_4eff_5b8b_GB2312">
    <w:altName w:val="Cambria"/>
    <w:panose1 w:val="00000000000000000000"/>
    <w:charset w:val="00"/>
    <w:family w:val="roman"/>
    <w:pitch w:val="default"/>
    <w:sig w:usb0="00000000" w:usb1="00000000" w:usb2="00000000" w:usb3="00000000" w:csb0="00040001" w:csb1="00000000"/>
  </w:font>
  <w:font w:name="华文楷体">
    <w:panose1 w:val="02010600040101010101"/>
    <w:charset w:val="86"/>
    <w:family w:val="auto"/>
    <w:pitch w:val="default"/>
    <w:sig w:usb0="00000287" w:usb1="080F0000" w:usb2="00000000" w:usb3="00000000" w:csb0="0004009F" w:csb1="DFD70000"/>
  </w:font>
  <w:font w:name="Cambria">
    <w:panose1 w:val="02040503050406030204"/>
    <w:charset w:val="00"/>
    <w:family w:val="auto"/>
    <w:pitch w:val="default"/>
    <w:sig w:usb0="E00002FF" w:usb1="400004FF"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JlYjhkM2E2OTkyOWZhYjU4NmFhNjkxNjgyYWQ0ZmYifQ=="/>
  </w:docVars>
  <w:rsids>
    <w:rsidRoot w:val="00AD48BA"/>
    <w:rsid w:val="00000F5D"/>
    <w:rsid w:val="00001652"/>
    <w:rsid w:val="0000184B"/>
    <w:rsid w:val="00001F5A"/>
    <w:rsid w:val="00004E7E"/>
    <w:rsid w:val="000106AE"/>
    <w:rsid w:val="00010C56"/>
    <w:rsid w:val="0001420F"/>
    <w:rsid w:val="00014F28"/>
    <w:rsid w:val="00017440"/>
    <w:rsid w:val="00017EAC"/>
    <w:rsid w:val="00017ECA"/>
    <w:rsid w:val="00022281"/>
    <w:rsid w:val="00025922"/>
    <w:rsid w:val="000268A8"/>
    <w:rsid w:val="00032962"/>
    <w:rsid w:val="00032E79"/>
    <w:rsid w:val="000338FD"/>
    <w:rsid w:val="000340AD"/>
    <w:rsid w:val="00037866"/>
    <w:rsid w:val="00043FBB"/>
    <w:rsid w:val="00044F8A"/>
    <w:rsid w:val="00045E43"/>
    <w:rsid w:val="000472A6"/>
    <w:rsid w:val="0004737A"/>
    <w:rsid w:val="00047513"/>
    <w:rsid w:val="00051551"/>
    <w:rsid w:val="000536ED"/>
    <w:rsid w:val="00053C3C"/>
    <w:rsid w:val="000608AE"/>
    <w:rsid w:val="0006096A"/>
    <w:rsid w:val="0006211B"/>
    <w:rsid w:val="00066FC7"/>
    <w:rsid w:val="00070148"/>
    <w:rsid w:val="000717D9"/>
    <w:rsid w:val="000724F8"/>
    <w:rsid w:val="000725B3"/>
    <w:rsid w:val="00072DAB"/>
    <w:rsid w:val="00075F5F"/>
    <w:rsid w:val="000774A9"/>
    <w:rsid w:val="00077699"/>
    <w:rsid w:val="00080340"/>
    <w:rsid w:val="00080E28"/>
    <w:rsid w:val="0009281C"/>
    <w:rsid w:val="0009511D"/>
    <w:rsid w:val="00096598"/>
    <w:rsid w:val="000968FF"/>
    <w:rsid w:val="000975DB"/>
    <w:rsid w:val="000A02CD"/>
    <w:rsid w:val="000A0931"/>
    <w:rsid w:val="000A18E9"/>
    <w:rsid w:val="000A217B"/>
    <w:rsid w:val="000A23FF"/>
    <w:rsid w:val="000A2B8A"/>
    <w:rsid w:val="000A31B3"/>
    <w:rsid w:val="000A5C11"/>
    <w:rsid w:val="000A5E23"/>
    <w:rsid w:val="000A6027"/>
    <w:rsid w:val="000A64EE"/>
    <w:rsid w:val="000A6FD9"/>
    <w:rsid w:val="000B0BE7"/>
    <w:rsid w:val="000B13B1"/>
    <w:rsid w:val="000B2674"/>
    <w:rsid w:val="000B4277"/>
    <w:rsid w:val="000B4900"/>
    <w:rsid w:val="000B4B83"/>
    <w:rsid w:val="000B561B"/>
    <w:rsid w:val="000B569A"/>
    <w:rsid w:val="000B5878"/>
    <w:rsid w:val="000C04B6"/>
    <w:rsid w:val="000C0F3C"/>
    <w:rsid w:val="000C1755"/>
    <w:rsid w:val="000C59CA"/>
    <w:rsid w:val="000C5ABA"/>
    <w:rsid w:val="000C67D4"/>
    <w:rsid w:val="000C7CC0"/>
    <w:rsid w:val="000D2C2F"/>
    <w:rsid w:val="000D5BBE"/>
    <w:rsid w:val="000D7C03"/>
    <w:rsid w:val="000E142B"/>
    <w:rsid w:val="000E3E18"/>
    <w:rsid w:val="000E5595"/>
    <w:rsid w:val="000E74B4"/>
    <w:rsid w:val="000F020F"/>
    <w:rsid w:val="000F0412"/>
    <w:rsid w:val="000F04A7"/>
    <w:rsid w:val="000F0F1A"/>
    <w:rsid w:val="000F2933"/>
    <w:rsid w:val="000F36DD"/>
    <w:rsid w:val="000F431B"/>
    <w:rsid w:val="000F655D"/>
    <w:rsid w:val="000F661A"/>
    <w:rsid w:val="000F7810"/>
    <w:rsid w:val="000F7E70"/>
    <w:rsid w:val="001069C9"/>
    <w:rsid w:val="00106C32"/>
    <w:rsid w:val="00110F31"/>
    <w:rsid w:val="00111B83"/>
    <w:rsid w:val="00112942"/>
    <w:rsid w:val="001131CA"/>
    <w:rsid w:val="00113447"/>
    <w:rsid w:val="00115252"/>
    <w:rsid w:val="001164C5"/>
    <w:rsid w:val="0011679E"/>
    <w:rsid w:val="00117C94"/>
    <w:rsid w:val="00117FCE"/>
    <w:rsid w:val="00120B9F"/>
    <w:rsid w:val="001229F1"/>
    <w:rsid w:val="0012306D"/>
    <w:rsid w:val="00123462"/>
    <w:rsid w:val="00125989"/>
    <w:rsid w:val="0012602A"/>
    <w:rsid w:val="0012663D"/>
    <w:rsid w:val="001266D1"/>
    <w:rsid w:val="001270B0"/>
    <w:rsid w:val="00127AB6"/>
    <w:rsid w:val="001316E2"/>
    <w:rsid w:val="00134BB4"/>
    <w:rsid w:val="00137CD9"/>
    <w:rsid w:val="00140A6B"/>
    <w:rsid w:val="00141313"/>
    <w:rsid w:val="00141C8F"/>
    <w:rsid w:val="001425DC"/>
    <w:rsid w:val="00147C74"/>
    <w:rsid w:val="00151A08"/>
    <w:rsid w:val="00151FCF"/>
    <w:rsid w:val="00153A9D"/>
    <w:rsid w:val="00153AE0"/>
    <w:rsid w:val="0015436B"/>
    <w:rsid w:val="00154AB5"/>
    <w:rsid w:val="0016291A"/>
    <w:rsid w:val="00163A88"/>
    <w:rsid w:val="00163F88"/>
    <w:rsid w:val="00167C36"/>
    <w:rsid w:val="00170E67"/>
    <w:rsid w:val="00171B8F"/>
    <w:rsid w:val="00171D56"/>
    <w:rsid w:val="00174587"/>
    <w:rsid w:val="00174A87"/>
    <w:rsid w:val="00175E7F"/>
    <w:rsid w:val="00176320"/>
    <w:rsid w:val="00181E62"/>
    <w:rsid w:val="00183F5D"/>
    <w:rsid w:val="001841F2"/>
    <w:rsid w:val="00184E3D"/>
    <w:rsid w:val="00186965"/>
    <w:rsid w:val="00186CBE"/>
    <w:rsid w:val="00192746"/>
    <w:rsid w:val="00195AB0"/>
    <w:rsid w:val="001A0074"/>
    <w:rsid w:val="001A0DD4"/>
    <w:rsid w:val="001A322A"/>
    <w:rsid w:val="001A38AE"/>
    <w:rsid w:val="001A4392"/>
    <w:rsid w:val="001A56E5"/>
    <w:rsid w:val="001A6F16"/>
    <w:rsid w:val="001A7001"/>
    <w:rsid w:val="001B0566"/>
    <w:rsid w:val="001B28F7"/>
    <w:rsid w:val="001B6D77"/>
    <w:rsid w:val="001C0138"/>
    <w:rsid w:val="001C0DEB"/>
    <w:rsid w:val="001C43FF"/>
    <w:rsid w:val="001C60C2"/>
    <w:rsid w:val="001C6BC0"/>
    <w:rsid w:val="001C738C"/>
    <w:rsid w:val="001D0C73"/>
    <w:rsid w:val="001D0D77"/>
    <w:rsid w:val="001D0DC2"/>
    <w:rsid w:val="001D3616"/>
    <w:rsid w:val="001D45BE"/>
    <w:rsid w:val="001E16BC"/>
    <w:rsid w:val="001E1979"/>
    <w:rsid w:val="001E2770"/>
    <w:rsid w:val="001E4026"/>
    <w:rsid w:val="001E488D"/>
    <w:rsid w:val="001E4E02"/>
    <w:rsid w:val="001E5102"/>
    <w:rsid w:val="001E5C77"/>
    <w:rsid w:val="001E71D4"/>
    <w:rsid w:val="001E7DAD"/>
    <w:rsid w:val="001E7F84"/>
    <w:rsid w:val="001F0975"/>
    <w:rsid w:val="001F1660"/>
    <w:rsid w:val="001F1F4C"/>
    <w:rsid w:val="001F222A"/>
    <w:rsid w:val="001F3672"/>
    <w:rsid w:val="001F44E5"/>
    <w:rsid w:val="001F47EF"/>
    <w:rsid w:val="001F4941"/>
    <w:rsid w:val="001F50CC"/>
    <w:rsid w:val="001F5518"/>
    <w:rsid w:val="001F551E"/>
    <w:rsid w:val="001F5735"/>
    <w:rsid w:val="001F573B"/>
    <w:rsid w:val="001F5D30"/>
    <w:rsid w:val="001F6569"/>
    <w:rsid w:val="001F6BA2"/>
    <w:rsid w:val="001F6DD4"/>
    <w:rsid w:val="00201435"/>
    <w:rsid w:val="002017A7"/>
    <w:rsid w:val="002029DF"/>
    <w:rsid w:val="00202BD4"/>
    <w:rsid w:val="00204A33"/>
    <w:rsid w:val="00204BEB"/>
    <w:rsid w:val="00204CCD"/>
    <w:rsid w:val="002054EC"/>
    <w:rsid w:val="00206D17"/>
    <w:rsid w:val="00206E4C"/>
    <w:rsid w:val="00207320"/>
    <w:rsid w:val="0021005C"/>
    <w:rsid w:val="0021063E"/>
    <w:rsid w:val="0021467A"/>
    <w:rsid w:val="00214779"/>
    <w:rsid w:val="00214F13"/>
    <w:rsid w:val="00215A35"/>
    <w:rsid w:val="00215D97"/>
    <w:rsid w:val="00221FC4"/>
    <w:rsid w:val="00222365"/>
    <w:rsid w:val="00223812"/>
    <w:rsid w:val="00227BF9"/>
    <w:rsid w:val="00231F17"/>
    <w:rsid w:val="0023406F"/>
    <w:rsid w:val="002342D7"/>
    <w:rsid w:val="0023460E"/>
    <w:rsid w:val="002352F7"/>
    <w:rsid w:val="0023654D"/>
    <w:rsid w:val="00242D88"/>
    <w:rsid w:val="002431D0"/>
    <w:rsid w:val="0024341F"/>
    <w:rsid w:val="00244B93"/>
    <w:rsid w:val="0024678A"/>
    <w:rsid w:val="00247EDB"/>
    <w:rsid w:val="002508E9"/>
    <w:rsid w:val="00251184"/>
    <w:rsid w:val="00251610"/>
    <w:rsid w:val="002530B0"/>
    <w:rsid w:val="002541E6"/>
    <w:rsid w:val="002545DD"/>
    <w:rsid w:val="002546C3"/>
    <w:rsid w:val="0025564E"/>
    <w:rsid w:val="00257FFA"/>
    <w:rsid w:val="002609D7"/>
    <w:rsid w:val="002616CD"/>
    <w:rsid w:val="00263821"/>
    <w:rsid w:val="00263E36"/>
    <w:rsid w:val="002652EF"/>
    <w:rsid w:val="002659B8"/>
    <w:rsid w:val="002662FE"/>
    <w:rsid w:val="00270867"/>
    <w:rsid w:val="00270BA3"/>
    <w:rsid w:val="002713AF"/>
    <w:rsid w:val="00271767"/>
    <w:rsid w:val="00274126"/>
    <w:rsid w:val="00274431"/>
    <w:rsid w:val="002745F8"/>
    <w:rsid w:val="00275750"/>
    <w:rsid w:val="00276589"/>
    <w:rsid w:val="00277877"/>
    <w:rsid w:val="00277BE1"/>
    <w:rsid w:val="00277CDB"/>
    <w:rsid w:val="002816AE"/>
    <w:rsid w:val="00281D16"/>
    <w:rsid w:val="002851FC"/>
    <w:rsid w:val="002855A2"/>
    <w:rsid w:val="00285C1C"/>
    <w:rsid w:val="00286613"/>
    <w:rsid w:val="00287647"/>
    <w:rsid w:val="002913AB"/>
    <w:rsid w:val="00291833"/>
    <w:rsid w:val="00291BF0"/>
    <w:rsid w:val="00291DF7"/>
    <w:rsid w:val="0029237D"/>
    <w:rsid w:val="00293685"/>
    <w:rsid w:val="002958F9"/>
    <w:rsid w:val="002A1F92"/>
    <w:rsid w:val="002A5FF0"/>
    <w:rsid w:val="002B18D6"/>
    <w:rsid w:val="002B33F2"/>
    <w:rsid w:val="002B3AB3"/>
    <w:rsid w:val="002B68CD"/>
    <w:rsid w:val="002B6D39"/>
    <w:rsid w:val="002B7B7D"/>
    <w:rsid w:val="002B7D6D"/>
    <w:rsid w:val="002C0EE5"/>
    <w:rsid w:val="002C1B4D"/>
    <w:rsid w:val="002C2A21"/>
    <w:rsid w:val="002C4512"/>
    <w:rsid w:val="002C611A"/>
    <w:rsid w:val="002C618B"/>
    <w:rsid w:val="002C6B2F"/>
    <w:rsid w:val="002C6E55"/>
    <w:rsid w:val="002C7A64"/>
    <w:rsid w:val="002D1191"/>
    <w:rsid w:val="002D3790"/>
    <w:rsid w:val="002D4194"/>
    <w:rsid w:val="002D4A24"/>
    <w:rsid w:val="002D5542"/>
    <w:rsid w:val="002D7057"/>
    <w:rsid w:val="002D7285"/>
    <w:rsid w:val="002E0EF5"/>
    <w:rsid w:val="002E0FFC"/>
    <w:rsid w:val="002E123A"/>
    <w:rsid w:val="002E1D6E"/>
    <w:rsid w:val="002E230B"/>
    <w:rsid w:val="002E461E"/>
    <w:rsid w:val="002E5A26"/>
    <w:rsid w:val="002E5ABB"/>
    <w:rsid w:val="002E76A2"/>
    <w:rsid w:val="002F0816"/>
    <w:rsid w:val="002F140B"/>
    <w:rsid w:val="002F4621"/>
    <w:rsid w:val="002F68E7"/>
    <w:rsid w:val="002F7A66"/>
    <w:rsid w:val="003003BF"/>
    <w:rsid w:val="00302391"/>
    <w:rsid w:val="00303BA9"/>
    <w:rsid w:val="003040D4"/>
    <w:rsid w:val="00304E91"/>
    <w:rsid w:val="0030671E"/>
    <w:rsid w:val="003073F7"/>
    <w:rsid w:val="0031190E"/>
    <w:rsid w:val="003132FD"/>
    <w:rsid w:val="00313E42"/>
    <w:rsid w:val="00315805"/>
    <w:rsid w:val="0031591F"/>
    <w:rsid w:val="00316717"/>
    <w:rsid w:val="00316897"/>
    <w:rsid w:val="003168E6"/>
    <w:rsid w:val="0032014D"/>
    <w:rsid w:val="003207B4"/>
    <w:rsid w:val="003217A7"/>
    <w:rsid w:val="00322911"/>
    <w:rsid w:val="00325ECE"/>
    <w:rsid w:val="003263FC"/>
    <w:rsid w:val="00326441"/>
    <w:rsid w:val="0033244C"/>
    <w:rsid w:val="00332F84"/>
    <w:rsid w:val="00335261"/>
    <w:rsid w:val="00335662"/>
    <w:rsid w:val="0033632E"/>
    <w:rsid w:val="00342D78"/>
    <w:rsid w:val="003438F7"/>
    <w:rsid w:val="003440E2"/>
    <w:rsid w:val="003444F3"/>
    <w:rsid w:val="00345C6C"/>
    <w:rsid w:val="00347868"/>
    <w:rsid w:val="00351F91"/>
    <w:rsid w:val="00352362"/>
    <w:rsid w:val="00352D3F"/>
    <w:rsid w:val="003543F2"/>
    <w:rsid w:val="00354449"/>
    <w:rsid w:val="0035733A"/>
    <w:rsid w:val="0035797B"/>
    <w:rsid w:val="0036033D"/>
    <w:rsid w:val="003612AF"/>
    <w:rsid w:val="0036242D"/>
    <w:rsid w:val="003624C6"/>
    <w:rsid w:val="0036290C"/>
    <w:rsid w:val="00362F1D"/>
    <w:rsid w:val="0036343C"/>
    <w:rsid w:val="00366E1A"/>
    <w:rsid w:val="00367752"/>
    <w:rsid w:val="00371697"/>
    <w:rsid w:val="00372034"/>
    <w:rsid w:val="00372EBA"/>
    <w:rsid w:val="00372F30"/>
    <w:rsid w:val="0037500F"/>
    <w:rsid w:val="00375ED9"/>
    <w:rsid w:val="0037611B"/>
    <w:rsid w:val="003763BE"/>
    <w:rsid w:val="00380EAA"/>
    <w:rsid w:val="0038151E"/>
    <w:rsid w:val="00381670"/>
    <w:rsid w:val="003826B8"/>
    <w:rsid w:val="00383337"/>
    <w:rsid w:val="003839BF"/>
    <w:rsid w:val="003840C5"/>
    <w:rsid w:val="00384A06"/>
    <w:rsid w:val="00384B2F"/>
    <w:rsid w:val="003851C8"/>
    <w:rsid w:val="003911BC"/>
    <w:rsid w:val="00391F1D"/>
    <w:rsid w:val="003921D5"/>
    <w:rsid w:val="0039353A"/>
    <w:rsid w:val="0039368C"/>
    <w:rsid w:val="00395B1C"/>
    <w:rsid w:val="0039656F"/>
    <w:rsid w:val="00396A9A"/>
    <w:rsid w:val="003A0149"/>
    <w:rsid w:val="003A1A3D"/>
    <w:rsid w:val="003A1B84"/>
    <w:rsid w:val="003A214B"/>
    <w:rsid w:val="003A3F47"/>
    <w:rsid w:val="003A551C"/>
    <w:rsid w:val="003A5AD1"/>
    <w:rsid w:val="003A6134"/>
    <w:rsid w:val="003A7725"/>
    <w:rsid w:val="003B03D5"/>
    <w:rsid w:val="003B0E01"/>
    <w:rsid w:val="003B2200"/>
    <w:rsid w:val="003B2B16"/>
    <w:rsid w:val="003B2E5B"/>
    <w:rsid w:val="003B3ECA"/>
    <w:rsid w:val="003C02F5"/>
    <w:rsid w:val="003C3E2D"/>
    <w:rsid w:val="003C5E9A"/>
    <w:rsid w:val="003C7383"/>
    <w:rsid w:val="003C79B5"/>
    <w:rsid w:val="003D1433"/>
    <w:rsid w:val="003D3DC5"/>
    <w:rsid w:val="003D53ED"/>
    <w:rsid w:val="003D787F"/>
    <w:rsid w:val="003E1BFC"/>
    <w:rsid w:val="003E3296"/>
    <w:rsid w:val="003E580D"/>
    <w:rsid w:val="003E5A9B"/>
    <w:rsid w:val="003E737F"/>
    <w:rsid w:val="003F112F"/>
    <w:rsid w:val="003F3097"/>
    <w:rsid w:val="003F41A7"/>
    <w:rsid w:val="003F5258"/>
    <w:rsid w:val="003F6CF8"/>
    <w:rsid w:val="004008A9"/>
    <w:rsid w:val="00401D65"/>
    <w:rsid w:val="00402348"/>
    <w:rsid w:val="00402A10"/>
    <w:rsid w:val="00402ED7"/>
    <w:rsid w:val="0040345A"/>
    <w:rsid w:val="00403FDF"/>
    <w:rsid w:val="00404B72"/>
    <w:rsid w:val="00404DC8"/>
    <w:rsid w:val="00405975"/>
    <w:rsid w:val="00407300"/>
    <w:rsid w:val="00410314"/>
    <w:rsid w:val="00410364"/>
    <w:rsid w:val="00411431"/>
    <w:rsid w:val="004133F6"/>
    <w:rsid w:val="00413F78"/>
    <w:rsid w:val="004165DE"/>
    <w:rsid w:val="00416D9E"/>
    <w:rsid w:val="00417D18"/>
    <w:rsid w:val="0042143C"/>
    <w:rsid w:val="00422EBD"/>
    <w:rsid w:val="00424865"/>
    <w:rsid w:val="00425577"/>
    <w:rsid w:val="00425CE5"/>
    <w:rsid w:val="004267CF"/>
    <w:rsid w:val="0043097E"/>
    <w:rsid w:val="00434604"/>
    <w:rsid w:val="00435256"/>
    <w:rsid w:val="004361D3"/>
    <w:rsid w:val="004362E7"/>
    <w:rsid w:val="00436D90"/>
    <w:rsid w:val="00437596"/>
    <w:rsid w:val="00437A29"/>
    <w:rsid w:val="00437D88"/>
    <w:rsid w:val="00440856"/>
    <w:rsid w:val="00441182"/>
    <w:rsid w:val="00441DE6"/>
    <w:rsid w:val="0044211A"/>
    <w:rsid w:val="004441D9"/>
    <w:rsid w:val="004447FA"/>
    <w:rsid w:val="00446364"/>
    <w:rsid w:val="00446977"/>
    <w:rsid w:val="00446C0A"/>
    <w:rsid w:val="00451B4F"/>
    <w:rsid w:val="00456A0C"/>
    <w:rsid w:val="00456EE2"/>
    <w:rsid w:val="00457016"/>
    <w:rsid w:val="00457426"/>
    <w:rsid w:val="004578A8"/>
    <w:rsid w:val="00460FEE"/>
    <w:rsid w:val="0046200C"/>
    <w:rsid w:val="00462EE0"/>
    <w:rsid w:val="00463137"/>
    <w:rsid w:val="00463F3A"/>
    <w:rsid w:val="00464654"/>
    <w:rsid w:val="00464DF1"/>
    <w:rsid w:val="004653DD"/>
    <w:rsid w:val="00465A97"/>
    <w:rsid w:val="004668B3"/>
    <w:rsid w:val="00467348"/>
    <w:rsid w:val="00467F14"/>
    <w:rsid w:val="00467F49"/>
    <w:rsid w:val="00470F64"/>
    <w:rsid w:val="00471618"/>
    <w:rsid w:val="00471F8E"/>
    <w:rsid w:val="00473E24"/>
    <w:rsid w:val="00475515"/>
    <w:rsid w:val="004766D6"/>
    <w:rsid w:val="00476D20"/>
    <w:rsid w:val="004771A4"/>
    <w:rsid w:val="00477AEC"/>
    <w:rsid w:val="00480488"/>
    <w:rsid w:val="00480809"/>
    <w:rsid w:val="004816C2"/>
    <w:rsid w:val="00481F31"/>
    <w:rsid w:val="004822C1"/>
    <w:rsid w:val="00482ABA"/>
    <w:rsid w:val="0048312F"/>
    <w:rsid w:val="004842A2"/>
    <w:rsid w:val="004847D9"/>
    <w:rsid w:val="00485B93"/>
    <w:rsid w:val="00487713"/>
    <w:rsid w:val="00487E69"/>
    <w:rsid w:val="00490537"/>
    <w:rsid w:val="00490F2A"/>
    <w:rsid w:val="00491914"/>
    <w:rsid w:val="00491FB2"/>
    <w:rsid w:val="004A0593"/>
    <w:rsid w:val="004A0E7E"/>
    <w:rsid w:val="004A2CD0"/>
    <w:rsid w:val="004A2D04"/>
    <w:rsid w:val="004A3488"/>
    <w:rsid w:val="004A55A6"/>
    <w:rsid w:val="004A601B"/>
    <w:rsid w:val="004A651B"/>
    <w:rsid w:val="004A6E96"/>
    <w:rsid w:val="004A788A"/>
    <w:rsid w:val="004A7A7B"/>
    <w:rsid w:val="004B0572"/>
    <w:rsid w:val="004B477D"/>
    <w:rsid w:val="004B4A5B"/>
    <w:rsid w:val="004B555D"/>
    <w:rsid w:val="004B576E"/>
    <w:rsid w:val="004C0E5C"/>
    <w:rsid w:val="004C1028"/>
    <w:rsid w:val="004C1466"/>
    <w:rsid w:val="004C1667"/>
    <w:rsid w:val="004C3287"/>
    <w:rsid w:val="004C4C23"/>
    <w:rsid w:val="004C5499"/>
    <w:rsid w:val="004C6565"/>
    <w:rsid w:val="004D0034"/>
    <w:rsid w:val="004D2859"/>
    <w:rsid w:val="004D3D60"/>
    <w:rsid w:val="004D4DF6"/>
    <w:rsid w:val="004D6DA7"/>
    <w:rsid w:val="004E2569"/>
    <w:rsid w:val="004E3D76"/>
    <w:rsid w:val="004E4E30"/>
    <w:rsid w:val="004E716D"/>
    <w:rsid w:val="004E7CF0"/>
    <w:rsid w:val="004F03F8"/>
    <w:rsid w:val="004F0981"/>
    <w:rsid w:val="004F4435"/>
    <w:rsid w:val="004F79FA"/>
    <w:rsid w:val="005001D5"/>
    <w:rsid w:val="00502B65"/>
    <w:rsid w:val="00503368"/>
    <w:rsid w:val="0050422C"/>
    <w:rsid w:val="00504D51"/>
    <w:rsid w:val="0050641A"/>
    <w:rsid w:val="005069EF"/>
    <w:rsid w:val="00506C38"/>
    <w:rsid w:val="0050712A"/>
    <w:rsid w:val="0051150F"/>
    <w:rsid w:val="00511B0D"/>
    <w:rsid w:val="0051212C"/>
    <w:rsid w:val="00513201"/>
    <w:rsid w:val="0051565F"/>
    <w:rsid w:val="00515BBE"/>
    <w:rsid w:val="0051668B"/>
    <w:rsid w:val="00516AA3"/>
    <w:rsid w:val="0051708A"/>
    <w:rsid w:val="005203E2"/>
    <w:rsid w:val="005203EB"/>
    <w:rsid w:val="0052072C"/>
    <w:rsid w:val="005217C3"/>
    <w:rsid w:val="00521E2F"/>
    <w:rsid w:val="005230BA"/>
    <w:rsid w:val="00525EC1"/>
    <w:rsid w:val="005278E3"/>
    <w:rsid w:val="00531128"/>
    <w:rsid w:val="00531DF0"/>
    <w:rsid w:val="00532380"/>
    <w:rsid w:val="005328EC"/>
    <w:rsid w:val="00532984"/>
    <w:rsid w:val="00534D2A"/>
    <w:rsid w:val="0053590C"/>
    <w:rsid w:val="005373F4"/>
    <w:rsid w:val="00541AF9"/>
    <w:rsid w:val="00542E50"/>
    <w:rsid w:val="00544652"/>
    <w:rsid w:val="0054468E"/>
    <w:rsid w:val="00546468"/>
    <w:rsid w:val="0054771C"/>
    <w:rsid w:val="00547C62"/>
    <w:rsid w:val="00550206"/>
    <w:rsid w:val="00551B32"/>
    <w:rsid w:val="00553D17"/>
    <w:rsid w:val="0056116D"/>
    <w:rsid w:val="0056251F"/>
    <w:rsid w:val="005630B0"/>
    <w:rsid w:val="005634EF"/>
    <w:rsid w:val="00564351"/>
    <w:rsid w:val="005648A5"/>
    <w:rsid w:val="00564BA4"/>
    <w:rsid w:val="00565A46"/>
    <w:rsid w:val="005673BC"/>
    <w:rsid w:val="00570324"/>
    <w:rsid w:val="005716B6"/>
    <w:rsid w:val="005727D6"/>
    <w:rsid w:val="0057397C"/>
    <w:rsid w:val="00574631"/>
    <w:rsid w:val="00574E54"/>
    <w:rsid w:val="00575B30"/>
    <w:rsid w:val="00580A2B"/>
    <w:rsid w:val="00584916"/>
    <w:rsid w:val="00585D8A"/>
    <w:rsid w:val="00586002"/>
    <w:rsid w:val="00590108"/>
    <w:rsid w:val="00590425"/>
    <w:rsid w:val="005906F4"/>
    <w:rsid w:val="00590A35"/>
    <w:rsid w:val="00591027"/>
    <w:rsid w:val="00591FAD"/>
    <w:rsid w:val="00595AC6"/>
    <w:rsid w:val="005A0145"/>
    <w:rsid w:val="005A1151"/>
    <w:rsid w:val="005A61B6"/>
    <w:rsid w:val="005B00B2"/>
    <w:rsid w:val="005B0146"/>
    <w:rsid w:val="005B3C99"/>
    <w:rsid w:val="005B5EAB"/>
    <w:rsid w:val="005B6FFD"/>
    <w:rsid w:val="005C04BF"/>
    <w:rsid w:val="005C074A"/>
    <w:rsid w:val="005C14B5"/>
    <w:rsid w:val="005C34B6"/>
    <w:rsid w:val="005C4380"/>
    <w:rsid w:val="005C48C3"/>
    <w:rsid w:val="005C50EF"/>
    <w:rsid w:val="005C6B49"/>
    <w:rsid w:val="005D0327"/>
    <w:rsid w:val="005D1B5B"/>
    <w:rsid w:val="005D22A3"/>
    <w:rsid w:val="005D3911"/>
    <w:rsid w:val="005D4486"/>
    <w:rsid w:val="005D68BF"/>
    <w:rsid w:val="005D6962"/>
    <w:rsid w:val="005D6D92"/>
    <w:rsid w:val="005D7905"/>
    <w:rsid w:val="005E03B8"/>
    <w:rsid w:val="005E09A5"/>
    <w:rsid w:val="005E1932"/>
    <w:rsid w:val="005E2212"/>
    <w:rsid w:val="005E4693"/>
    <w:rsid w:val="005E5B63"/>
    <w:rsid w:val="005E6064"/>
    <w:rsid w:val="005E7602"/>
    <w:rsid w:val="005F0B36"/>
    <w:rsid w:val="005F0F09"/>
    <w:rsid w:val="005F2B8E"/>
    <w:rsid w:val="005F4C32"/>
    <w:rsid w:val="005F5501"/>
    <w:rsid w:val="005F5A26"/>
    <w:rsid w:val="005F6B0D"/>
    <w:rsid w:val="005F6E85"/>
    <w:rsid w:val="005F7C9F"/>
    <w:rsid w:val="0060008E"/>
    <w:rsid w:val="00601043"/>
    <w:rsid w:val="00601AB5"/>
    <w:rsid w:val="00601D07"/>
    <w:rsid w:val="00601D4B"/>
    <w:rsid w:val="00601F4F"/>
    <w:rsid w:val="00604584"/>
    <w:rsid w:val="00604726"/>
    <w:rsid w:val="0060695E"/>
    <w:rsid w:val="00606E78"/>
    <w:rsid w:val="00614396"/>
    <w:rsid w:val="0061521F"/>
    <w:rsid w:val="006164C5"/>
    <w:rsid w:val="00616C31"/>
    <w:rsid w:val="006211ED"/>
    <w:rsid w:val="00624790"/>
    <w:rsid w:val="0062581A"/>
    <w:rsid w:val="00625F8A"/>
    <w:rsid w:val="0062747D"/>
    <w:rsid w:val="00630555"/>
    <w:rsid w:val="00630ED5"/>
    <w:rsid w:val="00635E8E"/>
    <w:rsid w:val="006362CB"/>
    <w:rsid w:val="0063671B"/>
    <w:rsid w:val="00641A2C"/>
    <w:rsid w:val="006425A5"/>
    <w:rsid w:val="00643B7A"/>
    <w:rsid w:val="006443DF"/>
    <w:rsid w:val="00644586"/>
    <w:rsid w:val="0064459C"/>
    <w:rsid w:val="00645176"/>
    <w:rsid w:val="00646008"/>
    <w:rsid w:val="00646770"/>
    <w:rsid w:val="00650169"/>
    <w:rsid w:val="00652A83"/>
    <w:rsid w:val="0065361E"/>
    <w:rsid w:val="00653C23"/>
    <w:rsid w:val="006548E1"/>
    <w:rsid w:val="00655D97"/>
    <w:rsid w:val="00657948"/>
    <w:rsid w:val="00660A49"/>
    <w:rsid w:val="00660C53"/>
    <w:rsid w:val="00661AC8"/>
    <w:rsid w:val="00661E0C"/>
    <w:rsid w:val="00662AEE"/>
    <w:rsid w:val="0066357F"/>
    <w:rsid w:val="00663A07"/>
    <w:rsid w:val="00665545"/>
    <w:rsid w:val="006719C0"/>
    <w:rsid w:val="00672E8D"/>
    <w:rsid w:val="00673561"/>
    <w:rsid w:val="0067660A"/>
    <w:rsid w:val="00680330"/>
    <w:rsid w:val="00681DFC"/>
    <w:rsid w:val="00683B3E"/>
    <w:rsid w:val="00684A58"/>
    <w:rsid w:val="00685A5B"/>
    <w:rsid w:val="0068604A"/>
    <w:rsid w:val="0068783D"/>
    <w:rsid w:val="00687CB5"/>
    <w:rsid w:val="00687E6D"/>
    <w:rsid w:val="00690516"/>
    <w:rsid w:val="00691C20"/>
    <w:rsid w:val="006920F1"/>
    <w:rsid w:val="0069254A"/>
    <w:rsid w:val="00694315"/>
    <w:rsid w:val="00694DEF"/>
    <w:rsid w:val="00696B59"/>
    <w:rsid w:val="006A1464"/>
    <w:rsid w:val="006A1856"/>
    <w:rsid w:val="006A1E93"/>
    <w:rsid w:val="006A1EDB"/>
    <w:rsid w:val="006A22B6"/>
    <w:rsid w:val="006A397D"/>
    <w:rsid w:val="006A3D84"/>
    <w:rsid w:val="006A5384"/>
    <w:rsid w:val="006A77BA"/>
    <w:rsid w:val="006B0649"/>
    <w:rsid w:val="006B0890"/>
    <w:rsid w:val="006B0B80"/>
    <w:rsid w:val="006B1170"/>
    <w:rsid w:val="006B491E"/>
    <w:rsid w:val="006B5C60"/>
    <w:rsid w:val="006B600A"/>
    <w:rsid w:val="006B78B9"/>
    <w:rsid w:val="006C2EC5"/>
    <w:rsid w:val="006C3416"/>
    <w:rsid w:val="006C3FE3"/>
    <w:rsid w:val="006C4FEA"/>
    <w:rsid w:val="006C5EB3"/>
    <w:rsid w:val="006C5F91"/>
    <w:rsid w:val="006D039A"/>
    <w:rsid w:val="006D20A8"/>
    <w:rsid w:val="006D2448"/>
    <w:rsid w:val="006D2F11"/>
    <w:rsid w:val="006D3E51"/>
    <w:rsid w:val="006D4684"/>
    <w:rsid w:val="006D5EAD"/>
    <w:rsid w:val="006D7685"/>
    <w:rsid w:val="006E3E90"/>
    <w:rsid w:val="006E52C3"/>
    <w:rsid w:val="006E575D"/>
    <w:rsid w:val="006E5837"/>
    <w:rsid w:val="006E6370"/>
    <w:rsid w:val="006E75F8"/>
    <w:rsid w:val="006F0E49"/>
    <w:rsid w:val="006F43A2"/>
    <w:rsid w:val="006F48F8"/>
    <w:rsid w:val="006F5063"/>
    <w:rsid w:val="006F7706"/>
    <w:rsid w:val="00701635"/>
    <w:rsid w:val="00702CE9"/>
    <w:rsid w:val="007050AC"/>
    <w:rsid w:val="007057C3"/>
    <w:rsid w:val="00705A90"/>
    <w:rsid w:val="00706BD5"/>
    <w:rsid w:val="00710DDA"/>
    <w:rsid w:val="00711446"/>
    <w:rsid w:val="00711C33"/>
    <w:rsid w:val="007146C0"/>
    <w:rsid w:val="00715829"/>
    <w:rsid w:val="007211BD"/>
    <w:rsid w:val="007257B7"/>
    <w:rsid w:val="007261AC"/>
    <w:rsid w:val="00736C19"/>
    <w:rsid w:val="00737A3E"/>
    <w:rsid w:val="00737EF0"/>
    <w:rsid w:val="00743782"/>
    <w:rsid w:val="00744B15"/>
    <w:rsid w:val="00745648"/>
    <w:rsid w:val="00746934"/>
    <w:rsid w:val="0075053A"/>
    <w:rsid w:val="007543F3"/>
    <w:rsid w:val="00754E0C"/>
    <w:rsid w:val="00755139"/>
    <w:rsid w:val="007556C1"/>
    <w:rsid w:val="007569EA"/>
    <w:rsid w:val="00756C4C"/>
    <w:rsid w:val="0076028E"/>
    <w:rsid w:val="00760806"/>
    <w:rsid w:val="00762E20"/>
    <w:rsid w:val="00762E7D"/>
    <w:rsid w:val="007635E6"/>
    <w:rsid w:val="00763793"/>
    <w:rsid w:val="00763802"/>
    <w:rsid w:val="00763DB3"/>
    <w:rsid w:val="00764009"/>
    <w:rsid w:val="00765DD9"/>
    <w:rsid w:val="00766C72"/>
    <w:rsid w:val="00766CC1"/>
    <w:rsid w:val="0077016A"/>
    <w:rsid w:val="00770A83"/>
    <w:rsid w:val="00771CAC"/>
    <w:rsid w:val="0077266C"/>
    <w:rsid w:val="0077298A"/>
    <w:rsid w:val="007736A8"/>
    <w:rsid w:val="00773ADB"/>
    <w:rsid w:val="007740A0"/>
    <w:rsid w:val="007751C7"/>
    <w:rsid w:val="00775319"/>
    <w:rsid w:val="007769AC"/>
    <w:rsid w:val="00776AAA"/>
    <w:rsid w:val="00776AF3"/>
    <w:rsid w:val="00777F7C"/>
    <w:rsid w:val="007810D7"/>
    <w:rsid w:val="00781A00"/>
    <w:rsid w:val="00782D45"/>
    <w:rsid w:val="0078349D"/>
    <w:rsid w:val="007834C0"/>
    <w:rsid w:val="007869FF"/>
    <w:rsid w:val="00786E2D"/>
    <w:rsid w:val="00787716"/>
    <w:rsid w:val="00791D38"/>
    <w:rsid w:val="0079368E"/>
    <w:rsid w:val="0079581D"/>
    <w:rsid w:val="007A5F98"/>
    <w:rsid w:val="007A7652"/>
    <w:rsid w:val="007A789A"/>
    <w:rsid w:val="007B08F7"/>
    <w:rsid w:val="007B0E1E"/>
    <w:rsid w:val="007B1374"/>
    <w:rsid w:val="007B1C4E"/>
    <w:rsid w:val="007B2A7B"/>
    <w:rsid w:val="007B2AE0"/>
    <w:rsid w:val="007B2D16"/>
    <w:rsid w:val="007B4166"/>
    <w:rsid w:val="007B55D6"/>
    <w:rsid w:val="007B5622"/>
    <w:rsid w:val="007B7251"/>
    <w:rsid w:val="007B7758"/>
    <w:rsid w:val="007C0F12"/>
    <w:rsid w:val="007C16E4"/>
    <w:rsid w:val="007C1984"/>
    <w:rsid w:val="007C263C"/>
    <w:rsid w:val="007C2C8E"/>
    <w:rsid w:val="007C3472"/>
    <w:rsid w:val="007C45CA"/>
    <w:rsid w:val="007C598B"/>
    <w:rsid w:val="007C61D2"/>
    <w:rsid w:val="007C7752"/>
    <w:rsid w:val="007D03B8"/>
    <w:rsid w:val="007D1335"/>
    <w:rsid w:val="007D3BBC"/>
    <w:rsid w:val="007D5191"/>
    <w:rsid w:val="007D5F72"/>
    <w:rsid w:val="007D62DC"/>
    <w:rsid w:val="007D68B3"/>
    <w:rsid w:val="007D7F58"/>
    <w:rsid w:val="007E0ED1"/>
    <w:rsid w:val="007E4E61"/>
    <w:rsid w:val="007E4EA3"/>
    <w:rsid w:val="007E51B7"/>
    <w:rsid w:val="007E5DC9"/>
    <w:rsid w:val="007E704D"/>
    <w:rsid w:val="007F1BBB"/>
    <w:rsid w:val="007F1BD8"/>
    <w:rsid w:val="007F2419"/>
    <w:rsid w:val="007F3365"/>
    <w:rsid w:val="007F4568"/>
    <w:rsid w:val="007F46B7"/>
    <w:rsid w:val="007F5595"/>
    <w:rsid w:val="007F7FC5"/>
    <w:rsid w:val="00800F8F"/>
    <w:rsid w:val="00803D01"/>
    <w:rsid w:val="0080429D"/>
    <w:rsid w:val="00805769"/>
    <w:rsid w:val="008061D8"/>
    <w:rsid w:val="008061DE"/>
    <w:rsid w:val="008076F5"/>
    <w:rsid w:val="00811DB6"/>
    <w:rsid w:val="00811F2A"/>
    <w:rsid w:val="0081332E"/>
    <w:rsid w:val="00813377"/>
    <w:rsid w:val="008140AB"/>
    <w:rsid w:val="00815979"/>
    <w:rsid w:val="00816247"/>
    <w:rsid w:val="00816608"/>
    <w:rsid w:val="00816FCC"/>
    <w:rsid w:val="008179B0"/>
    <w:rsid w:val="00820131"/>
    <w:rsid w:val="0082153A"/>
    <w:rsid w:val="008217AE"/>
    <w:rsid w:val="00826801"/>
    <w:rsid w:val="008309B3"/>
    <w:rsid w:val="00830A52"/>
    <w:rsid w:val="00830F6B"/>
    <w:rsid w:val="00831BF0"/>
    <w:rsid w:val="00833089"/>
    <w:rsid w:val="00833B6D"/>
    <w:rsid w:val="00833FE2"/>
    <w:rsid w:val="00835480"/>
    <w:rsid w:val="00835DB5"/>
    <w:rsid w:val="00835F67"/>
    <w:rsid w:val="00842040"/>
    <w:rsid w:val="008422F0"/>
    <w:rsid w:val="00843EC7"/>
    <w:rsid w:val="0084441F"/>
    <w:rsid w:val="00844B03"/>
    <w:rsid w:val="00845FB6"/>
    <w:rsid w:val="00850541"/>
    <w:rsid w:val="00851AB9"/>
    <w:rsid w:val="00851B07"/>
    <w:rsid w:val="00851B45"/>
    <w:rsid w:val="008535D2"/>
    <w:rsid w:val="008538F9"/>
    <w:rsid w:val="00853EE7"/>
    <w:rsid w:val="008542D3"/>
    <w:rsid w:val="0085511E"/>
    <w:rsid w:val="00855F4E"/>
    <w:rsid w:val="00856F46"/>
    <w:rsid w:val="00860552"/>
    <w:rsid w:val="0086130D"/>
    <w:rsid w:val="00861869"/>
    <w:rsid w:val="008627D9"/>
    <w:rsid w:val="00862DEC"/>
    <w:rsid w:val="00863ED4"/>
    <w:rsid w:val="00864235"/>
    <w:rsid w:val="00864306"/>
    <w:rsid w:val="00864FC0"/>
    <w:rsid w:val="008652D1"/>
    <w:rsid w:val="00865853"/>
    <w:rsid w:val="00865C8F"/>
    <w:rsid w:val="00866827"/>
    <w:rsid w:val="008670B7"/>
    <w:rsid w:val="00867A49"/>
    <w:rsid w:val="00867DD0"/>
    <w:rsid w:val="008702DA"/>
    <w:rsid w:val="008708E9"/>
    <w:rsid w:val="008726CB"/>
    <w:rsid w:val="00873DF6"/>
    <w:rsid w:val="00873E3A"/>
    <w:rsid w:val="008746CC"/>
    <w:rsid w:val="00876B07"/>
    <w:rsid w:val="008777AF"/>
    <w:rsid w:val="00877957"/>
    <w:rsid w:val="00877D7A"/>
    <w:rsid w:val="00880D6D"/>
    <w:rsid w:val="008818BA"/>
    <w:rsid w:val="008824F8"/>
    <w:rsid w:val="00882C2C"/>
    <w:rsid w:val="0088466A"/>
    <w:rsid w:val="00886B78"/>
    <w:rsid w:val="0089129A"/>
    <w:rsid w:val="008921D4"/>
    <w:rsid w:val="00895100"/>
    <w:rsid w:val="0089538A"/>
    <w:rsid w:val="00897724"/>
    <w:rsid w:val="008A184B"/>
    <w:rsid w:val="008A37B1"/>
    <w:rsid w:val="008A6C7A"/>
    <w:rsid w:val="008A7E87"/>
    <w:rsid w:val="008B1250"/>
    <w:rsid w:val="008B177E"/>
    <w:rsid w:val="008B3CCF"/>
    <w:rsid w:val="008B4B9A"/>
    <w:rsid w:val="008B7574"/>
    <w:rsid w:val="008C07B5"/>
    <w:rsid w:val="008C11EE"/>
    <w:rsid w:val="008C3615"/>
    <w:rsid w:val="008C4D0C"/>
    <w:rsid w:val="008D3A6A"/>
    <w:rsid w:val="008D4185"/>
    <w:rsid w:val="008D56C0"/>
    <w:rsid w:val="008D650E"/>
    <w:rsid w:val="008D6D65"/>
    <w:rsid w:val="008D7F6A"/>
    <w:rsid w:val="008E0F1C"/>
    <w:rsid w:val="008E1EFE"/>
    <w:rsid w:val="008E215A"/>
    <w:rsid w:val="008E2601"/>
    <w:rsid w:val="008E3E64"/>
    <w:rsid w:val="008E4205"/>
    <w:rsid w:val="008E5A5A"/>
    <w:rsid w:val="008F0274"/>
    <w:rsid w:val="008F0C2B"/>
    <w:rsid w:val="008F1A55"/>
    <w:rsid w:val="008F27A7"/>
    <w:rsid w:val="008F5BE6"/>
    <w:rsid w:val="008F681F"/>
    <w:rsid w:val="008F6E5A"/>
    <w:rsid w:val="008F7319"/>
    <w:rsid w:val="008F7C91"/>
    <w:rsid w:val="0090381A"/>
    <w:rsid w:val="009043F1"/>
    <w:rsid w:val="00904F41"/>
    <w:rsid w:val="00905CE4"/>
    <w:rsid w:val="009101B9"/>
    <w:rsid w:val="0091140D"/>
    <w:rsid w:val="009119CA"/>
    <w:rsid w:val="00912245"/>
    <w:rsid w:val="00912C19"/>
    <w:rsid w:val="009144F0"/>
    <w:rsid w:val="00914893"/>
    <w:rsid w:val="00915348"/>
    <w:rsid w:val="0091592E"/>
    <w:rsid w:val="00917186"/>
    <w:rsid w:val="00917C30"/>
    <w:rsid w:val="0092028D"/>
    <w:rsid w:val="009203D8"/>
    <w:rsid w:val="00922365"/>
    <w:rsid w:val="00922D29"/>
    <w:rsid w:val="0092375A"/>
    <w:rsid w:val="00924311"/>
    <w:rsid w:val="00926BF7"/>
    <w:rsid w:val="009301CB"/>
    <w:rsid w:val="009342D5"/>
    <w:rsid w:val="009374E5"/>
    <w:rsid w:val="009417A3"/>
    <w:rsid w:val="0094198A"/>
    <w:rsid w:val="0094260C"/>
    <w:rsid w:val="009426F3"/>
    <w:rsid w:val="009428F7"/>
    <w:rsid w:val="00947AE7"/>
    <w:rsid w:val="0095122E"/>
    <w:rsid w:val="009515F6"/>
    <w:rsid w:val="00952835"/>
    <w:rsid w:val="009540DA"/>
    <w:rsid w:val="0095481F"/>
    <w:rsid w:val="00954B1C"/>
    <w:rsid w:val="0095525F"/>
    <w:rsid w:val="009554F4"/>
    <w:rsid w:val="00955E3F"/>
    <w:rsid w:val="0095678D"/>
    <w:rsid w:val="00956D4D"/>
    <w:rsid w:val="009576D7"/>
    <w:rsid w:val="00957950"/>
    <w:rsid w:val="00962690"/>
    <w:rsid w:val="009633F7"/>
    <w:rsid w:val="009666E1"/>
    <w:rsid w:val="009667CC"/>
    <w:rsid w:val="00970075"/>
    <w:rsid w:val="00970724"/>
    <w:rsid w:val="0097174E"/>
    <w:rsid w:val="00973C30"/>
    <w:rsid w:val="00980096"/>
    <w:rsid w:val="0098160B"/>
    <w:rsid w:val="00982C79"/>
    <w:rsid w:val="009830FF"/>
    <w:rsid w:val="0098346B"/>
    <w:rsid w:val="0098473C"/>
    <w:rsid w:val="00985182"/>
    <w:rsid w:val="00992B9D"/>
    <w:rsid w:val="00993B2F"/>
    <w:rsid w:val="00993D5D"/>
    <w:rsid w:val="00994ACD"/>
    <w:rsid w:val="009974A7"/>
    <w:rsid w:val="009975EE"/>
    <w:rsid w:val="009A0A8A"/>
    <w:rsid w:val="009A2227"/>
    <w:rsid w:val="009A2775"/>
    <w:rsid w:val="009A4FA0"/>
    <w:rsid w:val="009A54FD"/>
    <w:rsid w:val="009A60E3"/>
    <w:rsid w:val="009A6166"/>
    <w:rsid w:val="009B0EAC"/>
    <w:rsid w:val="009B19FC"/>
    <w:rsid w:val="009B2F7B"/>
    <w:rsid w:val="009B3A9C"/>
    <w:rsid w:val="009B4B5D"/>
    <w:rsid w:val="009B5333"/>
    <w:rsid w:val="009B559E"/>
    <w:rsid w:val="009B66E1"/>
    <w:rsid w:val="009B6DD6"/>
    <w:rsid w:val="009B7265"/>
    <w:rsid w:val="009C124D"/>
    <w:rsid w:val="009C1258"/>
    <w:rsid w:val="009C13BB"/>
    <w:rsid w:val="009C22CE"/>
    <w:rsid w:val="009C325C"/>
    <w:rsid w:val="009C3D68"/>
    <w:rsid w:val="009C4DCD"/>
    <w:rsid w:val="009D0D40"/>
    <w:rsid w:val="009D1430"/>
    <w:rsid w:val="009D25FC"/>
    <w:rsid w:val="009D26F9"/>
    <w:rsid w:val="009D2863"/>
    <w:rsid w:val="009D46E9"/>
    <w:rsid w:val="009D5338"/>
    <w:rsid w:val="009D5753"/>
    <w:rsid w:val="009D646A"/>
    <w:rsid w:val="009D6E33"/>
    <w:rsid w:val="009E019C"/>
    <w:rsid w:val="009E2241"/>
    <w:rsid w:val="009E2943"/>
    <w:rsid w:val="009E355E"/>
    <w:rsid w:val="009E663E"/>
    <w:rsid w:val="009E7140"/>
    <w:rsid w:val="009F1831"/>
    <w:rsid w:val="009F24DB"/>
    <w:rsid w:val="009F2AB3"/>
    <w:rsid w:val="009F467D"/>
    <w:rsid w:val="009F5DD0"/>
    <w:rsid w:val="009F69AA"/>
    <w:rsid w:val="009F758D"/>
    <w:rsid w:val="009F7EDA"/>
    <w:rsid w:val="00A01925"/>
    <w:rsid w:val="00A04559"/>
    <w:rsid w:val="00A051EE"/>
    <w:rsid w:val="00A05253"/>
    <w:rsid w:val="00A07316"/>
    <w:rsid w:val="00A07CA1"/>
    <w:rsid w:val="00A12EBD"/>
    <w:rsid w:val="00A133D3"/>
    <w:rsid w:val="00A161B5"/>
    <w:rsid w:val="00A1662C"/>
    <w:rsid w:val="00A17384"/>
    <w:rsid w:val="00A21ED1"/>
    <w:rsid w:val="00A24503"/>
    <w:rsid w:val="00A24FE5"/>
    <w:rsid w:val="00A26B98"/>
    <w:rsid w:val="00A26D0C"/>
    <w:rsid w:val="00A271C0"/>
    <w:rsid w:val="00A313B7"/>
    <w:rsid w:val="00A31AF9"/>
    <w:rsid w:val="00A33050"/>
    <w:rsid w:val="00A34151"/>
    <w:rsid w:val="00A3477E"/>
    <w:rsid w:val="00A35385"/>
    <w:rsid w:val="00A358D9"/>
    <w:rsid w:val="00A35E1C"/>
    <w:rsid w:val="00A36486"/>
    <w:rsid w:val="00A37EBA"/>
    <w:rsid w:val="00A40AAF"/>
    <w:rsid w:val="00A4145E"/>
    <w:rsid w:val="00A4424D"/>
    <w:rsid w:val="00A44886"/>
    <w:rsid w:val="00A46F92"/>
    <w:rsid w:val="00A50913"/>
    <w:rsid w:val="00A513AA"/>
    <w:rsid w:val="00A52085"/>
    <w:rsid w:val="00A52CEA"/>
    <w:rsid w:val="00A53C07"/>
    <w:rsid w:val="00A54A16"/>
    <w:rsid w:val="00A54D2D"/>
    <w:rsid w:val="00A562B3"/>
    <w:rsid w:val="00A57334"/>
    <w:rsid w:val="00A5792D"/>
    <w:rsid w:val="00A57A29"/>
    <w:rsid w:val="00A608AD"/>
    <w:rsid w:val="00A61DF5"/>
    <w:rsid w:val="00A62006"/>
    <w:rsid w:val="00A632BB"/>
    <w:rsid w:val="00A646DE"/>
    <w:rsid w:val="00A64EB9"/>
    <w:rsid w:val="00A6509F"/>
    <w:rsid w:val="00A65624"/>
    <w:rsid w:val="00A66C8C"/>
    <w:rsid w:val="00A73743"/>
    <w:rsid w:val="00A74508"/>
    <w:rsid w:val="00A74CE7"/>
    <w:rsid w:val="00A75C82"/>
    <w:rsid w:val="00A77B93"/>
    <w:rsid w:val="00A8112B"/>
    <w:rsid w:val="00A82598"/>
    <w:rsid w:val="00A83266"/>
    <w:rsid w:val="00A83FB3"/>
    <w:rsid w:val="00A84145"/>
    <w:rsid w:val="00A85ACC"/>
    <w:rsid w:val="00A9331A"/>
    <w:rsid w:val="00A94DD5"/>
    <w:rsid w:val="00A95054"/>
    <w:rsid w:val="00A95571"/>
    <w:rsid w:val="00A959F2"/>
    <w:rsid w:val="00A96B5E"/>
    <w:rsid w:val="00A97231"/>
    <w:rsid w:val="00AA002D"/>
    <w:rsid w:val="00AA04A9"/>
    <w:rsid w:val="00AA14E6"/>
    <w:rsid w:val="00AA1771"/>
    <w:rsid w:val="00AA1968"/>
    <w:rsid w:val="00AA1FA8"/>
    <w:rsid w:val="00AA2305"/>
    <w:rsid w:val="00AA24A7"/>
    <w:rsid w:val="00AA3967"/>
    <w:rsid w:val="00AA4785"/>
    <w:rsid w:val="00AA5E47"/>
    <w:rsid w:val="00AA66EE"/>
    <w:rsid w:val="00AA6DA7"/>
    <w:rsid w:val="00AA77CA"/>
    <w:rsid w:val="00AB0245"/>
    <w:rsid w:val="00AB254E"/>
    <w:rsid w:val="00AB2581"/>
    <w:rsid w:val="00AB3214"/>
    <w:rsid w:val="00AB68BF"/>
    <w:rsid w:val="00AB7936"/>
    <w:rsid w:val="00AC07CD"/>
    <w:rsid w:val="00AC1B18"/>
    <w:rsid w:val="00AC2B19"/>
    <w:rsid w:val="00AC2D75"/>
    <w:rsid w:val="00AC3656"/>
    <w:rsid w:val="00AC43AE"/>
    <w:rsid w:val="00AC468C"/>
    <w:rsid w:val="00AD2AAF"/>
    <w:rsid w:val="00AD3B7F"/>
    <w:rsid w:val="00AD463A"/>
    <w:rsid w:val="00AD48BA"/>
    <w:rsid w:val="00AD6DE0"/>
    <w:rsid w:val="00AD7A79"/>
    <w:rsid w:val="00AE11F3"/>
    <w:rsid w:val="00AE18D6"/>
    <w:rsid w:val="00AE536F"/>
    <w:rsid w:val="00AE5C8A"/>
    <w:rsid w:val="00AE6AE7"/>
    <w:rsid w:val="00AE7185"/>
    <w:rsid w:val="00AE79C9"/>
    <w:rsid w:val="00AE7FE9"/>
    <w:rsid w:val="00AF2397"/>
    <w:rsid w:val="00AF278C"/>
    <w:rsid w:val="00AF28B8"/>
    <w:rsid w:val="00AF336F"/>
    <w:rsid w:val="00AF451C"/>
    <w:rsid w:val="00AF49B6"/>
    <w:rsid w:val="00AF5704"/>
    <w:rsid w:val="00AF6144"/>
    <w:rsid w:val="00AF6275"/>
    <w:rsid w:val="00AF65D1"/>
    <w:rsid w:val="00AF6ACD"/>
    <w:rsid w:val="00AF6CB9"/>
    <w:rsid w:val="00AF74B9"/>
    <w:rsid w:val="00B007EB"/>
    <w:rsid w:val="00B04881"/>
    <w:rsid w:val="00B04A75"/>
    <w:rsid w:val="00B06143"/>
    <w:rsid w:val="00B07524"/>
    <w:rsid w:val="00B10F31"/>
    <w:rsid w:val="00B123E3"/>
    <w:rsid w:val="00B1331F"/>
    <w:rsid w:val="00B15F14"/>
    <w:rsid w:val="00B163E6"/>
    <w:rsid w:val="00B17AEC"/>
    <w:rsid w:val="00B17ED8"/>
    <w:rsid w:val="00B215C8"/>
    <w:rsid w:val="00B242A1"/>
    <w:rsid w:val="00B24C8D"/>
    <w:rsid w:val="00B270BD"/>
    <w:rsid w:val="00B27248"/>
    <w:rsid w:val="00B3021B"/>
    <w:rsid w:val="00B31A22"/>
    <w:rsid w:val="00B33506"/>
    <w:rsid w:val="00B3404A"/>
    <w:rsid w:val="00B358FD"/>
    <w:rsid w:val="00B35E61"/>
    <w:rsid w:val="00B40CB7"/>
    <w:rsid w:val="00B42A0A"/>
    <w:rsid w:val="00B42ED3"/>
    <w:rsid w:val="00B44B92"/>
    <w:rsid w:val="00B46E62"/>
    <w:rsid w:val="00B47F61"/>
    <w:rsid w:val="00B515D4"/>
    <w:rsid w:val="00B51E0D"/>
    <w:rsid w:val="00B53221"/>
    <w:rsid w:val="00B5402E"/>
    <w:rsid w:val="00B57184"/>
    <w:rsid w:val="00B62D98"/>
    <w:rsid w:val="00B64EC9"/>
    <w:rsid w:val="00B651C6"/>
    <w:rsid w:val="00B724BA"/>
    <w:rsid w:val="00B726FB"/>
    <w:rsid w:val="00B74F0A"/>
    <w:rsid w:val="00B7516A"/>
    <w:rsid w:val="00B769FD"/>
    <w:rsid w:val="00B76B51"/>
    <w:rsid w:val="00B76D49"/>
    <w:rsid w:val="00B77A9F"/>
    <w:rsid w:val="00B80726"/>
    <w:rsid w:val="00B833FF"/>
    <w:rsid w:val="00B90125"/>
    <w:rsid w:val="00B9128B"/>
    <w:rsid w:val="00B94594"/>
    <w:rsid w:val="00B960E0"/>
    <w:rsid w:val="00B965AA"/>
    <w:rsid w:val="00B9667E"/>
    <w:rsid w:val="00B96840"/>
    <w:rsid w:val="00B971CD"/>
    <w:rsid w:val="00B97526"/>
    <w:rsid w:val="00BA0F25"/>
    <w:rsid w:val="00BA1759"/>
    <w:rsid w:val="00BA21BC"/>
    <w:rsid w:val="00BA509D"/>
    <w:rsid w:val="00BA5207"/>
    <w:rsid w:val="00BA57F5"/>
    <w:rsid w:val="00BB1126"/>
    <w:rsid w:val="00BB1761"/>
    <w:rsid w:val="00BB3E34"/>
    <w:rsid w:val="00BB3F16"/>
    <w:rsid w:val="00BB4FF4"/>
    <w:rsid w:val="00BB50D8"/>
    <w:rsid w:val="00BB7BF5"/>
    <w:rsid w:val="00BC0726"/>
    <w:rsid w:val="00BC1907"/>
    <w:rsid w:val="00BC1AEE"/>
    <w:rsid w:val="00BC3FED"/>
    <w:rsid w:val="00BC3FFF"/>
    <w:rsid w:val="00BC4C62"/>
    <w:rsid w:val="00BC6FB4"/>
    <w:rsid w:val="00BC7391"/>
    <w:rsid w:val="00BC7BCC"/>
    <w:rsid w:val="00BC7D46"/>
    <w:rsid w:val="00BC7E96"/>
    <w:rsid w:val="00BD0EE4"/>
    <w:rsid w:val="00BD175A"/>
    <w:rsid w:val="00BD5983"/>
    <w:rsid w:val="00BD599E"/>
    <w:rsid w:val="00BD6091"/>
    <w:rsid w:val="00BD7909"/>
    <w:rsid w:val="00BE052A"/>
    <w:rsid w:val="00BE3371"/>
    <w:rsid w:val="00BE3748"/>
    <w:rsid w:val="00BE58A1"/>
    <w:rsid w:val="00BE5FAD"/>
    <w:rsid w:val="00BE616E"/>
    <w:rsid w:val="00BE6D79"/>
    <w:rsid w:val="00BE7AC0"/>
    <w:rsid w:val="00BE7FEA"/>
    <w:rsid w:val="00BF0D20"/>
    <w:rsid w:val="00BF1842"/>
    <w:rsid w:val="00BF1978"/>
    <w:rsid w:val="00BF5B5B"/>
    <w:rsid w:val="00BF6FA4"/>
    <w:rsid w:val="00BF7D8A"/>
    <w:rsid w:val="00BF7ED2"/>
    <w:rsid w:val="00C00238"/>
    <w:rsid w:val="00C01CE6"/>
    <w:rsid w:val="00C03254"/>
    <w:rsid w:val="00C0366D"/>
    <w:rsid w:val="00C03B58"/>
    <w:rsid w:val="00C04280"/>
    <w:rsid w:val="00C04C59"/>
    <w:rsid w:val="00C06C7E"/>
    <w:rsid w:val="00C07325"/>
    <w:rsid w:val="00C114E0"/>
    <w:rsid w:val="00C118D3"/>
    <w:rsid w:val="00C11C19"/>
    <w:rsid w:val="00C11EEC"/>
    <w:rsid w:val="00C1491F"/>
    <w:rsid w:val="00C1521C"/>
    <w:rsid w:val="00C15C11"/>
    <w:rsid w:val="00C15E04"/>
    <w:rsid w:val="00C15F7E"/>
    <w:rsid w:val="00C1692C"/>
    <w:rsid w:val="00C16AF7"/>
    <w:rsid w:val="00C211B4"/>
    <w:rsid w:val="00C22B7C"/>
    <w:rsid w:val="00C2349B"/>
    <w:rsid w:val="00C24E8C"/>
    <w:rsid w:val="00C2671D"/>
    <w:rsid w:val="00C3029E"/>
    <w:rsid w:val="00C31767"/>
    <w:rsid w:val="00C31856"/>
    <w:rsid w:val="00C32D1C"/>
    <w:rsid w:val="00C331C3"/>
    <w:rsid w:val="00C34E1F"/>
    <w:rsid w:val="00C350AA"/>
    <w:rsid w:val="00C370BF"/>
    <w:rsid w:val="00C37A26"/>
    <w:rsid w:val="00C37E12"/>
    <w:rsid w:val="00C4042A"/>
    <w:rsid w:val="00C40E9F"/>
    <w:rsid w:val="00C40F9E"/>
    <w:rsid w:val="00C42044"/>
    <w:rsid w:val="00C43118"/>
    <w:rsid w:val="00C44C8A"/>
    <w:rsid w:val="00C54257"/>
    <w:rsid w:val="00C55D62"/>
    <w:rsid w:val="00C567F2"/>
    <w:rsid w:val="00C610BA"/>
    <w:rsid w:val="00C64542"/>
    <w:rsid w:val="00C64642"/>
    <w:rsid w:val="00C65CA9"/>
    <w:rsid w:val="00C67DB5"/>
    <w:rsid w:val="00C71834"/>
    <w:rsid w:val="00C718CF"/>
    <w:rsid w:val="00C73A91"/>
    <w:rsid w:val="00C7471A"/>
    <w:rsid w:val="00C758CE"/>
    <w:rsid w:val="00C75A4F"/>
    <w:rsid w:val="00C77DEA"/>
    <w:rsid w:val="00C8024E"/>
    <w:rsid w:val="00C81400"/>
    <w:rsid w:val="00C821C1"/>
    <w:rsid w:val="00C83530"/>
    <w:rsid w:val="00C83B90"/>
    <w:rsid w:val="00C843B4"/>
    <w:rsid w:val="00C85B4A"/>
    <w:rsid w:val="00C85BE1"/>
    <w:rsid w:val="00C879EE"/>
    <w:rsid w:val="00C916BC"/>
    <w:rsid w:val="00C919D9"/>
    <w:rsid w:val="00C934FA"/>
    <w:rsid w:val="00C9377A"/>
    <w:rsid w:val="00C94A08"/>
    <w:rsid w:val="00C95046"/>
    <w:rsid w:val="00C965DC"/>
    <w:rsid w:val="00CA0417"/>
    <w:rsid w:val="00CA10F5"/>
    <w:rsid w:val="00CA2278"/>
    <w:rsid w:val="00CA3CFB"/>
    <w:rsid w:val="00CA419B"/>
    <w:rsid w:val="00CA44BC"/>
    <w:rsid w:val="00CA4CF1"/>
    <w:rsid w:val="00CB13A3"/>
    <w:rsid w:val="00CB2F82"/>
    <w:rsid w:val="00CB3E90"/>
    <w:rsid w:val="00CB5D9E"/>
    <w:rsid w:val="00CB64D6"/>
    <w:rsid w:val="00CB6C30"/>
    <w:rsid w:val="00CB6C3A"/>
    <w:rsid w:val="00CC2140"/>
    <w:rsid w:val="00CC2427"/>
    <w:rsid w:val="00CC29C2"/>
    <w:rsid w:val="00CC301C"/>
    <w:rsid w:val="00CC3B5D"/>
    <w:rsid w:val="00CC4A0B"/>
    <w:rsid w:val="00CC6644"/>
    <w:rsid w:val="00CD2C11"/>
    <w:rsid w:val="00CD2E97"/>
    <w:rsid w:val="00CD370A"/>
    <w:rsid w:val="00CD3F4E"/>
    <w:rsid w:val="00CD5098"/>
    <w:rsid w:val="00CD6340"/>
    <w:rsid w:val="00CD7E62"/>
    <w:rsid w:val="00CE193B"/>
    <w:rsid w:val="00CE1EF3"/>
    <w:rsid w:val="00CE478D"/>
    <w:rsid w:val="00CE5123"/>
    <w:rsid w:val="00CE5840"/>
    <w:rsid w:val="00CE62BB"/>
    <w:rsid w:val="00CF05D5"/>
    <w:rsid w:val="00CF19B1"/>
    <w:rsid w:val="00CF2739"/>
    <w:rsid w:val="00CF2E94"/>
    <w:rsid w:val="00CF5EED"/>
    <w:rsid w:val="00CF668D"/>
    <w:rsid w:val="00CF7897"/>
    <w:rsid w:val="00D01D19"/>
    <w:rsid w:val="00D0200E"/>
    <w:rsid w:val="00D0246A"/>
    <w:rsid w:val="00D02744"/>
    <w:rsid w:val="00D028E7"/>
    <w:rsid w:val="00D04D9D"/>
    <w:rsid w:val="00D05A69"/>
    <w:rsid w:val="00D0778A"/>
    <w:rsid w:val="00D12817"/>
    <w:rsid w:val="00D12AE7"/>
    <w:rsid w:val="00D14F57"/>
    <w:rsid w:val="00D152B4"/>
    <w:rsid w:val="00D1586F"/>
    <w:rsid w:val="00D17094"/>
    <w:rsid w:val="00D17147"/>
    <w:rsid w:val="00D17C82"/>
    <w:rsid w:val="00D236B0"/>
    <w:rsid w:val="00D237D2"/>
    <w:rsid w:val="00D23FD0"/>
    <w:rsid w:val="00D241EB"/>
    <w:rsid w:val="00D2445C"/>
    <w:rsid w:val="00D25B2C"/>
    <w:rsid w:val="00D2653F"/>
    <w:rsid w:val="00D26B57"/>
    <w:rsid w:val="00D270C5"/>
    <w:rsid w:val="00D304EE"/>
    <w:rsid w:val="00D352D1"/>
    <w:rsid w:val="00D36A21"/>
    <w:rsid w:val="00D37ADB"/>
    <w:rsid w:val="00D40CFA"/>
    <w:rsid w:val="00D40F85"/>
    <w:rsid w:val="00D42178"/>
    <w:rsid w:val="00D4297F"/>
    <w:rsid w:val="00D42E7C"/>
    <w:rsid w:val="00D456CF"/>
    <w:rsid w:val="00D45C68"/>
    <w:rsid w:val="00D45DFA"/>
    <w:rsid w:val="00D46ADA"/>
    <w:rsid w:val="00D47DE9"/>
    <w:rsid w:val="00D50D6A"/>
    <w:rsid w:val="00D52340"/>
    <w:rsid w:val="00D52932"/>
    <w:rsid w:val="00D52976"/>
    <w:rsid w:val="00D53D51"/>
    <w:rsid w:val="00D57D6D"/>
    <w:rsid w:val="00D6006F"/>
    <w:rsid w:val="00D6192B"/>
    <w:rsid w:val="00D61ECF"/>
    <w:rsid w:val="00D658D7"/>
    <w:rsid w:val="00D658DB"/>
    <w:rsid w:val="00D6615D"/>
    <w:rsid w:val="00D66A8C"/>
    <w:rsid w:val="00D66EFF"/>
    <w:rsid w:val="00D670C2"/>
    <w:rsid w:val="00D67E9F"/>
    <w:rsid w:val="00D7155B"/>
    <w:rsid w:val="00D7314C"/>
    <w:rsid w:val="00D7386D"/>
    <w:rsid w:val="00D73C5B"/>
    <w:rsid w:val="00D73D4B"/>
    <w:rsid w:val="00D74AC0"/>
    <w:rsid w:val="00D7761F"/>
    <w:rsid w:val="00D77CF9"/>
    <w:rsid w:val="00D77DEE"/>
    <w:rsid w:val="00D8030C"/>
    <w:rsid w:val="00D82045"/>
    <w:rsid w:val="00D831BC"/>
    <w:rsid w:val="00D83F68"/>
    <w:rsid w:val="00D8407D"/>
    <w:rsid w:val="00D850C5"/>
    <w:rsid w:val="00D86A69"/>
    <w:rsid w:val="00D91516"/>
    <w:rsid w:val="00D931A4"/>
    <w:rsid w:val="00D932B2"/>
    <w:rsid w:val="00D95A61"/>
    <w:rsid w:val="00D9651E"/>
    <w:rsid w:val="00DA338E"/>
    <w:rsid w:val="00DA35C1"/>
    <w:rsid w:val="00DA444A"/>
    <w:rsid w:val="00DA793D"/>
    <w:rsid w:val="00DB1A8F"/>
    <w:rsid w:val="00DB1ED9"/>
    <w:rsid w:val="00DB275D"/>
    <w:rsid w:val="00DB28CB"/>
    <w:rsid w:val="00DB313C"/>
    <w:rsid w:val="00DB35E9"/>
    <w:rsid w:val="00DB66AD"/>
    <w:rsid w:val="00DB70C3"/>
    <w:rsid w:val="00DC2255"/>
    <w:rsid w:val="00DC288C"/>
    <w:rsid w:val="00DC2A35"/>
    <w:rsid w:val="00DC2F83"/>
    <w:rsid w:val="00DC414C"/>
    <w:rsid w:val="00DD0441"/>
    <w:rsid w:val="00DD47E8"/>
    <w:rsid w:val="00DD53B4"/>
    <w:rsid w:val="00DE174E"/>
    <w:rsid w:val="00DE2BA9"/>
    <w:rsid w:val="00DE79F5"/>
    <w:rsid w:val="00DE7DD8"/>
    <w:rsid w:val="00DF0E4D"/>
    <w:rsid w:val="00DF1942"/>
    <w:rsid w:val="00DF2823"/>
    <w:rsid w:val="00DF363D"/>
    <w:rsid w:val="00DF6287"/>
    <w:rsid w:val="00E00647"/>
    <w:rsid w:val="00E01418"/>
    <w:rsid w:val="00E01D2C"/>
    <w:rsid w:val="00E02727"/>
    <w:rsid w:val="00E03FCC"/>
    <w:rsid w:val="00E05672"/>
    <w:rsid w:val="00E059F3"/>
    <w:rsid w:val="00E0750C"/>
    <w:rsid w:val="00E11979"/>
    <w:rsid w:val="00E11E64"/>
    <w:rsid w:val="00E14E09"/>
    <w:rsid w:val="00E15857"/>
    <w:rsid w:val="00E15B62"/>
    <w:rsid w:val="00E15C2C"/>
    <w:rsid w:val="00E166E9"/>
    <w:rsid w:val="00E224D3"/>
    <w:rsid w:val="00E25D8A"/>
    <w:rsid w:val="00E30682"/>
    <w:rsid w:val="00E309AD"/>
    <w:rsid w:val="00E318CF"/>
    <w:rsid w:val="00E33E76"/>
    <w:rsid w:val="00E35AD2"/>
    <w:rsid w:val="00E37463"/>
    <w:rsid w:val="00E41C5C"/>
    <w:rsid w:val="00E4227C"/>
    <w:rsid w:val="00E43CE2"/>
    <w:rsid w:val="00E44B19"/>
    <w:rsid w:val="00E45B85"/>
    <w:rsid w:val="00E46DE8"/>
    <w:rsid w:val="00E46E51"/>
    <w:rsid w:val="00E4722D"/>
    <w:rsid w:val="00E4728A"/>
    <w:rsid w:val="00E4789E"/>
    <w:rsid w:val="00E5190F"/>
    <w:rsid w:val="00E570B4"/>
    <w:rsid w:val="00E60D6A"/>
    <w:rsid w:val="00E615E4"/>
    <w:rsid w:val="00E6221C"/>
    <w:rsid w:val="00E6364F"/>
    <w:rsid w:val="00E63C32"/>
    <w:rsid w:val="00E64489"/>
    <w:rsid w:val="00E65308"/>
    <w:rsid w:val="00E67291"/>
    <w:rsid w:val="00E7227F"/>
    <w:rsid w:val="00E81E5C"/>
    <w:rsid w:val="00E828F8"/>
    <w:rsid w:val="00E82D53"/>
    <w:rsid w:val="00E85319"/>
    <w:rsid w:val="00E8682D"/>
    <w:rsid w:val="00E92662"/>
    <w:rsid w:val="00E93A24"/>
    <w:rsid w:val="00E93F2F"/>
    <w:rsid w:val="00E9503B"/>
    <w:rsid w:val="00E95B0C"/>
    <w:rsid w:val="00EA0533"/>
    <w:rsid w:val="00EA08DA"/>
    <w:rsid w:val="00EA0B16"/>
    <w:rsid w:val="00EA15A5"/>
    <w:rsid w:val="00EA17C4"/>
    <w:rsid w:val="00EA1F34"/>
    <w:rsid w:val="00EA3D2D"/>
    <w:rsid w:val="00EA3D60"/>
    <w:rsid w:val="00EA4A31"/>
    <w:rsid w:val="00EA63E8"/>
    <w:rsid w:val="00EB1723"/>
    <w:rsid w:val="00EB4D82"/>
    <w:rsid w:val="00EB57BF"/>
    <w:rsid w:val="00EB6EE1"/>
    <w:rsid w:val="00EB6F78"/>
    <w:rsid w:val="00EB7AE5"/>
    <w:rsid w:val="00EC1CBD"/>
    <w:rsid w:val="00EC536A"/>
    <w:rsid w:val="00EC6325"/>
    <w:rsid w:val="00EC6490"/>
    <w:rsid w:val="00ED0843"/>
    <w:rsid w:val="00ED0A4D"/>
    <w:rsid w:val="00ED2D82"/>
    <w:rsid w:val="00ED2F93"/>
    <w:rsid w:val="00ED3420"/>
    <w:rsid w:val="00ED477E"/>
    <w:rsid w:val="00ED4E6A"/>
    <w:rsid w:val="00ED5115"/>
    <w:rsid w:val="00ED6C3D"/>
    <w:rsid w:val="00ED7235"/>
    <w:rsid w:val="00EE0A9C"/>
    <w:rsid w:val="00EE1677"/>
    <w:rsid w:val="00EE1696"/>
    <w:rsid w:val="00EE1F7F"/>
    <w:rsid w:val="00EE27BA"/>
    <w:rsid w:val="00EE31D1"/>
    <w:rsid w:val="00EE3447"/>
    <w:rsid w:val="00EE5F72"/>
    <w:rsid w:val="00EE6676"/>
    <w:rsid w:val="00EE6D61"/>
    <w:rsid w:val="00EE72D4"/>
    <w:rsid w:val="00EF09ED"/>
    <w:rsid w:val="00EF2341"/>
    <w:rsid w:val="00EF3CA4"/>
    <w:rsid w:val="00EF4DF7"/>
    <w:rsid w:val="00EF5414"/>
    <w:rsid w:val="00EF77CD"/>
    <w:rsid w:val="00EF78F9"/>
    <w:rsid w:val="00F00AA7"/>
    <w:rsid w:val="00F00AD4"/>
    <w:rsid w:val="00F01009"/>
    <w:rsid w:val="00F01037"/>
    <w:rsid w:val="00F01928"/>
    <w:rsid w:val="00F0271F"/>
    <w:rsid w:val="00F02AE4"/>
    <w:rsid w:val="00F04536"/>
    <w:rsid w:val="00F0666D"/>
    <w:rsid w:val="00F06724"/>
    <w:rsid w:val="00F077E2"/>
    <w:rsid w:val="00F07DDF"/>
    <w:rsid w:val="00F103FB"/>
    <w:rsid w:val="00F125CD"/>
    <w:rsid w:val="00F200E1"/>
    <w:rsid w:val="00F20270"/>
    <w:rsid w:val="00F2048E"/>
    <w:rsid w:val="00F204A6"/>
    <w:rsid w:val="00F21EB8"/>
    <w:rsid w:val="00F22A2E"/>
    <w:rsid w:val="00F23915"/>
    <w:rsid w:val="00F24849"/>
    <w:rsid w:val="00F25218"/>
    <w:rsid w:val="00F2540C"/>
    <w:rsid w:val="00F25DB4"/>
    <w:rsid w:val="00F263F4"/>
    <w:rsid w:val="00F30558"/>
    <w:rsid w:val="00F313C3"/>
    <w:rsid w:val="00F336B1"/>
    <w:rsid w:val="00F3469A"/>
    <w:rsid w:val="00F36839"/>
    <w:rsid w:val="00F36D1B"/>
    <w:rsid w:val="00F409D0"/>
    <w:rsid w:val="00F40EED"/>
    <w:rsid w:val="00F416CB"/>
    <w:rsid w:val="00F44219"/>
    <w:rsid w:val="00F44362"/>
    <w:rsid w:val="00F45A17"/>
    <w:rsid w:val="00F475D5"/>
    <w:rsid w:val="00F502EA"/>
    <w:rsid w:val="00F509CF"/>
    <w:rsid w:val="00F534A7"/>
    <w:rsid w:val="00F541BF"/>
    <w:rsid w:val="00F55C1A"/>
    <w:rsid w:val="00F6384F"/>
    <w:rsid w:val="00F655A9"/>
    <w:rsid w:val="00F6641E"/>
    <w:rsid w:val="00F67C09"/>
    <w:rsid w:val="00F71767"/>
    <w:rsid w:val="00F72A12"/>
    <w:rsid w:val="00F72C22"/>
    <w:rsid w:val="00F73860"/>
    <w:rsid w:val="00F74AAD"/>
    <w:rsid w:val="00F7615A"/>
    <w:rsid w:val="00F763F6"/>
    <w:rsid w:val="00F80E80"/>
    <w:rsid w:val="00F81694"/>
    <w:rsid w:val="00F81F81"/>
    <w:rsid w:val="00F822E1"/>
    <w:rsid w:val="00F82792"/>
    <w:rsid w:val="00F83FD5"/>
    <w:rsid w:val="00F85734"/>
    <w:rsid w:val="00F86819"/>
    <w:rsid w:val="00F87F65"/>
    <w:rsid w:val="00F93CC4"/>
    <w:rsid w:val="00F93E8C"/>
    <w:rsid w:val="00F9430D"/>
    <w:rsid w:val="00F96632"/>
    <w:rsid w:val="00F9703B"/>
    <w:rsid w:val="00FA17DB"/>
    <w:rsid w:val="00FA1CE4"/>
    <w:rsid w:val="00FA226C"/>
    <w:rsid w:val="00FA439A"/>
    <w:rsid w:val="00FA5E3E"/>
    <w:rsid w:val="00FA6B67"/>
    <w:rsid w:val="00FA76CB"/>
    <w:rsid w:val="00FB2FC1"/>
    <w:rsid w:val="00FB3300"/>
    <w:rsid w:val="00FB367D"/>
    <w:rsid w:val="00FB3820"/>
    <w:rsid w:val="00FB4E2F"/>
    <w:rsid w:val="00FB69BB"/>
    <w:rsid w:val="00FB721A"/>
    <w:rsid w:val="00FC388C"/>
    <w:rsid w:val="00FC682B"/>
    <w:rsid w:val="00FC75C9"/>
    <w:rsid w:val="00FD029F"/>
    <w:rsid w:val="00FD5C14"/>
    <w:rsid w:val="00FD612F"/>
    <w:rsid w:val="00FD6626"/>
    <w:rsid w:val="00FD697B"/>
    <w:rsid w:val="00FD70A0"/>
    <w:rsid w:val="00FE00EE"/>
    <w:rsid w:val="00FE092E"/>
    <w:rsid w:val="00FE10C6"/>
    <w:rsid w:val="00FE15D2"/>
    <w:rsid w:val="00FE16DE"/>
    <w:rsid w:val="00FE291F"/>
    <w:rsid w:val="00FE3444"/>
    <w:rsid w:val="00FE3ADE"/>
    <w:rsid w:val="00FE4C3E"/>
    <w:rsid w:val="00FE4F87"/>
    <w:rsid w:val="00FE54B2"/>
    <w:rsid w:val="00FE672B"/>
    <w:rsid w:val="00FE70E3"/>
    <w:rsid w:val="00FF0471"/>
    <w:rsid w:val="00FF1877"/>
    <w:rsid w:val="00FF3B15"/>
    <w:rsid w:val="00FF435B"/>
    <w:rsid w:val="00FF6A76"/>
    <w:rsid w:val="129E0DD1"/>
    <w:rsid w:val="17C30464"/>
    <w:rsid w:val="27DA3AE0"/>
    <w:rsid w:val="2E712558"/>
    <w:rsid w:val="4A266FBC"/>
    <w:rsid w:val="522E0F43"/>
    <w:rsid w:val="55FF22FB"/>
    <w:rsid w:val="5C720915"/>
    <w:rsid w:val="6B6128B8"/>
    <w:rsid w:val="6FE03315"/>
    <w:rsid w:val="7AF61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Char"/>
    <w:link w:val="3"/>
    <w:qFormat/>
    <w:uiPriority w:val="0"/>
    <w:rPr>
      <w:kern w:val="2"/>
      <w:sz w:val="18"/>
      <w:szCs w:val="18"/>
    </w:rPr>
  </w:style>
  <w:style w:type="character" w:customStyle="1" w:styleId="8">
    <w:name w:val="页脚 Char"/>
    <w:link w:val="2"/>
    <w:qFormat/>
    <w:uiPriority w:val="0"/>
    <w:rPr>
      <w:kern w:val="2"/>
      <w:sz w:val="18"/>
      <w:szCs w:val="18"/>
    </w:rPr>
  </w:style>
  <w:style w:type="paragraph" w:styleId="9">
    <w:name w:val="No Spacing"/>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47"/>
    <customShpInfo spid="_x0000_s1050"/>
    <customShpInfo spid="_x0000_s1048"/>
    <customShpInfo spid="_x0000_s1046"/>
    <customShpInfo spid="_x0000_s1031"/>
    <customShpInfo spid="_x0000_s1032"/>
    <customShpInfo spid="_x0000_s1033"/>
    <customShpInfo spid="_x0000_s1034"/>
    <customShpInfo spid="_x0000_s1035"/>
    <customShpInfo spid="_x0000_s1036"/>
    <customShpInfo spid="_x0000_s1037"/>
    <customShpInfo spid="_x0000_s1038"/>
    <customShpInfo spid="_x0000_s1026"/>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22</Pages>
  <Words>10862</Words>
  <Characters>12311</Characters>
  <Lines>93</Lines>
  <Paragraphs>26</Paragraphs>
  <TotalTime>11</TotalTime>
  <ScaleCrop>false</ScaleCrop>
  <LinksUpToDate>false</LinksUpToDate>
  <CharactersWithSpaces>12439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2022-03-09T02:19:00Z</dcterms:created>
  <dc:creator>卫生局</dc:creator>
  <cp:lastModifiedBy>Administrator</cp:lastModifiedBy>
  <dcterms:modified xsi:type="dcterms:W3CDTF">2024-06-20T08:52:20Z</dcterms:modified>
  <dc:title>原蓝田县卫生和计划生育局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81E057ED5757436EB3A7FA9B70234C98_12</vt:lpwstr>
  </property>
</Properties>
</file>