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FFFFF"/>
        <w:kinsoku/>
        <w:wordWrap/>
        <w:overflowPunct/>
        <w:topLinePunct w:val="0"/>
        <w:autoSpaceDE/>
        <w:autoSpaceDN/>
        <w:bidi w:val="0"/>
        <w:spacing w:before="0" w:beforeAutospacing="0" w:after="0" w:afterAutospacing="0" w:line="560" w:lineRule="exact"/>
        <w:jc w:val="center"/>
        <w:textAlignment w:val="auto"/>
        <w:rPr>
          <w:rFonts w:hint="eastAsia" w:ascii="方正小标宋简体" w:hAnsi="方正小标宋简体" w:eastAsia="方正小标宋简体" w:cs="方正小标宋简体"/>
          <w:color w:val="3D3D3C"/>
          <w:sz w:val="44"/>
          <w:szCs w:val="44"/>
          <w:shd w:val="clear" w:color="auto" w:fill="FFFFFF"/>
        </w:rPr>
      </w:pPr>
      <w:r>
        <w:rPr>
          <w:rFonts w:hint="eastAsia" w:ascii="方正小标宋简体" w:hAnsi="方正小标宋简体" w:eastAsia="方正小标宋简体" w:cs="方正小标宋简体"/>
          <w:color w:val="3D3D3C"/>
          <w:sz w:val="44"/>
          <w:szCs w:val="44"/>
          <w:shd w:val="clear" w:color="auto" w:fill="FFFFFF"/>
        </w:rPr>
        <w:t>蓝田县人民政府政务服务中心</w:t>
      </w:r>
    </w:p>
    <w:p>
      <w:pPr>
        <w:keepNext w:val="0"/>
        <w:keepLines w:val="0"/>
        <w:pageBreakBefore w:val="0"/>
        <w:kinsoku/>
        <w:wordWrap/>
        <w:overflowPunct/>
        <w:topLinePunct w:val="0"/>
        <w:autoSpaceDE/>
        <w:autoSpaceDN/>
        <w:bidi w:val="0"/>
        <w:adjustRightInd w:val="0"/>
        <w:snapToGrid w:val="0"/>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2020年部门综合预算说明</w:t>
      </w:r>
    </w:p>
    <w:p>
      <w:pPr>
        <w:spacing w:line="360" w:lineRule="auto"/>
        <w:ind w:firstLine="643"/>
        <w:jc w:val="center"/>
        <w:rPr>
          <w:rFonts w:hint="eastAsia" w:ascii="仿宋" w:hAnsi="仿宋" w:eastAsia="仿宋" w:cs="仿宋"/>
          <w:b/>
          <w:bCs/>
          <w:sz w:val="32"/>
          <w:szCs w:val="32"/>
        </w:rPr>
      </w:pP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目  录</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第一部分   部门概况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一、部门主要职责及机构设置</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二、2020年年度部门工作任务</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三、部门预算单位构成</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四、部门人员情况说明</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第二部分   收支情况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五、2020年部门预算收支说明</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第三部分   其他说明情况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六、部门预算“三公”经费等情况说明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七、部门国有资产占有使用及资产购置情况说明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八、部门政府采购情况说明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九、部门预算绩效目标说明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十、机关运行经费安排说明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十一、专业名词解释</w:t>
      </w:r>
    </w:p>
    <w:p>
      <w:pPr>
        <w:spacing w:line="360" w:lineRule="auto"/>
        <w:ind w:firstLine="643"/>
        <w:jc w:val="center"/>
        <w:rPr>
          <w:rFonts w:ascii="仿宋" w:hAnsi="仿宋" w:eastAsia="仿宋" w:cs="仿宋"/>
          <w:sz w:val="32"/>
          <w:szCs w:val="32"/>
        </w:rPr>
      </w:pPr>
      <w:r>
        <w:rPr>
          <w:rFonts w:hint="eastAsia" w:ascii="仿宋" w:hAnsi="仿宋" w:eastAsia="仿宋" w:cs="仿宋"/>
          <w:b/>
          <w:bCs/>
          <w:sz w:val="32"/>
          <w:szCs w:val="32"/>
        </w:rPr>
        <w:t>第四部分   公开报表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（具体部门预算公开报表）</w:t>
      </w:r>
    </w:p>
    <w:p>
      <w:pPr>
        <w:spacing w:line="360" w:lineRule="auto"/>
        <w:ind w:firstLine="643"/>
        <w:jc w:val="center"/>
        <w:rPr>
          <w:rFonts w:ascii="仿宋" w:hAnsi="仿宋" w:eastAsia="仿宋" w:cs="仿宋"/>
          <w:b/>
          <w:bCs/>
          <w:sz w:val="32"/>
          <w:szCs w:val="32"/>
        </w:rPr>
      </w:pPr>
    </w:p>
    <w:p>
      <w:pPr>
        <w:spacing w:line="360" w:lineRule="auto"/>
        <w:ind w:firstLine="643"/>
        <w:jc w:val="center"/>
        <w:rPr>
          <w:rFonts w:ascii="仿宋" w:hAnsi="仿宋" w:eastAsia="仿宋" w:cs="仿宋"/>
          <w:b/>
          <w:bCs/>
          <w:sz w:val="32"/>
          <w:szCs w:val="32"/>
        </w:rPr>
      </w:pPr>
    </w:p>
    <w:p>
      <w:pPr>
        <w:spacing w:line="360" w:lineRule="auto"/>
        <w:rPr>
          <w:rFonts w:ascii="仿宋" w:hAnsi="仿宋" w:eastAsia="仿宋" w:cs="仿宋"/>
          <w:b/>
          <w:bCs/>
          <w:sz w:val="32"/>
          <w:szCs w:val="32"/>
        </w:rPr>
      </w:pPr>
    </w:p>
    <w:p>
      <w:pPr>
        <w:spacing w:line="360" w:lineRule="auto"/>
        <w:jc w:val="center"/>
        <w:rPr>
          <w:rFonts w:ascii="宋体" w:hAnsi="宋体" w:cs="宋体"/>
          <w:b/>
          <w:bCs/>
          <w:color w:val="3D3D3C"/>
          <w:sz w:val="36"/>
          <w:szCs w:val="36"/>
          <w:shd w:val="clear" w:color="auto" w:fill="FFFFFF"/>
        </w:rPr>
      </w:pPr>
      <w:r>
        <w:rPr>
          <w:rFonts w:hint="eastAsia" w:ascii="宋体" w:hAnsi="宋体" w:cs="宋体"/>
          <w:b/>
          <w:bCs/>
          <w:color w:val="3D3D3C"/>
          <w:sz w:val="36"/>
          <w:szCs w:val="36"/>
          <w:shd w:val="clear" w:color="auto" w:fill="FFFFFF"/>
        </w:rPr>
        <w:t>蓝田县人民政府政务服务中心</w:t>
      </w:r>
    </w:p>
    <w:p>
      <w:pPr>
        <w:pStyle w:val="4"/>
        <w:widowControl/>
        <w:shd w:val="clear" w:color="auto" w:fill="FFFFFF"/>
        <w:spacing w:before="0" w:beforeAutospacing="0" w:after="0" w:afterAutospacing="0"/>
        <w:jc w:val="center"/>
        <w:rPr>
          <w:rFonts w:ascii="宋体" w:hAnsi="宋体" w:cs="宋体"/>
          <w:b/>
          <w:bCs/>
          <w:color w:val="3D3D3C"/>
          <w:sz w:val="36"/>
          <w:szCs w:val="36"/>
          <w:shd w:val="clear" w:color="auto" w:fill="FFFFFF"/>
        </w:rPr>
      </w:pPr>
      <w:r>
        <w:rPr>
          <w:rFonts w:hint="eastAsia" w:ascii="宋体" w:hAnsi="宋体" w:cs="宋体"/>
          <w:b/>
          <w:bCs/>
          <w:color w:val="3D3D3C"/>
          <w:sz w:val="36"/>
          <w:szCs w:val="36"/>
          <w:shd w:val="clear" w:color="auto" w:fill="FFFFFF"/>
        </w:rPr>
        <w:t>2020年部门综合预算说明</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第一部分   部门概况</w:t>
      </w:r>
    </w:p>
    <w:p>
      <w:pPr>
        <w:pStyle w:val="4"/>
        <w:widowControl/>
        <w:shd w:val="clear" w:color="auto" w:fill="FFFFFF"/>
        <w:spacing w:before="0" w:beforeAutospacing="0" w:after="0" w:afterAutospacing="0"/>
        <w:jc w:val="center"/>
        <w:rPr>
          <w:rFonts w:ascii="宋体" w:hAnsi="宋体" w:cs="宋体"/>
          <w:b/>
          <w:bCs/>
          <w:color w:val="3D3D3C"/>
          <w:sz w:val="36"/>
          <w:szCs w:val="36"/>
          <w:shd w:val="clear" w:color="auto" w:fill="FFFFFF"/>
        </w:rPr>
      </w:pPr>
    </w:p>
    <w:p>
      <w:pPr>
        <w:pStyle w:val="4"/>
        <w:widowControl/>
        <w:numPr>
          <w:ilvl w:val="0"/>
          <w:numId w:val="1"/>
        </w:numPr>
        <w:shd w:val="clear" w:color="auto" w:fill="FFFFFF"/>
        <w:spacing w:before="0" w:beforeAutospacing="0" w:after="0" w:afterAutospacing="0" w:line="360" w:lineRule="auto"/>
        <w:ind w:firstLine="420"/>
        <w:jc w:val="both"/>
        <w:rPr>
          <w:rFonts w:ascii="仿宋_GB2312" w:hAnsi="仿宋_GB2312" w:eastAsia="仿宋_GB2312" w:cs="仿宋_GB2312"/>
          <w:b/>
          <w:bCs/>
          <w:color w:val="3D3D3C"/>
          <w:sz w:val="32"/>
          <w:szCs w:val="32"/>
          <w:shd w:val="clear" w:color="auto" w:fill="FFFFFF"/>
        </w:rPr>
      </w:pPr>
      <w:r>
        <w:rPr>
          <w:rFonts w:hint="eastAsia" w:ascii="仿宋_GB2312" w:hAnsi="仿宋_GB2312" w:eastAsia="仿宋_GB2312" w:cs="仿宋_GB2312"/>
          <w:b/>
          <w:bCs/>
          <w:color w:val="3D3D3C"/>
          <w:sz w:val="32"/>
          <w:szCs w:val="32"/>
          <w:shd w:val="clear" w:color="auto" w:fill="FFFFFF"/>
        </w:rPr>
        <w:t>部门主要职能及机构设置</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b/>
          <w:bCs/>
          <w:color w:val="3D3D3C"/>
          <w:sz w:val="32"/>
          <w:szCs w:val="32"/>
        </w:rPr>
      </w:pPr>
      <w:r>
        <w:rPr>
          <w:rFonts w:hint="eastAsia" w:ascii="仿宋_GB2312" w:hAnsi="仿宋_GB2312" w:eastAsia="仿宋_GB2312" w:cs="仿宋_GB2312"/>
          <w:b/>
          <w:bCs/>
          <w:color w:val="3D3D3C"/>
          <w:sz w:val="32"/>
          <w:szCs w:val="32"/>
          <w:shd w:val="clear" w:color="auto" w:fill="FFFFFF"/>
        </w:rPr>
        <w:t>（一）部门主要职责</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1、贯彻执行《行政许可法》和行政审批制度改革方面的法律法规，起草有关实施细则并组织实施。</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2、负责县级部门行政审批项目集中办理的组织实施；建立完善工作流程，协调进驻单位行政审批有关工作；负责对审批事项进行督查、督办。</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3、负责对进驻中心的部门及其工作人员进行管理和考核。</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4、负责受理服务对象对窗口单位及其工作人员的服务质量、办事效率、工作作风等方面的投诉。</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5、组织、协调投资项目联合审批和项目跟踪服务。</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6、制定规范中心业务运行和工作人员管理的规章制度、管理办法并组织实施。</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7、负责全县政务及行政审批信息网络建设和有关统计工作。</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8、负责指导乡镇政务大厅工作。</w:t>
      </w:r>
    </w:p>
    <w:p>
      <w:pPr>
        <w:pStyle w:val="4"/>
        <w:widowControl/>
        <w:shd w:val="clear" w:color="auto" w:fill="FFFFFF"/>
        <w:spacing w:before="0" w:beforeAutospacing="0" w:after="0" w:afterAutospacing="0" w:line="360" w:lineRule="auto"/>
        <w:ind w:firstLine="420"/>
        <w:jc w:val="both"/>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9、完成上级交办的其他工作。</w:t>
      </w:r>
    </w:p>
    <w:p>
      <w:pPr>
        <w:spacing w:line="360" w:lineRule="auto"/>
        <w:ind w:firstLine="643" w:firstLineChars="200"/>
        <w:rPr>
          <w:rFonts w:ascii="仿宋_GB2312" w:hAnsi="仿宋_GB2312" w:eastAsia="仿宋_GB2312" w:cs="仿宋_GB2312"/>
          <w:b/>
          <w:color w:val="3D3D3C"/>
          <w:kern w:val="0"/>
          <w:sz w:val="32"/>
          <w:szCs w:val="32"/>
          <w:shd w:val="clear" w:color="auto" w:fill="FFFFFF"/>
        </w:rPr>
      </w:pPr>
      <w:r>
        <w:rPr>
          <w:rFonts w:hint="eastAsia" w:ascii="仿宋_GB2312" w:hAnsi="仿宋_GB2312" w:eastAsia="仿宋_GB2312" w:cs="仿宋_GB2312"/>
          <w:b/>
          <w:sz w:val="32"/>
          <w:szCs w:val="32"/>
        </w:rPr>
        <w:t>（</w:t>
      </w:r>
      <w:r>
        <w:rPr>
          <w:rFonts w:hint="eastAsia" w:ascii="仿宋_GB2312" w:hAnsi="仿宋_GB2312" w:eastAsia="仿宋_GB2312" w:cs="仿宋_GB2312"/>
          <w:b/>
          <w:color w:val="3D3D3C"/>
          <w:kern w:val="0"/>
          <w:sz w:val="32"/>
          <w:szCs w:val="32"/>
          <w:shd w:val="clear" w:color="auto" w:fill="FFFFFF"/>
        </w:rPr>
        <w:t>二）机构设置</w:t>
      </w:r>
    </w:p>
    <w:p>
      <w:pPr>
        <w:pStyle w:val="4"/>
        <w:widowControl/>
        <w:shd w:val="clear" w:color="auto" w:fill="FFFFFF"/>
        <w:spacing w:before="0" w:beforeAutospacing="0" w:after="0" w:afterAutospacing="0" w:line="360" w:lineRule="auto"/>
        <w:ind w:firstLine="960" w:firstLineChars="300"/>
        <w:jc w:val="both"/>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依据部门三定方案，蓝田县人民政府政务服务中心为县政府直属事业单位。</w:t>
      </w:r>
    </w:p>
    <w:p>
      <w:pPr>
        <w:pStyle w:val="4"/>
        <w:widowControl/>
        <w:shd w:val="clear" w:color="auto" w:fill="FFFFFF"/>
        <w:spacing w:before="0" w:beforeAutospacing="0" w:after="0" w:afterAutospacing="0" w:line="360" w:lineRule="auto"/>
        <w:ind w:firstLine="964" w:firstLineChars="300"/>
        <w:jc w:val="both"/>
        <w:rPr>
          <w:rFonts w:ascii="仿宋_GB2312" w:hAnsi="仿宋_GB2312" w:eastAsia="仿宋_GB2312" w:cs="仿宋_GB2312"/>
          <w:b/>
          <w:bCs/>
          <w:color w:val="3D3D3C"/>
          <w:sz w:val="32"/>
          <w:szCs w:val="32"/>
          <w:shd w:val="clear" w:color="auto" w:fill="FFFFFF"/>
        </w:rPr>
      </w:pPr>
      <w:r>
        <w:rPr>
          <w:rFonts w:hint="eastAsia" w:ascii="仿宋_GB2312" w:hAnsi="仿宋_GB2312" w:eastAsia="仿宋_GB2312" w:cs="仿宋_GB2312"/>
          <w:b/>
          <w:bCs/>
          <w:color w:val="3D3D3C"/>
          <w:sz w:val="32"/>
          <w:szCs w:val="32"/>
          <w:shd w:val="clear" w:color="auto" w:fill="FFFFFF"/>
        </w:rPr>
        <w:t>二、2020年年度部门工作任务及目标</w:t>
      </w:r>
    </w:p>
    <w:p>
      <w:pPr>
        <w:spacing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（一）着力推进党建规范化建设。一是加强政治建设，开展专项活动。</w:t>
      </w:r>
      <w:r>
        <w:rPr>
          <w:rFonts w:hint="eastAsia" w:ascii="仿宋_GB2312" w:hAnsi="仿宋_GB2312" w:eastAsia="仿宋_GB2312" w:cs="仿宋_GB2312"/>
          <w:color w:val="000000"/>
          <w:sz w:val="32"/>
          <w:szCs w:val="32"/>
        </w:rPr>
        <w:t>充分利用中心党组会、工作例会、专题部署会、“固定党日”、“三会一课”活动等形式，学习习近平总书记系列</w:t>
      </w:r>
      <w:r>
        <w:rPr>
          <w:rFonts w:hint="eastAsia" w:ascii="仿宋_GB2312" w:hAnsi="仿宋_GB2312" w:eastAsia="仿宋_GB2312" w:cs="仿宋_GB2312"/>
          <w:color w:val="000000"/>
          <w:sz w:val="32"/>
          <w:szCs w:val="32"/>
          <w:lang w:val="en-US" w:eastAsia="zh-CN"/>
        </w:rPr>
        <w:t>重要</w:t>
      </w:r>
      <w:r>
        <w:rPr>
          <w:rFonts w:hint="eastAsia" w:ascii="仿宋_GB2312" w:hAnsi="仿宋_GB2312" w:eastAsia="仿宋_GB2312" w:cs="仿宋_GB2312"/>
          <w:color w:val="000000"/>
          <w:sz w:val="32"/>
          <w:szCs w:val="32"/>
        </w:rPr>
        <w:t>讲话精神，持续推进“两学一做”学习教育、“讲政治、敢担当、改作风”专题教育常态化制度化，认真组织开展“不忘初心、牢记使命”主题教育。</w:t>
      </w:r>
      <w:r>
        <w:rPr>
          <w:rFonts w:hint="eastAsia" w:ascii="仿宋_GB2312" w:hAnsi="仿宋_GB2312" w:eastAsia="仿宋_GB2312" w:cs="仿宋_GB2312"/>
          <w:b/>
          <w:color w:val="000000"/>
          <w:sz w:val="32"/>
          <w:szCs w:val="32"/>
        </w:rPr>
        <w:t>二是加强理论学习，强化理论武装。</w:t>
      </w:r>
      <w:r>
        <w:rPr>
          <w:rFonts w:hint="eastAsia" w:ascii="仿宋_GB2312" w:hAnsi="仿宋_GB2312" w:eastAsia="仿宋_GB2312" w:cs="仿宋_GB2312"/>
          <w:color w:val="000000"/>
          <w:sz w:val="32"/>
          <w:szCs w:val="32"/>
        </w:rPr>
        <w:t>深入学习贯彻</w:t>
      </w:r>
      <w:r>
        <w:rPr>
          <w:rFonts w:hint="eastAsia" w:ascii="仿宋_GB2312" w:hAnsi="仿宋_GB2312" w:eastAsia="仿宋_GB2312" w:cs="仿宋_GB2312"/>
          <w:sz w:val="32"/>
          <w:szCs w:val="32"/>
        </w:rPr>
        <w:t>习近平总书记系列</w:t>
      </w:r>
      <w:r>
        <w:rPr>
          <w:rFonts w:hint="eastAsia" w:ascii="仿宋_GB2312" w:hAnsi="仿宋_GB2312" w:eastAsia="仿宋_GB2312" w:cs="仿宋_GB2312"/>
          <w:sz w:val="32"/>
          <w:szCs w:val="32"/>
          <w:lang w:val="en-US" w:eastAsia="zh-CN"/>
        </w:rPr>
        <w:t>重要</w:t>
      </w:r>
      <w:r>
        <w:rPr>
          <w:rFonts w:hint="eastAsia" w:ascii="仿宋_GB2312" w:hAnsi="仿宋_GB2312" w:eastAsia="仿宋_GB2312" w:cs="仿宋_GB2312"/>
          <w:sz w:val="32"/>
          <w:szCs w:val="32"/>
        </w:rPr>
        <w:t>讲话精神及</w:t>
      </w:r>
      <w:r>
        <w:rPr>
          <w:rFonts w:hint="eastAsia" w:ascii="仿宋_GB2312" w:hAnsi="仿宋_GB2312" w:eastAsia="仿宋_GB2312" w:cs="仿宋_GB2312"/>
          <w:color w:val="000000"/>
          <w:sz w:val="32"/>
          <w:szCs w:val="32"/>
        </w:rPr>
        <w:t>中央、省市县各项会议精神，加强理想信念教育，深入推进支部标准化建设，抓好党员教育、管理、服务和发展工作，严格党内政治生活，健全机关党建工作责任体系。</w:t>
      </w:r>
      <w:r>
        <w:rPr>
          <w:rFonts w:hint="eastAsia" w:ascii="仿宋_GB2312" w:hAnsi="仿宋_GB2312" w:eastAsia="仿宋_GB2312" w:cs="仿宋_GB2312"/>
          <w:sz w:val="32"/>
          <w:szCs w:val="32"/>
        </w:rPr>
        <w:t>通过“主题党日”，“三会一课”、学习会议等方式，组织党员认真学习《习近平关于“不忘初心、牢记使命”论述</w:t>
      </w:r>
      <w:r>
        <w:rPr>
          <w:rFonts w:hint="eastAsia" w:ascii="仿宋_GB2312" w:hAnsi="仿宋_GB2312" w:eastAsia="仿宋_GB2312" w:cs="仿宋_GB2312"/>
          <w:sz w:val="32"/>
          <w:szCs w:val="32"/>
          <w:lang w:eastAsia="zh-CN"/>
        </w:rPr>
        <w:t>摘</w:t>
      </w:r>
      <w:r>
        <w:rPr>
          <w:rFonts w:hint="eastAsia" w:ascii="仿宋_GB2312" w:hAnsi="仿宋_GB2312" w:eastAsia="仿宋_GB2312" w:cs="仿宋_GB2312"/>
          <w:sz w:val="32"/>
          <w:szCs w:val="32"/>
        </w:rPr>
        <w:t>编》《</w:t>
      </w:r>
      <w:bookmarkStart w:id="0" w:name="_GoBack"/>
      <w:bookmarkEnd w:id="0"/>
      <w:r>
        <w:rPr>
          <w:rFonts w:hint="eastAsia" w:ascii="仿宋_GB2312" w:hAnsi="仿宋_GB2312" w:eastAsia="仿宋_GB2312" w:cs="仿宋_GB2312"/>
          <w:sz w:val="32"/>
          <w:szCs w:val="32"/>
        </w:rPr>
        <w:t>习近平新时代中国特色社会主义思想学习纲要》等必学篇目，并组织党员干部结合学习和工作实际开展了10次集中研讨学习，以10个主题开展交流发言，把学习教育抓到实处，确保人人参与学习、人人深入思考、人人皆有收获。</w:t>
      </w:r>
      <w:r>
        <w:rPr>
          <w:rFonts w:hint="eastAsia" w:ascii="仿宋_GB2312" w:hAnsi="仿宋_GB2312" w:eastAsia="仿宋_GB2312" w:cs="仿宋_GB2312"/>
          <w:b/>
          <w:color w:val="000000"/>
          <w:sz w:val="32"/>
          <w:szCs w:val="32"/>
        </w:rPr>
        <w:t>三是加强党风廉政教育，树牢廉政意识。</w:t>
      </w:r>
      <w:r>
        <w:rPr>
          <w:rFonts w:hint="eastAsia" w:ascii="仿宋_GB2312" w:hAnsi="仿宋_GB2312" w:eastAsia="仿宋_GB2312" w:cs="仿宋_GB2312"/>
          <w:color w:val="000000"/>
          <w:sz w:val="32"/>
          <w:szCs w:val="32"/>
        </w:rPr>
        <w:t>认真学习中央、省、市党风廉政建设和反腐败斗争工作的有关会议精神，做好专题党课教育。</w:t>
      </w:r>
      <w:r>
        <w:rPr>
          <w:rFonts w:hint="eastAsia" w:ascii="仿宋_GB2312" w:hAnsi="仿宋_GB2312" w:eastAsia="仿宋_GB2312" w:cs="仿宋_GB2312"/>
          <w:sz w:val="32"/>
          <w:szCs w:val="32"/>
        </w:rPr>
        <w:t>组织全体党员参观苏维埃纪念馆、当代愚公纪念馆等革命阵地，激发党员干部传承红色基因，勇于干事创业的热情。</w:t>
      </w:r>
      <w:r>
        <w:rPr>
          <w:rFonts w:hint="eastAsia" w:ascii="仿宋_GB2312" w:hAnsi="仿宋_GB2312" w:eastAsia="仿宋_GB2312" w:cs="仿宋_GB2312"/>
          <w:color w:val="000000"/>
          <w:sz w:val="32"/>
          <w:szCs w:val="32"/>
        </w:rPr>
        <w:t>观看反腐倡廉正反面教育片，做到用正面典型引路，用反面事例警示，从而不断增强党员干部的廉政意识和法制观念，使党员干部在工作过程中自重、自警、自省、自觉廉洁从政，履行使命。</w:t>
      </w:r>
    </w:p>
    <w:p>
      <w:pPr>
        <w:spacing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（二）着力推进机构改革稳步实施。</w:t>
      </w:r>
      <w:r>
        <w:rPr>
          <w:rFonts w:hint="eastAsia" w:ascii="仿宋_GB2312" w:hAnsi="仿宋_GB2312" w:eastAsia="仿宋_GB2312" w:cs="仿宋_GB2312"/>
          <w:b/>
          <w:color w:val="000000"/>
          <w:sz w:val="32"/>
          <w:szCs w:val="32"/>
        </w:rPr>
        <w:t>一是规范行政审批局机构设置。</w:t>
      </w:r>
      <w:r>
        <w:rPr>
          <w:rFonts w:hint="eastAsia" w:ascii="仿宋_GB2312" w:hAnsi="仿宋_GB2312" w:eastAsia="仿宋_GB2312" w:cs="仿宋_GB2312"/>
          <w:color w:val="000000"/>
          <w:sz w:val="32"/>
          <w:szCs w:val="32"/>
        </w:rPr>
        <w:t>对照市上下发的《蓝田县集中行政许可权改革方案》，按照县编办相关文件要求，拟定行政审批局“三定方案”、内设机构及人员转隶工作方案、新建政务中心布局及运行方案和工作人员临选及招聘方案。</w:t>
      </w:r>
      <w:r>
        <w:rPr>
          <w:rFonts w:hint="eastAsia" w:ascii="仿宋_GB2312" w:hAnsi="仿宋_GB2312" w:eastAsia="仿宋_GB2312" w:cs="仿宋_GB2312"/>
          <w:b/>
          <w:color w:val="000000"/>
          <w:sz w:val="32"/>
          <w:szCs w:val="32"/>
        </w:rPr>
        <w:t>二是推进行政许可事项及人员划转。</w:t>
      </w:r>
      <w:r>
        <w:rPr>
          <w:rFonts w:hint="eastAsia" w:ascii="仿宋_GB2312" w:hAnsi="仿宋_GB2312" w:eastAsia="仿宋_GB2312" w:cs="仿宋_GB2312"/>
          <w:color w:val="000000"/>
          <w:sz w:val="32"/>
          <w:szCs w:val="32"/>
        </w:rPr>
        <w:t>积极同相关部门协调，明确划转事项和划转人员。拟划转审批事项288主项434子项，按照属性相近的原则进行归类，设立4个审批科室，进一步优化行政审批事项清单，简化办理流程，加快审批服务办理事项流程优化再造，推进“一窗受理，集成服务”工作模式稳步实施。</w:t>
      </w:r>
    </w:p>
    <w:p>
      <w:pPr>
        <w:tabs>
          <w:tab w:val="center" w:pos="4153"/>
        </w:tabs>
        <w:spacing w:line="560" w:lineRule="exact"/>
        <w:ind w:firstLine="643" w:firstLineChars="200"/>
        <w:rPr>
          <w:rFonts w:ascii="仿宋_GB2312" w:hAnsi="仿宋_GB2312" w:eastAsia="仿宋_GB2312" w:cs="仿宋_GB2312"/>
          <w:sz w:val="32"/>
          <w:szCs w:val="32"/>
          <w:highlight w:val="yellow"/>
        </w:rPr>
      </w:pPr>
      <w:r>
        <w:rPr>
          <w:rFonts w:hint="eastAsia" w:ascii="仿宋_GB2312" w:hAnsi="仿宋_GB2312" w:eastAsia="仿宋_GB2312" w:cs="仿宋_GB2312"/>
          <w:b/>
          <w:color w:val="000000"/>
          <w:sz w:val="32"/>
          <w:szCs w:val="32"/>
        </w:rPr>
        <w:t>（三）着力推进“互联网+政务服务”优化提效。一是推行网上受理审批。</w:t>
      </w:r>
      <w:r>
        <w:rPr>
          <w:rFonts w:hint="eastAsia" w:ascii="仿宋_GB2312" w:hAnsi="仿宋_GB2312" w:eastAsia="仿宋_GB2312" w:cs="仿宋_GB2312"/>
          <w:sz w:val="32"/>
          <w:szCs w:val="32"/>
        </w:rPr>
        <w:t>以政务服务网为载体，配置网上政务服务事项流程735项，对所有事项实施清单要素逐一核查，做到要素齐全、无空白、无差错；探索24小时网办机制，结合个人网络终端设备，实行24小时提交资料、即时受理、及时办结，工商营业执照等事项已经实现24小时网办，“不见面审批”将进一步推广。</w:t>
      </w:r>
      <w:r>
        <w:rPr>
          <w:rFonts w:hint="eastAsia" w:ascii="仿宋_GB2312" w:hAnsi="仿宋_GB2312" w:eastAsia="仿宋_GB2312" w:cs="仿宋_GB2312"/>
          <w:b/>
          <w:color w:val="000000"/>
          <w:sz w:val="32"/>
          <w:szCs w:val="32"/>
        </w:rPr>
        <w:t>二是构建“一网通办”平台。</w:t>
      </w:r>
      <w:r>
        <w:rPr>
          <w:rFonts w:hint="eastAsia" w:ascii="仿宋_GB2312" w:hAnsi="仿宋_GB2312" w:eastAsia="仿宋_GB2312" w:cs="仿宋_GB2312"/>
          <w:sz w:val="32"/>
          <w:szCs w:val="32"/>
        </w:rPr>
        <w:t>以政务服务网为载体，深化“放管服”改革，大力推进“互联网+政务服务”。配合"一网通办"总门户上线，完善市数字化转型运营管理平台事项信息，重新梳理各部门市级事项库，逐部门逐事项核对，共梳理事项718项，配置审批流程，收集审批人员信息，确认网办流程，首批总门户推送上线事项274项；同时组织19个镇街对1235项事项办事指南进行完善，为“一网通办”工作奠定坚实基础。</w:t>
      </w:r>
      <w:r>
        <w:rPr>
          <w:rFonts w:hint="eastAsia" w:ascii="仿宋_GB2312" w:hAnsi="仿宋_GB2312" w:eastAsia="仿宋_GB2312" w:cs="仿宋_GB2312"/>
          <w:b/>
          <w:color w:val="000000"/>
          <w:sz w:val="32"/>
          <w:szCs w:val="32"/>
        </w:rPr>
        <w:t>三是大力推广“i西安”政务服务APP运用。</w:t>
      </w:r>
      <w:r>
        <w:rPr>
          <w:rFonts w:hint="eastAsia" w:ascii="仿宋_GB2312" w:hAnsi="仿宋_GB2312" w:eastAsia="仿宋_GB2312" w:cs="仿宋_GB2312"/>
          <w:sz w:val="32"/>
          <w:szCs w:val="32"/>
        </w:rPr>
        <w:t>以公安、人社、教育、卫生健康、民政、房管等领域为重点，整合各类移动办事终端现有功能，优化、充实“西安政务服务APP”服务功能，建成“i西安”政务服务APP，推进涉及范围广、应用频率高、与个人密切相关的便民服务事项向移动端延伸，真正实现“掌上办”“指尖办”。</w:t>
      </w:r>
    </w:p>
    <w:p>
      <w:pPr>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color w:val="000000"/>
          <w:sz w:val="32"/>
          <w:szCs w:val="32"/>
        </w:rPr>
        <w:t>（四）着力推进政务服务环境提升和营商环境优化。一是严格落实365天“不打烊”、24小时服务不间断。</w:t>
      </w:r>
      <w:r>
        <w:rPr>
          <w:rFonts w:hint="eastAsia" w:ascii="仿宋_GB2312" w:hAnsi="仿宋_GB2312" w:eastAsia="仿宋_GB2312" w:cs="仿宋_GB2312"/>
          <w:color w:val="000000"/>
          <w:sz w:val="32"/>
          <w:szCs w:val="32"/>
        </w:rPr>
        <w:t>为持续推进行政效能革命，提高政务服务水平，方便企业、群众办事，县政务中心继续开展周末节假日延时服务,践行“365天不打烊”服务承诺，</w:t>
      </w:r>
      <w:r>
        <w:rPr>
          <w:rFonts w:hint="eastAsia" w:ascii="仿宋_GB2312" w:hAnsi="仿宋_GB2312" w:eastAsia="仿宋_GB2312" w:cs="仿宋_GB2312"/>
          <w:sz w:val="32"/>
          <w:szCs w:val="32"/>
        </w:rPr>
        <w:t>完善办事指南300余项，并全部在县政府网站上公布。</w:t>
      </w:r>
      <w:r>
        <w:rPr>
          <w:rFonts w:hint="eastAsia" w:ascii="仿宋_GB2312" w:hAnsi="仿宋_GB2312" w:eastAsia="仿宋_GB2312" w:cs="仿宋_GB2312"/>
          <w:b/>
          <w:color w:val="000000"/>
          <w:sz w:val="32"/>
          <w:szCs w:val="32"/>
        </w:rPr>
        <w:t>二是规范中介服务。</w:t>
      </w:r>
      <w:r>
        <w:rPr>
          <w:rFonts w:hint="eastAsia" w:ascii="仿宋_GB2312" w:hAnsi="仿宋_GB2312" w:eastAsia="仿宋_GB2312" w:cs="仿宋_GB2312"/>
          <w:sz w:val="32"/>
          <w:szCs w:val="32"/>
        </w:rPr>
        <w:t>针对中介服务中存在的环节多、耗时长、收费乱、垄断性强等问题，制定《蓝田县规范中介服务专项行动方案》，公布《陕西省省市县三级中介服务事项通用目录》，完善《蓝田县规范中介服务工作管理制度》，配合市政务中心，组建政务服务网中介服务超市，将中介服务的不可控变为可控，实现简易、快捷的审批服务方式。</w:t>
      </w:r>
      <w:r>
        <w:rPr>
          <w:rFonts w:hint="eastAsia" w:ascii="仿宋_GB2312" w:hAnsi="仿宋_GB2312" w:eastAsia="仿宋_GB2312" w:cs="仿宋_GB2312"/>
          <w:b/>
          <w:bCs/>
          <w:sz w:val="32"/>
          <w:szCs w:val="32"/>
        </w:rPr>
        <w:t>三</w:t>
      </w:r>
      <w:r>
        <w:rPr>
          <w:rFonts w:hint="eastAsia" w:ascii="仿宋_GB2312" w:hAnsi="仿宋_GB2312" w:eastAsia="仿宋_GB2312" w:cs="仿宋_GB2312"/>
          <w:b/>
          <w:bCs/>
          <w:color w:val="000000"/>
          <w:sz w:val="32"/>
          <w:szCs w:val="32"/>
        </w:rPr>
        <w:t>是加强新址建设。</w:t>
      </w:r>
      <w:r>
        <w:rPr>
          <w:rFonts w:hint="eastAsia" w:ascii="仿宋_GB2312" w:hAnsi="仿宋_GB2312" w:eastAsia="仿宋_GB2312" w:cs="仿宋_GB2312"/>
          <w:color w:val="000000"/>
          <w:sz w:val="32"/>
          <w:szCs w:val="32"/>
        </w:rPr>
        <w:t>为进一步优化为群众办事的服务环境，新建政务服务中心，建筑面积6880平方米，已于2018年10月封顶，正在按照计划进行室内装修，同时拟定新办公大厅内部管理和运行制度。</w:t>
      </w:r>
    </w:p>
    <w:p>
      <w:pPr>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color w:val="000000"/>
          <w:sz w:val="32"/>
          <w:szCs w:val="32"/>
        </w:rPr>
        <w:t>（五）着力推进政务服务方式多样化和便民化。</w:t>
      </w:r>
      <w:r>
        <w:rPr>
          <w:rFonts w:hint="eastAsia" w:ascii="仿宋_GB2312" w:hAnsi="仿宋_GB2312" w:eastAsia="仿宋_GB2312" w:cs="仿宋_GB2312"/>
          <w:b/>
          <w:bCs/>
          <w:sz w:val="32"/>
          <w:szCs w:val="32"/>
        </w:rPr>
        <w:t>一是开展代办服务。</w:t>
      </w:r>
      <w:r>
        <w:rPr>
          <w:rFonts w:hint="eastAsia" w:ascii="仿宋_GB2312" w:hAnsi="仿宋_GB2312" w:eastAsia="仿宋_GB2312" w:cs="仿宋_GB2312"/>
          <w:bCs/>
          <w:sz w:val="32"/>
          <w:szCs w:val="32"/>
        </w:rPr>
        <w:t>抽调发改、资源规划、住建、环保、气象、文旅体等行政审批科室负责人，组成以局班子成员为负责人的代办队伍，参加市行政审批局代办帮办业务培训，组织县级部门业务骨干开展代办培训。为恒大幼儿园、盛兴家园、北城贡院、韵达快递、中固石油、白鹿汀洲、县体育场、县档案馆等20余个建设、投资类项目，代办事项80余项，有力促进了项目落地、建设进度。</w:t>
      </w:r>
      <w:r>
        <w:rPr>
          <w:rFonts w:hint="eastAsia" w:ascii="仿宋_GB2312" w:hAnsi="仿宋_GB2312" w:eastAsia="仿宋_GB2312" w:cs="仿宋_GB2312"/>
          <w:b/>
          <w:bCs/>
          <w:sz w:val="32"/>
          <w:szCs w:val="32"/>
        </w:rPr>
        <w:t>二是开展帮办服务。</w:t>
      </w:r>
      <w:r>
        <w:rPr>
          <w:rFonts w:hint="eastAsia" w:ascii="仿宋_GB2312" w:hAnsi="仿宋_GB2312" w:eastAsia="仿宋_GB2312" w:cs="仿宋_GB2312"/>
          <w:bCs/>
          <w:sz w:val="32"/>
          <w:szCs w:val="32"/>
        </w:rPr>
        <w:t>通过公益性</w:t>
      </w:r>
      <w:r>
        <w:rPr>
          <w:rFonts w:hint="eastAsia" w:ascii="仿宋_GB2312" w:hAnsi="仿宋_GB2312" w:eastAsia="仿宋_GB2312" w:cs="仿宋_GB2312"/>
          <w:sz w:val="32"/>
          <w:szCs w:val="32"/>
        </w:rPr>
        <w:t>岗位、合同聘用的方式，招聘工作人员5名，负责各窗口帮办工作，帮助年老、行动不便等特殊群众、企业人员办理事项。三是开展上门服务。与县残联、中医医院、益康精神病院合作，对全县19个镇街疑似残疾人上门进行等级鉴定，组织上门入户152人次，走访评定疑似残疾人621人，办理残疾证508个，上门为山区老年人办理老年证200多张，真正把服务送到群众家门口。</w:t>
      </w:r>
    </w:p>
    <w:p>
      <w:pPr>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（六）着力推进“15分钟政务服务圈”功能完善提升。</w:t>
      </w:r>
      <w:r>
        <w:rPr>
          <w:rFonts w:hint="eastAsia" w:ascii="仿宋_GB2312" w:hAnsi="仿宋_GB2312" w:eastAsia="仿宋_GB2312" w:cs="仿宋_GB2312"/>
          <w:b/>
          <w:sz w:val="32"/>
          <w:szCs w:val="32"/>
        </w:rPr>
        <w:t>一是</w:t>
      </w:r>
      <w:r>
        <w:rPr>
          <w:rFonts w:hint="eastAsia" w:ascii="仿宋_GB2312" w:hAnsi="仿宋_GB2312" w:eastAsia="仿宋_GB2312" w:cs="仿宋_GB2312"/>
          <w:sz w:val="32"/>
          <w:szCs w:val="32"/>
        </w:rPr>
        <w:t>按照“方便、快捷、贴心、周到”的为民服务理念，拟定“15分钟政务服务圈”实方案，制定《蓝田县基层便民服务站（室）标准化建设指导意见》，完善审批服务“马上办、网上办、就近办、一次办”清单，梳理公民全生命周期个人办事清单，打造“15分钟政务服务圈”。</w:t>
      </w:r>
      <w:r>
        <w:rPr>
          <w:rFonts w:hint="eastAsia" w:ascii="仿宋_GB2312" w:hAnsi="仿宋_GB2312" w:eastAsia="仿宋_GB2312" w:cs="仿宋_GB2312"/>
          <w:b/>
          <w:bCs/>
          <w:sz w:val="32"/>
          <w:szCs w:val="32"/>
        </w:rPr>
        <w:t>二是</w:t>
      </w:r>
      <w:r>
        <w:rPr>
          <w:rFonts w:hint="eastAsia" w:ascii="仿宋_GB2312" w:hAnsi="仿宋_GB2312" w:eastAsia="仿宋_GB2312" w:cs="仿宋_GB2312"/>
          <w:color w:val="000000"/>
          <w:sz w:val="32"/>
          <w:szCs w:val="32"/>
        </w:rPr>
        <w:t>建设第一批“15分钟政务服务圈”试点，启动焦岱镇、九间房张坪村和天鹅湖社区、新民街社区4个便民服务站室标准化建设，玉山镇杨寨村和灞源镇、玉山镇2个移民社区便民服</w:t>
      </w:r>
      <w:r>
        <w:rPr>
          <w:rFonts w:hint="eastAsia" w:ascii="仿宋_GB2312" w:hAnsi="仿宋_GB2312" w:eastAsia="仿宋_GB2312" w:cs="仿宋_GB2312"/>
          <w:sz w:val="32"/>
          <w:szCs w:val="32"/>
        </w:rPr>
        <w:t>务室功能进一步完善提升；将老年证、残疾证等高频事项办理推向各站点，借助邮政公司惠民兑付系统和农行网点，将水电费收缴和养老、低保、五保、合疗等资金领取整合进驻各站点；借助广电网络，在各服务站点推广铺设“i西安”“爱蓝田”个人办事平台，方便群众通过自助终端和手机办理事项，最大程度的降低群众办事成本。</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color w:val="000000"/>
          <w:sz w:val="32"/>
          <w:szCs w:val="32"/>
        </w:rPr>
        <w:t>（七）着力提升“12345市民热线”办结率和满意度。</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坚持落实“群众利益无小事”工作主旨，不断创新工作方法，强化督办考核，加大解决问题力度，充分发挥“12345市民热线平台”民生直通车的作用，切实为群众排忧解难。2019年累计共接收工单9338件，其中电话工单8773件、多媒体工单565件，已回复9338件，回复率100% 。</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完善工作机制。创建“三级承办”制度、实行“专人跟办”制度、县级领导批办督导制度、坚持“一线”解决问题和严把“主体责任”关口。先后到孟村镇李华村、安村镇寇坡村、洩湖镇沙河村等村组调查、走访、一线调处问题100余次，县级领导累计批示、协调解决重大、复杂、疑难工单102次，通过为群众解决一件件紧事、急事、烦心事、难缠事，全面提升县域群众的幸福感、获得感和满意度。</w:t>
      </w:r>
    </w:p>
    <w:p>
      <w:pPr>
        <w:tabs>
          <w:tab w:val="left" w:pos="5152"/>
        </w:tabs>
        <w:spacing w:line="560" w:lineRule="exact"/>
        <w:rPr>
          <w:rFonts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bCs/>
          <w:color w:val="3D3D3C"/>
          <w:sz w:val="32"/>
          <w:szCs w:val="32"/>
          <w:shd w:val="clear" w:color="auto" w:fill="FFFFFF"/>
        </w:rPr>
        <w:t>三、部门预算单位构成</w:t>
      </w:r>
    </w:p>
    <w:p>
      <w:pPr>
        <w:pStyle w:val="4"/>
        <w:widowControl/>
        <w:shd w:val="clear" w:color="auto" w:fill="FFFFFF"/>
        <w:spacing w:before="0" w:beforeAutospacing="0" w:after="0" w:afterAutospacing="0" w:line="360" w:lineRule="auto"/>
        <w:ind w:firstLine="420"/>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从预算单位构成看，本部门的部门预算包括蓝田县人民政府政务服务中心部门本级预算 。</w:t>
      </w:r>
    </w:p>
    <w:p>
      <w:pPr>
        <w:pStyle w:val="4"/>
        <w:widowControl/>
        <w:shd w:val="clear" w:color="auto" w:fill="FFFFFF"/>
        <w:spacing w:before="0" w:beforeAutospacing="0" w:after="0" w:afterAutospacing="0" w:line="360" w:lineRule="auto"/>
        <w:ind w:firstLine="420"/>
        <w:rPr>
          <w:rFonts w:ascii="仿宋_GB2312" w:hAnsi="仿宋_GB2312" w:eastAsia="仿宋_GB2312" w:cs="仿宋_GB2312"/>
          <w:color w:val="3D3D3C"/>
          <w:sz w:val="32"/>
          <w:szCs w:val="32"/>
        </w:rPr>
      </w:pPr>
    </w:p>
    <w:tbl>
      <w:tblPr>
        <w:tblStyle w:val="5"/>
        <w:tblW w:w="0" w:type="auto"/>
        <w:jc w:val="center"/>
        <w:tblCellSpacing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950"/>
        <w:gridCol w:w="577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jc w:val="center"/>
        </w:trPr>
        <w:tc>
          <w:tcPr>
            <w:tcW w:w="950" w:type="dxa"/>
            <w:vAlign w:val="center"/>
          </w:tcPr>
          <w:p>
            <w:pPr>
              <w:pStyle w:val="4"/>
              <w:widowControl/>
              <w:spacing w:before="0" w:beforeAutospacing="0" w:after="0" w:afterAutospacing="0"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5770" w:type="dxa"/>
            <w:vAlign w:val="center"/>
          </w:tcPr>
          <w:p>
            <w:pPr>
              <w:pStyle w:val="4"/>
              <w:widowControl/>
              <w:spacing w:before="0" w:beforeAutospacing="0" w:after="0" w:afterAutospacing="0"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jc w:val="center"/>
        </w:trPr>
        <w:tc>
          <w:tcPr>
            <w:tcW w:w="950" w:type="dxa"/>
            <w:vAlign w:val="center"/>
          </w:tcPr>
          <w:p>
            <w:pPr>
              <w:pStyle w:val="4"/>
              <w:widowControl/>
              <w:spacing w:before="0" w:beforeAutospacing="0" w:after="0" w:afterAutospacing="0"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5770" w:type="dxa"/>
            <w:vAlign w:val="center"/>
          </w:tcPr>
          <w:p>
            <w:pPr>
              <w:pStyle w:val="4"/>
              <w:widowControl/>
              <w:spacing w:before="0" w:beforeAutospacing="0" w:after="0" w:afterAutospacing="0"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蓝田县人民政府政务服务中心</w:t>
            </w:r>
          </w:p>
        </w:tc>
      </w:tr>
    </w:tbl>
    <w:p>
      <w:pPr>
        <w:pStyle w:val="4"/>
        <w:widowControl/>
        <w:shd w:val="clear" w:color="auto" w:fill="FFFFFF"/>
        <w:spacing w:before="0" w:beforeAutospacing="0" w:after="0" w:afterAutospacing="0" w:line="360" w:lineRule="auto"/>
        <w:ind w:firstLine="643" w:firstLineChars="200"/>
        <w:jc w:val="both"/>
        <w:rPr>
          <w:rFonts w:ascii="仿宋_GB2312" w:hAnsi="仿宋_GB2312" w:eastAsia="仿宋_GB2312" w:cs="仿宋_GB2312"/>
          <w:b/>
          <w:bCs/>
          <w:color w:val="3D3D3C"/>
          <w:sz w:val="32"/>
          <w:szCs w:val="32"/>
        </w:rPr>
      </w:pPr>
      <w:r>
        <w:rPr>
          <w:rFonts w:hint="eastAsia" w:ascii="仿宋_GB2312" w:hAnsi="仿宋_GB2312" w:eastAsia="仿宋_GB2312" w:cs="仿宋_GB2312"/>
          <w:b/>
          <w:bCs/>
          <w:color w:val="3D3D3C"/>
          <w:sz w:val="32"/>
          <w:szCs w:val="32"/>
          <w:shd w:val="clear" w:color="auto" w:fill="FFFFFF"/>
        </w:rPr>
        <w:t>四、部门人员情况说明</w:t>
      </w:r>
    </w:p>
    <w:p>
      <w:pPr>
        <w:spacing w:line="360" w:lineRule="auto"/>
        <w:ind w:firstLine="640" w:firstLineChars="200"/>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截至2019年底，本部门共有人员编制5人，其中行政编制2人，事业编制3人。</w:t>
      </w:r>
      <w:r>
        <w:rPr>
          <w:rFonts w:hint="eastAsia" w:ascii="仿宋_GB2312" w:hAnsi="仿宋_GB2312" w:eastAsia="仿宋_GB2312" w:cs="仿宋_GB2312"/>
          <w:color w:val="000000"/>
          <w:sz w:val="32"/>
          <w:szCs w:val="32"/>
          <w:shd w:val="clear" w:color="auto" w:fill="FFFFFF"/>
        </w:rPr>
        <w:t>实有人员5人，其中行政1人，事业4人，离退休人员0人。</w:t>
      </w:r>
    </w:p>
    <w:p>
      <w:pPr>
        <w:spacing w:line="360" w:lineRule="auto"/>
        <w:ind w:firstLine="640" w:firstLineChars="200"/>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drawing>
          <wp:inline distT="0" distB="0" distL="0" distR="0">
            <wp:extent cx="4574540" cy="2747645"/>
            <wp:effectExtent l="12197" t="6099" r="6099"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第二部分  收支情况</w:t>
      </w:r>
    </w:p>
    <w:p>
      <w:pPr>
        <w:pBdr>
          <w:bottom w:val="single" w:color="FFFFFF" w:sz="6" w:space="31"/>
        </w:pBdr>
        <w:tabs>
          <w:tab w:val="left" w:pos="7380"/>
        </w:tabs>
        <w:autoSpaceDE w:val="0"/>
        <w:autoSpaceDN w:val="0"/>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五、2020年部门预算收支情况</w:t>
      </w:r>
    </w:p>
    <w:p>
      <w:pPr>
        <w:pBdr>
          <w:bottom w:val="single" w:color="FFFFFF" w:sz="6" w:space="31"/>
        </w:pBdr>
        <w:tabs>
          <w:tab w:val="left" w:pos="7380"/>
        </w:tabs>
        <w:autoSpaceDE w:val="0"/>
        <w:autoSpaceDN w:val="0"/>
        <w:spacing w:line="360" w:lineRule="auto"/>
        <w:ind w:firstLine="617" w:firstLineChars="192"/>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（一）收支预算总体情况</w:t>
      </w:r>
    </w:p>
    <w:p>
      <w:pPr>
        <w:pBdr>
          <w:bottom w:val="single" w:color="FFFFFF" w:sz="6" w:space="31"/>
        </w:pBdr>
        <w:tabs>
          <w:tab w:val="left" w:pos="7380"/>
        </w:tabs>
        <w:autoSpaceDE w:val="0"/>
        <w:autoSpaceDN w:val="0"/>
        <w:spacing w:line="360" w:lineRule="auto"/>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2020年本部门预算收入403663.36元，其中一般公共预算拨款收入403663.36元，2020年本部门预算收入较上年增加70463.16元；主要原因是：1、机关事业单位基本养老保险缴费支出增加；2、因机构改革原由财政代缴事业单位医疗、公务员医疗补助、其他卫生健康支出保险费2019年未纳入部门预算，2020年起纳入部门预算；3、2019年3月调入一名工作人员，2020年工资纳入部门预算；4、中心工作人员正常工资调整收入增加；2020年本部门预算支出403663.36元，其中一般公共预算拨款支出403663.36元。2020年本部门预算支出较上年增加70463.16元；主要原因是：1、机关事业单位基本养老保险缴费支出增加；2、因机构改革原由财政代缴事业单位医疗、公务员医疗补助、其他卫生健康支出保险费2019年未纳入部门预算，2020年起纳入部门预算；3、2019年3月调入一名工作人员，2020年工资纳入部门预算；4、中心工作人员正常工资调整收入增加；</w:t>
      </w:r>
    </w:p>
    <w:p>
      <w:pPr>
        <w:pBdr>
          <w:bottom w:val="single" w:color="FFFFFF" w:sz="6" w:space="31"/>
        </w:pBdr>
        <w:tabs>
          <w:tab w:val="left" w:pos="7380"/>
        </w:tabs>
        <w:autoSpaceDE w:val="0"/>
        <w:autoSpaceDN w:val="0"/>
        <w:spacing w:line="360" w:lineRule="auto"/>
        <w:ind w:firstLine="321" w:firstLineChars="1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（二）财政拨款收支情况</w:t>
      </w:r>
    </w:p>
    <w:p>
      <w:pPr>
        <w:pBdr>
          <w:bottom w:val="single" w:color="FFFFFF" w:sz="6" w:space="31"/>
        </w:pBdr>
        <w:tabs>
          <w:tab w:val="left" w:pos="7380"/>
        </w:tabs>
        <w:autoSpaceDE w:val="0"/>
        <w:autoSpaceDN w:val="0"/>
        <w:spacing w:line="360" w:lineRule="auto"/>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2020年本部门财政拨款收入403663.36元，其中一般公共预算拨款收入403663.36元，2020年本部门预算支出较上年增加70463.16元；主要原因是：1、机关事业单位基本养老保险缴费支出增加；2、因机构改革原由财政代缴事业单位医疗、公务员医疗补助、其他卫生健康支出保险费2019年未纳入部门预算，2020年起纳入部门预算；3、2019年3月调入一名工作人员，2020年工资纳入部门预算；4、中心工作人员正常工资调整收入增加； 2020年本部门财政拨款支出403663.36元，其中一般公共预算拨款支出403663.36元。</w:t>
      </w:r>
    </w:p>
    <w:p>
      <w:pPr>
        <w:pBdr>
          <w:bottom w:val="single" w:color="FFFFFF" w:sz="6" w:space="31"/>
        </w:pBdr>
        <w:tabs>
          <w:tab w:val="left" w:pos="7380"/>
        </w:tabs>
        <w:autoSpaceDE w:val="0"/>
        <w:autoSpaceDN w:val="0"/>
        <w:spacing w:line="360" w:lineRule="auto"/>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2020年本部门财政拨款支出较上年增加70463.16元；主要原因是：1、机关事业单位基本养老保险缴费支出增加；2、因机构改革原由财政代缴事业单位医疗、公务员医疗补助、其他卫生健康支出保险费2019年未纳入部门预算，2020年起纳入部门预算；3、2019年3月调入一名工作人员，2020年工资纳入部门预算；4、中心工作人员正常工资调整收入增加。            </w:t>
      </w:r>
    </w:p>
    <w:p>
      <w:pPr>
        <w:numPr>
          <w:ilvl w:val="0"/>
          <w:numId w:val="2"/>
        </w:numPr>
        <w:pBdr>
          <w:bottom w:val="single" w:color="FFFFFF" w:sz="6" w:space="31"/>
        </w:pBdr>
        <w:tabs>
          <w:tab w:val="left" w:pos="7380"/>
        </w:tabs>
        <w:autoSpaceDE w:val="0"/>
        <w:autoSpaceDN w:val="0"/>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一般公共预算拨款支出明细情况</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1、一般公共预算当年拨款规模变化情况</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本部门一般公共预算拨款支出403663.36元，较上年增加403663.36元；主要原因是：1、机关事业单位基本养老保险缴费支出增加；2、因机构改革原由财政代缴事业单位医疗、公务员医疗补助、其他卫生健康支出保险费2019年未纳入部门预算，2020年起纳入部门预算；3、2019年3月调入一名工作人员，2020年工资纳入部门预算；4、中心工作人员正常工资调整收入增加。</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2、机关支出按功能科目分类的明细情况   </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本部门2020年一般公共预算支出403663.36元，其中：</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（1）机关事业单位基本养老保险缴费支出（2080505）48155.52元，较上年增加4540.32元，增加原因是人员增加及工资变动。上年无此项预算科目。</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（2）事业运行（2010350）325899元较上年增加36314元，增加原因是人员工资变动及调入一名工作人员工资。</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(3) 事业单位医疗(2101103)10180.2元，较上年增加10180.2元，增加原因是上年无此项预算科目。</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（4）公务员医疗补助（2101103）480元，较上年增加480元，增加原因是上年无此项预算科目。</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（5）其他卫生健康支出(2109901)1016.88元，较上年增加1016.88元，增加原因是上年无此项预算科目。</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3、机关支出按经济科目分类的明细情况</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（1）按照部门预算支出经济分类及科目说明。</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2020年本部门一般公共预算支出403663.36元，其中：</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工资福利支出385731.6元，与上年相比增加65531.4元，增加原因：1、机关事业单位基本养老保险缴费支出增加；2、因机构改革原由财政代缴事业单位医疗、公务员医疗补助、其他卫生健康支出保险费2019年未纳入部门预算，2020年起纳入部门预算；3、2019年3月调入一名工作人员，2020年工资纳入部门预算；4、中心工作人员正常工资调整收入增加；</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2、商品和服务支出17931.76元，与上年相比增加4931.76元，增加原因：1、2019年调入一名工作人员，人员经费增加；2、2019年工会经费未纳入部门预算，2020年将工会经费纳入预算。</w:t>
      </w:r>
    </w:p>
    <w:p>
      <w:pPr>
        <w:pBdr>
          <w:bottom w:val="single" w:color="FFFFFF" w:sz="6" w:space="31"/>
        </w:pBdr>
        <w:tabs>
          <w:tab w:val="left" w:pos="7380"/>
        </w:tabs>
        <w:autoSpaceDE w:val="0"/>
        <w:autoSpaceDN w:val="0"/>
        <w:spacing w:line="360" w:lineRule="auto"/>
        <w:ind w:firstLine="160" w:firstLineChars="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（2）按照政府预算支出经济分类的类及科目说明。</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2020年本部门一般公共预算支出403663.36元，其中：</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工资福利支出385731.6元，与上年相比增加65531.4元，增加原因：1、机关事业单位基本养老保险缴费支出增加；2、因机构改革原由财政代缴事业单位医疗、公务员医疗补助、其他卫生健康支出保险费2019年未纳入部门预算，2020年起纳入部门预算；3、2019年3月调入一名工作人员，2020年工资纳入部门预算；4、中心工作人员正常工资调整收入增加；</w:t>
      </w:r>
    </w:p>
    <w:p>
      <w:pPr>
        <w:pBdr>
          <w:bottom w:val="single" w:color="FFFFFF" w:sz="6" w:space="31"/>
        </w:pBdr>
        <w:tabs>
          <w:tab w:val="left" w:pos="7380"/>
        </w:tabs>
        <w:autoSpaceDE w:val="0"/>
        <w:autoSpaceDN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2、商品和服务支出17931.76元，与上年相比增加4931.76元，增加原因：1、2019年调入一名工作人员，人员经费增加；2、2019年工会经费未纳入部门预算，2020年将工会经费纳入预算。</w:t>
      </w:r>
    </w:p>
    <w:p>
      <w:pPr>
        <w:pBdr>
          <w:bottom w:val="single" w:color="FFFFFF" w:sz="6" w:space="31"/>
        </w:pBdr>
        <w:tabs>
          <w:tab w:val="left" w:pos="7380"/>
        </w:tabs>
        <w:autoSpaceDE w:val="0"/>
        <w:autoSpaceDN w:val="0"/>
        <w:spacing w:line="360" w:lineRule="auto"/>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3、2019年结转财政资金一般公共预算拨款支出情况。</w:t>
      </w:r>
    </w:p>
    <w:p>
      <w:pPr>
        <w:pBdr>
          <w:bottom w:val="single" w:color="FFFFFF" w:sz="6" w:space="31"/>
        </w:pBdr>
        <w:tabs>
          <w:tab w:val="left" w:pos="7380"/>
        </w:tabs>
        <w:autoSpaceDE w:val="0"/>
        <w:autoSpaceDN w:val="0"/>
        <w:spacing w:line="360" w:lineRule="auto"/>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本部门无2019年结转的一般公共预算拨款资金支出。</w:t>
      </w:r>
    </w:p>
    <w:p>
      <w:pPr>
        <w:pBdr>
          <w:bottom w:val="single" w:color="FFFFFF" w:sz="6" w:space="31"/>
        </w:pBdr>
        <w:tabs>
          <w:tab w:val="left" w:pos="7380"/>
        </w:tabs>
        <w:autoSpaceDE w:val="0"/>
        <w:autoSpaceDN w:val="0"/>
        <w:spacing w:line="360" w:lineRule="auto"/>
        <w:ind w:firstLine="320" w:firstLineChars="100"/>
        <w:rPr>
          <w:rFonts w:ascii="仿宋" w:hAnsi="仿宋" w:eastAsia="仿宋" w:cs="宋体"/>
          <w:color w:val="000000"/>
          <w:kern w:val="0"/>
          <w:sz w:val="32"/>
          <w:szCs w:val="32"/>
        </w:rPr>
      </w:pPr>
      <w:r>
        <w:rPr>
          <w:rFonts w:hint="eastAsia" w:ascii="仿宋" w:hAnsi="仿宋" w:eastAsia="仿宋" w:cs="宋体"/>
          <w:color w:val="000000"/>
          <w:kern w:val="0"/>
          <w:sz w:val="32"/>
          <w:szCs w:val="32"/>
        </w:rPr>
        <w:t>（四）政府性基金预算收支情况。</w:t>
      </w:r>
    </w:p>
    <w:p>
      <w:pPr>
        <w:pBdr>
          <w:bottom w:val="single" w:color="FFFFFF" w:sz="6" w:space="31"/>
        </w:pBdr>
        <w:tabs>
          <w:tab w:val="left" w:pos="7380"/>
        </w:tabs>
        <w:autoSpaceDE w:val="0"/>
        <w:autoSpaceDN w:val="0"/>
        <w:spacing w:line="360" w:lineRule="auto"/>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本部门无当年政府性基金预算收支，并已公开空表。</w:t>
      </w:r>
    </w:p>
    <w:p>
      <w:pPr>
        <w:pBdr>
          <w:bottom w:val="single" w:color="FFFFFF" w:sz="6" w:space="31"/>
        </w:pBdr>
        <w:tabs>
          <w:tab w:val="left" w:pos="7380"/>
        </w:tabs>
        <w:autoSpaceDE w:val="0"/>
        <w:autoSpaceDN w:val="0"/>
        <w:spacing w:line="360" w:lineRule="auto"/>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本部门无2019年结转的政府性基金预算拨款支出。</w:t>
      </w:r>
    </w:p>
    <w:p>
      <w:pPr>
        <w:pBdr>
          <w:bottom w:val="single" w:color="FFFFFF" w:sz="6" w:space="31"/>
        </w:pBdr>
        <w:tabs>
          <w:tab w:val="left" w:pos="7380"/>
        </w:tabs>
        <w:autoSpaceDE w:val="0"/>
        <w:autoSpaceDN w:val="0"/>
        <w:spacing w:line="360" w:lineRule="auto"/>
        <w:ind w:firstLine="320" w:firstLineChars="100"/>
        <w:rPr>
          <w:rFonts w:ascii="仿宋" w:hAnsi="仿宋" w:eastAsia="仿宋" w:cs="宋体"/>
          <w:color w:val="000000"/>
          <w:kern w:val="0"/>
          <w:sz w:val="32"/>
          <w:szCs w:val="32"/>
        </w:rPr>
      </w:pPr>
      <w:r>
        <w:rPr>
          <w:rFonts w:hint="eastAsia" w:ascii="仿宋" w:hAnsi="仿宋" w:eastAsia="仿宋" w:cs="宋体"/>
          <w:color w:val="000000"/>
          <w:kern w:val="0"/>
          <w:sz w:val="32"/>
          <w:szCs w:val="32"/>
        </w:rPr>
        <w:t>（五）国有资本经营预算拨款支出情况。本部门2020年无当年国有资本经营预算拨款支出，并已公开空表。</w:t>
      </w:r>
    </w:p>
    <w:p>
      <w:pPr>
        <w:pBdr>
          <w:bottom w:val="single" w:color="FFFFFF" w:sz="6" w:space="31"/>
        </w:pBdr>
        <w:tabs>
          <w:tab w:val="left" w:pos="7380"/>
        </w:tabs>
        <w:autoSpaceDE w:val="0"/>
        <w:autoSpaceDN w:val="0"/>
        <w:spacing w:line="360" w:lineRule="auto"/>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本部门无2019年结转的国有资本经营预算拨款支出。</w:t>
      </w:r>
    </w:p>
    <w:p>
      <w:pPr>
        <w:numPr>
          <w:ilvl w:val="0"/>
          <w:numId w:val="3"/>
        </w:numPr>
        <w:pBdr>
          <w:bottom w:val="single" w:color="FFFFFF" w:sz="6" w:space="31"/>
        </w:pBdr>
        <w:tabs>
          <w:tab w:val="left" w:pos="7380"/>
        </w:tabs>
        <w:autoSpaceDE w:val="0"/>
        <w:autoSpaceDN w:val="0"/>
        <w:spacing w:line="360" w:lineRule="auto"/>
        <w:jc w:val="center"/>
        <w:rPr>
          <w:rFonts w:ascii="仿宋" w:hAnsi="仿宋" w:eastAsia="仿宋" w:cs="仿宋"/>
          <w:b/>
          <w:bCs/>
          <w:color w:val="000000"/>
          <w:sz w:val="32"/>
          <w:szCs w:val="32"/>
        </w:rPr>
      </w:pPr>
      <w:r>
        <w:rPr>
          <w:rFonts w:hint="eastAsia" w:ascii="仿宋" w:hAnsi="仿宋" w:eastAsia="仿宋" w:cs="仿宋"/>
          <w:b/>
          <w:bCs/>
          <w:color w:val="000000"/>
          <w:sz w:val="32"/>
          <w:szCs w:val="32"/>
        </w:rPr>
        <w:t>其他说明情况</w:t>
      </w:r>
    </w:p>
    <w:p>
      <w:pPr>
        <w:pBdr>
          <w:bottom w:val="single" w:color="FFFFFF" w:sz="4" w:space="31"/>
        </w:pBdr>
        <w:tabs>
          <w:tab w:val="left" w:pos="7380"/>
        </w:tabs>
        <w:autoSpaceDE w:val="0"/>
        <w:autoSpaceDN w:val="0"/>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六、部门预算“三公”经费等预算情况说明</w:t>
      </w:r>
    </w:p>
    <w:p>
      <w:pPr>
        <w:pBdr>
          <w:bottom w:val="single" w:color="FFFFFF" w:sz="4" w:space="31"/>
        </w:pBdr>
        <w:tabs>
          <w:tab w:val="left" w:pos="7380"/>
        </w:tabs>
        <w:autoSpaceDE w:val="0"/>
        <w:autoSpaceDN w:val="0"/>
        <w:adjustRightInd w:val="0"/>
        <w:snapToGrid w:val="0"/>
        <w:spacing w:line="360" w:lineRule="auto"/>
        <w:ind w:firstLine="640"/>
        <w:rPr>
          <w:rFonts w:ascii="仿宋_GB2312" w:hAnsi="仿宋_GB2312" w:eastAsia="仿宋_GB2312" w:cs="仿宋_GB2312"/>
          <w:color w:val="3D3D3C"/>
          <w:sz w:val="32"/>
          <w:szCs w:val="32"/>
          <w:shd w:val="clear" w:color="auto" w:fill="FFFFFF"/>
        </w:rPr>
      </w:pPr>
      <w:r>
        <w:rPr>
          <w:rFonts w:hint="eastAsia" w:ascii="仿宋" w:hAnsi="仿宋" w:eastAsia="仿宋"/>
          <w:color w:val="000000"/>
          <w:sz w:val="32"/>
          <w:szCs w:val="32"/>
        </w:rPr>
        <w:t>2020年本部门当年一般公共预算</w:t>
      </w:r>
      <w:r>
        <w:rPr>
          <w:rFonts w:hint="eastAsia" w:ascii="仿宋_GB2312" w:hAnsi="仿宋_GB2312" w:eastAsia="仿宋_GB2312" w:cs="仿宋_GB2312"/>
          <w:sz w:val="32"/>
          <w:szCs w:val="32"/>
        </w:rPr>
        <w:t>“三公”经费等预算情况</w:t>
      </w:r>
      <w:r>
        <w:rPr>
          <w:rFonts w:hint="eastAsia" w:ascii="仿宋_GB2312" w:hAnsi="仿宋_GB2312" w:eastAsia="仿宋_GB2312" w:cs="仿宋_GB2312"/>
          <w:color w:val="3D3D3C"/>
          <w:sz w:val="32"/>
          <w:szCs w:val="32"/>
          <w:shd w:val="clear" w:color="auto" w:fill="FFFFFF"/>
        </w:rPr>
        <w:t>2020年本部门“三公经费” 预算为0元。2019年三公经费预算0元，公务接待费0元。2019年与2020年相比无变化主要原因为2019年无项目预算，只有日常公用经费支出预算，因而未安排三公经费预算。培训费、会议费 ，无预算，与上年持平。</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 w:hAnsi="仿宋" w:eastAsia="仿宋" w:cs="仿宋"/>
          <w:sz w:val="32"/>
          <w:szCs w:val="32"/>
        </w:rPr>
        <w:t>本部门无2019年结转的财政拨款“三公”经费支出。</w:t>
      </w:r>
    </w:p>
    <w:p>
      <w:pPr>
        <w:pBdr>
          <w:bottom w:val="single" w:color="FFFFFF" w:sz="4" w:space="31"/>
        </w:pBdr>
        <w:tabs>
          <w:tab w:val="left" w:pos="7380"/>
        </w:tabs>
        <w:autoSpaceDE w:val="0"/>
        <w:autoSpaceDN w:val="0"/>
        <w:adjustRightInd w:val="0"/>
        <w:snapToGrid w:val="0"/>
        <w:spacing w:line="360" w:lineRule="auto"/>
        <w:ind w:firstLine="643" w:firstLineChars="200"/>
        <w:rPr>
          <w:rFonts w:ascii="仿宋_GB2312" w:hAnsi="仿宋_GB2312" w:eastAsia="仿宋_GB2312" w:cs="仿宋_GB2312"/>
          <w:b/>
          <w:bCs/>
          <w:color w:val="3D3D3C"/>
          <w:sz w:val="32"/>
          <w:szCs w:val="32"/>
          <w:shd w:val="clear" w:color="auto" w:fill="FFFFFF"/>
        </w:rPr>
      </w:pPr>
      <w:r>
        <w:rPr>
          <w:rFonts w:hint="eastAsia" w:ascii="仿宋_GB2312" w:hAnsi="仿宋_GB2312" w:eastAsia="仿宋_GB2312" w:cs="仿宋_GB2312"/>
          <w:b/>
          <w:bCs/>
          <w:color w:val="3D3D3C"/>
          <w:sz w:val="32"/>
          <w:szCs w:val="32"/>
          <w:shd w:val="clear" w:color="auto" w:fill="FFFFFF"/>
        </w:rPr>
        <w:t>七、部门国有资产占有使用及购置情况说明</w:t>
      </w:r>
    </w:p>
    <w:p>
      <w:pPr>
        <w:pBdr>
          <w:bottom w:val="single" w:color="FFFFFF" w:sz="4" w:space="31"/>
        </w:pBdr>
        <w:tabs>
          <w:tab w:val="left" w:pos="7380"/>
        </w:tabs>
        <w:autoSpaceDE w:val="0"/>
        <w:autoSpaceDN w:val="0"/>
        <w:adjustRightInd w:val="0"/>
        <w:snapToGrid w:val="0"/>
        <w:spacing w:line="360" w:lineRule="auto"/>
        <w:ind w:firstLine="640" w:firstLineChars="200"/>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截至2019年底，固定资产总额为121616元，其中主要有电脑13台，复印机7台，摄像机12台，交换机12口，手机充电桩1台，支架18台，电视机1台，与2018年底相比增加10540元，增加原因主要是购买电脑2台，打印机1台。本单位无公务车辆，经费全部实行零余额账户管理办法，无单价20万元以上设备资产。2020年部门预算没有安排车辆购置；没有安排购置单价20万元以上的设备。</w:t>
      </w:r>
    </w:p>
    <w:p>
      <w:pPr>
        <w:pBdr>
          <w:bottom w:val="single" w:color="FFFFFF" w:sz="4" w:space="31"/>
        </w:pBdr>
        <w:tabs>
          <w:tab w:val="left" w:pos="7380"/>
        </w:tabs>
        <w:autoSpaceDE w:val="0"/>
        <w:autoSpaceDN w:val="0"/>
        <w:adjustRightInd w:val="0"/>
        <w:snapToGrid w:val="0"/>
        <w:spacing w:line="360" w:lineRule="auto"/>
        <w:ind w:firstLine="640" w:firstLineChars="200"/>
        <w:rPr>
          <w:rFonts w:ascii="仿宋_GB2312" w:hAnsi="仿宋_GB2312" w:eastAsia="仿宋_GB2312" w:cs="仿宋_GB2312"/>
          <w:color w:val="3D3D3C"/>
          <w:sz w:val="32"/>
          <w:szCs w:val="32"/>
          <w:shd w:val="clear" w:color="auto" w:fill="FFFFFF"/>
        </w:rPr>
      </w:pPr>
      <w:r>
        <w:rPr>
          <w:rFonts w:hint="eastAsia" w:ascii="仿宋" w:hAnsi="仿宋" w:eastAsia="仿宋" w:cs="仿宋"/>
          <w:sz w:val="32"/>
          <w:szCs w:val="32"/>
        </w:rPr>
        <w:t>本部门无2019年结转的财政拨款支出资产购置</w:t>
      </w:r>
    </w:p>
    <w:p>
      <w:pPr>
        <w:pBdr>
          <w:bottom w:val="single" w:color="FFFFFF" w:sz="4" w:space="31"/>
        </w:pBdr>
        <w:tabs>
          <w:tab w:val="left" w:pos="7380"/>
        </w:tabs>
        <w:autoSpaceDE w:val="0"/>
        <w:autoSpaceDN w:val="0"/>
        <w:adjustRightInd w:val="0"/>
        <w:snapToGrid w:val="0"/>
        <w:spacing w:line="360" w:lineRule="auto"/>
        <w:ind w:firstLine="643" w:firstLineChars="200"/>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b/>
          <w:bCs/>
          <w:color w:val="3D3D3C"/>
          <w:sz w:val="32"/>
          <w:szCs w:val="32"/>
          <w:shd w:val="clear" w:color="auto" w:fill="FFFFFF"/>
        </w:rPr>
        <w:t>八、部门政府采购情况说明</w:t>
      </w:r>
    </w:p>
    <w:p>
      <w:pPr>
        <w:pBdr>
          <w:bottom w:val="single" w:color="FFFFFF" w:sz="4" w:space="31"/>
        </w:pBdr>
        <w:tabs>
          <w:tab w:val="left" w:pos="7380"/>
        </w:tabs>
        <w:autoSpaceDE w:val="0"/>
        <w:autoSpaceDN w:val="0"/>
        <w:adjustRightInd w:val="0"/>
        <w:snapToGrid w:val="0"/>
        <w:spacing w:line="360" w:lineRule="auto"/>
        <w:ind w:firstLine="512" w:firstLineChars="160"/>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本部门2020年无政府采购预算，并已公开空表。</w:t>
      </w:r>
    </w:p>
    <w:p>
      <w:pPr>
        <w:pBdr>
          <w:bottom w:val="single" w:color="FFFFFF" w:sz="4" w:space="31"/>
        </w:pBdr>
        <w:tabs>
          <w:tab w:val="left" w:pos="7380"/>
        </w:tabs>
        <w:autoSpaceDE w:val="0"/>
        <w:autoSpaceDN w:val="0"/>
        <w:adjustRightInd w:val="0"/>
        <w:snapToGrid w:val="0"/>
        <w:spacing w:line="360" w:lineRule="auto"/>
        <w:ind w:firstLine="512" w:firstLineChars="160"/>
        <w:rPr>
          <w:rFonts w:ascii="仿宋" w:hAnsi="仿宋" w:eastAsia="仿宋" w:cs="宋体"/>
          <w:color w:val="000000"/>
          <w:kern w:val="0"/>
          <w:sz w:val="32"/>
          <w:szCs w:val="32"/>
        </w:rPr>
      </w:pPr>
      <w:r>
        <w:rPr>
          <w:rFonts w:hint="eastAsia" w:ascii="仿宋" w:hAnsi="仿宋" w:eastAsia="仿宋" w:cs="仿宋"/>
          <w:sz w:val="32"/>
          <w:szCs w:val="32"/>
        </w:rPr>
        <w:t>本部门无2019年结转的政府采购资金支出。</w:t>
      </w:r>
    </w:p>
    <w:p>
      <w:pPr>
        <w:numPr>
          <w:ilvl w:val="0"/>
          <w:numId w:val="4"/>
        </w:numPr>
        <w:pBdr>
          <w:bottom w:val="single" w:color="FFFFFF" w:sz="4" w:space="31"/>
        </w:pBdr>
        <w:tabs>
          <w:tab w:val="left" w:pos="7380"/>
        </w:tabs>
        <w:autoSpaceDE w:val="0"/>
        <w:autoSpaceDN w:val="0"/>
        <w:adjustRightInd w:val="0"/>
        <w:snapToGrid w:val="0"/>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部门预算绩效目标说明</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color w:val="000000"/>
          <w:kern w:val="0"/>
          <w:sz w:val="32"/>
          <w:szCs w:val="32"/>
        </w:rPr>
      </w:pPr>
      <w:r>
        <w:rPr>
          <w:rFonts w:hint="eastAsia" w:ascii="仿宋_GB2312" w:hAnsi="仿宋_GB2312" w:eastAsia="仿宋_GB2312" w:cs="仿宋_GB2312"/>
          <w:sz w:val="32"/>
          <w:szCs w:val="32"/>
        </w:rPr>
        <w:t>2020年本部门无项目资金预算，已进行部门整体绩效管理评价。</w:t>
      </w:r>
      <w:r>
        <w:rPr>
          <w:rFonts w:hint="eastAsia" w:ascii="仿宋" w:hAnsi="仿宋" w:eastAsia="仿宋" w:cs="仿宋"/>
          <w:sz w:val="32"/>
          <w:szCs w:val="32"/>
        </w:rPr>
        <w:t>当年无政府性基金预算拨款及国有资本经营预算拨款。</w:t>
      </w:r>
    </w:p>
    <w:p>
      <w:pPr>
        <w:pBdr>
          <w:bottom w:val="single" w:color="FFFFFF" w:sz="4" w:space="31"/>
        </w:pBdr>
        <w:tabs>
          <w:tab w:val="left" w:pos="7380"/>
        </w:tabs>
        <w:autoSpaceDE w:val="0"/>
        <w:autoSpaceDN w:val="0"/>
        <w:adjustRightInd w:val="0"/>
        <w:snapToGrid w:val="0"/>
        <w:spacing w:line="360" w:lineRule="auto"/>
        <w:ind w:firstLine="640"/>
        <w:rPr>
          <w:rFonts w:ascii="仿宋" w:hAnsi="仿宋" w:eastAsia="仿宋" w:cs="宋体"/>
          <w:b/>
          <w:bCs/>
          <w:color w:val="000000"/>
          <w:kern w:val="0"/>
          <w:sz w:val="32"/>
          <w:szCs w:val="32"/>
        </w:rPr>
      </w:pPr>
      <w:r>
        <w:rPr>
          <w:rFonts w:hint="eastAsia" w:ascii="仿宋" w:hAnsi="仿宋" w:eastAsia="仿宋" w:cs="仿宋"/>
          <w:sz w:val="32"/>
          <w:szCs w:val="32"/>
        </w:rPr>
        <w:t>本部门无2019年结转的财政拨款支出涉及的绩效目标管理。</w:t>
      </w:r>
    </w:p>
    <w:p>
      <w:pPr>
        <w:numPr>
          <w:ilvl w:val="0"/>
          <w:numId w:val="4"/>
        </w:numPr>
        <w:pBdr>
          <w:bottom w:val="single" w:color="FFFFFF" w:sz="4" w:space="31"/>
        </w:pBdr>
        <w:tabs>
          <w:tab w:val="left" w:pos="7380"/>
        </w:tabs>
        <w:autoSpaceDE w:val="0"/>
        <w:autoSpaceDN w:val="0"/>
        <w:adjustRightInd w:val="0"/>
        <w:snapToGrid w:val="0"/>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color w:val="3D3D3C"/>
          <w:sz w:val="32"/>
          <w:szCs w:val="32"/>
          <w:shd w:val="clear" w:color="auto" w:fill="FFFFFF"/>
        </w:rPr>
        <w:t>机关运行经费安排情况</w:t>
      </w:r>
    </w:p>
    <w:p>
      <w:pPr>
        <w:pBdr>
          <w:bottom w:val="single" w:color="FFFFFF" w:sz="4" w:space="31"/>
        </w:pBdr>
        <w:tabs>
          <w:tab w:val="left" w:pos="7380"/>
        </w:tabs>
        <w:autoSpaceDE w:val="0"/>
        <w:autoSpaceDN w:val="0"/>
        <w:adjustRightInd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3D3D3C"/>
          <w:sz w:val="32"/>
          <w:szCs w:val="32"/>
          <w:shd w:val="clear" w:color="auto" w:fill="FFFFFF"/>
        </w:rPr>
        <w:t>2020年本部门公用经费预算均安2019年10月在册人数安排，其中行政人员1人，事业4人，行政人员每人年4000元，事业人员每人年3000元，工会经费1931.76元，共安排资金为17931.76元，</w:t>
      </w:r>
      <w:r>
        <w:rPr>
          <w:rFonts w:hint="eastAsia" w:ascii="仿宋_GB2312" w:hAnsi="仿宋_GB2312" w:eastAsia="仿宋_GB2312" w:cs="仿宋_GB2312"/>
          <w:sz w:val="32"/>
          <w:szCs w:val="32"/>
        </w:rPr>
        <w:t>与上年相比增加4931.76元，增加原因：1、2019年调入一名工作人员，人员经费增加；2、2019年工会经费未纳入部门预算，2020年将工会经费纳入预算。</w:t>
      </w:r>
    </w:p>
    <w:p>
      <w:pPr>
        <w:pBdr>
          <w:bottom w:val="single" w:color="FFFFFF" w:sz="4" w:space="31"/>
        </w:pBdr>
        <w:tabs>
          <w:tab w:val="left" w:pos="7380"/>
        </w:tabs>
        <w:autoSpaceDE w:val="0"/>
        <w:autoSpaceDN w:val="0"/>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本部门无2019年结转的财政拨款机关运行经费支出</w:t>
      </w:r>
    </w:p>
    <w:p>
      <w:pPr>
        <w:numPr>
          <w:ilvl w:val="0"/>
          <w:numId w:val="4"/>
        </w:numPr>
        <w:pBdr>
          <w:bottom w:val="single" w:color="FFFFFF" w:sz="4" w:space="31"/>
        </w:pBdr>
        <w:tabs>
          <w:tab w:val="left" w:pos="7380"/>
        </w:tabs>
        <w:autoSpaceDE w:val="0"/>
        <w:autoSpaceDN w:val="0"/>
        <w:adjustRightInd w:val="0"/>
        <w:snapToGrid w:val="0"/>
        <w:spacing w:line="360" w:lineRule="auto"/>
        <w:ind w:firstLine="643" w:firstLineChars="200"/>
        <w:rPr>
          <w:rFonts w:ascii="仿宋_GB2312" w:hAnsi="仿宋_GB2312" w:eastAsia="仿宋_GB2312" w:cs="仿宋_GB2312"/>
          <w:b/>
          <w:bCs/>
          <w:color w:val="3D3D3C"/>
          <w:sz w:val="32"/>
          <w:szCs w:val="32"/>
          <w:shd w:val="clear" w:color="auto" w:fill="FFFFFF"/>
        </w:rPr>
      </w:pPr>
      <w:r>
        <w:rPr>
          <w:rFonts w:hint="eastAsia" w:ascii="仿宋_GB2312" w:hAnsi="仿宋_GB2312" w:eastAsia="仿宋_GB2312" w:cs="仿宋_GB2312"/>
          <w:b/>
          <w:bCs/>
          <w:color w:val="3D3D3C"/>
          <w:sz w:val="32"/>
          <w:szCs w:val="32"/>
          <w:shd w:val="clear" w:color="auto" w:fill="FFFFFF"/>
        </w:rPr>
        <w:t>专业名词解释</w:t>
      </w:r>
    </w:p>
    <w:p>
      <w:pPr>
        <w:numPr>
          <w:ilvl w:val="0"/>
          <w:numId w:val="5"/>
        </w:numPr>
        <w:pBdr>
          <w:bottom w:val="single" w:color="FFFFFF" w:sz="4" w:space="31"/>
        </w:pBdr>
        <w:tabs>
          <w:tab w:val="left" w:pos="7380"/>
        </w:tabs>
        <w:autoSpaceDE w:val="0"/>
        <w:autoSpaceDN w:val="0"/>
        <w:adjustRightInd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3D3D3C"/>
          <w:sz w:val="32"/>
          <w:szCs w:val="32"/>
          <w:shd w:val="clear" w:color="auto" w:fill="FFFFFF"/>
        </w:rPr>
        <w:t>基本支出：指为保</w:t>
      </w:r>
      <w:r>
        <w:rPr>
          <w:rFonts w:hint="eastAsia" w:ascii="仿宋_GB2312" w:hAnsi="仿宋_GB2312" w:eastAsia="仿宋_GB2312" w:cs="仿宋_GB2312"/>
          <w:sz w:val="32"/>
          <w:szCs w:val="32"/>
        </w:rPr>
        <w:t>障机构正常运转、完成日常工作任务而发生的各项支出。</w:t>
      </w:r>
    </w:p>
    <w:p>
      <w:pPr>
        <w:numPr>
          <w:ilvl w:val="0"/>
          <w:numId w:val="5"/>
        </w:numPr>
        <w:pBdr>
          <w:bottom w:val="single" w:color="FFFFFF" w:sz="4" w:space="31"/>
        </w:pBdr>
        <w:tabs>
          <w:tab w:val="left" w:pos="7380"/>
        </w:tabs>
        <w:autoSpaceDE w:val="0"/>
        <w:autoSpaceDN w:val="0"/>
        <w:adjustRightInd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项目支出：指单位为完成特定的行政工作任务或事业发展目标所发生的各项支出。</w:t>
      </w:r>
    </w:p>
    <w:p>
      <w:pPr>
        <w:numPr>
          <w:ilvl w:val="0"/>
          <w:numId w:val="5"/>
        </w:numPr>
        <w:pBdr>
          <w:bottom w:val="single" w:color="FFFFFF" w:sz="4" w:space="31"/>
        </w:pBdr>
        <w:tabs>
          <w:tab w:val="left" w:pos="7380"/>
        </w:tabs>
        <w:autoSpaceDE w:val="0"/>
        <w:autoSpaceDN w:val="0"/>
        <w:adjustRightInd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“三公”经费 ：指部门使用一般公共预算财政拨款安排的因公出国（境）费、公务用车购置及运行费和公务接待费支出。</w:t>
      </w:r>
    </w:p>
    <w:p>
      <w:pPr>
        <w:numPr>
          <w:ilvl w:val="0"/>
          <w:numId w:val="5"/>
        </w:numPr>
        <w:pBdr>
          <w:bottom w:val="single" w:color="FFFFFF" w:sz="4" w:space="31"/>
        </w:pBdr>
        <w:tabs>
          <w:tab w:val="left" w:pos="7380"/>
        </w:tabs>
        <w:autoSpaceDE w:val="0"/>
        <w:autoSpaceDN w:val="0"/>
        <w:adjustRightInd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机关运行经费：指单位使用一般公共预算财政拨款安排的日常公用经费支出，包括办公及印刷费、邮电费、差旅费、会议费、福利费、日常维修费、专用材料及一般设备购置费、办公用房水电费、取暖费、物业管理费、公务用车运行维护费以及其他费用。</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第四部分  公开报表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（见附件2内容）</w:t>
      </w:r>
      <w:r>
        <w:rPr>
          <w:rFonts w:hint="eastAsia" w:ascii="仿宋" w:hAnsi="仿宋" w:eastAsia="仿宋" w:cs="仿宋"/>
          <w:sz w:val="32"/>
          <w:szCs w:val="32"/>
        </w:rPr>
        <w:tab/>
      </w:r>
    </w:p>
    <w:p>
      <w:pPr>
        <w:pBdr>
          <w:bottom w:val="single" w:color="FFFFFF" w:sz="4" w:space="31"/>
        </w:pBdr>
        <w:tabs>
          <w:tab w:val="left" w:pos="7380"/>
        </w:tabs>
        <w:autoSpaceDE w:val="0"/>
        <w:autoSpaceDN w:val="0"/>
        <w:adjustRightInd w:val="0"/>
        <w:snapToGrid w:val="0"/>
        <w:spacing w:line="360" w:lineRule="auto"/>
        <w:ind w:left="420" w:leftChars="200"/>
        <w:rPr>
          <w:rFonts w:ascii="仿宋_GB2312" w:hAnsi="仿宋_GB2312" w:eastAsia="仿宋_GB2312" w:cs="仿宋_GB2312"/>
          <w:sz w:val="32"/>
          <w:szCs w:val="32"/>
        </w:rPr>
      </w:pPr>
    </w:p>
    <w:p>
      <w:pPr>
        <w:pBdr>
          <w:bottom w:val="single" w:color="FFFFFF" w:sz="6" w:space="31"/>
        </w:pBdr>
        <w:tabs>
          <w:tab w:val="left" w:pos="7380"/>
        </w:tabs>
        <w:autoSpaceDE w:val="0"/>
        <w:autoSpaceDN w:val="0"/>
        <w:spacing w:line="600" w:lineRule="exact"/>
        <w:rPr>
          <w:rFonts w:ascii="仿宋_GB2312" w:hAnsi="仿宋_GB2312" w:eastAsia="仿宋_GB2312" w:cs="仿宋_GB2312"/>
          <w:sz w:val="32"/>
          <w:szCs w:val="32"/>
        </w:rPr>
      </w:pPr>
    </w:p>
    <w:p>
      <w:pPr>
        <w:pBdr>
          <w:bottom w:val="single" w:color="FFFFFF" w:sz="6" w:space="31"/>
        </w:pBdr>
        <w:tabs>
          <w:tab w:val="left" w:pos="7380"/>
        </w:tabs>
        <w:autoSpaceDE w:val="0"/>
        <w:autoSpaceDN w:val="0"/>
        <w:spacing w:line="600" w:lineRule="exact"/>
        <w:ind w:firstLine="640" w:firstLineChars="200"/>
        <w:rPr>
          <w:rFonts w:ascii="仿宋_GB2312" w:hAnsi="仿宋_GB2312" w:eastAsia="仿宋_GB2312" w:cs="仿宋_GB2312"/>
          <w:sz w:val="32"/>
          <w:szCs w:val="32"/>
        </w:rPr>
      </w:pPr>
    </w:p>
    <w:p>
      <w:pPr>
        <w:pBdr>
          <w:bottom w:val="single" w:color="FFFFFF" w:sz="6" w:space="31"/>
        </w:pBdr>
        <w:tabs>
          <w:tab w:val="left" w:pos="7380"/>
        </w:tabs>
        <w:autoSpaceDE w:val="0"/>
        <w:autoSpaceDN w:val="0"/>
        <w:spacing w:line="600" w:lineRule="exact"/>
        <w:ind w:firstLine="640" w:firstLineChars="200"/>
        <w:rPr>
          <w:rFonts w:ascii="仿宋_GB2312" w:hAnsi="仿宋_GB2312" w:eastAsia="仿宋_GB2312" w:cs="仿宋_GB2312"/>
          <w:sz w:val="32"/>
          <w:szCs w:val="32"/>
        </w:rPr>
      </w:pPr>
    </w:p>
    <w:p>
      <w:pPr>
        <w:pBdr>
          <w:bottom w:val="single" w:color="FFFFFF" w:sz="6" w:space="31"/>
        </w:pBdr>
        <w:tabs>
          <w:tab w:val="left" w:pos="7380"/>
        </w:tabs>
        <w:autoSpaceDE w:val="0"/>
        <w:autoSpaceDN w:val="0"/>
        <w:spacing w:line="600" w:lineRule="exact"/>
        <w:ind w:firstLine="640" w:firstLineChars="200"/>
        <w:rPr>
          <w:rFonts w:ascii="仿宋_GB2312" w:hAnsi="仿宋_GB2312" w:eastAsia="仿宋_GB2312" w:cs="仿宋_GB2312"/>
          <w:sz w:val="32"/>
          <w:szCs w:val="32"/>
        </w:rPr>
      </w:pPr>
    </w:p>
    <w:p>
      <w:pPr>
        <w:pBdr>
          <w:bottom w:val="single" w:color="FFFFFF" w:sz="6" w:space="31"/>
        </w:pBdr>
        <w:tabs>
          <w:tab w:val="left" w:pos="7380"/>
        </w:tabs>
        <w:autoSpaceDE w:val="0"/>
        <w:autoSpaceDN w:val="0"/>
        <w:spacing w:line="600" w:lineRule="exact"/>
        <w:ind w:firstLine="640" w:firstLineChars="200"/>
        <w:rPr>
          <w:rFonts w:ascii="仿宋_GB2312" w:hAnsi="仿宋_GB2312" w:eastAsia="仿宋_GB2312" w:cs="仿宋_GB2312"/>
          <w:sz w:val="32"/>
          <w:szCs w:val="32"/>
        </w:rPr>
      </w:pPr>
    </w:p>
    <w:p>
      <w:pPr>
        <w:pBdr>
          <w:bottom w:val="single" w:color="FFFFFF" w:sz="6" w:space="31"/>
        </w:pBdr>
        <w:tabs>
          <w:tab w:val="left" w:pos="7380"/>
        </w:tabs>
        <w:autoSpaceDE w:val="0"/>
        <w:autoSpaceDN w:val="0"/>
        <w:spacing w:line="600" w:lineRule="exact"/>
        <w:ind w:firstLine="640" w:firstLineChars="200"/>
        <w:rPr>
          <w:rFonts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95E445"/>
    <w:multiLevelType w:val="singleLevel"/>
    <w:tmpl w:val="9E95E445"/>
    <w:lvl w:ilvl="0" w:tentative="0">
      <w:start w:val="9"/>
      <w:numFmt w:val="chineseCounting"/>
      <w:suff w:val="nothing"/>
      <w:lvlText w:val="%1、"/>
      <w:lvlJc w:val="left"/>
      <w:rPr>
        <w:rFonts w:hint="eastAsia"/>
      </w:rPr>
    </w:lvl>
  </w:abstractNum>
  <w:abstractNum w:abstractNumId="1">
    <w:nsid w:val="00715044"/>
    <w:multiLevelType w:val="singleLevel"/>
    <w:tmpl w:val="00715044"/>
    <w:lvl w:ilvl="0" w:tentative="0">
      <w:start w:val="3"/>
      <w:numFmt w:val="chineseCounting"/>
      <w:suff w:val="space"/>
      <w:lvlText w:val="第%1部分"/>
      <w:lvlJc w:val="left"/>
      <w:rPr>
        <w:rFonts w:hint="eastAsia"/>
      </w:rPr>
    </w:lvl>
  </w:abstractNum>
  <w:abstractNum w:abstractNumId="2">
    <w:nsid w:val="14730E9C"/>
    <w:multiLevelType w:val="singleLevel"/>
    <w:tmpl w:val="14730E9C"/>
    <w:lvl w:ilvl="0" w:tentative="0">
      <w:start w:val="1"/>
      <w:numFmt w:val="chineseCounting"/>
      <w:suff w:val="nothing"/>
      <w:lvlText w:val="%1、"/>
      <w:lvlJc w:val="left"/>
      <w:rPr>
        <w:rFonts w:hint="eastAsia"/>
      </w:rPr>
    </w:lvl>
  </w:abstractNum>
  <w:abstractNum w:abstractNumId="3">
    <w:nsid w:val="416F2C73"/>
    <w:multiLevelType w:val="singleLevel"/>
    <w:tmpl w:val="416F2C73"/>
    <w:lvl w:ilvl="0" w:tentative="0">
      <w:start w:val="3"/>
      <w:numFmt w:val="chineseCounting"/>
      <w:suff w:val="nothing"/>
      <w:lvlText w:val="（%1）"/>
      <w:lvlJc w:val="left"/>
      <w:rPr>
        <w:rFonts w:hint="eastAsia"/>
      </w:rPr>
    </w:lvl>
  </w:abstractNum>
  <w:abstractNum w:abstractNumId="4">
    <w:nsid w:val="693728AE"/>
    <w:multiLevelType w:val="singleLevel"/>
    <w:tmpl w:val="693728AE"/>
    <w:lvl w:ilvl="0" w:tentative="0">
      <w:start w:val="1"/>
      <w:numFmt w:val="decimal"/>
      <w:suff w:val="nothing"/>
      <w:lvlText w:val="%1、"/>
      <w:lvlJc w:val="left"/>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lYjhkM2E2OTkyOWZhYjU4NmFhNjkxNjgyYWQ0ZmYifQ=="/>
  </w:docVars>
  <w:rsids>
    <w:rsidRoot w:val="00991D6E"/>
    <w:rsid w:val="001D40F9"/>
    <w:rsid w:val="00206B74"/>
    <w:rsid w:val="00371343"/>
    <w:rsid w:val="00381F80"/>
    <w:rsid w:val="004C60B9"/>
    <w:rsid w:val="00541B9A"/>
    <w:rsid w:val="005B53E4"/>
    <w:rsid w:val="006034E7"/>
    <w:rsid w:val="007851E9"/>
    <w:rsid w:val="007B4788"/>
    <w:rsid w:val="00813B59"/>
    <w:rsid w:val="00825C3E"/>
    <w:rsid w:val="00925902"/>
    <w:rsid w:val="00925A46"/>
    <w:rsid w:val="00991D6E"/>
    <w:rsid w:val="009B5688"/>
    <w:rsid w:val="00A90327"/>
    <w:rsid w:val="00AC64D1"/>
    <w:rsid w:val="00D232FD"/>
    <w:rsid w:val="00E65CEF"/>
    <w:rsid w:val="00E67F3D"/>
    <w:rsid w:val="00E87F45"/>
    <w:rsid w:val="00EB042A"/>
    <w:rsid w:val="00ED0184"/>
    <w:rsid w:val="00EE6A84"/>
    <w:rsid w:val="00F65E5E"/>
    <w:rsid w:val="030D6C35"/>
    <w:rsid w:val="047B288F"/>
    <w:rsid w:val="05BB479D"/>
    <w:rsid w:val="0F7F7A49"/>
    <w:rsid w:val="13EC49C0"/>
    <w:rsid w:val="142250BF"/>
    <w:rsid w:val="14D23F07"/>
    <w:rsid w:val="19B04C69"/>
    <w:rsid w:val="1A4E5E91"/>
    <w:rsid w:val="1D853D0D"/>
    <w:rsid w:val="1E4039C8"/>
    <w:rsid w:val="1F6D3C44"/>
    <w:rsid w:val="28067F0B"/>
    <w:rsid w:val="293B67F6"/>
    <w:rsid w:val="2D7C5D38"/>
    <w:rsid w:val="2DA20BD1"/>
    <w:rsid w:val="2E9E6E93"/>
    <w:rsid w:val="311D008E"/>
    <w:rsid w:val="334D01A5"/>
    <w:rsid w:val="33616B69"/>
    <w:rsid w:val="351F094E"/>
    <w:rsid w:val="3A2829D3"/>
    <w:rsid w:val="3A31585F"/>
    <w:rsid w:val="3C072366"/>
    <w:rsid w:val="3CCC346C"/>
    <w:rsid w:val="3D522920"/>
    <w:rsid w:val="406A1C31"/>
    <w:rsid w:val="418D06AE"/>
    <w:rsid w:val="41FF1AFE"/>
    <w:rsid w:val="42A01AB5"/>
    <w:rsid w:val="4343277B"/>
    <w:rsid w:val="438C56C7"/>
    <w:rsid w:val="442E340F"/>
    <w:rsid w:val="445A2846"/>
    <w:rsid w:val="4A6346FE"/>
    <w:rsid w:val="4CFB1201"/>
    <w:rsid w:val="4FC6232C"/>
    <w:rsid w:val="55E60EFB"/>
    <w:rsid w:val="56D52E9F"/>
    <w:rsid w:val="58A04A76"/>
    <w:rsid w:val="5E214086"/>
    <w:rsid w:val="5EAE0259"/>
    <w:rsid w:val="5F7F1859"/>
    <w:rsid w:val="606F0810"/>
    <w:rsid w:val="608D6D17"/>
    <w:rsid w:val="623169BF"/>
    <w:rsid w:val="636A0CCC"/>
    <w:rsid w:val="664A7DC6"/>
    <w:rsid w:val="6B23471E"/>
    <w:rsid w:val="6C473624"/>
    <w:rsid w:val="761A716B"/>
    <w:rsid w:val="7931217E"/>
    <w:rsid w:val="7A1E6288"/>
    <w:rsid w:val="7B373BE3"/>
    <w:rsid w:val="7E4E7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kern w:val="0"/>
      <w:sz w:val="24"/>
    </w:rPr>
  </w:style>
  <w:style w:type="character" w:styleId="7">
    <w:name w:val="page number"/>
    <w:basedOn w:val="6"/>
    <w:qFormat/>
    <w:uiPriority w:val="0"/>
  </w:style>
  <w:style w:type="character" w:customStyle="1" w:styleId="8">
    <w:name w:val="页眉 Char"/>
    <w:link w:val="3"/>
    <w:qFormat/>
    <w:uiPriority w:val="0"/>
    <w:rPr>
      <w:kern w:val="2"/>
      <w:sz w:val="18"/>
      <w:szCs w:val="18"/>
    </w:rPr>
  </w:style>
  <w:style w:type="character" w:customStyle="1" w:styleId="9">
    <w:name w:val="页脚 Char"/>
    <w:link w:val="2"/>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6032;&#24314;%20Microsoft%20Office%20Excel%2097-2003%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Sheet1!$A$2</c:f>
              <c:strCache>
                <c:ptCount val="1"/>
                <c:pt idx="0">
                  <c:v>编制</c:v>
                </c:pt>
              </c:strCache>
            </c:strRef>
          </c:tx>
          <c:invertIfNegative val="0"/>
          <c:dLbls>
            <c:delete val="1"/>
          </c:dLbls>
          <c:cat>
            <c:strRef>
              <c:f>Sheet1!$B$1:$D$1</c:f>
              <c:strCache>
                <c:ptCount val="3"/>
                <c:pt idx="0">
                  <c:v>行政</c:v>
                </c:pt>
                <c:pt idx="1">
                  <c:v>事业</c:v>
                </c:pt>
                <c:pt idx="2">
                  <c:v>退休</c:v>
                </c:pt>
              </c:strCache>
            </c:strRef>
          </c:cat>
          <c:val>
            <c:numRef>
              <c:f>Sheet1!$B$2:$D$2</c:f>
              <c:numCache>
                <c:formatCode>General</c:formatCode>
                <c:ptCount val="3"/>
                <c:pt idx="0">
                  <c:v>2</c:v>
                </c:pt>
                <c:pt idx="1">
                  <c:v>3</c:v>
                </c:pt>
                <c:pt idx="2">
                  <c:v>0</c:v>
                </c:pt>
              </c:numCache>
            </c:numRef>
          </c:val>
        </c:ser>
        <c:ser>
          <c:idx val="1"/>
          <c:order val="1"/>
          <c:tx>
            <c:strRef>
              <c:f>Sheet1!$A$3</c:f>
              <c:strCache>
                <c:ptCount val="1"/>
                <c:pt idx="0">
                  <c:v>实有</c:v>
                </c:pt>
              </c:strCache>
            </c:strRef>
          </c:tx>
          <c:invertIfNegative val="0"/>
          <c:dLbls>
            <c:delete val="1"/>
          </c:dLbls>
          <c:cat>
            <c:strRef>
              <c:f>Sheet1!$B$1:$D$1</c:f>
              <c:strCache>
                <c:ptCount val="3"/>
                <c:pt idx="0">
                  <c:v>行政</c:v>
                </c:pt>
                <c:pt idx="1">
                  <c:v>事业</c:v>
                </c:pt>
                <c:pt idx="2">
                  <c:v>退休</c:v>
                </c:pt>
              </c:strCache>
            </c:strRef>
          </c:cat>
          <c:val>
            <c:numRef>
              <c:f>Sheet1!$B$3:$D$3</c:f>
              <c:numCache>
                <c:formatCode>General</c:formatCode>
                <c:ptCount val="3"/>
                <c:pt idx="0">
                  <c:v>1</c:v>
                </c:pt>
                <c:pt idx="1">
                  <c:v>4</c:v>
                </c:pt>
                <c:pt idx="2">
                  <c:v>0</c:v>
                </c:pt>
              </c:numCache>
            </c:numRef>
          </c:val>
        </c:ser>
        <c:dLbls>
          <c:showLegendKey val="0"/>
          <c:showVal val="0"/>
          <c:showCatName val="0"/>
          <c:showSerName val="0"/>
          <c:showPercent val="0"/>
          <c:showBubbleSize val="0"/>
        </c:dLbls>
        <c:gapWidth val="150"/>
        <c:axId val="179877760"/>
        <c:axId val="179879296"/>
      </c:barChart>
      <c:catAx>
        <c:axId val="17987776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9879296"/>
        <c:crosses val="autoZero"/>
        <c:auto val="1"/>
        <c:lblAlgn val="ctr"/>
        <c:lblOffset val="100"/>
        <c:noMultiLvlLbl val="0"/>
      </c:catAx>
      <c:valAx>
        <c:axId val="17987929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987776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6378</Words>
  <Characters>7011</Characters>
  <Lines>50</Lines>
  <Paragraphs>14</Paragraphs>
  <TotalTime>24</TotalTime>
  <ScaleCrop>false</ScaleCrop>
  <LinksUpToDate>false</LinksUpToDate>
  <CharactersWithSpaces>7066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2022-03-30T05:26:00Z</dcterms:created>
  <dc:creator>Administrator</dc:creator>
  <cp:lastModifiedBy>Administrator</cp:lastModifiedBy>
  <dcterms:modified xsi:type="dcterms:W3CDTF">2024-07-08T01:45:41Z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5FF1989FCC354B56B4F272C6F8315470_13</vt:lpwstr>
  </property>
</Properties>
</file>