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EE5BD8">
      <w:pPr>
        <w:jc w:val="center"/>
        <w:rPr>
          <w:rFonts w:hint="eastAsia" w:ascii="宋体" w:hAnsi="宋体"/>
          <w:b/>
          <w:sz w:val="44"/>
          <w:szCs w:val="44"/>
        </w:rPr>
      </w:pPr>
    </w:p>
    <w:p w14:paraId="7079F347">
      <w:pPr>
        <w:jc w:val="center"/>
        <w:rPr>
          <w:rFonts w:hint="eastAsia" w:ascii="宋体" w:hAnsi="宋体"/>
          <w:b/>
          <w:sz w:val="44"/>
          <w:szCs w:val="44"/>
        </w:rPr>
      </w:pPr>
    </w:p>
    <w:p w14:paraId="659A675A">
      <w:pPr>
        <w:jc w:val="center"/>
        <w:rPr>
          <w:rFonts w:hint="eastAsia" w:ascii="宋体" w:hAnsi="宋体"/>
          <w:b/>
          <w:sz w:val="44"/>
          <w:szCs w:val="44"/>
        </w:rPr>
      </w:pPr>
      <w:r>
        <w:rPr>
          <w:rFonts w:hint="eastAsia" w:ascii="宋体" w:hAnsi="宋体"/>
          <w:b/>
          <w:sz w:val="44"/>
          <w:szCs w:val="44"/>
        </w:rPr>
        <w:t>蓝田县公安局</w:t>
      </w:r>
    </w:p>
    <w:p w14:paraId="0F51C1A2">
      <w:pPr>
        <w:jc w:val="center"/>
        <w:rPr>
          <w:rFonts w:hint="eastAsia" w:ascii="宋体" w:hAnsi="宋体"/>
          <w:b/>
          <w:sz w:val="44"/>
          <w:szCs w:val="44"/>
        </w:rPr>
      </w:pPr>
      <w:r>
        <w:rPr>
          <w:rFonts w:hint="eastAsia" w:ascii="宋体" w:hAnsi="宋体"/>
          <w:b/>
          <w:sz w:val="44"/>
          <w:szCs w:val="44"/>
        </w:rPr>
        <w:t>2019年度部门预算公开说明</w:t>
      </w:r>
    </w:p>
    <w:p w14:paraId="3F187CBF">
      <w:pPr>
        <w:jc w:val="center"/>
        <w:rPr>
          <w:rFonts w:hint="eastAsia" w:ascii="宋体" w:hAnsi="宋体"/>
          <w:b/>
          <w:sz w:val="44"/>
          <w:szCs w:val="44"/>
        </w:rPr>
      </w:pPr>
    </w:p>
    <w:p w14:paraId="6356034B">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按照</w:t>
      </w:r>
      <w:r>
        <w:rPr>
          <w:rFonts w:ascii="仿宋_GB2312" w:eastAsia="仿宋_GB2312"/>
          <w:sz w:val="32"/>
          <w:szCs w:val="32"/>
        </w:rPr>
        <w:t>《蓝田县</w:t>
      </w:r>
      <w:r>
        <w:rPr>
          <w:rFonts w:hint="eastAsia" w:ascii="仿宋_GB2312" w:eastAsia="仿宋_GB2312"/>
          <w:sz w:val="32"/>
          <w:szCs w:val="32"/>
        </w:rPr>
        <w:t>财政局关于2019年度部门预算公开工作的通知</w:t>
      </w:r>
      <w:r>
        <w:rPr>
          <w:rFonts w:ascii="仿宋_GB2312" w:eastAsia="仿宋_GB2312"/>
          <w:sz w:val="32"/>
          <w:szCs w:val="32"/>
        </w:rPr>
        <w:t>》</w:t>
      </w:r>
      <w:r>
        <w:rPr>
          <w:rFonts w:hint="eastAsia" w:ascii="仿宋_GB2312" w:eastAsia="仿宋_GB2312"/>
          <w:sz w:val="32"/>
          <w:szCs w:val="32"/>
        </w:rPr>
        <w:t>（蓝财发〔2019〕23号）文件精神</w:t>
      </w:r>
      <w:r>
        <w:rPr>
          <w:rFonts w:ascii="仿宋_GB2312" w:eastAsia="仿宋_GB2312"/>
          <w:sz w:val="32"/>
          <w:szCs w:val="32"/>
        </w:rPr>
        <w:t>，现将</w:t>
      </w:r>
      <w:r>
        <w:rPr>
          <w:rFonts w:hint="eastAsia" w:ascii="仿宋_GB2312" w:eastAsia="仿宋_GB2312"/>
          <w:sz w:val="32"/>
          <w:szCs w:val="32"/>
        </w:rPr>
        <w:t>我局</w:t>
      </w:r>
      <w:r>
        <w:rPr>
          <w:rFonts w:ascii="仿宋_GB2312" w:eastAsia="仿宋_GB2312"/>
          <w:sz w:val="32"/>
          <w:szCs w:val="32"/>
        </w:rPr>
        <w:t>201</w:t>
      </w:r>
      <w:r>
        <w:rPr>
          <w:rFonts w:hint="eastAsia" w:ascii="仿宋_GB2312" w:eastAsia="仿宋_GB2312"/>
          <w:sz w:val="32"/>
          <w:szCs w:val="32"/>
        </w:rPr>
        <w:t>9</w:t>
      </w:r>
      <w:r>
        <w:rPr>
          <w:rFonts w:ascii="仿宋_GB2312" w:eastAsia="仿宋_GB2312"/>
          <w:sz w:val="32"/>
          <w:szCs w:val="32"/>
        </w:rPr>
        <w:t>年度财政</w:t>
      </w:r>
      <w:r>
        <w:rPr>
          <w:rFonts w:hint="eastAsia" w:ascii="仿宋_GB2312" w:eastAsia="仿宋_GB2312"/>
          <w:sz w:val="32"/>
          <w:szCs w:val="32"/>
        </w:rPr>
        <w:t>收</w:t>
      </w:r>
      <w:r>
        <w:rPr>
          <w:rFonts w:ascii="仿宋_GB2312" w:eastAsia="仿宋_GB2312"/>
          <w:sz w:val="32"/>
          <w:szCs w:val="32"/>
        </w:rPr>
        <w:t>支预算情况向社会公开</w:t>
      </w:r>
      <w:r>
        <w:rPr>
          <w:rFonts w:hint="eastAsia" w:ascii="仿宋_GB2312" w:eastAsia="仿宋_GB2312"/>
          <w:sz w:val="32"/>
          <w:szCs w:val="32"/>
        </w:rPr>
        <w:t>。</w:t>
      </w:r>
    </w:p>
    <w:p w14:paraId="0A7148C4">
      <w:pPr>
        <w:spacing w:line="560" w:lineRule="exact"/>
        <w:ind w:firstLine="640" w:firstLineChars="200"/>
        <w:rPr>
          <w:rFonts w:hint="eastAsia" w:ascii="黑体" w:eastAsia="黑体"/>
          <w:sz w:val="32"/>
          <w:szCs w:val="32"/>
        </w:rPr>
      </w:pPr>
      <w:r>
        <w:rPr>
          <w:rFonts w:hint="eastAsia" w:ascii="黑体" w:eastAsia="黑体"/>
          <w:sz w:val="32"/>
          <w:szCs w:val="32"/>
        </w:rPr>
        <w:t>一、部门主要职责及机构设置</w:t>
      </w:r>
    </w:p>
    <w:p w14:paraId="73D8757C">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1、主要职责</w:t>
      </w:r>
    </w:p>
    <w:p w14:paraId="3F67DD91">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（1）预防、制止和侦查违法犯罪活动；</w:t>
      </w:r>
    </w:p>
    <w:p w14:paraId="389F723B">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（2）维护社会治安秩序，制止危害社会治安秩序的行为；</w:t>
      </w:r>
    </w:p>
    <w:p w14:paraId="5BBDFB3B">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（3）维护交通安全和交通秩序，处理交通事故；</w:t>
      </w:r>
    </w:p>
    <w:p w14:paraId="67B93F47">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（4）组织、实施消防工作，实行消防监督；</w:t>
      </w:r>
    </w:p>
    <w:p w14:paraId="3AA40F23">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（5）管理枪支弹药、管制刀具和易燃易爆、剧毒、放射性等危险物品；</w:t>
      </w:r>
    </w:p>
    <w:p w14:paraId="616455F9">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（6）对法律、法规规定的特种行业进行管理；</w:t>
      </w:r>
    </w:p>
    <w:p w14:paraId="583CB26B">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（7）警卫国家规定的特定人员，守卫重要的场所和设施；</w:t>
      </w:r>
    </w:p>
    <w:p w14:paraId="60F2D543">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（8）管理集会、游行、示威活动；</w:t>
      </w:r>
    </w:p>
    <w:p w14:paraId="47CFAB8F">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（9）管理户政、国籍、入境出境事务和外国人在中国境内居留、旅行的有关事务；</w:t>
      </w:r>
    </w:p>
    <w:p w14:paraId="7C2DA134">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（10）维护国（边）境地区的治安秩序；</w:t>
      </w:r>
    </w:p>
    <w:p w14:paraId="0F564B32">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（11）对被判处管制、拘役、剥夺政治权利的罪犯和监外执行的罪犯执行刑罚，对被宣告缓刑、假释的罪犯实行监督、考察；</w:t>
      </w:r>
    </w:p>
    <w:p w14:paraId="5CB9C6AE">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（12）监督管理计算机信息系统的安全保护工作；</w:t>
      </w:r>
    </w:p>
    <w:p w14:paraId="47F160ED">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（13）指导和监督国家机关、社会团体、企业事业组织和重点建设工程的治安保卫工作，指导治安保卫委员会等群众性组织的治安防范工作；</w:t>
      </w:r>
    </w:p>
    <w:p w14:paraId="2D85010B">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（14）法律、法规规定的其他职责。</w:t>
      </w:r>
    </w:p>
    <w:p w14:paraId="0D1B9F0A">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2、机构设置</w:t>
      </w:r>
    </w:p>
    <w:p w14:paraId="37B48027">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蓝田县公安局</w:t>
      </w:r>
      <w:r>
        <w:rPr>
          <w:rFonts w:hint="eastAsia" w:ascii="仿宋_GB2312" w:hAnsi="仿宋_GB2312" w:eastAsia="仿宋_GB2312" w:cs="仿宋_GB2312"/>
          <w:sz w:val="32"/>
          <w:szCs w:val="32"/>
        </w:rPr>
        <w:t>正科级建制，现有室、队、所、科、中心</w:t>
      </w:r>
      <w:r>
        <w:rPr>
          <w:rFonts w:hint="eastAsia" w:ascii="仿宋_GB2312" w:eastAsia="仿宋_GB2312"/>
          <w:sz w:val="32"/>
          <w:szCs w:val="32"/>
        </w:rPr>
        <w:t>33个，其中综合管理机构5个，执法勤务机构11个，监管场所2个，派出所15个。</w:t>
      </w:r>
    </w:p>
    <w:p w14:paraId="6AA3F82A">
      <w:pPr>
        <w:spacing w:line="560" w:lineRule="exact"/>
        <w:ind w:firstLine="640" w:firstLineChars="200"/>
        <w:rPr>
          <w:rFonts w:hint="eastAsia" w:ascii="黑体" w:eastAsia="黑体"/>
          <w:sz w:val="32"/>
          <w:szCs w:val="32"/>
        </w:rPr>
      </w:pPr>
      <w:r>
        <w:rPr>
          <w:rFonts w:hint="eastAsia" w:ascii="黑体" w:eastAsia="黑体"/>
          <w:sz w:val="32"/>
          <w:szCs w:val="32"/>
        </w:rPr>
        <w:t>二、2019年年度部门工作任务</w:t>
      </w:r>
    </w:p>
    <w:p w14:paraId="60B9F22D">
      <w:pPr>
        <w:spacing w:line="560" w:lineRule="exact"/>
        <w:ind w:firstLine="640" w:firstLineChars="200"/>
        <w:rPr>
          <w:rFonts w:hint="eastAsia" w:ascii="仿宋_GB2312" w:hAnsi="微软雅黑" w:eastAsia="仿宋_GB2312"/>
          <w:sz w:val="32"/>
          <w:szCs w:val="32"/>
        </w:rPr>
      </w:pPr>
      <w:r>
        <w:rPr>
          <w:rFonts w:hint="eastAsia" w:ascii="仿宋_GB2312" w:hAnsi="微软雅黑" w:eastAsia="仿宋_GB2312"/>
          <w:sz w:val="32"/>
          <w:szCs w:val="32"/>
        </w:rPr>
        <w:t>2019年全县公安工作以习近平新时代中国特色社会主义思想为指导，全面贯彻党的十九大、十九届二中、三中全会和中央经济工作会议，以及中省市政法会议和全国、全省公安厅局长会议精神，牢记习近平总书记“四句话、十六字”总要求，按照市委提出的“追赶超越”攻坚年、“营商环境”提升年、“作风建设”强化年和市局“忠诚担当”奋进年的要求，以新中国成立70周年大庆安保维稳工作为主线，以政治稳定、重点治理、平安蓝田、两大战略为抓手，提</w:t>
      </w:r>
      <w:r>
        <w:rPr>
          <w:rFonts w:hint="eastAsia" w:ascii="仿宋_GB2312" w:hAnsi="微软雅黑" w:eastAsia="仿宋_GB2312"/>
          <w:sz w:val="32"/>
          <w:szCs w:val="32"/>
          <w:lang w:val="en-US" w:eastAsia="zh-CN"/>
        </w:rPr>
        <w:t>高</w:t>
      </w:r>
      <w:bookmarkStart w:id="0" w:name="_GoBack"/>
      <w:bookmarkEnd w:id="0"/>
      <w:r>
        <w:rPr>
          <w:rFonts w:hint="eastAsia" w:ascii="仿宋_GB2312" w:hAnsi="微软雅黑" w:eastAsia="仿宋_GB2312"/>
          <w:sz w:val="32"/>
          <w:szCs w:val="32"/>
        </w:rPr>
        <w:t>政治站位、全力扫黑除恶、学习枫桥经验、推进平安建设，全面提升维护国家安全和社会稳定的能力水平，以优异成绩迎接新中国成立70周年。</w:t>
      </w:r>
    </w:p>
    <w:p w14:paraId="0712DFCC">
      <w:pPr>
        <w:spacing w:line="560" w:lineRule="exact"/>
        <w:ind w:firstLine="640" w:firstLineChars="200"/>
        <w:rPr>
          <w:rFonts w:hint="eastAsia" w:ascii="黑体" w:eastAsia="黑体"/>
          <w:sz w:val="32"/>
          <w:szCs w:val="32"/>
        </w:rPr>
      </w:pPr>
      <w:r>
        <w:rPr>
          <w:rFonts w:hint="eastAsia" w:ascii="黑体" w:eastAsia="黑体"/>
          <w:sz w:val="32"/>
          <w:szCs w:val="32"/>
        </w:rPr>
        <w:t>三、部门预算单位构成</w:t>
      </w:r>
    </w:p>
    <w:p w14:paraId="238DE687">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从预算单位构成看，本部门的部门预算包括部门本级预算和所属二级预算单位预算。</w:t>
      </w:r>
    </w:p>
    <w:p w14:paraId="5D262D82">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纳入本部门2019年部门预算编制范围的一级预算单位1个，为蓝田县公安局机关。二级预算单位2个，具体如下：蓝田县公安局交通管理大队、蓝田县公安局消防大队。</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5670"/>
      </w:tblGrid>
      <w:tr w14:paraId="32550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vAlign w:val="center"/>
          </w:tcPr>
          <w:p w14:paraId="1FFBB178">
            <w:pPr>
              <w:spacing w:line="560" w:lineRule="exact"/>
              <w:jc w:val="center"/>
              <w:rPr>
                <w:rFonts w:hint="eastAsia" w:ascii="仿宋_GB2312" w:eastAsia="仿宋_GB2312"/>
                <w:sz w:val="32"/>
                <w:szCs w:val="32"/>
              </w:rPr>
            </w:pPr>
            <w:r>
              <w:rPr>
                <w:rFonts w:hint="eastAsia" w:ascii="仿宋_GB2312" w:eastAsia="仿宋_GB2312"/>
                <w:sz w:val="32"/>
                <w:szCs w:val="32"/>
              </w:rPr>
              <w:t>预算级次</w:t>
            </w:r>
          </w:p>
        </w:tc>
        <w:tc>
          <w:tcPr>
            <w:tcW w:w="5670" w:type="dxa"/>
            <w:vAlign w:val="center"/>
          </w:tcPr>
          <w:p w14:paraId="4A708B73">
            <w:pPr>
              <w:spacing w:line="560" w:lineRule="exact"/>
              <w:jc w:val="center"/>
              <w:rPr>
                <w:rFonts w:hint="eastAsia" w:ascii="仿宋_GB2312" w:eastAsia="仿宋_GB2312"/>
                <w:sz w:val="32"/>
                <w:szCs w:val="32"/>
              </w:rPr>
            </w:pPr>
            <w:r>
              <w:rPr>
                <w:rFonts w:hint="eastAsia" w:ascii="仿宋_GB2312" w:eastAsia="仿宋_GB2312"/>
                <w:sz w:val="32"/>
                <w:szCs w:val="32"/>
              </w:rPr>
              <w:t>单位名称</w:t>
            </w:r>
          </w:p>
        </w:tc>
      </w:tr>
      <w:tr w14:paraId="5E544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vAlign w:val="center"/>
          </w:tcPr>
          <w:p w14:paraId="50AABDAE">
            <w:pPr>
              <w:spacing w:line="560" w:lineRule="exact"/>
              <w:jc w:val="center"/>
              <w:rPr>
                <w:rFonts w:hint="eastAsia" w:ascii="仿宋_GB2312" w:eastAsia="仿宋_GB2312"/>
                <w:sz w:val="32"/>
                <w:szCs w:val="32"/>
              </w:rPr>
            </w:pPr>
            <w:r>
              <w:rPr>
                <w:rFonts w:hint="eastAsia" w:ascii="仿宋_GB2312" w:eastAsia="仿宋_GB2312"/>
                <w:sz w:val="32"/>
                <w:szCs w:val="32"/>
              </w:rPr>
              <w:t>一级</w:t>
            </w:r>
          </w:p>
        </w:tc>
        <w:tc>
          <w:tcPr>
            <w:tcW w:w="5670" w:type="dxa"/>
            <w:vAlign w:val="center"/>
          </w:tcPr>
          <w:p w14:paraId="7DAD5402">
            <w:pPr>
              <w:spacing w:line="560" w:lineRule="exact"/>
              <w:jc w:val="center"/>
              <w:rPr>
                <w:rFonts w:hint="eastAsia" w:ascii="仿宋_GB2312" w:eastAsia="仿宋_GB2312"/>
                <w:sz w:val="32"/>
                <w:szCs w:val="32"/>
              </w:rPr>
            </w:pPr>
            <w:r>
              <w:rPr>
                <w:rFonts w:hint="eastAsia" w:ascii="仿宋_GB2312" w:eastAsia="仿宋_GB2312"/>
                <w:sz w:val="32"/>
                <w:szCs w:val="32"/>
              </w:rPr>
              <w:t>蓝田县公安局机关</w:t>
            </w:r>
          </w:p>
        </w:tc>
      </w:tr>
      <w:tr w14:paraId="26C30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vAlign w:val="center"/>
          </w:tcPr>
          <w:p w14:paraId="46CBA664">
            <w:pPr>
              <w:spacing w:line="560" w:lineRule="exact"/>
              <w:jc w:val="center"/>
              <w:rPr>
                <w:rFonts w:hint="eastAsia" w:ascii="仿宋_GB2312" w:eastAsia="仿宋_GB2312"/>
                <w:sz w:val="32"/>
                <w:szCs w:val="32"/>
              </w:rPr>
            </w:pPr>
            <w:r>
              <w:rPr>
                <w:rFonts w:hint="eastAsia" w:ascii="仿宋_GB2312" w:eastAsia="仿宋_GB2312"/>
                <w:sz w:val="32"/>
                <w:szCs w:val="32"/>
              </w:rPr>
              <w:t>二级</w:t>
            </w:r>
          </w:p>
        </w:tc>
        <w:tc>
          <w:tcPr>
            <w:tcW w:w="5670" w:type="dxa"/>
            <w:vAlign w:val="center"/>
          </w:tcPr>
          <w:p w14:paraId="0660B7CD">
            <w:pPr>
              <w:spacing w:line="560" w:lineRule="exact"/>
              <w:jc w:val="center"/>
              <w:rPr>
                <w:rFonts w:hint="eastAsia" w:ascii="仿宋_GB2312" w:eastAsia="仿宋_GB2312"/>
                <w:sz w:val="32"/>
                <w:szCs w:val="32"/>
              </w:rPr>
            </w:pPr>
            <w:r>
              <w:rPr>
                <w:rFonts w:hint="eastAsia" w:ascii="仿宋_GB2312" w:eastAsia="仿宋_GB2312"/>
                <w:sz w:val="32"/>
                <w:szCs w:val="32"/>
              </w:rPr>
              <w:t>蓝田县公安局交通管理大队</w:t>
            </w:r>
          </w:p>
        </w:tc>
      </w:tr>
      <w:tr w14:paraId="68EAE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76" w:type="dxa"/>
            <w:vAlign w:val="center"/>
          </w:tcPr>
          <w:p w14:paraId="631032DB">
            <w:pPr>
              <w:spacing w:line="560" w:lineRule="exact"/>
              <w:jc w:val="center"/>
              <w:rPr>
                <w:rFonts w:hint="eastAsia" w:ascii="仿宋_GB2312" w:eastAsia="仿宋_GB2312"/>
                <w:sz w:val="32"/>
                <w:szCs w:val="32"/>
              </w:rPr>
            </w:pPr>
            <w:r>
              <w:rPr>
                <w:rFonts w:hint="eastAsia" w:ascii="仿宋_GB2312" w:eastAsia="仿宋_GB2312"/>
                <w:sz w:val="32"/>
                <w:szCs w:val="32"/>
              </w:rPr>
              <w:t>二级</w:t>
            </w:r>
          </w:p>
        </w:tc>
        <w:tc>
          <w:tcPr>
            <w:tcW w:w="5670" w:type="dxa"/>
            <w:vAlign w:val="center"/>
          </w:tcPr>
          <w:p w14:paraId="24C76882">
            <w:pPr>
              <w:spacing w:line="560" w:lineRule="exact"/>
              <w:jc w:val="center"/>
              <w:rPr>
                <w:rFonts w:hint="eastAsia" w:ascii="仿宋_GB2312" w:eastAsia="仿宋_GB2312"/>
                <w:sz w:val="32"/>
                <w:szCs w:val="32"/>
              </w:rPr>
            </w:pPr>
            <w:r>
              <w:rPr>
                <w:rFonts w:hint="eastAsia" w:ascii="仿宋_GB2312" w:eastAsia="仿宋_GB2312"/>
                <w:sz w:val="32"/>
                <w:szCs w:val="32"/>
              </w:rPr>
              <w:t>蓝田县公安局消防大队</w:t>
            </w:r>
          </w:p>
        </w:tc>
      </w:tr>
    </w:tbl>
    <w:p w14:paraId="416E010D">
      <w:pPr>
        <w:spacing w:line="560" w:lineRule="exact"/>
        <w:ind w:firstLine="640" w:firstLineChars="200"/>
        <w:rPr>
          <w:rFonts w:hint="eastAsia" w:ascii="仿宋_GB2312" w:eastAsia="仿宋_GB2312"/>
          <w:sz w:val="32"/>
          <w:szCs w:val="32"/>
        </w:rPr>
      </w:pPr>
    </w:p>
    <w:p w14:paraId="1A96DBD5">
      <w:pPr>
        <w:spacing w:line="560" w:lineRule="exact"/>
        <w:ind w:firstLine="640" w:firstLineChars="200"/>
        <w:rPr>
          <w:rFonts w:hint="eastAsia" w:ascii="黑体" w:eastAsia="黑体"/>
          <w:sz w:val="32"/>
          <w:szCs w:val="32"/>
        </w:rPr>
      </w:pPr>
      <w:r>
        <w:rPr>
          <w:rFonts w:hint="eastAsia" w:ascii="黑体" w:eastAsia="黑体"/>
          <w:sz w:val="32"/>
          <w:szCs w:val="32"/>
        </w:rPr>
        <w:t>四、部门人员情况说明</w:t>
      </w:r>
    </w:p>
    <w:p w14:paraId="238CCE70">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截止2018年底，本部门人员编制274人，其中行政编制274人；实有人员481人，其中行政480人、事业1人。单位管理的离退休人员1人。</w:t>
      </w:r>
    </w:p>
    <w:p w14:paraId="404EA91D">
      <w:pPr>
        <w:spacing w:line="560" w:lineRule="exact"/>
        <w:rPr>
          <w:rFonts w:hint="eastAsia" w:ascii="仿宋_GB2312" w:eastAsia="仿宋_GB2312"/>
          <w:sz w:val="32"/>
          <w:szCs w:val="32"/>
        </w:rPr>
      </w:pPr>
      <w:r>
        <w:rPr>
          <w:rFonts w:hint="eastAsia" w:ascii="仿宋_GB2312" w:eastAsia="仿宋_GB2312"/>
          <w:sz w:val="32"/>
          <w:szCs w:val="32"/>
        </w:rPr>
        <w:drawing>
          <wp:anchor distT="0" distB="0" distL="114300" distR="114300" simplePos="0" relativeHeight="251659264" behindDoc="0" locked="0" layoutInCell="1" allowOverlap="1">
            <wp:simplePos x="0" y="0"/>
            <wp:positionH relativeFrom="column">
              <wp:posOffset>353695</wp:posOffset>
            </wp:positionH>
            <wp:positionV relativeFrom="paragraph">
              <wp:posOffset>9525</wp:posOffset>
            </wp:positionV>
            <wp:extent cx="5313680" cy="2901315"/>
            <wp:effectExtent l="19050" t="0" r="1270" b="0"/>
            <wp:wrapNone/>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5"/>
                    <a:srcRect/>
                    <a:stretch>
                      <a:fillRect/>
                    </a:stretch>
                  </pic:blipFill>
                  <pic:spPr>
                    <a:xfrm>
                      <a:off x="0" y="0"/>
                      <a:ext cx="5313680" cy="2901315"/>
                    </a:xfrm>
                    <a:prstGeom prst="rect">
                      <a:avLst/>
                    </a:prstGeom>
                    <a:noFill/>
                    <a:ln w="9525" cmpd="sng">
                      <a:noFill/>
                      <a:miter lim="800000"/>
                      <a:headEnd/>
                      <a:tailEnd/>
                    </a:ln>
                  </pic:spPr>
                </pic:pic>
              </a:graphicData>
            </a:graphic>
          </wp:anchor>
        </w:drawing>
      </w:r>
    </w:p>
    <w:p w14:paraId="04F9F915">
      <w:pPr>
        <w:spacing w:line="560" w:lineRule="exact"/>
        <w:rPr>
          <w:rFonts w:hint="eastAsia" w:ascii="仿宋_GB2312" w:eastAsia="仿宋_GB2312"/>
          <w:sz w:val="32"/>
          <w:szCs w:val="32"/>
        </w:rPr>
      </w:pPr>
    </w:p>
    <w:p w14:paraId="30BA8BBD">
      <w:pPr>
        <w:spacing w:line="560" w:lineRule="exact"/>
        <w:rPr>
          <w:rFonts w:hint="eastAsia" w:ascii="仿宋_GB2312" w:eastAsia="仿宋_GB2312"/>
          <w:sz w:val="32"/>
          <w:szCs w:val="32"/>
        </w:rPr>
      </w:pPr>
    </w:p>
    <w:p w14:paraId="5E5F7A66">
      <w:pPr>
        <w:spacing w:line="560" w:lineRule="exact"/>
        <w:rPr>
          <w:rFonts w:hint="eastAsia" w:ascii="仿宋_GB2312" w:eastAsia="仿宋_GB2312"/>
          <w:sz w:val="32"/>
          <w:szCs w:val="32"/>
        </w:rPr>
      </w:pPr>
    </w:p>
    <w:p w14:paraId="35C6E44F">
      <w:pPr>
        <w:spacing w:line="560" w:lineRule="exact"/>
        <w:rPr>
          <w:rFonts w:hint="eastAsia" w:ascii="仿宋_GB2312" w:eastAsia="仿宋_GB2312"/>
          <w:sz w:val="32"/>
          <w:szCs w:val="32"/>
        </w:rPr>
      </w:pPr>
    </w:p>
    <w:p w14:paraId="660CDF61">
      <w:pPr>
        <w:spacing w:line="560" w:lineRule="exact"/>
        <w:rPr>
          <w:rFonts w:hint="eastAsia" w:ascii="仿宋_GB2312" w:eastAsia="仿宋_GB2312"/>
          <w:sz w:val="32"/>
          <w:szCs w:val="32"/>
        </w:rPr>
      </w:pPr>
    </w:p>
    <w:p w14:paraId="4A24FE5D">
      <w:pPr>
        <w:spacing w:line="560" w:lineRule="exact"/>
        <w:rPr>
          <w:rFonts w:hint="eastAsia" w:ascii="仿宋_GB2312" w:eastAsia="仿宋_GB2312"/>
          <w:sz w:val="32"/>
          <w:szCs w:val="32"/>
        </w:rPr>
      </w:pPr>
    </w:p>
    <w:p w14:paraId="79BF70FE">
      <w:pPr>
        <w:spacing w:line="560" w:lineRule="exact"/>
        <w:rPr>
          <w:rFonts w:hint="eastAsia" w:ascii="仿宋_GB2312" w:eastAsia="仿宋_GB2312"/>
          <w:sz w:val="32"/>
          <w:szCs w:val="32"/>
        </w:rPr>
      </w:pPr>
    </w:p>
    <w:p w14:paraId="72D8EA90">
      <w:pPr>
        <w:spacing w:line="560" w:lineRule="exact"/>
        <w:rPr>
          <w:rFonts w:hint="eastAsia" w:ascii="仿宋_GB2312" w:eastAsia="仿宋_GB2312"/>
          <w:sz w:val="32"/>
          <w:szCs w:val="32"/>
        </w:rPr>
      </w:pPr>
    </w:p>
    <w:p w14:paraId="40F382ED">
      <w:pPr>
        <w:spacing w:line="560" w:lineRule="exact"/>
        <w:ind w:firstLine="640" w:firstLineChars="200"/>
        <w:rPr>
          <w:rFonts w:hint="eastAsia" w:ascii="黑体" w:eastAsia="黑体"/>
          <w:sz w:val="32"/>
          <w:szCs w:val="32"/>
        </w:rPr>
      </w:pPr>
      <w:r>
        <w:rPr>
          <w:rFonts w:hint="eastAsia" w:ascii="黑体" w:eastAsia="黑体"/>
          <w:sz w:val="32"/>
          <w:szCs w:val="32"/>
        </w:rPr>
        <w:t>五、部门国有资产占有使用情况说明</w:t>
      </w:r>
    </w:p>
    <w:p w14:paraId="24343B3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截止2018年底，本部门所属预算单位共有车辆126辆，其中：一般执法执勤用车70辆，特种专业技术用车56辆。单价20万元以上的设备40台（套）。2019年部门预算安排购置车辆0辆；安排购置单价20万元以上的设备0台（套）。</w:t>
      </w:r>
    </w:p>
    <w:p w14:paraId="2D6AC768">
      <w:pPr>
        <w:spacing w:line="560" w:lineRule="exact"/>
        <w:ind w:firstLine="640" w:firstLineChars="200"/>
        <w:rPr>
          <w:rFonts w:hint="eastAsia" w:ascii="黑体" w:eastAsia="黑体"/>
          <w:sz w:val="32"/>
          <w:szCs w:val="32"/>
        </w:rPr>
      </w:pPr>
      <w:r>
        <w:rPr>
          <w:rFonts w:hint="eastAsia" w:ascii="黑体" w:eastAsia="黑体"/>
          <w:sz w:val="32"/>
          <w:szCs w:val="32"/>
        </w:rPr>
        <w:t>六、部门预算绩效目标说明</w:t>
      </w:r>
    </w:p>
    <w:p w14:paraId="6E1E6507">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2019年本部门实现了部门整体支出绩效目标管理全覆盖，涉及一般公共预算当年拨款8264.02万元。</w:t>
      </w:r>
    </w:p>
    <w:p w14:paraId="00B85CE6">
      <w:pPr>
        <w:spacing w:line="560" w:lineRule="exact"/>
        <w:ind w:firstLine="640" w:firstLineChars="200"/>
        <w:rPr>
          <w:rFonts w:hint="eastAsia" w:ascii="黑体" w:eastAsia="黑体"/>
          <w:sz w:val="32"/>
          <w:szCs w:val="32"/>
        </w:rPr>
      </w:pPr>
      <w:r>
        <w:rPr>
          <w:rFonts w:hint="eastAsia" w:ascii="黑体" w:eastAsia="黑体"/>
          <w:sz w:val="32"/>
          <w:szCs w:val="32"/>
        </w:rPr>
        <w:t>七、2019年部门预算收支说明</w:t>
      </w:r>
    </w:p>
    <w:p w14:paraId="27186595">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（一）收支预算总体情况。</w:t>
      </w:r>
    </w:p>
    <w:p w14:paraId="24D78A18">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本部门预算收入8264.02万元，其中一般公共预算拨款收入8264.02万元、政府性基金拨款收入0万元，2019年本部门预算收入较上年增加1875.22万元，增长29.35%，主要原因是行政人员工资福利支出增加及警务辅助人员工资及保险支出增加。</w:t>
      </w:r>
    </w:p>
    <w:p w14:paraId="1C390A53">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本部门预算支出8264.02万元，其中一般公共预算拨款支出8264.02万元、政府性基金拨款支出0万元，2019年本部门预算支出较上年增加1875.22万元，增长29.35%，主要原因是行政人员工资福利支出增加及警务辅助人员工资及保险支出增加。</w:t>
      </w:r>
    </w:p>
    <w:p w14:paraId="7B87E97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（二）财政拨款收支情况。</w:t>
      </w:r>
    </w:p>
    <w:p w14:paraId="4A9D86D3">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本部门财政拨款收入8264.02万元，其中一般公共预算拨款收入8264.02万元、政府性基金拨款收入0万元，2019年本部门财政拨款收入较上年增加1875.22万元，增长29.35%，主要原因是行政人员工资福利支出增加及警务辅助人员工资及保险支出增加。</w:t>
      </w:r>
    </w:p>
    <w:p w14:paraId="65226CA8">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本部门财政拨款支出8264.02万元，其中一般公共预算拨款支出8264.02万元、政府性基金拨款支出0万元，2019年本部门财政拨款支出较上年增加1875.22万元，增长29.35%，主要原因是行政人员工资福利支出增加及警务辅助人员工资及保险支出增加。</w:t>
      </w:r>
    </w:p>
    <w:p w14:paraId="3F26AA6C">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（三）一般公共预算拨款支出明细情况。</w:t>
      </w:r>
    </w:p>
    <w:p w14:paraId="3D7B72E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1、一般公共预算当年拨款规模变化情况。</w:t>
      </w:r>
    </w:p>
    <w:p w14:paraId="2213072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2019年本部门一般公共预算拨款8264.02万元，较上年增加年增加1875.22万元，增长29.35%，主要原因是行政人员工资福利支出增加及警务辅助人员工资及保险支出增加。</w:t>
      </w:r>
    </w:p>
    <w:p w14:paraId="2F1DF5E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2、支出按功能科目分类的明细情况。</w:t>
      </w:r>
    </w:p>
    <w:p w14:paraId="525870E0">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本部门2019年一般公共预算支出8264.02万元，其中：</w:t>
      </w:r>
    </w:p>
    <w:p w14:paraId="21CC8695">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（1）行政运行（2040201）6668.63万元，较上年增加1419.55万元，增加原因是行政人员工资福利支出增加及警务辅助人员工资及保险支出增加；</w:t>
      </w:r>
    </w:p>
    <w:p w14:paraId="4EEB4D3E">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（2）执法办案（2040220）529.8万元，较上年增加529.8万元，原因是2019年政府收支分类科目清单(功能科目)较2018年变化较大，执法办案（2040220）科目为新增科目；</w:t>
      </w:r>
    </w:p>
    <w:p w14:paraId="562607DA">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（3）机关事业单位基本养老保险缴费支出（2080505）675.09万元，较上年增加675.09万元，原因是机关事业单位基本养老保险缴费支出为2019年新增项目，机关事业单位基本养老保险缴费支出纳入预算管理；</w:t>
      </w:r>
    </w:p>
    <w:p w14:paraId="4D443AAD">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（4）机关事业单位职业年金缴费支出（2080506）14万元，较上年增加14万元，原因是机关事业单位职业年金缴费支出为2019年新增项目，机关事业单位职业年金缴费支出纳入预算管理。</w:t>
      </w:r>
    </w:p>
    <w:p w14:paraId="7A31143F">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（5）消防应急救援（2240204）376.5万元，较上年增加376.5万元，原因是2019年政府收支分类科目清单(功能科目)较2018年变化较大，消防应急救援（2240204）科目为新增科目。</w:t>
      </w:r>
    </w:p>
    <w:p w14:paraId="3F40FD31">
      <w:pPr>
        <w:spacing w:line="560" w:lineRule="exact"/>
        <w:rPr>
          <w:rFonts w:hint="eastAsia" w:ascii="仿宋_GB2312" w:eastAsia="仿宋_GB2312"/>
          <w:sz w:val="32"/>
          <w:szCs w:val="32"/>
        </w:rPr>
      </w:pPr>
    </w:p>
    <w:p w14:paraId="01B59825">
      <w:pPr>
        <w:spacing w:line="560" w:lineRule="exact"/>
        <w:rPr>
          <w:rFonts w:hint="eastAsia" w:ascii="仿宋_GB2312" w:eastAsia="仿宋_GB2312"/>
          <w:sz w:val="32"/>
          <w:szCs w:val="32"/>
        </w:rPr>
      </w:pPr>
    </w:p>
    <w:p w14:paraId="1A993099">
      <w:pPr>
        <w:spacing w:line="560" w:lineRule="exact"/>
        <w:rPr>
          <w:rFonts w:hint="eastAsia" w:ascii="仿宋_GB2312" w:eastAsia="仿宋_GB2312"/>
          <w:sz w:val="32"/>
          <w:szCs w:val="32"/>
        </w:rPr>
      </w:pPr>
    </w:p>
    <w:p w14:paraId="1A55E710">
      <w:pPr>
        <w:spacing w:line="560" w:lineRule="exact"/>
        <w:rPr>
          <w:rFonts w:hint="eastAsia" w:ascii="仿宋_GB2312" w:eastAsia="仿宋_GB2312"/>
          <w:sz w:val="32"/>
          <w:szCs w:val="32"/>
        </w:rPr>
      </w:pPr>
    </w:p>
    <w:p w14:paraId="513FA6C7">
      <w:pPr>
        <w:spacing w:line="560" w:lineRule="exact"/>
        <w:rPr>
          <w:rFonts w:hint="eastAsia" w:ascii="仿宋_GB2312" w:eastAsia="仿宋_GB2312"/>
          <w:sz w:val="32"/>
          <w:szCs w:val="32"/>
        </w:rPr>
      </w:pPr>
    </w:p>
    <w:p w14:paraId="0DCB2E6D">
      <w:pPr>
        <w:spacing w:line="560" w:lineRule="exact"/>
        <w:rPr>
          <w:rFonts w:hint="eastAsia" w:ascii="仿宋_GB2312" w:eastAsia="仿宋_GB2312"/>
          <w:sz w:val="32"/>
          <w:szCs w:val="32"/>
        </w:rPr>
      </w:pPr>
      <w:r>
        <w:drawing>
          <wp:anchor distT="0" distB="0" distL="114300" distR="114300" simplePos="0" relativeHeight="251660288" behindDoc="0" locked="0" layoutInCell="1" allowOverlap="1">
            <wp:simplePos x="0" y="0"/>
            <wp:positionH relativeFrom="column">
              <wp:posOffset>0</wp:posOffset>
            </wp:positionH>
            <wp:positionV relativeFrom="paragraph">
              <wp:posOffset>5715</wp:posOffset>
            </wp:positionV>
            <wp:extent cx="5971540" cy="2734945"/>
            <wp:effectExtent l="19050" t="0" r="0" b="0"/>
            <wp:wrapNone/>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6"/>
                    <a:srcRect/>
                    <a:stretch>
                      <a:fillRect/>
                    </a:stretch>
                  </pic:blipFill>
                  <pic:spPr>
                    <a:xfrm>
                      <a:off x="0" y="0"/>
                      <a:ext cx="5971540" cy="2734945"/>
                    </a:xfrm>
                    <a:prstGeom prst="rect">
                      <a:avLst/>
                    </a:prstGeom>
                    <a:noFill/>
                    <a:ln w="9525" cmpd="sng">
                      <a:noFill/>
                      <a:miter lim="800000"/>
                      <a:headEnd/>
                      <a:tailEnd/>
                    </a:ln>
                  </pic:spPr>
                </pic:pic>
              </a:graphicData>
            </a:graphic>
          </wp:anchor>
        </w:drawing>
      </w:r>
    </w:p>
    <w:p w14:paraId="6D7E9AD1">
      <w:pPr>
        <w:spacing w:line="560" w:lineRule="exact"/>
        <w:rPr>
          <w:rFonts w:hint="eastAsia" w:ascii="仿宋_GB2312" w:eastAsia="仿宋_GB2312"/>
          <w:sz w:val="32"/>
          <w:szCs w:val="32"/>
        </w:rPr>
      </w:pPr>
    </w:p>
    <w:p w14:paraId="7B9EF979">
      <w:pPr>
        <w:spacing w:line="560" w:lineRule="exact"/>
        <w:rPr>
          <w:rFonts w:hint="eastAsia" w:ascii="仿宋_GB2312" w:eastAsia="仿宋_GB2312"/>
          <w:sz w:val="32"/>
          <w:szCs w:val="32"/>
        </w:rPr>
      </w:pPr>
    </w:p>
    <w:p w14:paraId="6848F503">
      <w:pPr>
        <w:spacing w:line="560" w:lineRule="exact"/>
        <w:rPr>
          <w:rFonts w:hint="eastAsia" w:ascii="仿宋_GB2312" w:eastAsia="仿宋_GB2312"/>
          <w:sz w:val="32"/>
          <w:szCs w:val="32"/>
        </w:rPr>
      </w:pPr>
    </w:p>
    <w:p w14:paraId="01F9B26A">
      <w:pPr>
        <w:spacing w:line="560" w:lineRule="exact"/>
        <w:rPr>
          <w:rFonts w:hint="eastAsia" w:ascii="仿宋_GB2312" w:eastAsia="仿宋_GB2312"/>
          <w:sz w:val="32"/>
          <w:szCs w:val="32"/>
        </w:rPr>
      </w:pPr>
    </w:p>
    <w:p w14:paraId="047D0165">
      <w:pPr>
        <w:spacing w:line="560" w:lineRule="exact"/>
        <w:rPr>
          <w:rFonts w:hint="eastAsia" w:ascii="仿宋_GB2312" w:eastAsia="仿宋_GB2312"/>
          <w:sz w:val="32"/>
          <w:szCs w:val="32"/>
        </w:rPr>
      </w:pPr>
    </w:p>
    <w:p w14:paraId="37014A2F">
      <w:pPr>
        <w:spacing w:line="560" w:lineRule="exact"/>
        <w:rPr>
          <w:rFonts w:hint="eastAsia" w:ascii="仿宋_GB2312" w:eastAsia="仿宋_GB2312"/>
          <w:sz w:val="32"/>
          <w:szCs w:val="32"/>
        </w:rPr>
      </w:pPr>
    </w:p>
    <w:p w14:paraId="727775DF">
      <w:pPr>
        <w:spacing w:line="560" w:lineRule="exact"/>
        <w:rPr>
          <w:rFonts w:hint="eastAsia" w:ascii="仿宋_GB2312" w:eastAsia="仿宋_GB2312"/>
          <w:sz w:val="32"/>
          <w:szCs w:val="32"/>
        </w:rPr>
      </w:pPr>
    </w:p>
    <w:p w14:paraId="189DED01">
      <w:pPr>
        <w:spacing w:line="560" w:lineRule="exact"/>
        <w:rPr>
          <w:rFonts w:hint="eastAsia" w:ascii="仿宋_GB2312" w:eastAsia="仿宋_GB2312"/>
          <w:sz w:val="32"/>
          <w:szCs w:val="32"/>
        </w:rPr>
      </w:pPr>
      <w:r>
        <w:drawing>
          <wp:anchor distT="0" distB="0" distL="114300" distR="114300" simplePos="0" relativeHeight="251661312" behindDoc="0" locked="0" layoutInCell="1" allowOverlap="1">
            <wp:simplePos x="0" y="0"/>
            <wp:positionH relativeFrom="column">
              <wp:posOffset>0</wp:posOffset>
            </wp:positionH>
            <wp:positionV relativeFrom="paragraph">
              <wp:posOffset>139065</wp:posOffset>
            </wp:positionV>
            <wp:extent cx="5971540" cy="2616200"/>
            <wp:effectExtent l="19050" t="0" r="0" b="0"/>
            <wp:wrapNone/>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7"/>
                    <a:srcRect/>
                    <a:stretch>
                      <a:fillRect/>
                    </a:stretch>
                  </pic:blipFill>
                  <pic:spPr>
                    <a:xfrm>
                      <a:off x="0" y="0"/>
                      <a:ext cx="5971540" cy="2616200"/>
                    </a:xfrm>
                    <a:prstGeom prst="rect">
                      <a:avLst/>
                    </a:prstGeom>
                    <a:noFill/>
                    <a:ln w="9525" cmpd="sng">
                      <a:noFill/>
                      <a:miter lim="800000"/>
                      <a:headEnd/>
                      <a:tailEnd/>
                    </a:ln>
                  </pic:spPr>
                </pic:pic>
              </a:graphicData>
            </a:graphic>
          </wp:anchor>
        </w:drawing>
      </w:r>
    </w:p>
    <w:p w14:paraId="2CEFD02F">
      <w:pPr>
        <w:spacing w:line="560" w:lineRule="exact"/>
        <w:rPr>
          <w:rFonts w:hint="eastAsia" w:ascii="仿宋_GB2312" w:eastAsia="仿宋_GB2312"/>
          <w:sz w:val="32"/>
          <w:szCs w:val="32"/>
        </w:rPr>
      </w:pPr>
    </w:p>
    <w:p w14:paraId="46044C26">
      <w:pPr>
        <w:spacing w:line="560" w:lineRule="exact"/>
        <w:rPr>
          <w:rFonts w:hint="eastAsia" w:ascii="仿宋_GB2312" w:eastAsia="仿宋_GB2312"/>
          <w:sz w:val="32"/>
          <w:szCs w:val="32"/>
        </w:rPr>
      </w:pPr>
    </w:p>
    <w:p w14:paraId="7FAD3CEF">
      <w:pPr>
        <w:spacing w:line="560" w:lineRule="exact"/>
        <w:rPr>
          <w:rFonts w:hint="eastAsia" w:ascii="仿宋_GB2312" w:eastAsia="仿宋_GB2312"/>
          <w:sz w:val="32"/>
          <w:szCs w:val="32"/>
        </w:rPr>
      </w:pPr>
    </w:p>
    <w:p w14:paraId="4656ABF4">
      <w:pPr>
        <w:spacing w:line="560" w:lineRule="exact"/>
        <w:rPr>
          <w:rFonts w:hint="eastAsia" w:ascii="仿宋_GB2312" w:eastAsia="仿宋_GB2312"/>
          <w:sz w:val="32"/>
          <w:szCs w:val="32"/>
        </w:rPr>
      </w:pPr>
    </w:p>
    <w:p w14:paraId="5EA75333">
      <w:pPr>
        <w:spacing w:line="560" w:lineRule="exact"/>
        <w:rPr>
          <w:rFonts w:hint="eastAsia" w:ascii="仿宋_GB2312" w:eastAsia="仿宋_GB2312"/>
          <w:sz w:val="32"/>
          <w:szCs w:val="32"/>
        </w:rPr>
      </w:pPr>
    </w:p>
    <w:p w14:paraId="1F47A080">
      <w:pPr>
        <w:spacing w:line="560" w:lineRule="exact"/>
        <w:rPr>
          <w:rFonts w:hint="eastAsia" w:ascii="仿宋_GB2312" w:eastAsia="仿宋_GB2312"/>
          <w:sz w:val="32"/>
          <w:szCs w:val="32"/>
        </w:rPr>
      </w:pPr>
    </w:p>
    <w:p w14:paraId="46B11FB7">
      <w:pPr>
        <w:spacing w:line="560" w:lineRule="exact"/>
        <w:rPr>
          <w:rFonts w:hint="eastAsia" w:ascii="仿宋_GB2312" w:eastAsia="仿宋_GB2312"/>
          <w:sz w:val="32"/>
          <w:szCs w:val="32"/>
        </w:rPr>
      </w:pPr>
    </w:p>
    <w:p w14:paraId="04E37C3C">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3、支出按经济科目分类的明细情况。</w:t>
      </w:r>
    </w:p>
    <w:p w14:paraId="219A630F">
      <w:pPr>
        <w:spacing w:line="560" w:lineRule="exact"/>
        <w:ind w:firstLine="645"/>
        <w:rPr>
          <w:rFonts w:hint="eastAsia" w:ascii="仿宋_GB2312" w:eastAsia="仿宋_GB2312"/>
          <w:sz w:val="32"/>
          <w:szCs w:val="32"/>
        </w:rPr>
      </w:pPr>
      <w:r>
        <w:rPr>
          <w:rFonts w:hint="eastAsia" w:ascii="仿宋_GB2312" w:eastAsia="仿宋_GB2312"/>
          <w:sz w:val="32"/>
          <w:szCs w:val="32"/>
        </w:rPr>
        <w:t>（1）按照部门预算支出经济分类类级科目</w:t>
      </w:r>
    </w:p>
    <w:p w14:paraId="39D64334">
      <w:pPr>
        <w:spacing w:line="560" w:lineRule="exact"/>
        <w:ind w:firstLine="645"/>
        <w:rPr>
          <w:rFonts w:hint="eastAsia" w:ascii="仿宋_GB2312" w:eastAsia="仿宋_GB2312"/>
          <w:sz w:val="32"/>
          <w:szCs w:val="32"/>
        </w:rPr>
      </w:pPr>
      <w:r>
        <w:rPr>
          <w:rFonts w:hint="eastAsia" w:ascii="仿宋_GB2312" w:eastAsia="仿宋_GB2312"/>
          <w:sz w:val="32"/>
          <w:szCs w:val="32"/>
        </w:rPr>
        <w:t>2019年本部门一般公共预算支出8264.02万元，其中：</w:t>
      </w:r>
    </w:p>
    <w:p w14:paraId="6701B160">
      <w:pPr>
        <w:spacing w:line="560" w:lineRule="exact"/>
        <w:ind w:firstLine="645"/>
        <w:rPr>
          <w:rFonts w:hint="eastAsia" w:ascii="仿宋_GB2312" w:eastAsia="仿宋_GB2312"/>
          <w:sz w:val="32"/>
          <w:szCs w:val="32"/>
        </w:rPr>
      </w:pPr>
      <w:r>
        <w:rPr>
          <w:rFonts w:hint="eastAsia" w:ascii="仿宋_GB2312" w:eastAsia="仿宋_GB2312"/>
          <w:sz w:val="32"/>
          <w:szCs w:val="32"/>
        </w:rPr>
        <w:t>工资福利支出（301）6308.33万元，较上年增加1703.1万元，原因是行政人员人数增加及工资标准提高、警务辅助人员人数增加和社会保险缴费基数提高；</w:t>
      </w:r>
    </w:p>
    <w:p w14:paraId="3CB30E0A">
      <w:pPr>
        <w:spacing w:line="560" w:lineRule="exact"/>
        <w:ind w:firstLine="645"/>
        <w:rPr>
          <w:rFonts w:hint="eastAsia" w:ascii="仿宋_GB2312" w:eastAsia="仿宋_GB2312"/>
          <w:sz w:val="32"/>
          <w:szCs w:val="32"/>
        </w:rPr>
      </w:pPr>
      <w:r>
        <w:rPr>
          <w:rFonts w:hint="eastAsia" w:ascii="仿宋_GB2312" w:eastAsia="仿宋_GB2312"/>
          <w:sz w:val="32"/>
          <w:szCs w:val="32"/>
        </w:rPr>
        <w:t>商品和服务支出（302）1926.22万元，较上年增加169.2万元，原因是人员人数增加、交通管理大队和消防大队公用经费增加；</w:t>
      </w:r>
    </w:p>
    <w:p w14:paraId="31DD054D">
      <w:pPr>
        <w:spacing w:line="560" w:lineRule="exact"/>
        <w:ind w:firstLine="645"/>
        <w:rPr>
          <w:rFonts w:hint="eastAsia" w:ascii="仿宋_GB2312" w:eastAsia="仿宋_GB2312"/>
          <w:sz w:val="32"/>
          <w:szCs w:val="32"/>
        </w:rPr>
      </w:pPr>
      <w:r>
        <w:rPr>
          <w:rFonts w:hint="eastAsia" w:ascii="仿宋_GB2312" w:eastAsia="仿宋_GB2312"/>
          <w:sz w:val="32"/>
          <w:szCs w:val="32"/>
        </w:rPr>
        <w:t>对个人和家庭的补助（303）29.47万元，较上年增加2.91万元，原因是离休人员工资、遗属补助、六十年代精简人员补助标准提高。</w:t>
      </w:r>
    </w:p>
    <w:p w14:paraId="59ED9260">
      <w:pPr>
        <w:spacing w:line="560" w:lineRule="exact"/>
        <w:rPr>
          <w:rFonts w:hint="eastAsia" w:ascii="仿宋_GB2312" w:eastAsia="仿宋_GB2312"/>
          <w:sz w:val="32"/>
          <w:szCs w:val="32"/>
        </w:rPr>
      </w:pPr>
      <w:r>
        <w:drawing>
          <wp:anchor distT="0" distB="0" distL="114300" distR="114300" simplePos="0" relativeHeight="251661312" behindDoc="0" locked="0" layoutInCell="1" allowOverlap="1">
            <wp:simplePos x="0" y="0"/>
            <wp:positionH relativeFrom="column">
              <wp:posOffset>0</wp:posOffset>
            </wp:positionH>
            <wp:positionV relativeFrom="paragraph">
              <wp:posOffset>180340</wp:posOffset>
            </wp:positionV>
            <wp:extent cx="5971540" cy="1892300"/>
            <wp:effectExtent l="19050" t="0" r="0" b="0"/>
            <wp:wrapNone/>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8"/>
                    <a:srcRect/>
                    <a:stretch>
                      <a:fillRect/>
                    </a:stretch>
                  </pic:blipFill>
                  <pic:spPr>
                    <a:xfrm>
                      <a:off x="0" y="0"/>
                      <a:ext cx="5971540" cy="1892300"/>
                    </a:xfrm>
                    <a:prstGeom prst="rect">
                      <a:avLst/>
                    </a:prstGeom>
                    <a:noFill/>
                    <a:ln w="9525" cmpd="sng">
                      <a:noFill/>
                      <a:miter lim="800000"/>
                      <a:headEnd/>
                      <a:tailEnd/>
                    </a:ln>
                  </pic:spPr>
                </pic:pic>
              </a:graphicData>
            </a:graphic>
          </wp:anchor>
        </w:drawing>
      </w:r>
    </w:p>
    <w:p w14:paraId="2C18B656">
      <w:pPr>
        <w:spacing w:line="560" w:lineRule="exact"/>
        <w:rPr>
          <w:rFonts w:hint="eastAsia" w:ascii="仿宋_GB2312" w:eastAsia="仿宋_GB2312"/>
          <w:sz w:val="32"/>
          <w:szCs w:val="32"/>
        </w:rPr>
      </w:pPr>
    </w:p>
    <w:p w14:paraId="0F9DF734">
      <w:pPr>
        <w:spacing w:line="560" w:lineRule="exact"/>
        <w:rPr>
          <w:rFonts w:hint="eastAsia" w:ascii="仿宋_GB2312" w:eastAsia="仿宋_GB2312"/>
          <w:sz w:val="32"/>
          <w:szCs w:val="32"/>
        </w:rPr>
      </w:pPr>
    </w:p>
    <w:p w14:paraId="2C595FA5">
      <w:pPr>
        <w:spacing w:line="560" w:lineRule="exact"/>
        <w:rPr>
          <w:rFonts w:hint="eastAsia" w:ascii="仿宋_GB2312" w:eastAsia="仿宋_GB2312"/>
          <w:sz w:val="32"/>
          <w:szCs w:val="32"/>
        </w:rPr>
      </w:pPr>
    </w:p>
    <w:p w14:paraId="5C6841E5">
      <w:pPr>
        <w:spacing w:line="560" w:lineRule="exact"/>
        <w:rPr>
          <w:rFonts w:hint="eastAsia" w:ascii="仿宋_GB2312" w:eastAsia="仿宋_GB2312"/>
          <w:sz w:val="32"/>
          <w:szCs w:val="32"/>
        </w:rPr>
      </w:pPr>
    </w:p>
    <w:p w14:paraId="3FD5205C">
      <w:pPr>
        <w:spacing w:line="560" w:lineRule="exact"/>
        <w:rPr>
          <w:rFonts w:hint="eastAsia" w:ascii="仿宋_GB2312" w:eastAsia="仿宋_GB2312"/>
          <w:sz w:val="32"/>
          <w:szCs w:val="32"/>
        </w:rPr>
      </w:pPr>
    </w:p>
    <w:p w14:paraId="565666C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（2）按照政府预算支出经济分类类级科目</w:t>
      </w:r>
    </w:p>
    <w:p w14:paraId="41371FFD">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2019年本部门一般公共预算支出8264.02万元，其中：</w:t>
      </w:r>
    </w:p>
    <w:p w14:paraId="79605CE7">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机关工资福利支出（501）6299.27万元，较上年增加1701.78万元，原因是行政人员人数增加及工资标准提高、警务辅助人员人数增加和社会保险缴费基数提高、2019年起机关事业单位基本养老保险缴费支出和机关事业单位职业年金缴费支出纳入预算管理；</w:t>
      </w:r>
    </w:p>
    <w:p w14:paraId="58C4A7A2">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机关商品和服务支出（502）1925.55万元，较上年增加171万元，原因是人员人数增加、交通管理大队和消防大队公用经费增加；</w:t>
      </w:r>
    </w:p>
    <w:p w14:paraId="0F9E96EE">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对事业单位经常性补助（505）9.73万元，较上年减少0.47万元，原因是2019年事业人员没有公用经费；</w:t>
      </w:r>
    </w:p>
    <w:p w14:paraId="166DDA9B">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对个人和家庭的补助（509）29.47万元，较上年增加2.91万元，原因是离休人员工资、遗属补助、六十年代精简人员补助标准提高。</w:t>
      </w:r>
    </w:p>
    <w:p w14:paraId="632E4920">
      <w:pPr>
        <w:spacing w:line="560" w:lineRule="exact"/>
        <w:rPr>
          <w:rFonts w:hint="eastAsia" w:ascii="仿宋_GB2312" w:eastAsia="仿宋_GB2312"/>
          <w:sz w:val="32"/>
          <w:szCs w:val="32"/>
        </w:rPr>
      </w:pPr>
      <w:r>
        <w:drawing>
          <wp:anchor distT="0" distB="0" distL="114300" distR="114300" simplePos="0" relativeHeight="251662336" behindDoc="0" locked="0" layoutInCell="1" allowOverlap="1">
            <wp:simplePos x="0" y="0"/>
            <wp:positionH relativeFrom="column">
              <wp:posOffset>7620</wp:posOffset>
            </wp:positionH>
            <wp:positionV relativeFrom="paragraph">
              <wp:posOffset>99695</wp:posOffset>
            </wp:positionV>
            <wp:extent cx="5971540" cy="2115185"/>
            <wp:effectExtent l="19050" t="0" r="0" b="0"/>
            <wp:wrapNone/>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9"/>
                    <a:srcRect/>
                    <a:stretch>
                      <a:fillRect/>
                    </a:stretch>
                  </pic:blipFill>
                  <pic:spPr>
                    <a:xfrm>
                      <a:off x="0" y="0"/>
                      <a:ext cx="5971540" cy="2115185"/>
                    </a:xfrm>
                    <a:prstGeom prst="rect">
                      <a:avLst/>
                    </a:prstGeom>
                    <a:noFill/>
                    <a:ln w="9525" cmpd="sng">
                      <a:noFill/>
                      <a:miter lim="800000"/>
                      <a:headEnd/>
                      <a:tailEnd/>
                    </a:ln>
                  </pic:spPr>
                </pic:pic>
              </a:graphicData>
            </a:graphic>
          </wp:anchor>
        </w:drawing>
      </w:r>
    </w:p>
    <w:p w14:paraId="0A39ADC5">
      <w:pPr>
        <w:spacing w:line="560" w:lineRule="exact"/>
        <w:rPr>
          <w:rFonts w:hint="eastAsia" w:ascii="仿宋_GB2312" w:eastAsia="仿宋_GB2312"/>
          <w:sz w:val="32"/>
          <w:szCs w:val="32"/>
        </w:rPr>
      </w:pPr>
    </w:p>
    <w:p w14:paraId="66DC4193">
      <w:pPr>
        <w:spacing w:line="560" w:lineRule="exact"/>
        <w:rPr>
          <w:rFonts w:hint="eastAsia" w:ascii="仿宋_GB2312" w:eastAsia="仿宋_GB2312"/>
          <w:sz w:val="32"/>
          <w:szCs w:val="32"/>
        </w:rPr>
      </w:pPr>
    </w:p>
    <w:p w14:paraId="129CB910">
      <w:pPr>
        <w:spacing w:line="560" w:lineRule="exact"/>
        <w:rPr>
          <w:rFonts w:hint="eastAsia" w:ascii="仿宋_GB2312" w:eastAsia="仿宋_GB2312"/>
          <w:sz w:val="32"/>
          <w:szCs w:val="32"/>
        </w:rPr>
      </w:pPr>
    </w:p>
    <w:p w14:paraId="0441E5A5">
      <w:pPr>
        <w:spacing w:line="560" w:lineRule="exact"/>
        <w:rPr>
          <w:rFonts w:hint="eastAsia" w:ascii="仿宋_GB2312" w:eastAsia="仿宋_GB2312"/>
          <w:sz w:val="32"/>
          <w:szCs w:val="32"/>
        </w:rPr>
      </w:pPr>
    </w:p>
    <w:p w14:paraId="43C51655">
      <w:pPr>
        <w:spacing w:line="560" w:lineRule="exact"/>
        <w:rPr>
          <w:rFonts w:hint="eastAsia" w:ascii="仿宋_GB2312" w:eastAsia="仿宋_GB2312"/>
          <w:sz w:val="32"/>
          <w:szCs w:val="32"/>
        </w:rPr>
      </w:pPr>
    </w:p>
    <w:p w14:paraId="4307A01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（四）政府性基金预算支出情况。</w:t>
      </w:r>
    </w:p>
    <w:p w14:paraId="697A564A">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本部门无政府性基金预算收支，并已公开空表。</w:t>
      </w:r>
    </w:p>
    <w:p w14:paraId="69A79F4E">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（五）国有资本经营预算拨款收支情况。</w:t>
      </w:r>
    </w:p>
    <w:p w14:paraId="0894909E">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本部门无国有资本经营预算拨款收支。</w:t>
      </w:r>
    </w:p>
    <w:p w14:paraId="39BCCD52">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（六）“三公”经费等预算情况。</w:t>
      </w:r>
    </w:p>
    <w:p w14:paraId="3795C37B">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本部门一般公共预算“三公”经费预算支出21万元，较上年减少6万元（-9%），减少的主要原因是2019年进一步压缩公务接待费和公务用车运行维护费。其中：因公出国（境）费0万元，较上年无增减变化；公务接待费2万元，较上年减少5万元（-71.4%），减少的主要原因是2019年进一步压缩公务接待费；公务用车运行维护费19万元，较上年减少1万元（-5%），减少的主要原因是2019年进一步压缩公车运行维护费；公务用车购置费0万元，较上年无增减变化。</w:t>
      </w:r>
    </w:p>
    <w:p w14:paraId="6A8D7990">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2019年，本部门一般公共预算会议费8万元，较上年无增减变化；培训费22万元，较上年减少3万元（-12%），减少的主要原因是继续落实“八项”规定，减少会议次数及开支。</w:t>
      </w:r>
    </w:p>
    <w:p w14:paraId="73F3573E">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（七）机关运行费安排情况。</w:t>
      </w:r>
    </w:p>
    <w:p w14:paraId="4E7E0EE2">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本部门2019年机关运行经费预算安排1926.22万元，交上年增加169.2万元，主要原因是人员人数增加导致局机关、交通管理大队和消防大队公用经费增加。</w:t>
      </w:r>
    </w:p>
    <w:p w14:paraId="37481EC5">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（八）政府采购情况。</w:t>
      </w:r>
    </w:p>
    <w:p w14:paraId="38B61CCA">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本部门2019年无政府采购预算，并已公开空表</w:t>
      </w:r>
    </w:p>
    <w:p w14:paraId="5709B6D8">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（九）其他需要说明的情况</w:t>
      </w:r>
    </w:p>
    <w:p w14:paraId="23F3181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1、部门预算编制依据</w:t>
      </w:r>
    </w:p>
    <w:p w14:paraId="3A2AF7E9">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根据《中华人民共和国预算法》、《中华人民共和国预算法实施条例》的有关规定，按照《蓝田县财政局关于编制2019年部门综合预算和2019-2021年中期财政规划的通知》（蓝财发〔2018〕126号）的规定，结合我局实际经过合理测算，科学编制，严格审批申报。</w:t>
      </w:r>
    </w:p>
    <w:p w14:paraId="58C6EBE5">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2、涉密资金的处理。</w:t>
      </w:r>
    </w:p>
    <w:p w14:paraId="2F6978F7">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依据《地方预决算公开操作规程》（财预〔2016〕143号）第二十四条及公安部、国家保密局下发的《公安工作国家秘密范围的规定》（公通字〔2008〕33号）附件27款和公安部《关于确认公安机关部分财政科目支出涉密属性的复函》（公装财〔2011〕599号）之规定，隐蔽工作单位名称、编制、人员、联系方式、任务、经费情况和器材的掩护措施及有关财政科目，属于国家秘密，不予公开。</w:t>
      </w:r>
    </w:p>
    <w:p w14:paraId="0E786EBC">
      <w:pPr>
        <w:spacing w:line="560" w:lineRule="exact"/>
        <w:ind w:firstLine="640" w:firstLineChars="200"/>
        <w:rPr>
          <w:rFonts w:hint="eastAsia" w:ascii="黑体" w:eastAsia="黑体"/>
          <w:sz w:val="32"/>
          <w:szCs w:val="32"/>
        </w:rPr>
      </w:pPr>
      <w:r>
        <w:rPr>
          <w:rFonts w:hint="eastAsia" w:ascii="黑体" w:eastAsia="黑体"/>
          <w:sz w:val="32"/>
          <w:szCs w:val="32"/>
        </w:rPr>
        <w:t>八、专业名词解释</w:t>
      </w:r>
    </w:p>
    <w:p w14:paraId="1ED5911B">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三公”经费：是指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燃料费、维修费、过路过桥费、保险费、安全奖励费用等支出；公务接待费反映单位按规定开支的各类公务接待支出。</w:t>
      </w:r>
    </w:p>
    <w:p w14:paraId="6A0786BA">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14:paraId="55D605D8">
      <w:pPr>
        <w:spacing w:line="560" w:lineRule="exact"/>
        <w:ind w:firstLine="640" w:firstLineChars="200"/>
        <w:rPr>
          <w:rFonts w:hint="eastAsia" w:ascii="黑体" w:eastAsia="黑体"/>
          <w:sz w:val="32"/>
          <w:szCs w:val="32"/>
        </w:rPr>
      </w:pPr>
      <w:r>
        <w:rPr>
          <w:rFonts w:hint="eastAsia" w:ascii="黑体" w:eastAsia="黑体"/>
          <w:sz w:val="32"/>
          <w:szCs w:val="32"/>
        </w:rPr>
        <w:t>九、部门预算表</w:t>
      </w:r>
    </w:p>
    <w:p w14:paraId="37143CBC">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详情见附表。</w:t>
      </w:r>
    </w:p>
    <w:sectPr>
      <w:footerReference r:id="rId3" w:type="default"/>
      <w:pgSz w:w="11906" w:h="16838"/>
      <w:pgMar w:top="1134" w:right="1077"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25D2D">
    <w:pPr>
      <w:pStyle w:val="3"/>
      <w:jc w:val="center"/>
      <w:rPr>
        <w:rFonts w:hint="eastAsia"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eastAsia="zh-CN"/>
      </w:rPr>
      <w:t>2</w:t>
    </w:r>
    <w:r>
      <w:rPr>
        <w:rFonts w:hint="eastAsia" w:ascii="仿宋_GB2312" w:eastAsia="仿宋_GB2312"/>
        <w:sz w:val="28"/>
        <w:szCs w:val="28"/>
      </w:rPr>
      <w:fldChar w:fldCharType="end"/>
    </w:r>
  </w:p>
  <w:p w14:paraId="0E7D374A">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VjM2VlMjg3ZGI5MjRkYzVhNDQwOGMxMTQ4MzIxMmQifQ=="/>
  </w:docVars>
  <w:rsids>
    <w:rsidRoot w:val="003414B6"/>
    <w:rsid w:val="00005C7C"/>
    <w:rsid w:val="00010B46"/>
    <w:rsid w:val="000160C1"/>
    <w:rsid w:val="000211E6"/>
    <w:rsid w:val="00062031"/>
    <w:rsid w:val="0006315D"/>
    <w:rsid w:val="00094236"/>
    <w:rsid w:val="000C2C0A"/>
    <w:rsid w:val="000C5A28"/>
    <w:rsid w:val="000C6466"/>
    <w:rsid w:val="000E4553"/>
    <w:rsid w:val="000F414A"/>
    <w:rsid w:val="00100893"/>
    <w:rsid w:val="00110AEA"/>
    <w:rsid w:val="001217F0"/>
    <w:rsid w:val="00126E85"/>
    <w:rsid w:val="001418C4"/>
    <w:rsid w:val="00157D69"/>
    <w:rsid w:val="001730C0"/>
    <w:rsid w:val="00176D89"/>
    <w:rsid w:val="001801DD"/>
    <w:rsid w:val="001A511E"/>
    <w:rsid w:val="001B3362"/>
    <w:rsid w:val="001B6A40"/>
    <w:rsid w:val="001B7E6C"/>
    <w:rsid w:val="001C71AA"/>
    <w:rsid w:val="001D465C"/>
    <w:rsid w:val="00212D96"/>
    <w:rsid w:val="00222FF0"/>
    <w:rsid w:val="0024677A"/>
    <w:rsid w:val="00250BBC"/>
    <w:rsid w:val="002802F6"/>
    <w:rsid w:val="002945F4"/>
    <w:rsid w:val="002A71F8"/>
    <w:rsid w:val="002B752B"/>
    <w:rsid w:val="002E2DD1"/>
    <w:rsid w:val="002E55A4"/>
    <w:rsid w:val="002E6F0E"/>
    <w:rsid w:val="002F2AF9"/>
    <w:rsid w:val="0030704D"/>
    <w:rsid w:val="003149A0"/>
    <w:rsid w:val="00316465"/>
    <w:rsid w:val="00333608"/>
    <w:rsid w:val="003414B6"/>
    <w:rsid w:val="00357525"/>
    <w:rsid w:val="00396F00"/>
    <w:rsid w:val="00397A2A"/>
    <w:rsid w:val="003B7B1C"/>
    <w:rsid w:val="003C0143"/>
    <w:rsid w:val="003C24C4"/>
    <w:rsid w:val="003C35B0"/>
    <w:rsid w:val="003D302F"/>
    <w:rsid w:val="003D78E3"/>
    <w:rsid w:val="003E790A"/>
    <w:rsid w:val="003F00D0"/>
    <w:rsid w:val="004044E0"/>
    <w:rsid w:val="00407F67"/>
    <w:rsid w:val="00410752"/>
    <w:rsid w:val="0042253E"/>
    <w:rsid w:val="00426AD7"/>
    <w:rsid w:val="00444BB7"/>
    <w:rsid w:val="004746F4"/>
    <w:rsid w:val="0047599F"/>
    <w:rsid w:val="00486B69"/>
    <w:rsid w:val="004A73D7"/>
    <w:rsid w:val="004B088B"/>
    <w:rsid w:val="004C093B"/>
    <w:rsid w:val="004F7B39"/>
    <w:rsid w:val="005240E8"/>
    <w:rsid w:val="00524AC2"/>
    <w:rsid w:val="00530017"/>
    <w:rsid w:val="005509BB"/>
    <w:rsid w:val="005576C7"/>
    <w:rsid w:val="00563C25"/>
    <w:rsid w:val="0058137C"/>
    <w:rsid w:val="005818E4"/>
    <w:rsid w:val="00584C7A"/>
    <w:rsid w:val="0059237F"/>
    <w:rsid w:val="0059316B"/>
    <w:rsid w:val="00594764"/>
    <w:rsid w:val="00594D63"/>
    <w:rsid w:val="00595BC3"/>
    <w:rsid w:val="005C11A1"/>
    <w:rsid w:val="005D06B3"/>
    <w:rsid w:val="005D3F80"/>
    <w:rsid w:val="005E1872"/>
    <w:rsid w:val="005E6A37"/>
    <w:rsid w:val="005E7D3C"/>
    <w:rsid w:val="005F4786"/>
    <w:rsid w:val="00606CA0"/>
    <w:rsid w:val="00624AFC"/>
    <w:rsid w:val="00625BFE"/>
    <w:rsid w:val="00631AC0"/>
    <w:rsid w:val="00640C13"/>
    <w:rsid w:val="006510D5"/>
    <w:rsid w:val="0065648A"/>
    <w:rsid w:val="006C0F18"/>
    <w:rsid w:val="006D3546"/>
    <w:rsid w:val="006E7820"/>
    <w:rsid w:val="006F742A"/>
    <w:rsid w:val="00707D3B"/>
    <w:rsid w:val="007103AE"/>
    <w:rsid w:val="00752460"/>
    <w:rsid w:val="00761323"/>
    <w:rsid w:val="00763432"/>
    <w:rsid w:val="00771025"/>
    <w:rsid w:val="00773662"/>
    <w:rsid w:val="00794E66"/>
    <w:rsid w:val="007A24C9"/>
    <w:rsid w:val="007B47FC"/>
    <w:rsid w:val="007E728D"/>
    <w:rsid w:val="00850E78"/>
    <w:rsid w:val="00851D33"/>
    <w:rsid w:val="0086053F"/>
    <w:rsid w:val="00860D50"/>
    <w:rsid w:val="008624BB"/>
    <w:rsid w:val="00862B66"/>
    <w:rsid w:val="008962D7"/>
    <w:rsid w:val="008D0018"/>
    <w:rsid w:val="008E4B56"/>
    <w:rsid w:val="0091306E"/>
    <w:rsid w:val="009352E6"/>
    <w:rsid w:val="00940C3E"/>
    <w:rsid w:val="00950E42"/>
    <w:rsid w:val="009564B7"/>
    <w:rsid w:val="009B0799"/>
    <w:rsid w:val="009D17A2"/>
    <w:rsid w:val="009D4FF3"/>
    <w:rsid w:val="009F7C6A"/>
    <w:rsid w:val="00A00E55"/>
    <w:rsid w:val="00A4109B"/>
    <w:rsid w:val="00A44C14"/>
    <w:rsid w:val="00A66E00"/>
    <w:rsid w:val="00A75055"/>
    <w:rsid w:val="00AD3285"/>
    <w:rsid w:val="00AE1B67"/>
    <w:rsid w:val="00AE26D7"/>
    <w:rsid w:val="00B110D6"/>
    <w:rsid w:val="00B222B7"/>
    <w:rsid w:val="00B72155"/>
    <w:rsid w:val="00B762C1"/>
    <w:rsid w:val="00BA3122"/>
    <w:rsid w:val="00BC38C4"/>
    <w:rsid w:val="00BE0613"/>
    <w:rsid w:val="00C02153"/>
    <w:rsid w:val="00C033FD"/>
    <w:rsid w:val="00C30960"/>
    <w:rsid w:val="00C411ED"/>
    <w:rsid w:val="00C45349"/>
    <w:rsid w:val="00C469CC"/>
    <w:rsid w:val="00C47954"/>
    <w:rsid w:val="00C54A1A"/>
    <w:rsid w:val="00C67C1E"/>
    <w:rsid w:val="00CA0389"/>
    <w:rsid w:val="00CA7184"/>
    <w:rsid w:val="00CF34A5"/>
    <w:rsid w:val="00CF7C33"/>
    <w:rsid w:val="00D13C04"/>
    <w:rsid w:val="00D1408B"/>
    <w:rsid w:val="00D32DD9"/>
    <w:rsid w:val="00D46EC3"/>
    <w:rsid w:val="00D515DA"/>
    <w:rsid w:val="00D751A9"/>
    <w:rsid w:val="00D7581A"/>
    <w:rsid w:val="00D84594"/>
    <w:rsid w:val="00DC6EB1"/>
    <w:rsid w:val="00DF1B65"/>
    <w:rsid w:val="00E038A0"/>
    <w:rsid w:val="00E0736C"/>
    <w:rsid w:val="00E24C15"/>
    <w:rsid w:val="00E270DB"/>
    <w:rsid w:val="00E277BF"/>
    <w:rsid w:val="00E3390F"/>
    <w:rsid w:val="00E671CF"/>
    <w:rsid w:val="00E67F28"/>
    <w:rsid w:val="00E7453A"/>
    <w:rsid w:val="00E8153E"/>
    <w:rsid w:val="00E9532D"/>
    <w:rsid w:val="00EC1B7E"/>
    <w:rsid w:val="00EC2BAB"/>
    <w:rsid w:val="00EC2E56"/>
    <w:rsid w:val="00EC7325"/>
    <w:rsid w:val="00ED7811"/>
    <w:rsid w:val="00F00A1F"/>
    <w:rsid w:val="00F25AA9"/>
    <w:rsid w:val="00F342F5"/>
    <w:rsid w:val="00F373E1"/>
    <w:rsid w:val="00F5329A"/>
    <w:rsid w:val="00F64D6E"/>
    <w:rsid w:val="00F725BD"/>
    <w:rsid w:val="00F754D2"/>
    <w:rsid w:val="00F85FB0"/>
    <w:rsid w:val="00F87E76"/>
    <w:rsid w:val="00FA40C7"/>
    <w:rsid w:val="00FA7285"/>
    <w:rsid w:val="00FB5C27"/>
    <w:rsid w:val="00FC4DB6"/>
    <w:rsid w:val="00FC5632"/>
    <w:rsid w:val="00FE746D"/>
    <w:rsid w:val="02532A8E"/>
    <w:rsid w:val="306E3C25"/>
    <w:rsid w:val="4A680BFB"/>
    <w:rsid w:val="5A695E31"/>
    <w:rsid w:val="68D80B6B"/>
    <w:rsid w:val="6C7C4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link w:val="4"/>
    <w:qFormat/>
    <w:uiPriority w:val="0"/>
    <w:rPr>
      <w:kern w:val="2"/>
      <w:sz w:val="18"/>
      <w:szCs w:val="18"/>
    </w:rPr>
  </w:style>
  <w:style w:type="character" w:customStyle="1" w:styleId="9">
    <w:name w:val="批注框文本 Char"/>
    <w:link w:val="2"/>
    <w:uiPriority w:val="0"/>
    <w:rPr>
      <w:kern w:val="2"/>
      <w:sz w:val="18"/>
      <w:szCs w:val="18"/>
    </w:rPr>
  </w:style>
  <w:style w:type="character" w:customStyle="1" w:styleId="10">
    <w:name w:val="页脚 Char"/>
    <w:link w:val="3"/>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emf"/><Relationship Id="rId8" Type="http://schemas.openxmlformats.org/officeDocument/2006/relationships/image" Target="media/image4.emf"/><Relationship Id="rId7" Type="http://schemas.openxmlformats.org/officeDocument/2006/relationships/image" Target="media/image3.emf"/><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9</Pages>
  <Words>3781</Words>
  <Characters>4270</Characters>
  <Lines>31</Lines>
  <Paragraphs>8</Paragraphs>
  <TotalTime>2</TotalTime>
  <ScaleCrop>false</ScaleCrop>
  <LinksUpToDate>false</LinksUpToDate>
  <CharactersWithSpaces>4270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2022-03-30T08:45:00Z</dcterms:created>
  <dc:creator>Administrator</dc:creator>
  <cp:lastModifiedBy>SuperNiNi</cp:lastModifiedBy>
  <cp:lastPrinted>2019-02-18T01:18:00Z</cp:lastPrinted>
  <dcterms:modified xsi:type="dcterms:W3CDTF">2024-07-16T08:55:24Z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2691EF287EBC48E8860622F3BFF7A8BB_12</vt:lpwstr>
  </property>
</Properties>
</file>