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szCs w:val="32"/>
        </w:rPr>
      </w:pPr>
    </w:p>
    <w:p>
      <w:pPr>
        <w:rPr>
          <w:rFonts w:ascii="宋体" w:hAnsi="宋体" w:eastAsia="宋体"/>
          <w:szCs w:val="32"/>
        </w:rPr>
      </w:pP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蓝田县公安局</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eastAsia" w:ascii="宋体" w:hAnsi="宋体" w:eastAsia="宋体" w:cstheme="minorEastAsia"/>
          <w:b/>
          <w:bCs/>
          <w:szCs w:val="32"/>
          <w:lang w:val="en-US"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hint="eastAsia" w:ascii="宋体" w:hAnsi="宋体" w:eastAsia="宋体" w:cstheme="minorEastAsia"/>
          <w:b/>
          <w:bCs/>
          <w:szCs w:val="32"/>
          <w:lang w:eastAsia="zh-CN"/>
        </w:rPr>
      </w:pPr>
      <w:r>
        <w:rPr>
          <w:rFonts w:hint="eastAsia" w:ascii="宋体" w:hAnsi="宋体" w:eastAsia="宋体" w:cstheme="minorEastAsia"/>
          <w:b/>
          <w:bCs/>
          <w:szCs w:val="32"/>
        </w:rPr>
        <w:t>部门主要负责人审签情况：</w:t>
      </w:r>
      <w:r>
        <w:rPr>
          <w:rFonts w:hint="eastAsia" w:ascii="宋体" w:hAnsi="宋体" w:eastAsia="宋体" w:cstheme="minorEastAsia"/>
          <w:b/>
          <w:bCs/>
          <w:szCs w:val="32"/>
          <w:lang w:eastAsia="zh-CN"/>
        </w:rPr>
        <w:t>已同意</w:t>
      </w:r>
    </w:p>
    <w:p>
      <w:pPr>
        <w:spacing w:line="400" w:lineRule="exact"/>
        <w:rPr>
          <w:rFonts w:hint="eastAsia" w:ascii="宋体" w:hAnsi="宋体" w:eastAsia="宋体" w:cstheme="minorEastAsia"/>
          <w:b/>
          <w:bCs/>
          <w:szCs w:val="32"/>
        </w:rPr>
      </w:pP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w:t>
      </w:r>
      <w:r>
        <w:rPr>
          <w:rFonts w:hint="eastAsia" w:ascii="仿宋_GB2312" w:hAnsi="仿宋" w:eastAsia="仿宋_GB2312"/>
          <w:szCs w:val="32"/>
        </w:rPr>
        <w:t>贯彻执行党中央、国务院和各级党委、政府关于公安警务工作的方针、政策、法规、规章、分析研究全县的社会治安状况，组织、指导全县公安警务工作。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2.</w:t>
      </w:r>
      <w:r>
        <w:rPr>
          <w:rFonts w:hint="eastAsia" w:ascii="仿宋_GB2312" w:hAnsi="仿宋" w:eastAsia="仿宋_GB2312"/>
          <w:szCs w:val="32"/>
        </w:rPr>
        <w:t>加强全县公安民警的教育和管理，制定全县公安民警培训、教育及公安宣传的计划和措施，检查监督落实情况。</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3.</w:t>
      </w:r>
      <w:r>
        <w:rPr>
          <w:rFonts w:hint="eastAsia" w:ascii="仿宋_GB2312" w:hAnsi="仿宋" w:eastAsia="仿宋_GB2312"/>
          <w:szCs w:val="32"/>
        </w:rPr>
        <w:t>制定全县公安队伍监督管理工作规章制度，分析队伍状况，实施警务督察；加强对全县公安民警的监督；发现和查处全县公安民警违纪案件。</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4.</w:t>
      </w:r>
      <w:r>
        <w:rPr>
          <w:rFonts w:hint="eastAsia" w:ascii="仿宋_GB2312" w:hAnsi="仿宋" w:eastAsia="仿宋_GB2312"/>
          <w:szCs w:val="32"/>
        </w:rPr>
        <w:t>掌握影响稳定、危害国内安全和社会治安的情报信息，分析形势，为县委、县政府和上级公安机关决策及时提供信息和依据。</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5.</w:t>
      </w:r>
      <w:r>
        <w:rPr>
          <w:rFonts w:hint="eastAsia" w:ascii="仿宋_GB2312" w:hAnsi="仿宋" w:eastAsia="仿宋_GB2312"/>
          <w:szCs w:val="32"/>
        </w:rPr>
        <w:t>组织侦破刑事案件、经济案件、毒品案件、依法打击各类犯罪分子，承担县禁毒工作领导小组办公室的日常工作。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6.</w:t>
      </w:r>
      <w:r>
        <w:rPr>
          <w:rFonts w:hint="eastAsia" w:ascii="仿宋_GB2312" w:hAnsi="仿宋" w:eastAsia="仿宋_GB2312"/>
          <w:szCs w:val="32"/>
        </w:rPr>
        <w:t>对法律、法规规定的场所、特种行业、枪支弹药、危爆物品进行治安管理，养犬登记、年检，依法查处各类治安案件。</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7.</w:t>
      </w:r>
      <w:r>
        <w:rPr>
          <w:rFonts w:hint="eastAsia" w:ascii="仿宋_GB2312" w:hAnsi="仿宋" w:eastAsia="仿宋_GB2312"/>
          <w:szCs w:val="32"/>
        </w:rPr>
        <w:t>依法对集会、游行、示威活动和大型群体性活动进行管理。</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8.</w:t>
      </w:r>
      <w:r>
        <w:rPr>
          <w:rFonts w:hint="eastAsia" w:ascii="仿宋_GB2312" w:hAnsi="仿宋" w:eastAsia="仿宋_GB2312"/>
          <w:szCs w:val="32"/>
        </w:rPr>
        <w:t>负责全县食品药品案件侦破工作。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9.</w:t>
      </w:r>
      <w:r>
        <w:rPr>
          <w:rFonts w:hint="eastAsia" w:ascii="仿宋_GB2312" w:hAnsi="仿宋" w:eastAsia="仿宋_GB2312"/>
          <w:szCs w:val="32"/>
        </w:rPr>
        <w:t>负责相关警卫工作的组织领导和指挥任务的受领下达、人员政审、安全检查、住地警卫、路线警卫和现场警卫工作。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10.</w:t>
      </w:r>
      <w:r>
        <w:rPr>
          <w:rFonts w:hint="eastAsia" w:ascii="仿宋_GB2312" w:hAnsi="仿宋" w:eastAsia="仿宋_GB2312"/>
          <w:szCs w:val="32"/>
        </w:rPr>
        <w:t>管理县级公安机关110报警指挥系统，处理110报警、群众求助和监督电话，对紧急治安事件和重大紧急情况，实施统一指挥调度。</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11.</w:t>
      </w:r>
      <w:r>
        <w:rPr>
          <w:rFonts w:hint="eastAsia" w:ascii="仿宋_GB2312" w:hAnsi="仿宋" w:eastAsia="仿宋_GB2312"/>
          <w:szCs w:val="32"/>
        </w:rPr>
        <w:t>负责组织、指导全县的治安巡逻防控工作，对全县社会治安实施动态管理。</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12.</w:t>
      </w:r>
      <w:r>
        <w:rPr>
          <w:rFonts w:hint="eastAsia" w:ascii="仿宋_GB2312" w:hAnsi="仿宋" w:eastAsia="仿宋_GB2312"/>
          <w:szCs w:val="32"/>
        </w:rPr>
        <w:t>指导、监督全县国家机关、社会团体、企事业单位的重点建设工程的安全保卫工作，指导治安保卫委员会等群众性组织的治安防范工作和队伍建设。</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13.</w:t>
      </w:r>
      <w:r>
        <w:rPr>
          <w:rFonts w:hint="eastAsia" w:ascii="仿宋_GB2312" w:hAnsi="仿宋" w:eastAsia="仿宋_GB2312"/>
          <w:szCs w:val="32"/>
        </w:rPr>
        <w:t>负责对全县保安服务公司、内部保安组织、保安培训机构的监督管理。</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14.</w:t>
      </w:r>
      <w:r>
        <w:rPr>
          <w:rFonts w:hint="eastAsia" w:ascii="仿宋_GB2312" w:hAnsi="仿宋" w:eastAsia="仿宋_GB2312"/>
          <w:szCs w:val="32"/>
        </w:rPr>
        <w:t>负责对全县计算机信息系统的安全监察和管理；负责互联网上网服务营业场所信息网络安全审核。</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15.</w:t>
      </w:r>
      <w:r>
        <w:rPr>
          <w:rFonts w:hint="eastAsia" w:ascii="仿宋_GB2312" w:hAnsi="仿宋" w:eastAsia="仿宋_GB2312"/>
          <w:szCs w:val="32"/>
        </w:rPr>
        <w:t>依法管理户籍、居民身份证，对被判处管制、拘役、剥夺政治权利的犯罪和监外执行的罪犯执行刑罚；对被宣告缓刑、假释的罪犯实行监督、考查。</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16.</w:t>
      </w:r>
      <w:r>
        <w:rPr>
          <w:rFonts w:hint="eastAsia" w:ascii="仿宋_GB2312" w:hAnsi="仿宋" w:eastAsia="仿宋_GB2312"/>
          <w:szCs w:val="32"/>
        </w:rPr>
        <w:t>受理、审核公民出国境申请；受理、审核境外人员签证、证件申请；受理赴港澳探亲、定居，赴台湾探亲类证件申领、签注；处理国籍事务；收集、处理出入境情报信息；查处出入境违法活动；负责对派出所境外人员管理工作的业务指导；指导宾馆、饭店做好境外人员住宿登记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17.</w:t>
      </w:r>
      <w:r>
        <w:rPr>
          <w:rFonts w:hint="eastAsia" w:ascii="仿宋_GB2312" w:hAnsi="仿宋" w:eastAsia="仿宋_GB2312"/>
          <w:szCs w:val="32"/>
        </w:rPr>
        <w:t>歌舞娱乐场所、茶秀酒吧、体育健身游泳场馆、影剧院、废旧金属收购企业、印刷企业、寄卖企业、洗浴企业备案、爆炸物品使用许可、焰火晚会及其它大型焰火燃放活动许可。</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18.</w:t>
      </w:r>
      <w:r>
        <w:rPr>
          <w:rFonts w:hint="eastAsia" w:ascii="仿宋_GB2312" w:hAnsi="仿宋" w:eastAsia="仿宋_GB2312"/>
          <w:szCs w:val="32"/>
        </w:rPr>
        <w:t>依法管理全县道路交通安全、车辆和驾驶员，处理交通事故，维护全县的道路交通秩序，临时占道机动车停车位设置审批，机动车辆载运不可解体的物品超长、超高、超宽和行车路线审批（辖区内）。</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19.</w:t>
      </w:r>
      <w:r>
        <w:rPr>
          <w:rFonts w:hint="eastAsia" w:ascii="仿宋_GB2312" w:hAnsi="仿宋" w:eastAsia="仿宋_GB2312"/>
          <w:szCs w:val="32"/>
        </w:rPr>
        <w:t>组织指导全县消防工作，依法进行消防监督。</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20.</w:t>
      </w:r>
      <w:r>
        <w:rPr>
          <w:rFonts w:hint="eastAsia" w:ascii="仿宋_GB2312" w:hAnsi="仿宋" w:eastAsia="仿宋_GB2312"/>
          <w:szCs w:val="32"/>
        </w:rPr>
        <w:t>组织实施全县范围内的安全保卫工作。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21.</w:t>
      </w:r>
      <w:r>
        <w:rPr>
          <w:rFonts w:hint="eastAsia" w:ascii="仿宋_GB2312" w:hAnsi="仿宋" w:eastAsia="仿宋_GB2312"/>
          <w:szCs w:val="32"/>
        </w:rPr>
        <w:t>负责看守所、行政拘留所的建设和管理工作。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22.</w:t>
      </w:r>
      <w:r>
        <w:rPr>
          <w:rFonts w:hint="eastAsia" w:ascii="仿宋_GB2312" w:hAnsi="仿宋" w:eastAsia="仿宋_GB2312"/>
          <w:szCs w:val="32"/>
        </w:rPr>
        <w:t>负责全县公安装备和经费等警务保障工作。</w:t>
      </w:r>
    </w:p>
    <w:p>
      <w:pPr>
        <w:spacing w:line="360" w:lineRule="auto"/>
        <w:ind w:firstLine="640" w:firstLineChars="200"/>
        <w:rPr>
          <w:rFonts w:hint="eastAsia" w:ascii="仿宋_GB2312" w:hAnsi="仿宋" w:eastAsia="仿宋_GB2312"/>
          <w:szCs w:val="32"/>
        </w:rPr>
      </w:pPr>
      <w:r>
        <w:rPr>
          <w:rFonts w:hint="eastAsia" w:ascii="仿宋_GB2312" w:hAnsi="仿宋" w:eastAsia="仿宋_GB2312"/>
          <w:szCs w:val="32"/>
          <w:lang w:val="en-US" w:eastAsia="zh-CN"/>
        </w:rPr>
        <w:t>23.</w:t>
      </w:r>
      <w:r>
        <w:rPr>
          <w:rFonts w:hint="eastAsia" w:ascii="仿宋_GB2312" w:hAnsi="仿宋" w:eastAsia="仿宋_GB2312"/>
          <w:szCs w:val="32"/>
        </w:rPr>
        <w:t>向全县人民群众进行安全防范和遵守法律法规、公共秩序的宣传工作。</w:t>
      </w:r>
    </w:p>
    <w:p>
      <w:pPr>
        <w:spacing w:line="360" w:lineRule="auto"/>
        <w:ind w:firstLine="640" w:firstLineChars="200"/>
        <w:rPr>
          <w:rFonts w:ascii="仿宋_GB2312" w:hAnsi="仿宋_GB2312" w:eastAsia="仿宋_GB2312" w:cs="仿宋_GB2312"/>
          <w:szCs w:val="32"/>
        </w:rPr>
      </w:pPr>
      <w:r>
        <w:rPr>
          <w:rFonts w:hint="eastAsia" w:ascii="仿宋_GB2312" w:hAnsi="仿宋" w:eastAsia="仿宋_GB2312"/>
          <w:szCs w:val="32"/>
          <w:lang w:val="en-US" w:eastAsia="zh-CN"/>
        </w:rPr>
        <w:t>24.</w:t>
      </w:r>
      <w:r>
        <w:rPr>
          <w:rFonts w:hint="eastAsia" w:ascii="仿宋_GB2312" w:hAnsi="仿宋" w:eastAsia="仿宋_GB2312"/>
          <w:szCs w:val="32"/>
        </w:rPr>
        <w:t>承办县委、县政府和上级公安机关交办的其他事项。</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widowControl/>
        <w:ind w:firstLine="640" w:firstLineChars="200"/>
        <w:jc w:val="left"/>
        <w:rPr>
          <w:rFonts w:ascii="楷体" w:hAnsi="楷体" w:eastAsia="楷体" w:cs="楷体"/>
          <w:b/>
          <w:bCs/>
          <w:color w:val="000000"/>
          <w:kern w:val="0"/>
          <w:szCs w:val="32"/>
        </w:rPr>
      </w:pPr>
      <w:r>
        <w:rPr>
          <w:rFonts w:hint="eastAsia" w:ascii="仿宋_GB2312" w:eastAsia="仿宋_GB2312"/>
          <w:szCs w:val="32"/>
        </w:rPr>
        <w:t>蓝田县公安局共包含内设机构18个，分别是：政工监督室、监察室、警务保障室、指挥中心（办公室）、督察大队、国内安全保卫大队、刑事侦查大队、交通管理大队、治安管理大队、情报信息中心、法制大队、经济犯罪侦查大队、巡逻特警大队、公安信息与网络安全监察大队、出入境管理科、禁毒大队、监管大队、拘留所；派出所15个，分别是：城关派出所、文姬路派出所、华胥派出所、洩湖派出所、玉山派出所、普化派出所、汤峪派出所、焦岱派出所、鹿塬派出所、安村派出所、横岭派出所、灞源派出所、葛牌派出所、孟村派出所、李家河派出所。</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纳入2019年度本部门决算编制范围的单位共3个，包括本级及所属2个</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蓝田县公安局（机关）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2</w:t>
            </w:r>
          </w:p>
        </w:tc>
        <w:tc>
          <w:tcPr>
            <w:tcW w:w="7278" w:type="dxa"/>
            <w:vAlign w:val="center"/>
          </w:tcPr>
          <w:p>
            <w:pPr>
              <w:jc w:val="center"/>
              <w:rPr>
                <w:rFonts w:ascii="仿宋_GB2312" w:hAnsi="仿宋_GB2312" w:eastAsia="仿宋_GB2312" w:cs="仿宋_GB2312"/>
                <w:szCs w:val="32"/>
              </w:rPr>
            </w:pPr>
            <w:r>
              <w:rPr>
                <w:rFonts w:hint="eastAsia" w:ascii="仿宋_GB2312" w:hAnsi="仿宋" w:eastAsia="仿宋_GB2312"/>
                <w:szCs w:val="32"/>
              </w:rPr>
              <w:t>蓝田县公安局交通警察大队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3</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蓝田县公安消防大队</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截止2019年底，本部门人员编制274人，其中行政编制274人、事业编制0人；实有人员494人，其中行政493人、事业1人。单位管理的离退休人员1人。</w:t>
      </w:r>
    </w:p>
    <w:p>
      <w:pPr>
        <w:widowControl/>
        <w:jc w:val="center"/>
        <w:rPr>
          <w:rFonts w:ascii="黑体" w:hAnsi="宋体" w:eastAsia="黑体"/>
          <w:color w:val="000000"/>
          <w:kern w:val="0"/>
          <w:sz w:val="44"/>
          <w:szCs w:val="44"/>
        </w:rPr>
      </w:pPr>
      <w:r>
        <w:drawing>
          <wp:inline distT="0" distB="0" distL="114300" distR="114300">
            <wp:extent cx="3507105" cy="1506855"/>
            <wp:effectExtent l="4445" t="4445" r="12700" b="1270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1"/>
                <w:szCs w:val="21"/>
              </w:rPr>
            </w:pPr>
            <w:r>
              <w:rPr>
                <w:rFonts w:hint="eastAsia" w:ascii="方正仿宋简体" w:hAnsi="方正仿宋简体" w:cs="方正仿宋简体"/>
                <w:color w:val="000000"/>
                <w:sz w:val="21"/>
                <w:szCs w:val="21"/>
              </w:rPr>
              <w:t>2019年无政府性基金</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12214.62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10924.29</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597.67</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120.56</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63.45</w:t>
            </w: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507.64</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12214.62</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ascii="宋体" w:hAnsi="宋体" w:eastAsia="宋体" w:cs="宋体"/>
                <w:b/>
                <w:color w:val="000000"/>
                <w:sz w:val="21"/>
                <w:szCs w:val="21"/>
              </w:rPr>
            </w:pPr>
            <w:r>
              <w:rPr>
                <w:rFonts w:hint="eastAsia" w:ascii="宋体" w:hAnsi="宋体" w:eastAsia="宋体" w:cs="宋体"/>
                <w:bCs/>
                <w:color w:val="000000"/>
                <w:sz w:val="21"/>
                <w:szCs w:val="21"/>
              </w:rPr>
              <w:t>12214.62</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12214.62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sz w:val="21"/>
                <w:szCs w:val="21"/>
              </w:rPr>
            </w:pPr>
            <w:r>
              <w:rPr>
                <w:rFonts w:hint="eastAsia" w:ascii="宋体" w:hAnsi="宋体" w:eastAsia="宋体" w:cs="宋体"/>
                <w:bCs/>
                <w:color w:val="000000"/>
                <w:sz w:val="21"/>
                <w:szCs w:val="21"/>
              </w:rPr>
              <w:t>12214.62</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jc w:val="right"/>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编制部门：蓝田县公安局                                          金额单位：万元</w:t>
      </w:r>
    </w:p>
    <w:tbl>
      <w:tblPr>
        <w:tblStyle w:val="6"/>
        <w:tblW w:w="8867" w:type="dxa"/>
        <w:tblInd w:w="0" w:type="dxa"/>
        <w:tblLayout w:type="fixed"/>
        <w:tblCellMar>
          <w:top w:w="15" w:type="dxa"/>
          <w:left w:w="15" w:type="dxa"/>
          <w:bottom w:w="15" w:type="dxa"/>
          <w:right w:w="15" w:type="dxa"/>
        </w:tblCellMar>
      </w:tblPr>
      <w:tblGrid>
        <w:gridCol w:w="721"/>
        <w:gridCol w:w="961"/>
        <w:gridCol w:w="855"/>
        <w:gridCol w:w="870"/>
        <w:gridCol w:w="720"/>
        <w:gridCol w:w="720"/>
        <w:gridCol w:w="1470"/>
        <w:gridCol w:w="750"/>
        <w:gridCol w:w="990"/>
        <w:gridCol w:w="810"/>
      </w:tblGrid>
      <w:tr>
        <w:tblPrEx>
          <w:tblLayout w:type="fixed"/>
          <w:tblCellMar>
            <w:top w:w="15" w:type="dxa"/>
            <w:left w:w="15" w:type="dxa"/>
            <w:bottom w:w="15" w:type="dxa"/>
            <w:right w:w="15" w:type="dxa"/>
          </w:tblCellMar>
        </w:tblPrEx>
        <w:trPr>
          <w:trHeight w:val="437" w:hRule="atLeast"/>
          <w:tblHeader/>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Layout w:type="fixed"/>
          <w:tblCellMar>
            <w:top w:w="15" w:type="dxa"/>
            <w:left w:w="15" w:type="dxa"/>
            <w:bottom w:w="15" w:type="dxa"/>
            <w:right w:w="15" w:type="dxa"/>
          </w:tblCellMar>
        </w:tblPrEx>
        <w:trPr>
          <w:trHeight w:val="1125" w:hRule="atLeast"/>
          <w:tblHeader/>
        </w:trPr>
        <w:tc>
          <w:tcPr>
            <w:tcW w:w="72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9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9" w:hRule="atLeast"/>
          <w:tblHeader/>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12214.62</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12214.62</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一般公共服务支出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20103</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政府办公厅（室）及相关机构事务</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2010308</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信访事务</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公共安全支出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10924.29</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10924.29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20401</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武装警察部队</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156.00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2040199</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其他武装警察部队支出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156.00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公安</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10726.69</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10726.69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2040201</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行政运行</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7347.73</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7347.73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2040202</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一般行政管理事务</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507.38</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507.38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2040220</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执法办案</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1332.37</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1332.37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2040221</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特别业务</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5.81</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5.81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2040299</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其他公安支出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1533.40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1533.40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20499</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其他公共安全支出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41.60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2049901</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其他公共安全支出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41.60</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208</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社会保障和就业支出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20805</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行政事业单位离退休</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72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2080505</w:t>
            </w:r>
          </w:p>
        </w:tc>
        <w:tc>
          <w:tcPr>
            <w:tcW w:w="9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机关事业单位基本养老保险缴费支出</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87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w:t>
            </w:r>
          </w:p>
        </w:tc>
        <w:tc>
          <w:tcPr>
            <w:tcW w:w="961"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卫生健康支出</w:t>
            </w:r>
          </w:p>
        </w:tc>
        <w:tc>
          <w:tcPr>
            <w:tcW w:w="85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120.57</w:t>
            </w:r>
          </w:p>
        </w:tc>
        <w:tc>
          <w:tcPr>
            <w:tcW w:w="87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120.57</w:t>
            </w:r>
          </w:p>
        </w:tc>
        <w:tc>
          <w:tcPr>
            <w:tcW w:w="72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21011</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行政事业单位医疗</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110.92</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110.92</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2101101</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行政单位医疗</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105.74</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105.74</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2101103</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公务员医疗补助</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5.18</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5.18</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21099</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其他卫生健康支出</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9.65</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2109901</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其他卫生健康支出</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9.65</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211</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节能环保支出</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21103</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污染防治</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2110301</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大气</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224</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灾害防治及应急管理支出</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507.64</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22402</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消防事务</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507.64</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2240204</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消防应急救援</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468.84</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468.84</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7" w:hRule="atLeast"/>
        </w:trPr>
        <w:tc>
          <w:tcPr>
            <w:tcW w:w="72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2240299</w:t>
            </w:r>
          </w:p>
        </w:tc>
        <w:tc>
          <w:tcPr>
            <w:tcW w:w="961"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其他消防事务支出</w:t>
            </w:r>
          </w:p>
        </w:tc>
        <w:tc>
          <w:tcPr>
            <w:tcW w:w="8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38.80</w:t>
            </w:r>
          </w:p>
        </w:tc>
        <w:tc>
          <w:tcPr>
            <w:tcW w:w="87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38.80</w:t>
            </w: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公开03表</w:t>
      </w:r>
    </w:p>
    <w:p>
      <w:pPr>
        <w:rPr>
          <w:rFonts w:ascii="宋体" w:hAnsi="宋体" w:eastAsia="宋体" w:cs="宋体"/>
          <w:b/>
          <w:bCs/>
          <w:sz w:val="48"/>
          <w:szCs w:val="48"/>
        </w:rPr>
      </w:pPr>
      <w:r>
        <w:rPr>
          <w:rFonts w:hint="eastAsia" w:ascii="宋体" w:hAnsi="宋体" w:eastAsia="宋体" w:cs="宋体"/>
          <w:b/>
          <w:bCs/>
          <w:sz w:val="21"/>
          <w:szCs w:val="21"/>
        </w:rPr>
        <w:t>编制部门：蓝田县公安局                                           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Layout w:type="fixed"/>
          <w:tblCellMar>
            <w:top w:w="15" w:type="dxa"/>
            <w:left w:w="15" w:type="dxa"/>
            <w:bottom w:w="15" w:type="dxa"/>
            <w:right w:w="15" w:type="dxa"/>
          </w:tblCellMar>
        </w:tblPrEx>
        <w:trPr>
          <w:trHeight w:val="372" w:hRule="atLeast"/>
          <w:tblHeader/>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Layout w:type="fixed"/>
          <w:tblCellMar>
            <w:top w:w="15" w:type="dxa"/>
            <w:left w:w="15" w:type="dxa"/>
            <w:bottom w:w="15" w:type="dxa"/>
            <w:right w:w="15" w:type="dxa"/>
          </w:tblCellMar>
        </w:tblPrEx>
        <w:trPr>
          <w:trHeight w:val="702" w:hRule="atLeast"/>
          <w:tblHeader/>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2" w:hRule="atLeast"/>
          <w:tblHeader/>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12214.62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8807.94</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3406.68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一般公共服务支出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20103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政府办公厅（室）及相关机构事务</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2010308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信访事务</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公共安全支出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10924.29</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7780.01</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3144.28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武装警察部队</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2040199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其他武装警察部队支出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公安</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10726.69</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7780.01</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2946.68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7347.73</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7347.73</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2040202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一般行政管理事务</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507.38</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507.38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2040220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执法办案</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1332.37</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432.28</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900.09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2040221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特别业务</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5.81</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5.81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其他公安支出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1533.40</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1533.40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其他公共安全支出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41.60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2049901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其他公共安全支出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98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41.60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社会保障和就业支出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行政事业单位离退休</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2080505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机关事业单位基本养老保险缴费支出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597.67</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120.57</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120.57</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行政事业单位医疗</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110.92</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110.92</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行政单位医疗</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105.74</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105.74</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2101103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公务员医疗补助</w:t>
            </w:r>
          </w:p>
        </w:tc>
        <w:tc>
          <w:tcPr>
            <w:tcW w:w="125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5.18</w:t>
            </w: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5.18</w:t>
            </w:r>
          </w:p>
        </w:tc>
        <w:tc>
          <w:tcPr>
            <w:tcW w:w="107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0" w:hRule="atLeast"/>
        </w:trPr>
        <w:tc>
          <w:tcPr>
            <w:tcW w:w="914"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21099</w:t>
            </w:r>
          </w:p>
        </w:tc>
        <w:tc>
          <w:tcPr>
            <w:tcW w:w="1302" w:type="dxa"/>
            <w:gridSpan w:val="2"/>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其他卫生健康支出</w:t>
            </w:r>
          </w:p>
        </w:tc>
        <w:tc>
          <w:tcPr>
            <w:tcW w:w="125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98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9.65</w:t>
            </w:r>
          </w:p>
        </w:tc>
        <w:tc>
          <w:tcPr>
            <w:tcW w:w="107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72" w:hRule="atLeast"/>
        </w:trPr>
        <w:tc>
          <w:tcPr>
            <w:tcW w:w="914"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2109901</w:t>
            </w:r>
          </w:p>
        </w:tc>
        <w:tc>
          <w:tcPr>
            <w:tcW w:w="1302" w:type="dxa"/>
            <w:gridSpan w:val="2"/>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其他卫生健康支出</w:t>
            </w:r>
          </w:p>
        </w:tc>
        <w:tc>
          <w:tcPr>
            <w:tcW w:w="125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98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9.65</w:t>
            </w:r>
          </w:p>
        </w:tc>
        <w:tc>
          <w:tcPr>
            <w:tcW w:w="107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09"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1" w:hRule="atLeast"/>
        </w:trPr>
        <w:tc>
          <w:tcPr>
            <w:tcW w:w="914"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w:t>
            </w:r>
          </w:p>
        </w:tc>
        <w:tc>
          <w:tcPr>
            <w:tcW w:w="1302" w:type="dxa"/>
            <w:gridSpan w:val="2"/>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节能环保支出</w:t>
            </w:r>
          </w:p>
        </w:tc>
        <w:tc>
          <w:tcPr>
            <w:tcW w:w="125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986"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1109"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11"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21103</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污染防治</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986"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6"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2110301</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大气</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986"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63.45</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41"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灾害防治及应急管理支出</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98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308.69</w:t>
            </w: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198.95</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6"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消防事务</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98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308.69</w:t>
            </w: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198.95</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41"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2240204</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消防应急救援</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468.84</w:t>
            </w:r>
          </w:p>
        </w:tc>
        <w:tc>
          <w:tcPr>
            <w:tcW w:w="98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308.69</w:t>
            </w: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160.15</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6" w:hRule="atLeast"/>
        </w:trPr>
        <w:tc>
          <w:tcPr>
            <w:tcW w:w="91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2240299</w:t>
            </w:r>
          </w:p>
        </w:tc>
        <w:tc>
          <w:tcPr>
            <w:tcW w:w="1302"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其他消防事务支出</w:t>
            </w:r>
          </w:p>
        </w:tc>
        <w:tc>
          <w:tcPr>
            <w:tcW w:w="125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38.80</w:t>
            </w:r>
          </w:p>
        </w:tc>
        <w:tc>
          <w:tcPr>
            <w:tcW w:w="98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p>
        </w:tc>
        <w:tc>
          <w:tcPr>
            <w:tcW w:w="107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38.80</w:t>
            </w:r>
          </w:p>
        </w:tc>
        <w:tc>
          <w:tcPr>
            <w:tcW w:w="1109"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Layout w:type="fixed"/>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12214.62</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1.00</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1.00</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10924.29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10924.29</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597.67</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597.67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120.56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120.56</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63.45</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63.45</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507.64</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507.64</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righ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right"/>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jc w:val="right"/>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Layout w:type="fixed"/>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Layout w:type="fixed"/>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12214.62</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kern w:val="0"/>
                <w:sz w:val="21"/>
                <w:szCs w:val="21"/>
              </w:rPr>
            </w:pPr>
            <w:r>
              <w:rPr>
                <w:rFonts w:hint="eastAsia" w:ascii="宋体" w:hAnsi="宋体" w:eastAsia="宋体" w:cs="宋体"/>
                <w:bCs/>
                <w:color w:val="000000"/>
                <w:kern w:val="0"/>
                <w:sz w:val="21"/>
                <w:szCs w:val="21"/>
              </w:rPr>
              <w:t>12214.62</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kern w:val="0"/>
                <w:sz w:val="21"/>
                <w:szCs w:val="21"/>
              </w:rPr>
            </w:pPr>
            <w:r>
              <w:rPr>
                <w:rFonts w:hint="eastAsia" w:ascii="宋体" w:hAnsi="宋体" w:eastAsia="宋体" w:cs="宋体"/>
                <w:bCs/>
                <w:color w:val="000000"/>
                <w:kern w:val="0"/>
                <w:sz w:val="21"/>
                <w:szCs w:val="21"/>
              </w:rPr>
              <w:t>12214.62</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Layout w:type="fixed"/>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r>
              <w:rPr>
                <w:rFonts w:hint="eastAsia" w:ascii="宋体" w:hAnsi="宋体" w:eastAsia="宋体" w:cs="宋体"/>
                <w:bCs/>
                <w:color w:val="000000"/>
                <w:kern w:val="0"/>
                <w:sz w:val="21"/>
                <w:szCs w:val="21"/>
              </w:rPr>
              <w:t>12214.62</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kern w:val="0"/>
                <w:sz w:val="21"/>
                <w:szCs w:val="21"/>
              </w:rPr>
            </w:pPr>
            <w:r>
              <w:rPr>
                <w:rFonts w:hint="eastAsia" w:ascii="宋体" w:hAnsi="宋体" w:eastAsia="宋体" w:cs="宋体"/>
                <w:bCs/>
                <w:color w:val="000000"/>
                <w:kern w:val="0"/>
                <w:sz w:val="21"/>
                <w:szCs w:val="21"/>
              </w:rPr>
              <w:t>12214.62</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kern w:val="0"/>
                <w:sz w:val="21"/>
                <w:szCs w:val="21"/>
              </w:rPr>
            </w:pPr>
            <w:r>
              <w:rPr>
                <w:rFonts w:hint="eastAsia" w:ascii="宋体" w:hAnsi="宋体" w:eastAsia="宋体" w:cs="宋体"/>
                <w:bCs/>
                <w:color w:val="000000"/>
                <w:kern w:val="0"/>
                <w:sz w:val="21"/>
                <w:szCs w:val="21"/>
              </w:rPr>
              <w:t>12214.62</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jc w:val="left"/>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Layout w:type="fixed"/>
          <w:tblCellMar>
            <w:top w:w="15" w:type="dxa"/>
            <w:left w:w="15" w:type="dxa"/>
            <w:bottom w:w="15" w:type="dxa"/>
            <w:right w:w="15" w:type="dxa"/>
          </w:tblCellMar>
        </w:tblPrEx>
        <w:trPr>
          <w:trHeight w:val="414" w:hRule="atLeast"/>
          <w:tblHeader/>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781" w:hRule="atLeast"/>
          <w:tblHeader/>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14" w:hRule="atLeast"/>
          <w:tblHeader/>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12214.62</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8807.94 </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7352.37 </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1455.57 </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3406.68 </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09"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一般公共服务支出</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27"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20103</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政府办公厅（室）及相关机构事务</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88"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2010308</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信访事务</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1.00</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56"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公共安全支出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10924.29</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7780.01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6633.13 </w:t>
            </w:r>
          </w:p>
        </w:tc>
        <w:tc>
          <w:tcPr>
            <w:tcW w:w="103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1146.88 </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3144.28 </w:t>
            </w: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3"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武装警察部队</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156.00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1" w:hRule="atLeast"/>
        </w:trPr>
        <w:tc>
          <w:tcPr>
            <w:tcW w:w="117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2040199</w:t>
            </w:r>
          </w:p>
        </w:tc>
        <w:tc>
          <w:tcPr>
            <w:tcW w:w="153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其他武装警察部队支出</w:t>
            </w:r>
          </w:p>
        </w:tc>
        <w:tc>
          <w:tcPr>
            <w:tcW w:w="100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156.00</w:t>
            </w:r>
          </w:p>
        </w:tc>
        <w:tc>
          <w:tcPr>
            <w:tcW w:w="1020"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156.00 </w:t>
            </w:r>
          </w:p>
        </w:tc>
        <w:tc>
          <w:tcPr>
            <w:tcW w:w="10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9" w:hRule="atLeast"/>
        </w:trPr>
        <w:tc>
          <w:tcPr>
            <w:tcW w:w="117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w:t>
            </w:r>
          </w:p>
        </w:tc>
        <w:tc>
          <w:tcPr>
            <w:tcW w:w="153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公安</w:t>
            </w:r>
          </w:p>
        </w:tc>
        <w:tc>
          <w:tcPr>
            <w:tcW w:w="100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10726.69</w:t>
            </w: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7780.01 </w:t>
            </w:r>
          </w:p>
        </w:tc>
        <w:tc>
          <w:tcPr>
            <w:tcW w:w="935"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6633.13 </w:t>
            </w:r>
          </w:p>
        </w:tc>
        <w:tc>
          <w:tcPr>
            <w:tcW w:w="1039"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1146.88 </w:t>
            </w: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2946.68 </w:t>
            </w:r>
          </w:p>
        </w:tc>
        <w:tc>
          <w:tcPr>
            <w:tcW w:w="10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8"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2040201</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行政运行</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7347.73</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7347.73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6633.13 </w:t>
            </w:r>
          </w:p>
        </w:tc>
        <w:tc>
          <w:tcPr>
            <w:tcW w:w="103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714.60 </w:t>
            </w: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7"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2040202</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一般行政管理事务</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507.38</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507.38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67"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2040220</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执法办案</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1332.37</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432.28 </w:t>
            </w:r>
          </w:p>
        </w:tc>
        <w:tc>
          <w:tcPr>
            <w:tcW w:w="935"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432.28 </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900.09 </w:t>
            </w: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68"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2040221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特别业务</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5.81</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5.81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4" w:hRule="atLeast"/>
        </w:trPr>
        <w:tc>
          <w:tcPr>
            <w:tcW w:w="117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2040299</w:t>
            </w:r>
          </w:p>
        </w:tc>
        <w:tc>
          <w:tcPr>
            <w:tcW w:w="153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其他公安支出</w:t>
            </w:r>
          </w:p>
        </w:tc>
        <w:tc>
          <w:tcPr>
            <w:tcW w:w="100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1533.40</w:t>
            </w:r>
          </w:p>
        </w:tc>
        <w:tc>
          <w:tcPr>
            <w:tcW w:w="1020"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1533.40 </w:t>
            </w:r>
          </w:p>
        </w:tc>
        <w:tc>
          <w:tcPr>
            <w:tcW w:w="10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1"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20499</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其他公共安全支出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41.60 </w:t>
            </w: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90"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2049901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其他公共安全支出</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41.60</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41.60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64"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社会保障和就业支出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76"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20805</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行政事业单位离退休</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78"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2080505</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机关事业单位基本养老保险缴费支出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597.67</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597.67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2"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卫生健康支出</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120.57</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120.57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120.57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52"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行政事业单位医疗</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110.92</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110.92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110.92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08"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2101101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行政单位医疗</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105.74</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105.74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105.74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46"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2101103</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公务员医疗补助</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5.18</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5.18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5.18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4"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21099</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其他卫生健康支出</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9.65 </w:t>
            </w:r>
          </w:p>
        </w:tc>
        <w:tc>
          <w:tcPr>
            <w:tcW w:w="935"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9.65 </w:t>
            </w: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0"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2109901</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其他卫生健康支出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9.65</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9.65 </w:t>
            </w:r>
          </w:p>
        </w:tc>
        <w:tc>
          <w:tcPr>
            <w:tcW w:w="935"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9.65 </w:t>
            </w: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65"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节能环保支出</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63.45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9"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21103</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污染防治</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1020"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63.45 </w:t>
            </w: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8"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2110301</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大气</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63.45</w:t>
            </w:r>
          </w:p>
        </w:tc>
        <w:tc>
          <w:tcPr>
            <w:tcW w:w="1020"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63.45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6" w:hRule="atLeast"/>
        </w:trPr>
        <w:tc>
          <w:tcPr>
            <w:tcW w:w="1170"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w:t>
            </w:r>
          </w:p>
        </w:tc>
        <w:tc>
          <w:tcPr>
            <w:tcW w:w="153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灾害防治及应急管理支出</w:t>
            </w:r>
          </w:p>
        </w:tc>
        <w:tc>
          <w:tcPr>
            <w:tcW w:w="1006"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935"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1020"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198.95 </w:t>
            </w:r>
          </w:p>
        </w:tc>
        <w:tc>
          <w:tcPr>
            <w:tcW w:w="1050"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74" w:hRule="atLeast"/>
        </w:trPr>
        <w:tc>
          <w:tcPr>
            <w:tcW w:w="117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w:t>
            </w:r>
          </w:p>
        </w:tc>
        <w:tc>
          <w:tcPr>
            <w:tcW w:w="153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消防事务</w:t>
            </w:r>
          </w:p>
        </w:tc>
        <w:tc>
          <w:tcPr>
            <w:tcW w:w="1006"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507.64</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935"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1020"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198.95 </w:t>
            </w:r>
          </w:p>
        </w:tc>
        <w:tc>
          <w:tcPr>
            <w:tcW w:w="1050"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52" w:hRule="atLeast"/>
        </w:trPr>
        <w:tc>
          <w:tcPr>
            <w:tcW w:w="117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2240204</w:t>
            </w:r>
          </w:p>
        </w:tc>
        <w:tc>
          <w:tcPr>
            <w:tcW w:w="153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消防应急救援</w:t>
            </w:r>
          </w:p>
        </w:tc>
        <w:tc>
          <w:tcPr>
            <w:tcW w:w="100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468.84</w:t>
            </w: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935"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308.69 </w:t>
            </w: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160.15 </w:t>
            </w:r>
          </w:p>
        </w:tc>
        <w:tc>
          <w:tcPr>
            <w:tcW w:w="10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0" w:hRule="atLeast"/>
        </w:trPr>
        <w:tc>
          <w:tcPr>
            <w:tcW w:w="117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2240299</w:t>
            </w:r>
          </w:p>
        </w:tc>
        <w:tc>
          <w:tcPr>
            <w:tcW w:w="153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 xml:space="preserve">  其他消防事务支出</w:t>
            </w:r>
          </w:p>
        </w:tc>
        <w:tc>
          <w:tcPr>
            <w:tcW w:w="1006"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kern w:val="0"/>
                <w:sz w:val="18"/>
                <w:szCs w:val="18"/>
                <w:lang w:bidi="ar"/>
              </w:rPr>
              <w:t>38.80</w:t>
            </w:r>
          </w:p>
        </w:tc>
        <w:tc>
          <w:tcPr>
            <w:tcW w:w="1020"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935"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39"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020"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38.80 </w:t>
            </w:r>
          </w:p>
        </w:tc>
        <w:tc>
          <w:tcPr>
            <w:tcW w:w="1050"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jc w:val="right"/>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Layout w:type="fixed"/>
          <w:tblCellMar>
            <w:top w:w="15" w:type="dxa"/>
            <w:left w:w="15" w:type="dxa"/>
            <w:bottom w:w="15" w:type="dxa"/>
            <w:right w:w="15" w:type="dxa"/>
          </w:tblCellMar>
        </w:tblPrEx>
        <w:trPr>
          <w:trHeight w:val="434" w:hRule="atLeast"/>
          <w:tblHeader/>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670" w:hRule="atLeast"/>
          <w:tblHeader/>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blHeader/>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hint="eastAsia" w:ascii="宋体" w:hAnsi="宋体" w:eastAsia="宋体" w:cs="宋体"/>
                <w:color w:val="000000"/>
                <w:kern w:val="0"/>
                <w:sz w:val="18"/>
                <w:szCs w:val="18"/>
                <w:lang w:bidi="ar"/>
              </w:rPr>
              <w:t xml:space="preserve">8807.94 </w:t>
            </w:r>
          </w:p>
        </w:tc>
        <w:tc>
          <w:tcPr>
            <w:tcW w:w="1437"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hint="eastAsia" w:ascii="宋体" w:hAnsi="宋体" w:eastAsia="宋体" w:cs="宋体"/>
                <w:color w:val="000000"/>
                <w:kern w:val="0"/>
                <w:sz w:val="18"/>
                <w:szCs w:val="18"/>
                <w:lang w:bidi="ar"/>
              </w:rPr>
              <w:t xml:space="preserve">7352.37 </w:t>
            </w:r>
          </w:p>
        </w:tc>
        <w:tc>
          <w:tcPr>
            <w:tcW w:w="1363" w:type="dxa"/>
            <w:tcBorders>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18"/>
                <w:szCs w:val="18"/>
              </w:rPr>
            </w:pPr>
            <w:r>
              <w:rPr>
                <w:rFonts w:hint="eastAsia" w:ascii="宋体" w:hAnsi="宋体" w:eastAsia="宋体" w:cs="宋体"/>
                <w:color w:val="000000"/>
                <w:kern w:val="0"/>
                <w:sz w:val="18"/>
                <w:szCs w:val="18"/>
                <w:lang w:bidi="ar"/>
              </w:rPr>
              <w:t xml:space="preserve">1455.57 </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255"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工资福利支出</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7258.03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7258.03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9"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30101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基本工资</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2726.30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2726.30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76"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30102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津贴补贴</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1372.63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1372.63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98"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30103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奖金</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589.23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589.23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62"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30106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伙食补助费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31.70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31.70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2"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30108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机关事业单位基本养老保险缴费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669.41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669.41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8"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30109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职业年金缴费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4.34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4.34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6"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30110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职工基本医疗保险缴费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121.59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121.59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59"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30111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公务员医疗补助缴费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17.55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17.55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5"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30112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其他社会保障缴费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267.16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267.16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0"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30114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医疗费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0.29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0.29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74"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30199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其他工资福利支出</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1457.83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1457.83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6"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商品和服务支出</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1455.57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1455.57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8"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30201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办公费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248.97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248.97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77"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30202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印刷费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31.73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31.73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97"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30204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手续费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82.94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82.94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8"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30205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水费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9.89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9.89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6"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30206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电费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94.08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94.08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4"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30207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邮电费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19.28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19.28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0"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30208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取暖费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30.28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30.28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02"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30209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物业管理费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234.01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234.01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72"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30211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差旅费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114.08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114.08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3"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30213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维修(护)费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112.07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112.07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1"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30214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租赁费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0.74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0.74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64"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30215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会议费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3.00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3.00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10"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30216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培训费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20.27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20.27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50"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30218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专用材料费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200.51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200.51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4"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30224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被装购置费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10.12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10.12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91"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30225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专用燃料费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6.50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6.50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3"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30226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劳务费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44.23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44.23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7"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30227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委托业务费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30.14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30.14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37"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30229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福利费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9.32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9.32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86"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30231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公务用车运行维护费</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19.00 </w:t>
            </w:r>
          </w:p>
        </w:tc>
        <w:tc>
          <w:tcPr>
            <w:tcW w:w="1437"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19.00 </w:t>
            </w: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88"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30239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其他交通费用</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134.41 </w:t>
            </w:r>
          </w:p>
        </w:tc>
        <w:tc>
          <w:tcPr>
            <w:tcW w:w="1437"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363"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134.41 </w:t>
            </w: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7"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对个人和家庭的补助</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94.34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94.34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47" w:hRule="atLeast"/>
        </w:trPr>
        <w:tc>
          <w:tcPr>
            <w:tcW w:w="1157"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30301 </w:t>
            </w:r>
          </w:p>
        </w:tc>
        <w:tc>
          <w:tcPr>
            <w:tcW w:w="2046"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离休费</w:t>
            </w:r>
          </w:p>
        </w:tc>
        <w:tc>
          <w:tcPr>
            <w:tcW w:w="1659"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9.34 </w:t>
            </w:r>
          </w:p>
        </w:tc>
        <w:tc>
          <w:tcPr>
            <w:tcW w:w="1437" w:type="dxa"/>
            <w:tcBorders>
              <w:top w:val="single" w:color="auto"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9.34 </w:t>
            </w:r>
          </w:p>
        </w:tc>
        <w:tc>
          <w:tcPr>
            <w:tcW w:w="1363" w:type="dxa"/>
            <w:tcBorders>
              <w:top w:val="single" w:color="auto"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228" w:hRule="atLeast"/>
        </w:trPr>
        <w:tc>
          <w:tcPr>
            <w:tcW w:w="1157"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30304 </w:t>
            </w:r>
          </w:p>
        </w:tc>
        <w:tc>
          <w:tcPr>
            <w:tcW w:w="2046"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抚恤金</w:t>
            </w:r>
          </w:p>
        </w:tc>
        <w:tc>
          <w:tcPr>
            <w:tcW w:w="1659"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24.45 </w:t>
            </w:r>
          </w:p>
        </w:tc>
        <w:tc>
          <w:tcPr>
            <w:tcW w:w="1437" w:type="dxa"/>
            <w:tcBorders>
              <w:top w:val="single" w:color="000000"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24.45 </w:t>
            </w:r>
          </w:p>
        </w:tc>
        <w:tc>
          <w:tcPr>
            <w:tcW w:w="1363" w:type="dxa"/>
            <w:tcBorders>
              <w:top w:val="single" w:color="000000"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000000"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61" w:hRule="atLeast"/>
        </w:trPr>
        <w:tc>
          <w:tcPr>
            <w:tcW w:w="115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30305 </w:t>
            </w:r>
          </w:p>
        </w:tc>
        <w:tc>
          <w:tcPr>
            <w:tcW w:w="2046"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生活补助</w:t>
            </w:r>
          </w:p>
        </w:tc>
        <w:tc>
          <w:tcPr>
            <w:tcW w:w="1659"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39.53 </w:t>
            </w:r>
          </w:p>
        </w:tc>
        <w:tc>
          <w:tcPr>
            <w:tcW w:w="143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39.53 </w:t>
            </w:r>
          </w:p>
        </w:tc>
        <w:tc>
          <w:tcPr>
            <w:tcW w:w="1363"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99" w:hRule="atLeast"/>
        </w:trPr>
        <w:tc>
          <w:tcPr>
            <w:tcW w:w="115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30306 </w:t>
            </w:r>
          </w:p>
        </w:tc>
        <w:tc>
          <w:tcPr>
            <w:tcW w:w="2046"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救济费</w:t>
            </w:r>
          </w:p>
        </w:tc>
        <w:tc>
          <w:tcPr>
            <w:tcW w:w="1659"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143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1.00 </w:t>
            </w:r>
          </w:p>
        </w:tc>
        <w:tc>
          <w:tcPr>
            <w:tcW w:w="1363"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117" w:hRule="atLeast"/>
        </w:trPr>
        <w:tc>
          <w:tcPr>
            <w:tcW w:w="1157"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bidi="ar"/>
              </w:rPr>
              <w:t xml:space="preserve">30399 </w:t>
            </w:r>
          </w:p>
        </w:tc>
        <w:tc>
          <w:tcPr>
            <w:tcW w:w="2046"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  其他对个人和家庭的补助</w:t>
            </w:r>
          </w:p>
        </w:tc>
        <w:tc>
          <w:tcPr>
            <w:tcW w:w="1659"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20.02 </w:t>
            </w:r>
          </w:p>
        </w:tc>
        <w:tc>
          <w:tcPr>
            <w:tcW w:w="1437" w:type="dxa"/>
            <w:tcBorders>
              <w:top w:val="single" w:color="auto" w:sz="4" w:space="0"/>
              <w:left w:val="single" w:color="000000" w:sz="4" w:space="0"/>
              <w:bottom w:val="single" w:color="auto" w:sz="4" w:space="0"/>
              <w:right w:val="single" w:color="000000" w:sz="4" w:space="0"/>
            </w:tcBorders>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20.02 </w:t>
            </w:r>
          </w:p>
        </w:tc>
        <w:tc>
          <w:tcPr>
            <w:tcW w:w="1363" w:type="dxa"/>
            <w:tcBorders>
              <w:top w:val="single" w:color="auto" w:sz="4" w:space="0"/>
              <w:left w:val="single" w:color="000000" w:sz="4" w:space="0"/>
              <w:bottom w:val="single" w:color="auto" w:sz="4" w:space="0"/>
              <w:right w:val="single" w:color="000000" w:sz="4" w:space="0"/>
            </w:tcBorders>
            <w:vAlign w:val="center"/>
          </w:tcPr>
          <w:p>
            <w:pPr>
              <w:rPr>
                <w:rFonts w:ascii="宋体" w:hAnsi="宋体" w:eastAsia="宋体" w:cs="宋体"/>
                <w:color w:val="000000"/>
                <w:sz w:val="18"/>
                <w:szCs w:val="18"/>
              </w:rPr>
            </w:pPr>
          </w:p>
        </w:tc>
        <w:tc>
          <w:tcPr>
            <w:tcW w:w="1155" w:type="dxa"/>
            <w:tcBorders>
              <w:top w:val="single" w:color="auto" w:sz="4" w:space="0"/>
              <w:left w:val="single" w:color="000000" w:sz="4" w:space="0"/>
              <w:bottom w:val="single" w:color="auto"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公开07表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170.01</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170.01</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170.01</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3.00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r>
              <w:rPr>
                <w:rFonts w:hint="eastAsia" w:ascii="宋体" w:hAnsi="宋体" w:eastAsia="宋体" w:cs="宋体"/>
                <w:bCs/>
                <w:color w:val="000000"/>
                <w:sz w:val="21"/>
                <w:szCs w:val="21"/>
              </w:rPr>
              <w:t>20.27</w:t>
            </w: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color w:val="000000"/>
                <w:kern w:val="0"/>
                <w:sz w:val="21"/>
                <w:szCs w:val="21"/>
                <w:lang w:bidi="ar"/>
              </w:rPr>
              <w:t xml:space="preserve">170.01 </w:t>
            </w:r>
          </w:p>
        </w:tc>
        <w:tc>
          <w:tcPr>
            <w:tcW w:w="1117"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color w:val="000000"/>
                <w:kern w:val="0"/>
                <w:sz w:val="21"/>
                <w:szCs w:val="21"/>
                <w:lang w:bidi="ar"/>
              </w:rPr>
              <w:t xml:space="preserve">170.01 </w:t>
            </w:r>
          </w:p>
        </w:tc>
        <w:tc>
          <w:tcPr>
            <w:tcW w:w="99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color w:val="000000"/>
                <w:kern w:val="0"/>
                <w:sz w:val="21"/>
                <w:szCs w:val="21"/>
                <w:lang w:bidi="ar"/>
              </w:rPr>
              <w:t>170.01</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color w:val="000000"/>
                <w:kern w:val="0"/>
                <w:sz w:val="21"/>
                <w:szCs w:val="21"/>
                <w:lang w:bidi="ar"/>
              </w:rPr>
              <w:t>3.00</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color w:val="000000"/>
                <w:kern w:val="0"/>
                <w:sz w:val="21"/>
                <w:szCs w:val="21"/>
                <w:lang w:bidi="ar"/>
              </w:rPr>
              <w:t>20.27</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jc w:val="right"/>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编制部门：蓝田县公安局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2019年度收入总体情况及比上年增加1563.45万元，增长14.68%，收入增长的主要原因是人员工资增加、社保缴费增加。</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2019度年支出总体情况及比上年增加1563.45万元，增长14.68%，支出增长的主要原因是人员工资支出增加、社保缴费支出增加。</w:t>
      </w:r>
    </w:p>
    <w:p>
      <w:pPr>
        <w:widowControl/>
        <w:jc w:val="left"/>
        <w:rPr>
          <w:rFonts w:ascii="仿宋_GB2312" w:hAnsi="仿宋" w:eastAsia="仿宋_GB2312"/>
          <w:szCs w:val="32"/>
        </w:rPr>
      </w:pPr>
      <w:r>
        <w:drawing>
          <wp:inline distT="0" distB="0" distL="114300" distR="114300">
            <wp:extent cx="5271135" cy="3403600"/>
            <wp:effectExtent l="4445" t="4445" r="20320" b="2095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rPr>
        <w:t>12214.62</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rPr>
        <w:t>12214.62</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jc w:val="left"/>
        <w:rPr>
          <w:rFonts w:ascii="仿宋_GB2312" w:hAnsi="宋体" w:eastAsia="仿宋_GB2312" w:cs="仿宋_GB2312"/>
          <w:color w:val="000000"/>
          <w:kern w:val="0"/>
          <w:szCs w:val="32"/>
        </w:rPr>
      </w:pPr>
      <w:r>
        <w:drawing>
          <wp:inline distT="0" distB="0" distL="114300" distR="114300">
            <wp:extent cx="5274310" cy="3586480"/>
            <wp:effectExtent l="4445" t="4445" r="17145" b="952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示例：2019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rPr>
        <w:t>12214.62</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rPr>
        <w:t>8807.94</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72.11</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rPr>
        <w:t>3406.68</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27.89</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p>
    <w:p>
      <w:pPr>
        <w:widowControl/>
        <w:jc w:val="left"/>
        <w:rPr>
          <w:rFonts w:ascii="仿宋_GB2312" w:hAnsi="宋体" w:eastAsia="仿宋_GB2312" w:cs="仿宋_GB2312"/>
          <w:color w:val="000000"/>
          <w:kern w:val="0"/>
          <w:szCs w:val="32"/>
        </w:rPr>
      </w:pPr>
      <w:r>
        <w:drawing>
          <wp:inline distT="0" distB="0" distL="114300" distR="114300">
            <wp:extent cx="5333365" cy="3437255"/>
            <wp:effectExtent l="4445" t="4445" r="15240" b="635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收入总体情况及比上年增加1563.45万元，增长14.68%，</w:t>
      </w:r>
      <w:r>
        <w:rPr>
          <w:rFonts w:ascii="仿宋_GB2312" w:hAnsi="宋体" w:eastAsia="仿宋_GB2312" w:cs="仿宋_GB2312"/>
          <w:color w:val="000000"/>
          <w:kern w:val="0"/>
          <w:szCs w:val="32"/>
        </w:rPr>
        <w:t>财政拨款</w:t>
      </w:r>
      <w:r>
        <w:rPr>
          <w:rFonts w:hint="eastAsia" w:ascii="仿宋_GB2312" w:hAnsi="仿宋" w:eastAsia="仿宋_GB2312"/>
          <w:szCs w:val="32"/>
        </w:rPr>
        <w:t>收入增长的主要原因是人员工资增加、社保缴费增加。</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支出总体情况及比上年增加1563.45万元，增长14.68%，</w:t>
      </w:r>
      <w:r>
        <w:rPr>
          <w:rFonts w:ascii="仿宋_GB2312" w:hAnsi="宋体" w:eastAsia="仿宋_GB2312" w:cs="仿宋_GB2312"/>
          <w:color w:val="000000"/>
          <w:kern w:val="0"/>
          <w:szCs w:val="32"/>
        </w:rPr>
        <w:t>财政拨款</w:t>
      </w:r>
      <w:r>
        <w:rPr>
          <w:rFonts w:hint="eastAsia" w:ascii="仿宋_GB2312" w:hAnsi="仿宋" w:eastAsia="仿宋_GB2312"/>
          <w:szCs w:val="32"/>
        </w:rPr>
        <w:t>支出增长的主要原因是人员工资支出增加、社保缴费支出增加。</w:t>
      </w:r>
    </w:p>
    <w:p>
      <w:pPr>
        <w:widowControl/>
        <w:jc w:val="left"/>
        <w:rPr>
          <w:rFonts w:ascii="仿宋_GB2312" w:hAnsi="仿宋" w:eastAsia="仿宋_GB2312"/>
          <w:szCs w:val="32"/>
        </w:rPr>
      </w:pPr>
      <w:r>
        <w:drawing>
          <wp:inline distT="0" distB="0" distL="114300" distR="114300">
            <wp:extent cx="5270500" cy="3286125"/>
            <wp:effectExtent l="4445" t="4445" r="20955"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 w:eastAsia="仿宋_GB2312"/>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rPr>
        <w:t>12214.62</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相比，财政拨款支出增加</w:t>
      </w:r>
      <w:r>
        <w:rPr>
          <w:rFonts w:hint="eastAsia" w:ascii="仿宋_GB2312" w:hAnsi="宋体" w:eastAsia="仿宋_GB2312" w:cs="仿宋_GB2312"/>
          <w:color w:val="000000"/>
          <w:kern w:val="0"/>
          <w:szCs w:val="32"/>
        </w:rPr>
        <w:t>1563.45</w:t>
      </w:r>
      <w:r>
        <w:rPr>
          <w:rFonts w:ascii="仿宋_GB2312" w:hAnsi="宋体" w:eastAsia="仿宋_GB2312" w:cs="仿宋_GB2312"/>
          <w:color w:val="000000"/>
          <w:kern w:val="0"/>
          <w:szCs w:val="32"/>
        </w:rPr>
        <w:t>万元，增长</w:t>
      </w:r>
      <w:r>
        <w:rPr>
          <w:rFonts w:hint="eastAsia" w:ascii="仿宋_GB2312" w:hAnsi="宋体" w:eastAsia="仿宋_GB2312" w:cs="仿宋_GB2312"/>
          <w:color w:val="000000"/>
          <w:kern w:val="0"/>
          <w:szCs w:val="32"/>
        </w:rPr>
        <w:t>14.68</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仿宋" w:eastAsia="仿宋_GB2312"/>
          <w:szCs w:val="32"/>
        </w:rPr>
        <w:t>人员工资支出增加、社保缴费支出增加。</w:t>
      </w:r>
    </w:p>
    <w:p>
      <w:pPr>
        <w:widowControl/>
        <w:jc w:val="left"/>
        <w:rPr>
          <w:rFonts w:ascii="仿宋_GB2312" w:hAnsi="仿宋" w:eastAsia="仿宋_GB2312"/>
          <w:szCs w:val="32"/>
        </w:rPr>
      </w:pPr>
      <w:r>
        <w:drawing>
          <wp:inline distT="0" distB="0" distL="114300" distR="114300">
            <wp:extent cx="5269230" cy="3101340"/>
            <wp:effectExtent l="4445" t="4445" r="22225" b="18415"/>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8264.02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12214.62</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147.80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1.一般公共服务支出（类）</w:t>
      </w:r>
      <w:r>
        <w:rPr>
          <w:rFonts w:hint="eastAsia" w:ascii="仿宋_GB2312" w:hAnsi="宋体" w:eastAsia="仿宋_GB2312" w:cs="仿宋_GB2312"/>
          <w:b/>
          <w:color w:val="000000"/>
          <w:kern w:val="0"/>
          <w:szCs w:val="32"/>
        </w:rPr>
        <w:t>-政府办公厅（室）及相关机构事务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-信访事务</w:t>
      </w:r>
      <w:r>
        <w:rPr>
          <w:rFonts w:ascii="仿宋_GB2312" w:hAnsi="宋体" w:eastAsia="仿宋_GB2312" w:cs="仿宋_GB2312"/>
          <w:b/>
          <w:color w:val="000000"/>
          <w:kern w:val="0"/>
          <w:szCs w:val="32"/>
        </w:rPr>
        <w:t xml:space="preserve">（项）。 </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预算执行过程中追加的信访案件经费。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2.公安安全支出（类）-武装警察部队（款）-其他武装警察部队支出（项）。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156</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预算执行过程中追加的消防队建设资金。</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3.公安安全支出（类）-公安（款）-行政运行（项）。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6668.64</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7347.73</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完成</w:t>
      </w:r>
      <w:r>
        <w:rPr>
          <w:rFonts w:ascii="仿宋_GB2312" w:hAnsi="宋体" w:eastAsia="仿宋_GB2312" w:cs="仿宋_GB2312"/>
          <w:color w:val="000000"/>
          <w:kern w:val="0"/>
          <w:szCs w:val="32"/>
        </w:rPr>
        <w:t>年初预算</w:t>
      </w:r>
      <w:r>
        <w:rPr>
          <w:rFonts w:hint="eastAsia" w:ascii="仿宋_GB2312" w:hAnsi="宋体" w:eastAsia="仿宋_GB2312" w:cs="仿宋_GB2312"/>
          <w:color w:val="000000"/>
          <w:kern w:val="0"/>
          <w:szCs w:val="32"/>
        </w:rPr>
        <w:t>的110.18%</w:t>
      </w:r>
      <w:r>
        <w:rPr>
          <w:rFonts w:ascii="仿宋_GB2312" w:hAnsi="宋体" w:eastAsia="仿宋_GB2312" w:cs="仿宋_GB2312"/>
          <w:color w:val="000000"/>
          <w:kern w:val="0"/>
          <w:szCs w:val="32"/>
        </w:rPr>
        <w:t>。决算数大于预算数的主要原因是</w:t>
      </w:r>
      <w:r>
        <w:rPr>
          <w:rFonts w:hint="eastAsia" w:ascii="仿宋_GB2312" w:hAnsi="宋体" w:eastAsia="仿宋_GB2312" w:cs="仿宋_GB2312"/>
          <w:color w:val="000000"/>
          <w:kern w:val="0"/>
          <w:szCs w:val="32"/>
        </w:rPr>
        <w:t>预算执行过程中追加的绩效工资、目标责任制奖金、乡镇补贴、遗属补助、抚恤金、公用经费等经费。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4.公安安全支出（类）-公安（款）-一般行政管理事务（项）。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507.38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预算执行过程中追加的公用经费、网络租赁费、装备购置等经费。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5.公安安全支出（类）-公安（款）-执法办案（项）。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529.8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1332.37</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完成</w:t>
      </w:r>
      <w:r>
        <w:rPr>
          <w:rFonts w:ascii="仿宋_GB2312" w:hAnsi="宋体" w:eastAsia="仿宋_GB2312" w:cs="仿宋_GB2312"/>
          <w:color w:val="000000"/>
          <w:kern w:val="0"/>
          <w:szCs w:val="32"/>
        </w:rPr>
        <w:t>年初预算</w:t>
      </w:r>
      <w:r>
        <w:rPr>
          <w:rFonts w:hint="eastAsia" w:ascii="仿宋_GB2312" w:hAnsi="宋体" w:eastAsia="仿宋_GB2312" w:cs="仿宋_GB2312"/>
          <w:color w:val="000000"/>
          <w:kern w:val="0"/>
          <w:szCs w:val="32"/>
        </w:rPr>
        <w:t>的251.49%</w:t>
      </w:r>
      <w:r>
        <w:rPr>
          <w:rFonts w:ascii="仿宋_GB2312" w:hAnsi="宋体" w:eastAsia="仿宋_GB2312" w:cs="仿宋_GB2312"/>
          <w:color w:val="000000"/>
          <w:kern w:val="0"/>
          <w:szCs w:val="32"/>
        </w:rPr>
        <w:t>。决算数大于预算数的主要原因是</w:t>
      </w:r>
      <w:r>
        <w:rPr>
          <w:rFonts w:hint="eastAsia" w:ascii="仿宋_GB2312" w:hAnsi="宋体" w:eastAsia="仿宋_GB2312" w:cs="仿宋_GB2312"/>
          <w:color w:val="000000"/>
          <w:kern w:val="0"/>
          <w:szCs w:val="32"/>
        </w:rPr>
        <w:t>预算执行过程中追加的扫黑除恶经费、交通管理基础设施建设经费、拘留所建设经费、看守所经费等经费。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6.公安安全支出（类）-公安（款）-特别业务（项）。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5.81</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预算执行过程中追加的交通事故社会救助基金工作经费。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7.公安安全支出（类）-公安（款）-其他公安支出（项）。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1533.40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预算执行过程中追加的中省转移支付办案经费、中省转移支付自定装备采购经费、修缮经费等经费。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8.公安安全支出（类）-其他公共安全支出（款）-其他公共安全支出（项）。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41.6</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年初预算。决算数大于预算数的主要原因是</w:t>
      </w:r>
      <w:r>
        <w:rPr>
          <w:rFonts w:hint="eastAsia" w:ascii="仿宋_GB2312" w:hAnsi="宋体" w:eastAsia="仿宋_GB2312" w:cs="仿宋_GB2312"/>
          <w:color w:val="000000"/>
          <w:kern w:val="0"/>
          <w:szCs w:val="32"/>
        </w:rPr>
        <w:t>预算执行过程中追加的扫黑除恶补助经费、司法救助补助经费、政法经费保障绩效考核奖励经费等经费。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9.社会保障和就业支出（类）-行政事业单位离退休（款）-机关事业单位基本养老保险缴费支出（项）。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675.09</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597.67</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完成</w:t>
      </w:r>
      <w:r>
        <w:rPr>
          <w:rFonts w:ascii="仿宋_GB2312" w:hAnsi="宋体" w:eastAsia="仿宋_GB2312" w:cs="仿宋_GB2312"/>
          <w:color w:val="000000"/>
          <w:kern w:val="0"/>
          <w:szCs w:val="32"/>
        </w:rPr>
        <w:t>年初预算</w:t>
      </w:r>
      <w:r>
        <w:rPr>
          <w:rFonts w:hint="eastAsia" w:ascii="仿宋_GB2312" w:hAnsi="宋体" w:eastAsia="仿宋_GB2312" w:cs="仿宋_GB2312"/>
          <w:color w:val="000000"/>
          <w:kern w:val="0"/>
          <w:szCs w:val="32"/>
        </w:rPr>
        <w:t>的88.53%</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基本养老保险缴费比例降低导致支出减少。</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10.卫生健康支出（类）-行政事业单位医疗（款）-行政单位医疗（项）。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105.74</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预算执行过程中追加的行政单位医疗保险经费。</w:t>
      </w:r>
    </w:p>
    <w:p>
      <w:pPr>
        <w:widowControl/>
        <w:numPr>
          <w:ilvl w:val="0"/>
          <w:numId w:val="2"/>
        </w:numPr>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卫生健康支出（类）-行政事业单位医疗（款）-公务员医疗补助（项）。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5.18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预算执行过程中追加的大额医疗补助经费。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12.卫生健康支出（类）-其他卫生健康支出（款）-其他卫生健康支出（项）。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9.65</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预算执行过程中追加的生育保险、失业保险等经费。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13.节能环保支出（类）-污染防治（款）-大气（项）。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63.45</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预算执行过程中追加的锅炉环保改造经费。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14.灾害防治及应急管理支出（类）-消防事务（款）-消防应急救援（项）。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376.5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468.84</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完成</w:t>
      </w:r>
      <w:r>
        <w:rPr>
          <w:rFonts w:ascii="仿宋_GB2312" w:hAnsi="宋体" w:eastAsia="仿宋_GB2312" w:cs="仿宋_GB2312"/>
          <w:color w:val="000000"/>
          <w:kern w:val="0"/>
          <w:szCs w:val="32"/>
        </w:rPr>
        <w:t>年初预算</w:t>
      </w:r>
      <w:r>
        <w:rPr>
          <w:rFonts w:hint="eastAsia" w:ascii="仿宋_GB2312" w:hAnsi="宋体" w:eastAsia="仿宋_GB2312" w:cs="仿宋_GB2312"/>
          <w:color w:val="000000"/>
          <w:kern w:val="0"/>
          <w:szCs w:val="32"/>
        </w:rPr>
        <w:t>的124.53%</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预算执行过程中追加的消防装备采购经费。</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15.灾害防治及应急管理支出（类）-消防事务（款）-其他消防事务支出（项）。</w:t>
      </w:r>
    </w:p>
    <w:p>
      <w:pPr>
        <w:widowControl/>
        <w:ind w:firstLine="640" w:firstLineChars="200"/>
        <w:jc w:val="left"/>
        <w:rPr>
          <w:rFonts w:ascii="仿宋_GB2312" w:hAnsi="宋体" w:eastAsia="仿宋_GB2312" w:cs="仿宋_GB2312"/>
          <w:b/>
          <w:bCs/>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38.80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超</w:t>
      </w:r>
      <w:r>
        <w:rPr>
          <w:rFonts w:ascii="仿宋_GB2312" w:hAnsi="宋体" w:eastAsia="仿宋_GB2312" w:cs="仿宋_GB2312"/>
          <w:color w:val="000000"/>
          <w:kern w:val="0"/>
          <w:szCs w:val="32"/>
        </w:rPr>
        <w:t>年初预算。决算数</w:t>
      </w:r>
      <w:r>
        <w:rPr>
          <w:rFonts w:hint="eastAsia" w:ascii="仿宋_GB2312" w:hAnsi="宋体" w:eastAsia="仿宋_GB2312" w:cs="仿宋_GB2312"/>
          <w:color w:val="000000"/>
          <w:kern w:val="0"/>
          <w:szCs w:val="32"/>
        </w:rPr>
        <w:t>大</w:t>
      </w:r>
      <w:r>
        <w:rPr>
          <w:rFonts w:ascii="仿宋_GB2312" w:hAnsi="宋体" w:eastAsia="仿宋_GB2312" w:cs="仿宋_GB2312"/>
          <w:color w:val="000000"/>
          <w:kern w:val="0"/>
          <w:szCs w:val="32"/>
        </w:rPr>
        <w:t>于预算数的主要原因是</w:t>
      </w:r>
      <w:r>
        <w:rPr>
          <w:rFonts w:hint="eastAsia" w:ascii="仿宋_GB2312" w:hAnsi="宋体" w:eastAsia="仿宋_GB2312" w:cs="仿宋_GB2312"/>
          <w:color w:val="000000"/>
          <w:kern w:val="0"/>
          <w:szCs w:val="32"/>
        </w:rPr>
        <w:t>预算执行过程中追加的消防规划经费。</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8807.94</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7352.37</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rPr>
        <w:t>1455.57</w:t>
      </w:r>
      <w:r>
        <w:rPr>
          <w:rFonts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rPr>
        <w:t>7352.37</w:t>
      </w:r>
      <w:r>
        <w:rPr>
          <w:rFonts w:ascii="仿宋_GB2312" w:hAnsi="宋体" w:eastAsia="仿宋_GB2312" w:cs="仿宋_GB2312"/>
          <w:color w:val="000000"/>
          <w:kern w:val="0"/>
          <w:szCs w:val="32"/>
        </w:rPr>
        <w:t>万元，主要包括基本工资</w:t>
      </w:r>
      <w:r>
        <w:rPr>
          <w:rFonts w:hint="eastAsia" w:ascii="仿宋_GB2312" w:hAnsi="宋体" w:eastAsia="仿宋_GB2312" w:cs="仿宋_GB2312"/>
          <w:color w:val="000000"/>
          <w:kern w:val="0"/>
          <w:szCs w:val="32"/>
        </w:rPr>
        <w:t>2726.30万元，津贴补贴1372.63万元，奖金589.23万元，伙食补助费31.70万元，机关事业单位基本养老保险缴费669.41万元，职业年金缴费4.34万元，职工基本医疗保险缴费121.59万元，公务员医疗补助缴费17.55万元，其他社会保障缴费267.16万元，医疗费0.29万元，其他工资福利1457.83万元，离休费9.34万元，抚恤金24.45万元，生活补助39.53万元，救济费1.00万元，其他对个人和家庭的补助20.02万元。</w:t>
      </w:r>
    </w:p>
    <w:p>
      <w:pPr>
        <w:widowControl/>
        <w:ind w:firstLine="643" w:firstLineChars="200"/>
        <w:jc w:val="left"/>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rPr>
        <w:t>1455.57</w:t>
      </w:r>
      <w:r>
        <w:rPr>
          <w:rFonts w:ascii="仿宋_GB2312" w:hAnsi="宋体" w:eastAsia="仿宋_GB2312" w:cs="仿宋_GB2312"/>
          <w:color w:val="000000"/>
          <w:kern w:val="0"/>
          <w:szCs w:val="32"/>
        </w:rPr>
        <w:t>万元，主要包括办公费</w:t>
      </w:r>
      <w:r>
        <w:rPr>
          <w:rFonts w:hint="eastAsia" w:ascii="仿宋_GB2312" w:hAnsi="宋体" w:eastAsia="仿宋_GB2312" w:cs="仿宋_GB2312"/>
          <w:color w:val="000000"/>
          <w:kern w:val="0"/>
          <w:szCs w:val="32"/>
        </w:rPr>
        <w:t>248.97万元，印刷费31.73万元，手续费82.94万元，水费9.89万元，电费94.08万元，邮电费19.28万元，取暖费30.28万元，物业管理费234.01万元，差旅费114.08万元，维修（护）费112.07万元，租赁费0.74万元，会议费3.00万元，培训费20.27万元，专用材料费200.51万元，被装购置费10.12万元，专用燃料费6.50万元，劳务费44.23万元，委托业务费30.14万元，福利费9.32万元，公务用车运行维护费19.00万元，其他交通费用134.41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170.01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170.01</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费支出0万元，占0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rPr>
        <w:t>170.01</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%。具体情况如下：</w:t>
      </w:r>
    </w:p>
    <w:p>
      <w:pPr>
        <w:widowControl/>
        <w:jc w:val="left"/>
        <w:rPr>
          <w:rFonts w:ascii="仿宋_GB2312" w:hAnsi="宋体" w:eastAsia="仿宋_GB2312" w:cs="仿宋_GB2312"/>
          <w:color w:val="000000"/>
          <w:kern w:val="0"/>
          <w:szCs w:val="32"/>
        </w:rPr>
      </w:pPr>
      <w:r>
        <w:drawing>
          <wp:inline distT="0" distB="0" distL="114300" distR="114300">
            <wp:extent cx="5270500" cy="3276600"/>
            <wp:effectExtent l="4445" t="4445" r="20955" b="14605"/>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(数据为零无图示)</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(数据为零无图示)</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170.01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170.01</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widowControl/>
        <w:jc w:val="left"/>
        <w:rPr>
          <w:rFonts w:ascii="仿宋_GB2312" w:hAnsi="宋体" w:eastAsia="仿宋_GB2312" w:cs="仿宋_GB2312"/>
          <w:color w:val="000000"/>
          <w:kern w:val="0"/>
          <w:szCs w:val="32"/>
        </w:rPr>
      </w:pPr>
      <w:r>
        <w:drawing>
          <wp:inline distT="0" distB="0" distL="114300" distR="114300">
            <wp:extent cx="5273040" cy="3086735"/>
            <wp:effectExtent l="4445" t="4445" r="18415" b="13970"/>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rPr>
        <w:t>0批次，0人次，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（数据为零无图示）</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20.27</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20.27</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widowControl/>
        <w:jc w:val="left"/>
        <w:rPr>
          <w:rFonts w:ascii="仿宋_GB2312" w:hAnsi="宋体" w:eastAsia="仿宋_GB2312" w:cs="仿宋_GB2312"/>
          <w:color w:val="000000"/>
          <w:kern w:val="0"/>
          <w:szCs w:val="32"/>
        </w:rPr>
      </w:pPr>
      <w:r>
        <w:drawing>
          <wp:inline distT="0" distB="0" distL="114300" distR="114300">
            <wp:extent cx="5274310" cy="3263265"/>
            <wp:effectExtent l="4445" t="4445" r="17145" b="8890"/>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3.00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3.00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widowControl/>
        <w:jc w:val="left"/>
        <w:rPr>
          <w:rFonts w:ascii="仿宋_GB2312" w:hAnsi="宋体" w:eastAsia="仿宋_GB2312" w:cs="仿宋_GB2312"/>
          <w:color w:val="000000"/>
          <w:kern w:val="0"/>
          <w:szCs w:val="32"/>
        </w:rPr>
      </w:pPr>
      <w:r>
        <w:drawing>
          <wp:inline distT="0" distB="0" distL="114300" distR="114300">
            <wp:extent cx="5271770" cy="2815590"/>
            <wp:effectExtent l="4445" t="4445" r="19685" b="18415"/>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年一般公共预算2个项目支出开展了绩效自评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2</w:t>
      </w:r>
      <w:r>
        <w:rPr>
          <w:rFonts w:ascii="仿宋_GB2312" w:hAnsi="仿宋_GB2312" w:eastAsia="仿宋_GB2312" w:cs="仿宋_GB2312"/>
          <w:szCs w:val="32"/>
        </w:rPr>
        <w:t>个，二级项目</w:t>
      </w:r>
      <w:r>
        <w:rPr>
          <w:rFonts w:hint="eastAsia" w:ascii="仿宋_GB2312" w:hAnsi="仿宋_GB2312" w:eastAsia="仿宋_GB2312" w:cs="仿宋_GB2312"/>
          <w:szCs w:val="32"/>
        </w:rPr>
        <w:t>0</w:t>
      </w:r>
      <w:r>
        <w:rPr>
          <w:rFonts w:ascii="仿宋_GB2312" w:hAnsi="仿宋_GB2312" w:eastAsia="仿宋_GB2312" w:cs="仿宋_GB2312"/>
          <w:szCs w:val="32"/>
        </w:rPr>
        <w:t>个，共涉及资金</w:t>
      </w:r>
      <w:r>
        <w:rPr>
          <w:rFonts w:hint="eastAsia" w:ascii="仿宋_GB2312" w:hAnsi="仿宋_GB2312" w:eastAsia="仿宋_GB2312" w:cs="仿宋_GB2312"/>
          <w:szCs w:val="32"/>
        </w:rPr>
        <w:t>923.00</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27.09</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基金预算0个项目支出开展了绩效自评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12214.62</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ind w:firstLine="622" w:firstLineChars="200"/>
        <w:jc w:val="left"/>
        <w:rPr>
          <w:rFonts w:ascii="仿宋_GB2312" w:hAnsi="仿宋_GB2312" w:eastAsia="仿宋_GB2312" w:cs="仿宋_GB2312"/>
          <w:b/>
          <w:bCs/>
          <w:color w:val="000000"/>
          <w:kern w:val="0"/>
          <w:sz w:val="31"/>
          <w:szCs w:val="31"/>
        </w:rPr>
      </w:pPr>
      <w:r>
        <w:rPr>
          <w:rFonts w:hint="eastAsia" w:ascii="仿宋_GB2312" w:hAnsi="仿宋_GB2312" w:eastAsia="仿宋_GB2312" w:cs="仿宋_GB2312"/>
          <w:b/>
          <w:bCs/>
          <w:color w:val="000000"/>
          <w:kern w:val="0"/>
          <w:sz w:val="31"/>
          <w:szCs w:val="31"/>
        </w:rPr>
        <w:t>1.2019年中省转移支付办案费</w:t>
      </w:r>
      <w:r>
        <w:rPr>
          <w:rFonts w:ascii="仿宋_GB2312" w:hAnsi="仿宋_GB2312" w:eastAsia="仿宋_GB2312" w:cs="仿宋_GB2312"/>
          <w:b/>
          <w:bCs/>
          <w:color w:val="000000"/>
          <w:kern w:val="0"/>
          <w:sz w:val="31"/>
          <w:szCs w:val="31"/>
        </w:rPr>
        <w:t>项目绩效自评</w:t>
      </w:r>
      <w:r>
        <w:rPr>
          <w:rFonts w:hint="eastAsia" w:ascii="仿宋_GB2312" w:hAnsi="仿宋_GB2312" w:eastAsia="仿宋_GB2312" w:cs="仿宋_GB2312"/>
          <w:b/>
          <w:bCs/>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2019年中省转移支付办案费</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90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485.00</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485.00</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办理国保案件2件、涉军维稳案件0件、实战训练1次、建国70周年大庆安保活动1次、群体性事件处置9件、经济案件26件、刑事案件841件、重大专项行动5件、其他案件1654件。</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有力保障了本部门办案经费，对打击违法犯罪，促进社会和谐具有重要意义。</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因环境因素影响较多，各类案件实际数量与预测相差较大，各警种办案经费分配仍显不均</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优化经费分配方法，考虑更多因素，使经费分配更加合理。</w:t>
      </w:r>
    </w:p>
    <w:p>
      <w:pPr>
        <w:widowControl/>
        <w:ind w:firstLine="622"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b/>
          <w:bCs/>
          <w:color w:val="000000"/>
          <w:kern w:val="0"/>
          <w:sz w:val="31"/>
          <w:szCs w:val="31"/>
        </w:rPr>
        <w:t>2.2019年中省转移支付自定装备采购</w:t>
      </w:r>
      <w:r>
        <w:rPr>
          <w:rFonts w:ascii="仿宋_GB2312" w:hAnsi="仿宋_GB2312" w:eastAsia="仿宋_GB2312" w:cs="仿宋_GB2312"/>
          <w:b/>
          <w:bCs/>
          <w:color w:val="000000"/>
          <w:kern w:val="0"/>
          <w:sz w:val="31"/>
          <w:szCs w:val="31"/>
        </w:rPr>
        <w:t>项目绩效自评</w:t>
      </w:r>
      <w:r>
        <w:rPr>
          <w:rFonts w:hint="eastAsia" w:ascii="仿宋_GB2312" w:hAnsi="仿宋_GB2312" w:eastAsia="仿宋_GB2312" w:cs="仿宋_GB2312"/>
          <w:b/>
          <w:bCs/>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2019年中省转移支付办案费</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85</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438.00</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438.00</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采购指挥通信装备158个、刑事技术装备45个、执法勤务装备323个、档案库管装备37个，价值总计438万元。</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更新了本部门急需的警用装备，落实科技强警战略，加强了民警防护，利用新装备提高办案效率和质量。</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因装备价格波动，成交价和预算价差距较大</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加强采购预算编制，减少成交价和预算价差距。</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keepNext w:val="0"/>
        <w:keepLines w:val="0"/>
        <w:pageBreakBefore w:val="0"/>
        <w:widowControl/>
        <w:kinsoku/>
        <w:wordWrap/>
        <w:overflowPunct/>
        <w:topLinePunct w:val="0"/>
        <w:autoSpaceDE/>
        <w:autoSpaceDN/>
        <w:bidi w:val="0"/>
        <w:adjustRightInd/>
        <w:snapToGrid/>
        <w:spacing w:line="600" w:lineRule="exact"/>
        <w:ind w:firstLine="620" w:firstLineChars="200"/>
        <w:jc w:val="left"/>
        <w:textAlignment w:val="auto"/>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8</w:t>
      </w:r>
      <w:r>
        <w:rPr>
          <w:rFonts w:hint="eastAsia" w:ascii="仿宋_GB2312" w:hAnsi="仿宋_GB2312" w:eastAsia="仿宋_GB2312" w:cs="仿宋_GB2312"/>
          <w:color w:val="000000"/>
          <w:kern w:val="0"/>
          <w:sz w:val="31"/>
          <w:szCs w:val="31"/>
          <w:lang w:val="en-US" w:eastAsia="zh-CN"/>
        </w:rPr>
        <w:t>3</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8264.02</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12214.62</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147.80</w:t>
      </w:r>
      <w:r>
        <w:rPr>
          <w:rFonts w:ascii="仿宋_GB2312" w:hAnsi="仿宋_GB2312" w:eastAsia="仿宋_GB2312" w:cs="仿宋_GB2312"/>
          <w:color w:val="000000"/>
          <w:kern w:val="0"/>
          <w:sz w:val="31"/>
          <w:szCs w:val="31"/>
        </w:rPr>
        <w:t>%。</w:t>
      </w:r>
    </w:p>
    <w:p>
      <w:pPr>
        <w:keepNext w:val="0"/>
        <w:keepLines w:val="0"/>
        <w:pageBreakBefore w:val="0"/>
        <w:widowControl/>
        <w:kinsoku/>
        <w:wordWrap/>
        <w:overflowPunct/>
        <w:topLinePunct w:val="0"/>
        <w:autoSpaceDE/>
        <w:autoSpaceDN/>
        <w:bidi w:val="0"/>
        <w:adjustRightInd/>
        <w:snapToGrid/>
        <w:spacing w:line="600" w:lineRule="exact"/>
        <w:ind w:firstLine="620" w:firstLineChars="200"/>
        <w:jc w:val="left"/>
        <w:textAlignment w:val="auto"/>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2019年，我局在县委、县政府的坚强领导下，在市公安局的精心指导下，紧紧围绕习近平总书记“四句话、十六字”为总要求，以扫黑除恶专项斗争为主题，以护航经济发展为基准，以全力做好70周年大庆安保维稳工作为主线，不断加强和改进公安工作，不断推进平安蓝田建设，全力维护了全县社会大局稳定。</w:t>
      </w:r>
    </w:p>
    <w:p>
      <w:pPr>
        <w:keepNext w:val="0"/>
        <w:keepLines w:val="0"/>
        <w:pageBreakBefore w:val="0"/>
        <w:widowControl/>
        <w:kinsoku/>
        <w:wordWrap/>
        <w:overflowPunct/>
        <w:topLinePunct w:val="0"/>
        <w:autoSpaceDE/>
        <w:autoSpaceDN/>
        <w:bidi w:val="0"/>
        <w:adjustRightInd/>
        <w:snapToGrid/>
        <w:spacing w:line="600" w:lineRule="exact"/>
        <w:ind w:firstLine="620" w:firstLineChars="200"/>
        <w:jc w:val="left"/>
        <w:textAlignment w:val="auto"/>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我局整体支出4635.3万元，除维持局机关正常运转和人员支出外，资金大部分投向基层一线，有力推动了全县公安工作。以</w:t>
      </w:r>
      <w:bookmarkStart w:id="1" w:name="_GoBack"/>
      <w:bookmarkEnd w:id="1"/>
      <w:r>
        <w:rPr>
          <w:rFonts w:hint="eastAsia" w:ascii="仿宋_GB2312" w:hAnsi="仿宋_GB2312" w:eastAsia="仿宋_GB2312" w:cs="仿宋_GB2312"/>
          <w:color w:val="000000"/>
          <w:kern w:val="0"/>
          <w:sz w:val="31"/>
          <w:szCs w:val="31"/>
        </w:rPr>
        <w:t>扫黑除恶专项斗争为主题，以护航经济发展为基准，以全力做好70周年大庆安保维稳工作为主线，不断加强和改进公安工作，不断推进平安蓝田建设，全力维护了全县社会大局稳定。</w:t>
      </w:r>
    </w:p>
    <w:p>
      <w:pPr>
        <w:keepNext w:val="0"/>
        <w:keepLines w:val="0"/>
        <w:pageBreakBefore w:val="0"/>
        <w:widowControl/>
        <w:kinsoku/>
        <w:wordWrap/>
        <w:overflowPunct/>
        <w:topLinePunct w:val="0"/>
        <w:autoSpaceDE/>
        <w:autoSpaceDN/>
        <w:bidi w:val="0"/>
        <w:adjustRightInd/>
        <w:snapToGrid/>
        <w:spacing w:line="600" w:lineRule="exact"/>
        <w:ind w:firstLine="620" w:firstLineChars="200"/>
        <w:jc w:val="left"/>
        <w:textAlignment w:val="auto"/>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随着物价上涨，应急处突、执法办案、治安巡逻等工作任务的逐年增加，虽然公安经费保障有所改善，但难以满足公安机关工作需要。目前，辅警经费尚未纳入财政预算，挤占有限的公用经费。</w:t>
      </w:r>
    </w:p>
    <w:p>
      <w:pPr>
        <w:keepNext w:val="0"/>
        <w:keepLines w:val="0"/>
        <w:pageBreakBefore w:val="0"/>
        <w:widowControl/>
        <w:kinsoku/>
        <w:wordWrap/>
        <w:overflowPunct/>
        <w:topLinePunct w:val="0"/>
        <w:autoSpaceDE/>
        <w:autoSpaceDN/>
        <w:bidi w:val="0"/>
        <w:adjustRightInd/>
        <w:snapToGrid/>
        <w:spacing w:line="600" w:lineRule="exact"/>
        <w:ind w:firstLine="620" w:firstLineChars="200"/>
        <w:jc w:val="left"/>
        <w:textAlignment w:val="auto"/>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我局将加强预算管理，积极与财政沟通，将辅警经费纳入年初专项资金预算，进一步深化、完善绩效管理体系，建立全过程的预算绩效管理机制，促进绩效管理工作向广度和深度延伸。</w:t>
      </w:r>
    </w:p>
    <w:p>
      <w:pPr>
        <w:widowControl/>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object>
          <v:shape id="_x0000_i1025" o:spt="75" type="#_x0000_t75" style="height:724.85pt;width:446.4pt;" o:ole="t" filled="f" o:preferrelative="t" stroked="f" coordsize="21600,21600">
            <v:path/>
            <v:fill on="f" focussize="0,0"/>
            <v:stroke on="f"/>
            <v:imagedata r:id="rId15" o:title=""/>
            <o:lock v:ext="edit" aspectratio="f"/>
            <w10:wrap type="none"/>
            <w10:anchorlock/>
          </v:shape>
          <o:OLEObject Type="Embed" ProgID="Excel.Sheet.12" ShapeID="_x0000_i1025" DrawAspect="Content" ObjectID="_1468075725" r:id="rId14">
            <o:LockedField>false</o:LockedField>
          </o:OLEObject>
        </w:object>
      </w:r>
      <w:r>
        <w:rPr>
          <w:rFonts w:hint="eastAsia" w:ascii="仿宋_GB2312" w:hAnsi="仿宋_GB2312" w:eastAsia="仿宋_GB2312" w:cs="仿宋_GB2312"/>
          <w:color w:val="000000"/>
          <w:kern w:val="0"/>
          <w:sz w:val="31"/>
          <w:szCs w:val="31"/>
        </w:rPr>
        <w:object>
          <v:shape id="_x0000_i1026" o:spt="75" type="#_x0000_t75" style="height:614.45pt;width:468pt;" o:ole="t" filled="f" o:preferrelative="t" stroked="f" coordsize="21600,21600">
            <v:path/>
            <v:fill on="f" focussize="0,0"/>
            <v:stroke on="f"/>
            <v:imagedata r:id="rId17" o:title=""/>
            <o:lock v:ext="edit" aspectratio="f"/>
            <w10:wrap type="none"/>
            <w10:anchorlock/>
          </v:shape>
          <o:OLEObject Type="Embed" ProgID="Excel.Sheet.12" ShapeID="_x0000_i1026" DrawAspect="Content" ObjectID="_1468075726" r:id="rId16">
            <o:LockedField>false</o:LockedField>
          </o:OLEObject>
        </w:objec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p>
      <w:pPr>
        <w:widowControl/>
        <w:jc w:val="left"/>
        <w:rPr>
          <w:rFonts w:ascii="黑体" w:hAnsi="黑体" w:eastAsia="黑体"/>
          <w:color w:val="000000"/>
          <w:kern w:val="0"/>
          <w:szCs w:val="32"/>
        </w:rPr>
      </w:pPr>
      <w:bookmarkStart w:id="0" w:name="_MON_1662102805"/>
      <w:bookmarkEnd w:id="0"/>
      <w:r>
        <w:rPr>
          <w:rFonts w:hint="eastAsia" w:ascii="仿宋_GB2312" w:hAnsi="仿宋_GB2312" w:eastAsia="仿宋_GB2312" w:cs="仿宋_GB2312"/>
          <w:color w:val="000000"/>
          <w:kern w:val="0"/>
          <w:sz w:val="31"/>
          <w:szCs w:val="31"/>
        </w:rPr>
        <w:pict>
          <v:shape id="_x0000_s1026" o:spid="_x0000_s1026" o:spt="75" type="#_x0000_t75" style="position:absolute;left:0pt;margin-left:0.8pt;margin-top:-125.6pt;height:1371.9pt;width:655.4pt;mso-wrap-distance-left:9pt;mso-wrap-distance-right:9pt;z-index:-251658240;mso-width-relative:page;mso-height-relative:page;" o:ole="t" filled="f" o:preferrelative="t" stroked="f" coordsize="21600,21600" wrapcoords="21592 -2 0 0 0 21600 21592 21602 8 21602 21600 21600 21600 0 8 -2 21592 -2">
            <v:path/>
            <v:fill on="f" focussize="0,0"/>
            <v:stroke on="f"/>
            <v:imagedata r:id="rId19" o:title=""/>
            <o:lock v:ext="edit" aspectratio="f"/>
            <w10:wrap type="tight"/>
          </v:shape>
          <o:OLEObject Type="Embed" ProgID="Excel.Sheet.12" ShapeID="_x0000_s1026" DrawAspect="Content" ObjectID="_1468075727" r:id="rId18">
            <o:LockedField>false</o:LockedField>
          </o:OLEObject>
        </w:pict>
      </w:r>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1926.22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1455.57</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75.57</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470.65</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eastAsia="zh-CN"/>
        </w:rPr>
        <w:t>压缩公用经费开支</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2019年度本部门政府采购支出总额共</w:t>
      </w:r>
      <w:r>
        <w:rPr>
          <w:rFonts w:hint="eastAsia" w:ascii="仿宋_GB2312" w:hAnsi="仿宋_GB2312" w:eastAsia="仿宋_GB2312" w:cs="仿宋_GB2312"/>
          <w:szCs w:val="32"/>
          <w:lang w:val="en-US" w:eastAsia="zh-CN"/>
        </w:rPr>
        <w:t>1728.19</w:t>
      </w:r>
      <w:r>
        <w:rPr>
          <w:rFonts w:hint="eastAsia" w:ascii="仿宋_GB2312" w:hAnsi="仿宋_GB2312" w:eastAsia="仿宋_GB2312" w:cs="仿宋_GB2312"/>
          <w:szCs w:val="32"/>
        </w:rPr>
        <w:t>万元，其中政府采购货物类支出</w:t>
      </w:r>
      <w:r>
        <w:rPr>
          <w:rFonts w:hint="eastAsia" w:ascii="仿宋_GB2312" w:hAnsi="仿宋_GB2312" w:eastAsia="仿宋_GB2312" w:cs="仿宋_GB2312"/>
          <w:szCs w:val="32"/>
          <w:lang w:val="en-US" w:eastAsia="zh-CN"/>
        </w:rPr>
        <w:t>1728.19</w:t>
      </w:r>
      <w:r>
        <w:rPr>
          <w:rFonts w:hint="eastAsia" w:ascii="仿宋_GB2312" w:hAnsi="仿宋_GB2312" w:eastAsia="仿宋_GB2312" w:cs="仿宋_GB2312"/>
          <w:szCs w:val="32"/>
        </w:rPr>
        <w:t>万元、政府采购服务类支出</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万元、政府采购工程类支出</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w:t>
      </w:r>
      <w:r>
        <w:rPr>
          <w:rFonts w:ascii="仿宋_GB2312" w:hAnsi="宋体" w:eastAsia="仿宋_GB2312" w:cs="仿宋_GB2312"/>
          <w:color w:val="000000"/>
          <w:kern w:val="0"/>
          <w:szCs w:val="32"/>
        </w:rPr>
        <w:t>授予中小企业合同金额</w:t>
      </w:r>
      <w:r>
        <w:rPr>
          <w:rFonts w:hint="eastAsia" w:ascii="仿宋_GB2312" w:hAnsi="宋体" w:eastAsia="仿宋_GB2312" w:cs="仿宋_GB2312"/>
          <w:color w:val="000000"/>
          <w:kern w:val="0"/>
          <w:szCs w:val="32"/>
          <w:lang w:val="en-US" w:eastAsia="zh-CN"/>
        </w:rPr>
        <w:t>1728.19</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%，其中：授予小微企业合同金额</w:t>
      </w:r>
      <w:r>
        <w:rPr>
          <w:rFonts w:hint="eastAsia" w:ascii="仿宋_GB2312" w:hAnsi="宋体" w:eastAsia="仿宋_GB2312" w:cs="仿宋_GB2312"/>
          <w:color w:val="000000"/>
          <w:kern w:val="0"/>
          <w:szCs w:val="32"/>
          <w:lang w:val="en-US" w:eastAsia="zh-CN"/>
        </w:rPr>
        <w:t>1468.96</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lang w:val="en-US" w:eastAsia="zh-CN"/>
        </w:rPr>
        <w:t>85</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126</w:t>
      </w:r>
      <w:r>
        <w:rPr>
          <w:rFonts w:hint="eastAsia" w:ascii="仿宋_GB2312" w:hAnsi="仿宋_GB2312" w:eastAsia="仿宋_GB2312" w:cs="仿宋_GB2312"/>
          <w:szCs w:val="32"/>
        </w:rPr>
        <w:t>辆；单价50万元以上的通用设备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ind w:firstLine="640"/>
        <w:rPr>
          <w:rFonts w:hint="eastAsia" w:ascii="仿宋_GB2312" w:hAnsi="仿宋_GB2312" w:eastAsia="仿宋_GB2312" w:cs="仿宋_GB2312"/>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239627"/>
    <w:multiLevelType w:val="singleLevel"/>
    <w:tmpl w:val="83239627"/>
    <w:lvl w:ilvl="0" w:tentative="0">
      <w:start w:val="11"/>
      <w:numFmt w:val="decimal"/>
      <w:lvlText w:val="%1."/>
      <w:lvlJc w:val="left"/>
      <w:pPr>
        <w:tabs>
          <w:tab w:val="left" w:pos="312"/>
        </w:tabs>
      </w:pPr>
    </w:lvl>
  </w:abstractNum>
  <w:abstractNum w:abstractNumId="1">
    <w:nsid w:val="9F232710"/>
    <w:multiLevelType w:val="singleLevel"/>
    <w:tmpl w:val="9F232710"/>
    <w:lvl w:ilvl="0" w:tentative="0">
      <w:start w:val="1"/>
      <w:numFmt w:val="chineseCounting"/>
      <w:suff w:val="space"/>
      <w:lvlText w:val="第%1部分"/>
      <w:lvlJc w:val="left"/>
      <w:rPr>
        <w:rFonts w:hint="eastAsia"/>
      </w:rPr>
    </w:lvl>
  </w:abstractNum>
  <w:abstractNum w:abstractNumId="2">
    <w:nsid w:val="39BEA4A8"/>
    <w:multiLevelType w:val="singleLevel"/>
    <w:tmpl w:val="39BEA4A8"/>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121AE2"/>
    <w:rsid w:val="001E5892"/>
    <w:rsid w:val="00347F25"/>
    <w:rsid w:val="00394C38"/>
    <w:rsid w:val="00430FBC"/>
    <w:rsid w:val="00592FDC"/>
    <w:rsid w:val="005971FB"/>
    <w:rsid w:val="00803916"/>
    <w:rsid w:val="008E5206"/>
    <w:rsid w:val="00926DEC"/>
    <w:rsid w:val="009B3162"/>
    <w:rsid w:val="00A61B68"/>
    <w:rsid w:val="00A77A2C"/>
    <w:rsid w:val="00AF5C24"/>
    <w:rsid w:val="00B72C81"/>
    <w:rsid w:val="00B91CFD"/>
    <w:rsid w:val="00BC4A55"/>
    <w:rsid w:val="00C61D66"/>
    <w:rsid w:val="00C924A4"/>
    <w:rsid w:val="00C961C5"/>
    <w:rsid w:val="00CC6DD1"/>
    <w:rsid w:val="00D82BDF"/>
    <w:rsid w:val="00F114C6"/>
    <w:rsid w:val="00F11EB9"/>
    <w:rsid w:val="02726F89"/>
    <w:rsid w:val="0291102F"/>
    <w:rsid w:val="02D6590B"/>
    <w:rsid w:val="02D84E63"/>
    <w:rsid w:val="03E9228A"/>
    <w:rsid w:val="04070971"/>
    <w:rsid w:val="086C1E64"/>
    <w:rsid w:val="09A718D7"/>
    <w:rsid w:val="0A0A5966"/>
    <w:rsid w:val="0A632AA5"/>
    <w:rsid w:val="0AE404D2"/>
    <w:rsid w:val="11517FAC"/>
    <w:rsid w:val="131E772E"/>
    <w:rsid w:val="13AB470D"/>
    <w:rsid w:val="13E12C3D"/>
    <w:rsid w:val="15B36D6E"/>
    <w:rsid w:val="169D724D"/>
    <w:rsid w:val="19606AAB"/>
    <w:rsid w:val="1AF22409"/>
    <w:rsid w:val="1B8676CF"/>
    <w:rsid w:val="1BEA198C"/>
    <w:rsid w:val="1CBF3A65"/>
    <w:rsid w:val="1D8B0C78"/>
    <w:rsid w:val="1DCB11F6"/>
    <w:rsid w:val="20B96E79"/>
    <w:rsid w:val="20E506C4"/>
    <w:rsid w:val="218451D1"/>
    <w:rsid w:val="21ED3090"/>
    <w:rsid w:val="22B25F82"/>
    <w:rsid w:val="23480BCD"/>
    <w:rsid w:val="23DA671D"/>
    <w:rsid w:val="24E26901"/>
    <w:rsid w:val="24EA1D57"/>
    <w:rsid w:val="251E2AC7"/>
    <w:rsid w:val="25355E3A"/>
    <w:rsid w:val="26511F08"/>
    <w:rsid w:val="2697344B"/>
    <w:rsid w:val="29052FFE"/>
    <w:rsid w:val="297649F1"/>
    <w:rsid w:val="2BAF371E"/>
    <w:rsid w:val="2D140DCA"/>
    <w:rsid w:val="2D245713"/>
    <w:rsid w:val="2E79470D"/>
    <w:rsid w:val="30321F3D"/>
    <w:rsid w:val="30DF4759"/>
    <w:rsid w:val="31F47063"/>
    <w:rsid w:val="34A83A9D"/>
    <w:rsid w:val="360F1ED6"/>
    <w:rsid w:val="3669223E"/>
    <w:rsid w:val="37377594"/>
    <w:rsid w:val="3791187F"/>
    <w:rsid w:val="38B20A21"/>
    <w:rsid w:val="399E5819"/>
    <w:rsid w:val="39C179BD"/>
    <w:rsid w:val="3B1F04AA"/>
    <w:rsid w:val="3B446002"/>
    <w:rsid w:val="3D36237B"/>
    <w:rsid w:val="3D904069"/>
    <w:rsid w:val="3DE70B80"/>
    <w:rsid w:val="3FCA23EC"/>
    <w:rsid w:val="3FFF5514"/>
    <w:rsid w:val="40413283"/>
    <w:rsid w:val="424D60E4"/>
    <w:rsid w:val="42EE7C68"/>
    <w:rsid w:val="42FA4769"/>
    <w:rsid w:val="435E5CC5"/>
    <w:rsid w:val="436B353F"/>
    <w:rsid w:val="437C5727"/>
    <w:rsid w:val="43970E2F"/>
    <w:rsid w:val="439D3F09"/>
    <w:rsid w:val="43BC1030"/>
    <w:rsid w:val="46523F5B"/>
    <w:rsid w:val="472F41B2"/>
    <w:rsid w:val="47964FBE"/>
    <w:rsid w:val="489D4898"/>
    <w:rsid w:val="494C2475"/>
    <w:rsid w:val="49C57849"/>
    <w:rsid w:val="4A023F61"/>
    <w:rsid w:val="4A1752A2"/>
    <w:rsid w:val="4A2337DC"/>
    <w:rsid w:val="4B18398F"/>
    <w:rsid w:val="4B7446FA"/>
    <w:rsid w:val="4B8A7926"/>
    <w:rsid w:val="4BE45B43"/>
    <w:rsid w:val="4C2F4C95"/>
    <w:rsid w:val="4C5A29F5"/>
    <w:rsid w:val="4CEB0F78"/>
    <w:rsid w:val="4DEA7C5B"/>
    <w:rsid w:val="4EA81634"/>
    <w:rsid w:val="50F46E6F"/>
    <w:rsid w:val="51351849"/>
    <w:rsid w:val="526E70E7"/>
    <w:rsid w:val="52AC7AB3"/>
    <w:rsid w:val="54207C4C"/>
    <w:rsid w:val="55381790"/>
    <w:rsid w:val="55DE4BA1"/>
    <w:rsid w:val="596D661C"/>
    <w:rsid w:val="5A6403ED"/>
    <w:rsid w:val="5B7314F0"/>
    <w:rsid w:val="5BAB4423"/>
    <w:rsid w:val="5D19079B"/>
    <w:rsid w:val="5D2F2D53"/>
    <w:rsid w:val="5D4A509A"/>
    <w:rsid w:val="5E155678"/>
    <w:rsid w:val="5E645F52"/>
    <w:rsid w:val="5EB23204"/>
    <w:rsid w:val="5F0474C5"/>
    <w:rsid w:val="5F2176D0"/>
    <w:rsid w:val="5F343C84"/>
    <w:rsid w:val="60F57090"/>
    <w:rsid w:val="62052BE1"/>
    <w:rsid w:val="62666239"/>
    <w:rsid w:val="627874B5"/>
    <w:rsid w:val="62D8338F"/>
    <w:rsid w:val="63EB351C"/>
    <w:rsid w:val="64AD36BC"/>
    <w:rsid w:val="64C10B21"/>
    <w:rsid w:val="65FD4D6F"/>
    <w:rsid w:val="66AA663A"/>
    <w:rsid w:val="68417DD4"/>
    <w:rsid w:val="68E972D7"/>
    <w:rsid w:val="69A157A9"/>
    <w:rsid w:val="6AC33D7E"/>
    <w:rsid w:val="6B3B79EC"/>
    <w:rsid w:val="6C1C0933"/>
    <w:rsid w:val="6DA70493"/>
    <w:rsid w:val="6DEE1FBC"/>
    <w:rsid w:val="6E8A3F15"/>
    <w:rsid w:val="6F094735"/>
    <w:rsid w:val="6F955521"/>
    <w:rsid w:val="70F67706"/>
    <w:rsid w:val="71E63FEB"/>
    <w:rsid w:val="72352D30"/>
    <w:rsid w:val="73431FE5"/>
    <w:rsid w:val="74414606"/>
    <w:rsid w:val="748415D7"/>
    <w:rsid w:val="7572745D"/>
    <w:rsid w:val="778B0394"/>
    <w:rsid w:val="79FE7E5E"/>
    <w:rsid w:val="7B6D5E4A"/>
    <w:rsid w:val="7BF82711"/>
    <w:rsid w:val="7C876BA4"/>
    <w:rsid w:val="7E3977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eastAsia="宋体"/>
      <w:sz w:val="21"/>
    </w:rPr>
  </w:style>
  <w:style w:type="paragraph" w:styleId="3">
    <w:name w:val="footer"/>
    <w:basedOn w:val="1"/>
    <w:link w:val="16"/>
    <w:qFormat/>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font11"/>
    <w:basedOn w:val="5"/>
    <w:qFormat/>
    <w:uiPriority w:val="0"/>
    <w:rPr>
      <w:rFonts w:hint="eastAsia" w:ascii="宋体" w:hAnsi="宋体" w:eastAsia="宋体" w:cs="宋体"/>
      <w:b/>
      <w:color w:val="000000"/>
      <w:sz w:val="32"/>
      <w:szCs w:val="32"/>
      <w:u w:val="none"/>
    </w:rPr>
  </w:style>
  <w:style w:type="character" w:customStyle="1" w:styleId="9">
    <w:name w:val="font91"/>
    <w:basedOn w:val="5"/>
    <w:qFormat/>
    <w:uiPriority w:val="0"/>
    <w:rPr>
      <w:rFonts w:hint="eastAsia" w:ascii="宋体" w:hAnsi="宋体" w:eastAsia="宋体" w:cs="宋体"/>
      <w:color w:val="000000"/>
      <w:sz w:val="32"/>
      <w:szCs w:val="32"/>
      <w:u w:val="none"/>
    </w:rPr>
  </w:style>
  <w:style w:type="character" w:customStyle="1" w:styleId="10">
    <w:name w:val="font51"/>
    <w:basedOn w:val="5"/>
    <w:qFormat/>
    <w:uiPriority w:val="0"/>
    <w:rPr>
      <w:rFonts w:hint="eastAsia" w:ascii="宋体" w:hAnsi="宋体" w:eastAsia="宋体" w:cs="宋体"/>
      <w:color w:val="000000"/>
      <w:sz w:val="20"/>
      <w:szCs w:val="20"/>
      <w:u w:val="none"/>
    </w:rPr>
  </w:style>
  <w:style w:type="character" w:customStyle="1" w:styleId="11">
    <w:name w:val="font101"/>
    <w:basedOn w:val="5"/>
    <w:qFormat/>
    <w:uiPriority w:val="0"/>
    <w:rPr>
      <w:rFonts w:hint="eastAsia" w:ascii="宋体" w:hAnsi="宋体" w:eastAsia="宋体" w:cs="宋体"/>
      <w:color w:val="000000"/>
      <w:sz w:val="20"/>
      <w:szCs w:val="20"/>
      <w:u w:val="none"/>
    </w:rPr>
  </w:style>
  <w:style w:type="character" w:customStyle="1" w:styleId="12">
    <w:name w:val="font21"/>
    <w:basedOn w:val="5"/>
    <w:qFormat/>
    <w:uiPriority w:val="0"/>
    <w:rPr>
      <w:rFonts w:hint="eastAsia" w:ascii="宋体" w:hAnsi="宋体" w:eastAsia="宋体" w:cs="宋体"/>
      <w:color w:val="000000"/>
      <w:sz w:val="18"/>
      <w:szCs w:val="18"/>
      <w:u w:val="none"/>
    </w:rPr>
  </w:style>
  <w:style w:type="character" w:customStyle="1" w:styleId="13">
    <w:name w:val="font112"/>
    <w:basedOn w:val="5"/>
    <w:qFormat/>
    <w:uiPriority w:val="0"/>
    <w:rPr>
      <w:rFonts w:hint="eastAsia" w:ascii="宋体" w:hAnsi="宋体" w:eastAsia="宋体" w:cs="宋体"/>
      <w:color w:val="000000"/>
      <w:sz w:val="20"/>
      <w:szCs w:val="20"/>
      <w:u w:val="none"/>
    </w:rPr>
  </w:style>
  <w:style w:type="character" w:customStyle="1" w:styleId="14">
    <w:name w:val="font61"/>
    <w:basedOn w:val="5"/>
    <w:qFormat/>
    <w:uiPriority w:val="0"/>
    <w:rPr>
      <w:rFonts w:hint="eastAsia" w:ascii="宋体" w:hAnsi="宋体" w:eastAsia="宋体" w:cs="宋体"/>
      <w:color w:val="000000"/>
      <w:sz w:val="24"/>
      <w:szCs w:val="24"/>
      <w:u w:val="none"/>
    </w:rPr>
  </w:style>
  <w:style w:type="character" w:customStyle="1" w:styleId="15">
    <w:name w:val="页眉 字符"/>
    <w:basedOn w:val="5"/>
    <w:link w:val="4"/>
    <w:qFormat/>
    <w:uiPriority w:val="0"/>
    <w:rPr>
      <w:rFonts w:ascii="Calibri" w:hAnsi="Calibri" w:eastAsia="方正仿宋简体"/>
      <w:kern w:val="2"/>
      <w:sz w:val="18"/>
      <w:szCs w:val="18"/>
    </w:rPr>
  </w:style>
  <w:style w:type="character" w:customStyle="1" w:styleId="16">
    <w:name w:val="页脚 字符"/>
    <w:basedOn w:val="5"/>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3.bin"/><Relationship Id="rId17" Type="http://schemas.openxmlformats.org/officeDocument/2006/relationships/image" Target="media/image2.emf"/><Relationship Id="rId16" Type="http://schemas.openxmlformats.org/officeDocument/2006/relationships/oleObject" Target="embeddings/oleObject2.bin"/><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chart" Target="charts/chart10.xml"/><Relationship Id="rId12" Type="http://schemas.openxmlformats.org/officeDocument/2006/relationships/chart" Target="charts/chart9.xml"/><Relationship Id="rId11" Type="http://schemas.openxmlformats.org/officeDocument/2006/relationships/chart" Target="charts/chart8.xml"/><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9044;&#20915;&#31639;\&#20915;&#31639;&#20844;&#24320;\2019\&#22270;&#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9044;&#20915;&#31639;\&#20915;&#31639;&#20844;&#24320;\2019\&#22270;&#34920;.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9044;&#20915;&#31639;\&#20915;&#31639;&#20844;&#24320;\2019\&#22270;&#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9044;&#20915;&#31639;\&#20915;&#31639;&#20844;&#24320;\2019\&#22270;&#34920;.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D:\&#39044;&#20915;&#31639;\&#20915;&#31639;&#20844;&#24320;\2019\&#22270;&#34920;.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D:\&#39044;&#20915;&#31639;\&#20915;&#31639;&#20844;&#24320;\2019\&#22270;&#34920;.xls"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D:\&#39044;&#20915;&#31639;\&#20915;&#31639;&#20844;&#24320;\2019\&#22270;&#34920;.xls"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39044;&#20915;&#31639;\&#20915;&#31639;&#20844;&#24320;\2019\&#22270;&#34920;.xls"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D:\&#39044;&#20915;&#31639;\&#20915;&#31639;&#20844;&#24320;\2019\&#22270;&#34920;.xls"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D:\&#39044;&#20915;&#31639;\&#20915;&#31639;&#20844;&#24320;\2019\&#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部门人员情况柱状图</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[图表.xls]Sheet1!$B$3</c:f>
              <c:strCache>
                <c:ptCount val="1"/>
                <c:pt idx="0">
                  <c:v>编制人数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[图表.xls]Sheet1!$C$2:$D$2</c:f>
              <c:strCache>
                <c:ptCount val="2"/>
                <c:pt idx="0">
                  <c:v>行政编制</c:v>
                </c:pt>
                <c:pt idx="1">
                  <c:v>事业编制</c:v>
                </c:pt>
              </c:strCache>
            </c:strRef>
          </c:cat>
          <c:val>
            <c:numRef>
              <c:f>[图表.xls]Sheet1!$C$3:$D$3</c:f>
              <c:numCache>
                <c:formatCode>General</c:formatCode>
                <c:ptCount val="2"/>
                <c:pt idx="0">
                  <c:v>274</c:v>
                </c:pt>
                <c:pt idx="1">
                  <c:v>0</c:v>
                </c:pt>
              </c:numCache>
            </c:numRef>
          </c:val>
        </c:ser>
        <c:ser>
          <c:idx val="1"/>
          <c:order val="1"/>
          <c:tx>
            <c:strRef>
              <c:f>[图表.xls]Sheet1!$B$4</c:f>
              <c:strCache>
                <c:ptCount val="1"/>
                <c:pt idx="0">
                  <c:v>实际人数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[图表.xls]Sheet1!$C$2:$D$2</c:f>
              <c:strCache>
                <c:ptCount val="2"/>
                <c:pt idx="0">
                  <c:v>行政编制</c:v>
                </c:pt>
                <c:pt idx="1">
                  <c:v>事业编制</c:v>
                </c:pt>
              </c:strCache>
            </c:strRef>
          </c:cat>
          <c:val>
            <c:numRef>
              <c:f>[图表.xls]Sheet1!$C$4:$D$4</c:f>
              <c:numCache>
                <c:formatCode>General</c:formatCode>
                <c:ptCount val="2"/>
                <c:pt idx="0">
                  <c:v>493</c:v>
                </c:pt>
                <c:pt idx="1">
                  <c:v>1</c:v>
                </c:pt>
              </c:numCache>
            </c:numRef>
          </c:val>
        </c:ser>
        <c:dLbls>
          <c:showLegendKey val="0"/>
          <c:showVal val="1"/>
          <c:showCatName val="0"/>
          <c:showSerName val="0"/>
          <c:showPercent val="0"/>
          <c:showBubbleSize val="0"/>
        </c:dLbls>
        <c:gapWidth val="219"/>
        <c:overlap val="-27"/>
        <c:axId val="283705724"/>
        <c:axId val="166499598"/>
      </c:barChart>
      <c:catAx>
        <c:axId val="28370572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6499598"/>
        <c:crosses val="autoZero"/>
        <c:auto val="1"/>
        <c:lblAlgn val="ctr"/>
        <c:lblOffset val="100"/>
        <c:noMultiLvlLbl val="0"/>
      </c:catAx>
      <c:valAx>
        <c:axId val="1664995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370572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收入支出决算总体情况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[图表.xls]Sheet1!$B$22</c:f>
              <c:strCache>
                <c:ptCount val="1"/>
                <c:pt idx="0">
                  <c:v>2019年度</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[图表.xls]Sheet1!$C$21:$D$21</c:f>
              <c:strCache>
                <c:ptCount val="2"/>
                <c:pt idx="0">
                  <c:v>决算收入</c:v>
                </c:pt>
                <c:pt idx="1">
                  <c:v>决算支出</c:v>
                </c:pt>
              </c:strCache>
            </c:strRef>
          </c:cat>
          <c:val>
            <c:numRef>
              <c:f>[图表.xls]Sheet1!$C$22:$D$22</c:f>
              <c:numCache>
                <c:formatCode>General</c:formatCode>
                <c:ptCount val="2"/>
                <c:pt idx="0">
                  <c:v>12214.62</c:v>
                </c:pt>
                <c:pt idx="1">
                  <c:v>12214.62</c:v>
                </c:pt>
              </c:numCache>
            </c:numRef>
          </c:val>
        </c:ser>
        <c:ser>
          <c:idx val="1"/>
          <c:order val="1"/>
          <c:tx>
            <c:strRef>
              <c:f>[图表.xls]Sheet1!$B$23</c:f>
              <c:strCache>
                <c:ptCount val="1"/>
                <c:pt idx="0">
                  <c:v>2018年度</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[图表.xls]Sheet1!$C$21:$D$21</c:f>
              <c:strCache>
                <c:ptCount val="2"/>
                <c:pt idx="0">
                  <c:v>决算收入</c:v>
                </c:pt>
                <c:pt idx="1">
                  <c:v>决算支出</c:v>
                </c:pt>
              </c:strCache>
            </c:strRef>
          </c:cat>
          <c:val>
            <c:numRef>
              <c:f>[图表.xls]Sheet1!$C$23:$D$23</c:f>
              <c:numCache>
                <c:formatCode>General</c:formatCode>
                <c:ptCount val="2"/>
                <c:pt idx="0">
                  <c:v>10651.17</c:v>
                </c:pt>
                <c:pt idx="1">
                  <c:v>10651.17</c:v>
                </c:pt>
              </c:numCache>
            </c:numRef>
          </c:val>
        </c:ser>
        <c:dLbls>
          <c:showLegendKey val="0"/>
          <c:showVal val="1"/>
          <c:showCatName val="0"/>
          <c:showSerName val="0"/>
          <c:showPercent val="0"/>
          <c:showBubbleSize val="0"/>
        </c:dLbls>
        <c:gapWidth val="219"/>
        <c:overlap val="-27"/>
        <c:axId val="745054174"/>
        <c:axId val="250169262"/>
      </c:barChart>
      <c:catAx>
        <c:axId val="74505417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0169262"/>
        <c:crosses val="autoZero"/>
        <c:auto val="1"/>
        <c:lblAlgn val="ctr"/>
        <c:lblOffset val="100"/>
        <c:noMultiLvlLbl val="0"/>
      </c:catAx>
      <c:valAx>
        <c:axId val="25016926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505417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收入决算情况</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1"/>
              <c:layout>
                <c:manualLayout>
                  <c:x val="-0.000484537858558035"/>
                  <c:y val="-0.00570015960446894"/>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284869152278952"/>
                  <c:y val="0.0215334909399878"/>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3"/>
              <c:layout>
                <c:manualLayout>
                  <c:x val="0.317434210526316"/>
                  <c:y val="0.0307328605200946"/>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[图表.xls]Sheet1!$B$44:$B$47</c:f>
              <c:strCache>
                <c:ptCount val="4"/>
                <c:pt idx="0">
                  <c:v>财政拨款收入</c:v>
                </c:pt>
                <c:pt idx="1">
                  <c:v>事业收入</c:v>
                </c:pt>
                <c:pt idx="2">
                  <c:v>经营收入</c:v>
                </c:pt>
                <c:pt idx="3">
                  <c:v>其他收入</c:v>
                </c:pt>
              </c:strCache>
            </c:strRef>
          </c:cat>
          <c:val>
            <c:numRef>
              <c:f>[图表.xls]Sheet1!$C$44:$C$47</c:f>
              <c:numCache>
                <c:formatCode>General</c:formatCode>
                <c:ptCount val="4"/>
                <c:pt idx="0">
                  <c:v>12214.62</c:v>
                </c:pt>
                <c:pt idx="1">
                  <c:v>0</c:v>
                </c:pt>
                <c:pt idx="2">
                  <c:v>0</c:v>
                </c:pt>
                <c:pt idx="3">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支出决算情况</a:t>
            </a:r>
            <a:endParaRPr lang="zh-CN"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[图表.xls]Sheet1!$B$68:$B$70</c:f>
              <c:strCache>
                <c:ptCount val="3"/>
                <c:pt idx="0">
                  <c:v>基本支出</c:v>
                </c:pt>
                <c:pt idx="1">
                  <c:v>项目支出</c:v>
                </c:pt>
                <c:pt idx="2">
                  <c:v>经营支出</c:v>
                </c:pt>
              </c:strCache>
            </c:strRef>
          </c:cat>
          <c:val>
            <c:numRef>
              <c:f>[图表.xls]Sheet1!$C$68:$C$70</c:f>
              <c:numCache>
                <c:formatCode>General</c:formatCode>
                <c:ptCount val="3"/>
                <c:pt idx="0">
                  <c:v>8807.94</c:v>
                </c:pt>
                <c:pt idx="1">
                  <c:v>3406.68</c:v>
                </c:pt>
                <c:pt idx="2">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财政拨款收入支出决算总体情况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[图表.xls]Sheet1!$B$93</c:f>
              <c:strCache>
                <c:ptCount val="1"/>
                <c:pt idx="0">
                  <c:v>2019年度</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[图表.xls]Sheet1!$C$92:$D$92</c:f>
              <c:strCache>
                <c:ptCount val="2"/>
                <c:pt idx="0">
                  <c:v>财政拨款收入</c:v>
                </c:pt>
                <c:pt idx="1">
                  <c:v>财政拨款支出</c:v>
                </c:pt>
              </c:strCache>
            </c:strRef>
          </c:cat>
          <c:val>
            <c:numRef>
              <c:f>[图表.xls]Sheet1!$C$93:$D$93</c:f>
              <c:numCache>
                <c:formatCode>General</c:formatCode>
                <c:ptCount val="2"/>
                <c:pt idx="0">
                  <c:v>12214.62</c:v>
                </c:pt>
                <c:pt idx="1">
                  <c:v>12214.62</c:v>
                </c:pt>
              </c:numCache>
            </c:numRef>
          </c:val>
        </c:ser>
        <c:ser>
          <c:idx val="1"/>
          <c:order val="1"/>
          <c:tx>
            <c:strRef>
              <c:f>[图表.xls]Sheet1!$B$94</c:f>
              <c:strCache>
                <c:ptCount val="1"/>
                <c:pt idx="0">
                  <c:v>2018年度</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[图表.xls]Sheet1!$C$92:$D$92</c:f>
              <c:strCache>
                <c:ptCount val="2"/>
                <c:pt idx="0">
                  <c:v>财政拨款收入</c:v>
                </c:pt>
                <c:pt idx="1">
                  <c:v>财政拨款支出</c:v>
                </c:pt>
              </c:strCache>
            </c:strRef>
          </c:cat>
          <c:val>
            <c:numRef>
              <c:f>[图表.xls]Sheet1!$C$94:$D$94</c:f>
              <c:numCache>
                <c:formatCode>General</c:formatCode>
                <c:ptCount val="2"/>
                <c:pt idx="0">
                  <c:v>10651.17</c:v>
                </c:pt>
                <c:pt idx="1">
                  <c:v>10651.17</c:v>
                </c:pt>
              </c:numCache>
            </c:numRef>
          </c:val>
        </c:ser>
        <c:dLbls>
          <c:showLegendKey val="0"/>
          <c:showVal val="1"/>
          <c:showCatName val="0"/>
          <c:showSerName val="0"/>
          <c:showPercent val="0"/>
          <c:showBubbleSize val="0"/>
        </c:dLbls>
        <c:gapWidth val="219"/>
        <c:overlap val="-27"/>
        <c:axId val="432656266"/>
        <c:axId val="914528997"/>
      </c:barChart>
      <c:catAx>
        <c:axId val="43265626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14528997"/>
        <c:crosses val="autoZero"/>
        <c:auto val="1"/>
        <c:lblAlgn val="ctr"/>
        <c:lblOffset val="100"/>
        <c:noMultiLvlLbl val="0"/>
      </c:catAx>
      <c:valAx>
        <c:axId val="91452899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265626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[图表.xls]Sheet1!$B$114</c:f>
              <c:strCache>
                <c:ptCount val="1"/>
                <c:pt idx="0">
                  <c:v>财政拨款支出决算总体情况</c:v>
                </c:pt>
              </c:strCache>
            </c:strRef>
          </c:tx>
          <c:spPr/>
          <c:explosion val="0"/>
          <c:dPt>
            <c:idx val="0"/>
            <c:bubble3D val="0"/>
            <c:spPr>
              <a:solidFill>
                <a:schemeClr val="accent1"/>
              </a:solidFill>
              <a:ln w="19050">
                <a:solidFill>
                  <a:schemeClr val="lt1"/>
                </a:solidFill>
              </a:ln>
              <a:effectLst/>
            </c:spPr>
          </c:dPt>
          <c:dLbls>
            <c:dLbl>
              <c:idx val="0"/>
              <c:layout>
                <c:manualLayout>
                  <c:x val="0.00177243976229618"/>
                  <c:y val="-0.215426766134894"/>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[图表.xls]Sheet1!$C$113</c:f>
              <c:strCache>
                <c:ptCount val="1"/>
                <c:pt idx="0">
                  <c:v>2019年度财政拨款支出</c:v>
                </c:pt>
              </c:strCache>
            </c:strRef>
          </c:cat>
          <c:val>
            <c:numRef>
              <c:f>[图表.xls]Sheet1!$C$114</c:f>
              <c:numCache>
                <c:formatCode>General</c:formatCode>
                <c:ptCount val="1"/>
                <c:pt idx="0">
                  <c:v>12214.62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三公经费财政拨款支出决算情况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[图表.xls]Sheet1!$C$135</c:f>
              <c:strCache>
                <c:ptCount val="1"/>
                <c:pt idx="0">
                  <c:v>2019年预算支出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[图表.xls]Sheet1!$B$136:$B$138</c:f>
              <c:strCache>
                <c:ptCount val="3"/>
                <c:pt idx="0">
                  <c:v>因公出国（境）费用</c:v>
                </c:pt>
                <c:pt idx="1">
                  <c:v>公务接待费用</c:v>
                </c:pt>
                <c:pt idx="2">
                  <c:v>公务用车购置及运行维护费</c:v>
                </c:pt>
              </c:strCache>
            </c:strRef>
          </c:cat>
          <c:val>
            <c:numRef>
              <c:f>[图表.xls]Sheet1!$C$136:$C$138</c:f>
              <c:numCache>
                <c:formatCode>General</c:formatCode>
                <c:ptCount val="3"/>
                <c:pt idx="0">
                  <c:v>0</c:v>
                </c:pt>
                <c:pt idx="1">
                  <c:v>0</c:v>
                </c:pt>
                <c:pt idx="2">
                  <c:v>170.01</c:v>
                </c:pt>
              </c:numCache>
            </c:numRef>
          </c:val>
        </c:ser>
        <c:ser>
          <c:idx val="1"/>
          <c:order val="1"/>
          <c:tx>
            <c:strRef>
              <c:f>[图表.xls]Sheet1!$D$135</c:f>
              <c:strCache>
                <c:ptCount val="1"/>
                <c:pt idx="0">
                  <c:v>2019年决算支出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[图表.xls]Sheet1!$B$136:$B$138</c:f>
              <c:strCache>
                <c:ptCount val="3"/>
                <c:pt idx="0">
                  <c:v>因公出国（境）费用</c:v>
                </c:pt>
                <c:pt idx="1">
                  <c:v>公务接待费用</c:v>
                </c:pt>
                <c:pt idx="2">
                  <c:v>公务用车购置及运行维护费</c:v>
                </c:pt>
              </c:strCache>
            </c:strRef>
          </c:cat>
          <c:val>
            <c:numRef>
              <c:f>[图表.xls]Sheet1!$D$136:$D$138</c:f>
              <c:numCache>
                <c:formatCode>General</c:formatCode>
                <c:ptCount val="3"/>
                <c:pt idx="0">
                  <c:v>0</c:v>
                </c:pt>
                <c:pt idx="1">
                  <c:v>0</c:v>
                </c:pt>
                <c:pt idx="2">
                  <c:v>170.01</c:v>
                </c:pt>
              </c:numCache>
            </c:numRef>
          </c:val>
        </c:ser>
        <c:dLbls>
          <c:showLegendKey val="0"/>
          <c:showVal val="1"/>
          <c:showCatName val="0"/>
          <c:showSerName val="0"/>
          <c:showPercent val="0"/>
          <c:showBubbleSize val="0"/>
        </c:dLbls>
        <c:gapWidth val="219"/>
        <c:overlap val="-27"/>
        <c:axId val="725449935"/>
        <c:axId val="990592049"/>
      </c:barChart>
      <c:catAx>
        <c:axId val="725449935"/>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0592049"/>
        <c:crosses val="autoZero"/>
        <c:auto val="1"/>
        <c:lblAlgn val="ctr"/>
        <c:lblOffset val="100"/>
        <c:noMultiLvlLbl val="0"/>
      </c:catAx>
      <c:valAx>
        <c:axId val="99059204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544993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[图表.xls]Sheet1!$B$159</c:f>
              <c:strCache>
                <c:ptCount val="1"/>
                <c:pt idx="0">
                  <c:v>公务用车运行维护费支出情况</c:v>
                </c:pt>
              </c:strCache>
            </c:strRef>
          </c:tx>
          <c:spPr>
            <a:solidFill>
              <a:schemeClr val="accent1"/>
            </a:solidFill>
            <a:ln>
              <a:noFill/>
            </a:ln>
            <a:effectLst/>
          </c:spPr>
          <c:invertIfNegative val="0"/>
          <c:dPt>
            <c:idx val="0"/>
            <c:invertIfNegative val="0"/>
            <c:bubble3D val="0"/>
            <c:spPr>
              <a:solidFill>
                <a:schemeClr val="accent2">
                  <a:lumMod val="60000"/>
                  <a:lumOff val="40000"/>
                </a:schemeClr>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[图表.xls]Sheet1!$C$158:$D$158</c:f>
              <c:strCache>
                <c:ptCount val="2"/>
                <c:pt idx="0">
                  <c:v>2019年预算支出</c:v>
                </c:pt>
                <c:pt idx="1">
                  <c:v>2019年决算支出</c:v>
                </c:pt>
              </c:strCache>
            </c:strRef>
          </c:cat>
          <c:val>
            <c:numRef>
              <c:f>[图表.xls]Sheet1!$C$159:$D$159</c:f>
              <c:numCache>
                <c:formatCode>General</c:formatCode>
                <c:ptCount val="2"/>
                <c:pt idx="0">
                  <c:v>170.01</c:v>
                </c:pt>
                <c:pt idx="1">
                  <c:v>170.01</c:v>
                </c:pt>
              </c:numCache>
            </c:numRef>
          </c:val>
        </c:ser>
        <c:dLbls>
          <c:showLegendKey val="0"/>
          <c:showVal val="1"/>
          <c:showCatName val="0"/>
          <c:showSerName val="0"/>
          <c:showPercent val="0"/>
          <c:showBubbleSize val="0"/>
        </c:dLbls>
        <c:gapWidth val="219"/>
        <c:overlap val="-27"/>
        <c:axId val="795227357"/>
        <c:axId val="65984829"/>
      </c:barChart>
      <c:catAx>
        <c:axId val="795227357"/>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984829"/>
        <c:crosses val="autoZero"/>
        <c:auto val="1"/>
        <c:lblAlgn val="ctr"/>
        <c:lblOffset val="100"/>
        <c:noMultiLvlLbl val="0"/>
      </c:catAx>
      <c:valAx>
        <c:axId val="6598482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522735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培训费支出情况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[图表.xls]Sheet1!$B$175</c:f>
              <c:strCache>
                <c:ptCount val="1"/>
                <c:pt idx="0">
                  <c:v>培训费</c:v>
                </c:pt>
              </c:strCache>
            </c:strRef>
          </c:tx>
          <c:spPr>
            <a:solidFill>
              <a:schemeClr val="accent1"/>
            </a:solidFill>
            <a:ln>
              <a:noFill/>
            </a:ln>
            <a:effectLst/>
          </c:spPr>
          <c:invertIfNegative val="0"/>
          <c:dPt>
            <c:idx val="0"/>
            <c:invertIfNegative val="0"/>
            <c:bubble3D val="0"/>
            <c:spPr>
              <a:solidFill>
                <a:schemeClr val="accent2">
                  <a:lumMod val="60000"/>
                  <a:lumOff val="40000"/>
                </a:schemeClr>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[图表.xls]Sheet1!$C$174:$D$174</c:f>
              <c:strCache>
                <c:ptCount val="2"/>
                <c:pt idx="0">
                  <c:v>2019年预算支出</c:v>
                </c:pt>
                <c:pt idx="1">
                  <c:v>2019年决算支出</c:v>
                </c:pt>
              </c:strCache>
            </c:strRef>
          </c:cat>
          <c:val>
            <c:numRef>
              <c:f>[图表.xls]Sheet1!$C$175:$D$175</c:f>
              <c:numCache>
                <c:formatCode>General</c:formatCode>
                <c:ptCount val="2"/>
                <c:pt idx="0">
                  <c:v>20.27</c:v>
                </c:pt>
                <c:pt idx="1">
                  <c:v>20.27</c:v>
                </c:pt>
              </c:numCache>
            </c:numRef>
          </c:val>
        </c:ser>
        <c:dLbls>
          <c:showLegendKey val="0"/>
          <c:showVal val="1"/>
          <c:showCatName val="0"/>
          <c:showSerName val="0"/>
          <c:showPercent val="0"/>
          <c:showBubbleSize val="0"/>
        </c:dLbls>
        <c:gapWidth val="219"/>
        <c:overlap val="-27"/>
        <c:axId val="643615673"/>
        <c:axId val="880907483"/>
      </c:barChart>
      <c:catAx>
        <c:axId val="643615673"/>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0907483"/>
        <c:crosses val="autoZero"/>
        <c:auto val="1"/>
        <c:lblAlgn val="ctr"/>
        <c:lblOffset val="100"/>
        <c:noMultiLvlLbl val="0"/>
      </c:catAx>
      <c:valAx>
        <c:axId val="88090748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361567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会议费支出情况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[图表.xls]Sheet1!$B$196</c:f>
              <c:strCache>
                <c:ptCount val="1"/>
                <c:pt idx="0">
                  <c:v>会议费</c:v>
                </c:pt>
              </c:strCache>
            </c:strRef>
          </c:tx>
          <c:spPr>
            <a:solidFill>
              <a:schemeClr val="accent1"/>
            </a:solidFill>
            <a:ln>
              <a:noFill/>
            </a:ln>
            <a:effectLst/>
          </c:spPr>
          <c:invertIfNegative val="0"/>
          <c:dPt>
            <c:idx val="0"/>
            <c:invertIfNegative val="0"/>
            <c:bubble3D val="0"/>
            <c:spPr>
              <a:solidFill>
                <a:schemeClr val="accent2">
                  <a:lumMod val="60000"/>
                  <a:lumOff val="40000"/>
                </a:schemeClr>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[图表.xls]Sheet1!$C$195:$D$195</c:f>
              <c:strCache>
                <c:ptCount val="2"/>
                <c:pt idx="0">
                  <c:v>2019年预算支出</c:v>
                </c:pt>
                <c:pt idx="1">
                  <c:v>2019年决算支出</c:v>
                </c:pt>
              </c:strCache>
            </c:strRef>
          </c:cat>
          <c:val>
            <c:numRef>
              <c:f>[图表.xls]Sheet1!$C$196:$D$196</c:f>
              <c:numCache>
                <c:formatCode>General</c:formatCode>
                <c:ptCount val="2"/>
                <c:pt idx="0">
                  <c:v>3</c:v>
                </c:pt>
                <c:pt idx="1">
                  <c:v>3</c:v>
                </c:pt>
              </c:numCache>
            </c:numRef>
          </c:val>
        </c:ser>
        <c:dLbls>
          <c:showLegendKey val="0"/>
          <c:showVal val="1"/>
          <c:showCatName val="0"/>
          <c:showSerName val="0"/>
          <c:showPercent val="0"/>
          <c:showBubbleSize val="0"/>
        </c:dLbls>
        <c:gapWidth val="219"/>
        <c:overlap val="-27"/>
        <c:axId val="556849381"/>
        <c:axId val="484166484"/>
      </c:barChart>
      <c:catAx>
        <c:axId val="556849381"/>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4166484"/>
        <c:crosses val="autoZero"/>
        <c:auto val="1"/>
        <c:lblAlgn val="ctr"/>
        <c:lblOffset val="100"/>
        <c:noMultiLvlLbl val="0"/>
      </c:catAx>
      <c:valAx>
        <c:axId val="4841664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684938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42</Pages>
  <Words>2350</Words>
  <Characters>13398</Characters>
  <Lines>111</Lines>
  <Paragraphs>31</Paragraphs>
  <TotalTime>28</TotalTime>
  <ScaleCrop>false</ScaleCrop>
  <LinksUpToDate>false</LinksUpToDate>
  <CharactersWithSpaces>15717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666</cp:lastModifiedBy>
  <cp:lastPrinted>2020-09-21T02:17:00Z</cp:lastPrinted>
  <dcterms:modified xsi:type="dcterms:W3CDTF">2024-08-20T00:09:59Z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