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C76590">
      <w:pPr>
        <w:adjustRightInd w:val="0"/>
        <w:snapToGrid w:val="0"/>
        <w:jc w:val="center"/>
        <w:rPr>
          <w:rFonts w:ascii="??_GB2312" w:eastAsia="Times New Roman"/>
          <w:b/>
          <w:bCs/>
          <w:sz w:val="44"/>
          <w:szCs w:val="44"/>
        </w:rPr>
      </w:pPr>
    </w:p>
    <w:p w14:paraId="07C6E9AB">
      <w:pPr>
        <w:adjustRightInd w:val="0"/>
        <w:snapToGrid w:val="0"/>
        <w:jc w:val="center"/>
        <w:rPr>
          <w:rFonts w:ascii="??_GB2312" w:eastAsia="Times New Roman"/>
          <w:b/>
          <w:bCs/>
          <w:sz w:val="44"/>
          <w:szCs w:val="44"/>
        </w:rPr>
      </w:pPr>
      <w:r>
        <w:rPr>
          <w:rFonts w:ascii="??_GB2312" w:eastAsia="Times New Roman"/>
          <w:b/>
          <w:bCs/>
          <w:sz w:val="44"/>
          <w:szCs w:val="44"/>
        </w:rPr>
        <w:t>蓝田县老干</w:t>
      </w:r>
      <w:r>
        <w:rPr>
          <w:rFonts w:hint="eastAsia" w:ascii="??_GB2312" w:cs="宋体"/>
          <w:b/>
          <w:bCs/>
          <w:sz w:val="44"/>
          <w:szCs w:val="44"/>
        </w:rPr>
        <w:t>部工作</w:t>
      </w:r>
      <w:r>
        <w:rPr>
          <w:rFonts w:ascii="??_GB2312" w:eastAsia="Times New Roman"/>
          <w:b/>
          <w:bCs/>
          <w:sz w:val="44"/>
          <w:szCs w:val="44"/>
        </w:rPr>
        <w:t>局</w:t>
      </w:r>
    </w:p>
    <w:p w14:paraId="124AF2D8">
      <w:pPr>
        <w:adjustRightInd w:val="0"/>
        <w:snapToGrid w:val="0"/>
        <w:jc w:val="center"/>
        <w:rPr>
          <w:rFonts w:ascii="??_GB2312" w:eastAsia="Times New Roman"/>
          <w:b/>
          <w:bCs/>
          <w:sz w:val="44"/>
          <w:szCs w:val="44"/>
        </w:rPr>
      </w:pPr>
      <w:r>
        <w:rPr>
          <w:rFonts w:ascii="??_GB2312" w:eastAsia="Times New Roman" w:cs="??_GB2312"/>
          <w:b/>
          <w:bCs/>
          <w:sz w:val="44"/>
          <w:szCs w:val="44"/>
        </w:rPr>
        <w:t>2019</w:t>
      </w:r>
      <w:r>
        <w:rPr>
          <w:rFonts w:ascii="??_GB2312" w:eastAsia="Times New Roman"/>
          <w:b/>
          <w:bCs/>
          <w:sz w:val="44"/>
          <w:szCs w:val="44"/>
        </w:rPr>
        <w:t>年部门综合预算说明</w:t>
      </w:r>
    </w:p>
    <w:p w14:paraId="5B9DBDCA">
      <w:pPr>
        <w:adjustRightInd w:val="0"/>
        <w:snapToGrid w:val="0"/>
        <w:jc w:val="center"/>
        <w:rPr>
          <w:rFonts w:ascii="??_GB2312" w:eastAsia="Times New Roman"/>
          <w:b/>
          <w:bCs/>
          <w:sz w:val="44"/>
          <w:szCs w:val="44"/>
        </w:rPr>
      </w:pPr>
    </w:p>
    <w:p w14:paraId="65EC2C38">
      <w:pPr>
        <w:adjustRightInd w:val="0"/>
        <w:snapToGrid w:val="0"/>
        <w:rPr>
          <w:rFonts w:ascii="??_GB2312" w:eastAsia="Times New Roman"/>
          <w:sz w:val="32"/>
          <w:szCs w:val="32"/>
        </w:rPr>
      </w:pPr>
    </w:p>
    <w:p w14:paraId="4CA76CD0">
      <w:pPr>
        <w:spacing w:line="240" w:lineRule="atLeast"/>
        <w:ind w:firstLine="602" w:firstLineChars="200"/>
        <w:jc w:val="left"/>
        <w:rPr>
          <w:rFonts w:ascii="??_GB2312" w:hAnsi="??_GB2312" w:cs="??_GB2312"/>
          <w:b/>
          <w:bCs/>
          <w:sz w:val="30"/>
          <w:szCs w:val="30"/>
        </w:rPr>
      </w:pPr>
      <w:r>
        <w:rPr>
          <w:rFonts w:hint="eastAsia" w:ascii="宋体" w:hAnsi="宋体" w:cs="宋体"/>
          <w:b/>
          <w:bCs/>
          <w:sz w:val="30"/>
          <w:szCs w:val="30"/>
        </w:rPr>
        <w:t>一、部门主要职责及机构设置</w:t>
      </w:r>
    </w:p>
    <w:p w14:paraId="4BBB6BAA">
      <w:pPr>
        <w:spacing w:line="240" w:lineRule="atLeast"/>
        <w:ind w:firstLine="602" w:firstLineChars="200"/>
        <w:jc w:val="left"/>
        <w:rPr>
          <w:rFonts w:ascii="??_GB2312" w:hAnsi="??_GB2312" w:cs="??_GB2312"/>
          <w:sz w:val="30"/>
          <w:szCs w:val="30"/>
        </w:rPr>
      </w:pPr>
      <w:r>
        <w:rPr>
          <w:rFonts w:hint="eastAsia" w:ascii="宋体" w:hAnsi="宋体" w:cs="宋体"/>
          <w:b/>
          <w:bCs/>
          <w:sz w:val="30"/>
          <w:szCs w:val="30"/>
        </w:rPr>
        <w:t>（一）老干部工作局的主要职责：</w:t>
      </w:r>
    </w:p>
    <w:p w14:paraId="7B4A3E38">
      <w:pPr>
        <w:spacing w:line="240" w:lineRule="atLeast"/>
        <w:ind w:firstLine="600" w:firstLineChars="200"/>
        <w:jc w:val="left"/>
        <w:rPr>
          <w:rFonts w:ascii="??_GB2312" w:hAnsi="??_GB2312" w:cs="??_GB2312"/>
          <w:sz w:val="30"/>
          <w:szCs w:val="30"/>
        </w:rPr>
      </w:pPr>
      <w:r>
        <w:rPr>
          <w:rFonts w:ascii="??_GB2312" w:hAnsi="??_GB2312" w:cs="??_GB2312"/>
          <w:sz w:val="30"/>
          <w:szCs w:val="30"/>
        </w:rPr>
        <w:t>1.</w:t>
      </w:r>
      <w:r>
        <w:rPr>
          <w:rFonts w:hint="eastAsia" w:ascii="宋体" w:hAnsi="宋体" w:cs="宋体"/>
          <w:sz w:val="30"/>
          <w:szCs w:val="30"/>
        </w:rPr>
        <w:t>贯彻执行党中央、国务院、省委、省政府、市委、市政府和县委、县政府关于老干部工作的方针、政策及各项规定，结合我县实际，制定全县老干部工作总体规划和年度工作计划并组织实施。</w:t>
      </w:r>
    </w:p>
    <w:p w14:paraId="20D5E1F7">
      <w:pPr>
        <w:spacing w:line="240" w:lineRule="atLeast"/>
        <w:ind w:firstLine="600" w:firstLineChars="200"/>
        <w:jc w:val="left"/>
        <w:rPr>
          <w:rFonts w:ascii="??_GB2312" w:hAnsi="??_GB2312" w:cs="??_GB2312"/>
          <w:sz w:val="30"/>
          <w:szCs w:val="30"/>
        </w:rPr>
      </w:pPr>
      <w:r>
        <w:rPr>
          <w:rFonts w:ascii="??_GB2312" w:hAnsi="??_GB2312" w:cs="??_GB2312"/>
          <w:sz w:val="30"/>
          <w:szCs w:val="30"/>
        </w:rPr>
        <w:t>2</w:t>
      </w:r>
      <w:r>
        <w:rPr>
          <w:rFonts w:hint="eastAsia" w:ascii="宋体" w:hAnsi="宋体" w:cs="宋体"/>
          <w:sz w:val="30"/>
          <w:szCs w:val="30"/>
        </w:rPr>
        <w:t>、负责全县老干部工作的调查研究，对老干部工作出现的新情况、新问题及时提出相应的措施，为县委县政府决策提供依据。</w:t>
      </w:r>
    </w:p>
    <w:p w14:paraId="16549E52">
      <w:pPr>
        <w:spacing w:line="240" w:lineRule="atLeast"/>
        <w:ind w:firstLine="600" w:firstLineChars="200"/>
        <w:jc w:val="left"/>
        <w:rPr>
          <w:rFonts w:ascii="??_GB2312" w:hAnsi="??_GB2312" w:cs="??_GB2312"/>
          <w:sz w:val="30"/>
          <w:szCs w:val="30"/>
        </w:rPr>
      </w:pPr>
      <w:r>
        <w:rPr>
          <w:rFonts w:ascii="??_GB2312" w:hAnsi="??_GB2312" w:cs="??_GB2312"/>
          <w:sz w:val="30"/>
          <w:szCs w:val="30"/>
        </w:rPr>
        <w:t>3</w:t>
      </w:r>
      <w:r>
        <w:rPr>
          <w:rFonts w:hint="eastAsia" w:ascii="宋体" w:hAnsi="宋体" w:cs="宋体"/>
          <w:sz w:val="30"/>
          <w:szCs w:val="30"/>
        </w:rPr>
        <w:t>、负责全县老干部工作的综合指导和协调工作，督促检查全县离休干部的政治待遇和生活待遇的落实。健全和完善离休干部离休费、医疗费保障机制</w:t>
      </w:r>
      <w:r>
        <w:rPr>
          <w:rFonts w:ascii="??_GB2312" w:hAnsi="??_GB2312" w:cs="??_GB2312"/>
          <w:sz w:val="30"/>
          <w:szCs w:val="30"/>
        </w:rPr>
        <w:t>;</w:t>
      </w:r>
      <w:r>
        <w:rPr>
          <w:rFonts w:hint="eastAsia" w:ascii="宋体" w:hAnsi="宋体" w:cs="宋体"/>
          <w:sz w:val="30"/>
          <w:szCs w:val="30"/>
        </w:rPr>
        <w:t>了解和掌握全县贯彻执行老干部工作方针、政策的情况。</w:t>
      </w:r>
    </w:p>
    <w:p w14:paraId="59FFEA26">
      <w:pPr>
        <w:spacing w:line="240" w:lineRule="atLeast"/>
        <w:ind w:firstLine="600" w:firstLineChars="200"/>
        <w:jc w:val="left"/>
        <w:rPr>
          <w:rFonts w:ascii="??_GB2312" w:hAnsi="??_GB2312" w:cs="??_GB2312"/>
          <w:sz w:val="30"/>
          <w:szCs w:val="30"/>
        </w:rPr>
      </w:pPr>
      <w:r>
        <w:rPr>
          <w:rFonts w:ascii="??_GB2312" w:hAnsi="??_GB2312" w:cs="??_GB2312"/>
          <w:sz w:val="30"/>
          <w:szCs w:val="30"/>
        </w:rPr>
        <w:t>4</w:t>
      </w:r>
      <w:r>
        <w:rPr>
          <w:rFonts w:hint="eastAsia" w:ascii="宋体" w:hAnsi="宋体" w:cs="宋体"/>
          <w:sz w:val="30"/>
          <w:szCs w:val="30"/>
        </w:rPr>
        <w:t>、负责加强离退休干部党工委自身建设、基层离退休干部党支部建设和离退休干部思想政治建设。协调组织指导老干部政治学习、阅读文件、听重要报告、参加有关会议和重要政治活动、开展健康有益的文体活动。做好老干部重大活动的组织安排。</w:t>
      </w:r>
    </w:p>
    <w:p w14:paraId="42FC3849">
      <w:pPr>
        <w:spacing w:line="240" w:lineRule="atLeast"/>
        <w:ind w:firstLine="600" w:firstLineChars="200"/>
        <w:jc w:val="left"/>
        <w:rPr>
          <w:rFonts w:ascii="??_GB2312" w:hAnsi="??_GB2312" w:cs="??_GB2312"/>
          <w:sz w:val="30"/>
          <w:szCs w:val="30"/>
        </w:rPr>
      </w:pPr>
      <w:r>
        <w:rPr>
          <w:rFonts w:ascii="??_GB2312" w:hAnsi="??_GB2312" w:cs="??_GB2312"/>
          <w:sz w:val="30"/>
          <w:szCs w:val="30"/>
        </w:rPr>
        <w:t>5</w:t>
      </w:r>
      <w:r>
        <w:rPr>
          <w:rFonts w:hint="eastAsia" w:ascii="宋体" w:hAnsi="宋体" w:cs="宋体"/>
          <w:sz w:val="30"/>
          <w:szCs w:val="30"/>
        </w:rPr>
        <w:t>、负责指导蓝田县老年大学、镇（街）村办老年学校工作，搞好日常活动安排和学习教育管理工作。</w:t>
      </w:r>
    </w:p>
    <w:p w14:paraId="18BDF0B4">
      <w:pPr>
        <w:spacing w:line="240" w:lineRule="atLeast"/>
        <w:ind w:firstLine="600" w:firstLineChars="200"/>
        <w:jc w:val="left"/>
        <w:rPr>
          <w:rFonts w:ascii="??_GB2312" w:hAnsi="??_GB2312" w:cs="??_GB2312"/>
          <w:sz w:val="30"/>
          <w:szCs w:val="30"/>
        </w:rPr>
      </w:pPr>
      <w:r>
        <w:rPr>
          <w:rFonts w:ascii="??_GB2312" w:hAnsi="??_GB2312" w:cs="??_GB2312"/>
          <w:sz w:val="30"/>
          <w:szCs w:val="30"/>
        </w:rPr>
        <w:t>6</w:t>
      </w:r>
      <w:r>
        <w:rPr>
          <w:rFonts w:hint="eastAsia" w:ascii="宋体" w:hAnsi="宋体" w:cs="宋体"/>
          <w:sz w:val="30"/>
          <w:szCs w:val="30"/>
        </w:rPr>
        <w:t>、负责指导蓝田县关心下一代工作委员会的工作安排、计划、组织、协调、落实等工作；督查指导镇（街）村关心下一代工作委员会的工作。</w:t>
      </w:r>
    </w:p>
    <w:p w14:paraId="5A41C46F">
      <w:pPr>
        <w:spacing w:line="240" w:lineRule="atLeast"/>
        <w:ind w:firstLine="600" w:firstLineChars="200"/>
        <w:jc w:val="left"/>
        <w:rPr>
          <w:rFonts w:ascii="??_GB2312" w:hAnsi="??_GB2312" w:cs="??_GB2312"/>
          <w:sz w:val="30"/>
          <w:szCs w:val="30"/>
        </w:rPr>
      </w:pPr>
      <w:r>
        <w:rPr>
          <w:rFonts w:ascii="??_GB2312" w:hAnsi="??_GB2312" w:cs="??_GB2312"/>
          <w:sz w:val="30"/>
          <w:szCs w:val="30"/>
        </w:rPr>
        <w:t>7</w:t>
      </w:r>
      <w:r>
        <w:rPr>
          <w:rFonts w:hint="eastAsia" w:ascii="宋体" w:hAnsi="宋体" w:cs="宋体"/>
          <w:sz w:val="30"/>
          <w:szCs w:val="30"/>
        </w:rPr>
        <w:t>、负责组织指导老干部健康休养，做好全县离休干部的药费报销和健康查体工作；加强督促核查力度，管好用好离休干部医疗资金。</w:t>
      </w:r>
    </w:p>
    <w:p w14:paraId="53D9971C">
      <w:pPr>
        <w:spacing w:line="240" w:lineRule="atLeast"/>
        <w:ind w:firstLine="600" w:firstLineChars="200"/>
        <w:jc w:val="left"/>
        <w:rPr>
          <w:rFonts w:ascii="??_GB2312" w:hAnsi="??_GB2312" w:cs="??_GB2312"/>
          <w:sz w:val="30"/>
          <w:szCs w:val="30"/>
        </w:rPr>
      </w:pPr>
      <w:r>
        <w:rPr>
          <w:rFonts w:ascii="??_GB2312" w:hAnsi="??_GB2312" w:cs="??_GB2312"/>
          <w:sz w:val="30"/>
          <w:szCs w:val="30"/>
        </w:rPr>
        <w:t>8</w:t>
      </w:r>
      <w:r>
        <w:rPr>
          <w:rFonts w:hint="eastAsia" w:ascii="宋体" w:hAnsi="宋体" w:cs="宋体"/>
          <w:sz w:val="30"/>
          <w:szCs w:val="30"/>
        </w:rPr>
        <w:t>、负责组织引导老干部和涉老部门积极参与社会经济建设，充分发挥老干部的参政议政作用，为党和人民的事业增添正能量。总结推广老干部发挥作用的先进事迹和经验；协助解决老干部发挥作用中出现的问题。</w:t>
      </w:r>
    </w:p>
    <w:p w14:paraId="115A49BE">
      <w:pPr>
        <w:spacing w:line="240" w:lineRule="atLeast"/>
        <w:ind w:firstLine="600" w:firstLineChars="200"/>
        <w:jc w:val="left"/>
        <w:rPr>
          <w:rFonts w:ascii="??_GB2312" w:hAnsi="??_GB2312" w:cs="??_GB2312"/>
          <w:sz w:val="30"/>
          <w:szCs w:val="30"/>
        </w:rPr>
      </w:pPr>
      <w:r>
        <w:rPr>
          <w:rFonts w:ascii="??_GB2312" w:hAnsi="??_GB2312" w:cs="??_GB2312"/>
          <w:sz w:val="30"/>
          <w:szCs w:val="30"/>
        </w:rPr>
        <w:t>9</w:t>
      </w:r>
      <w:r>
        <w:rPr>
          <w:rFonts w:hint="eastAsia" w:ascii="宋体" w:hAnsi="宋体" w:cs="宋体"/>
          <w:sz w:val="30"/>
          <w:szCs w:val="30"/>
        </w:rPr>
        <w:t>、负责全县离休干部的来信来访和突出问题的呈报与调查处理工作以及去世离休干部丧事的协调处理工作。</w:t>
      </w:r>
    </w:p>
    <w:p w14:paraId="43D65290">
      <w:pPr>
        <w:spacing w:line="240" w:lineRule="atLeast"/>
        <w:ind w:firstLine="600" w:firstLineChars="200"/>
        <w:jc w:val="left"/>
        <w:rPr>
          <w:rFonts w:ascii="??_GB2312" w:hAnsi="??_GB2312" w:cs="??_GB2312"/>
          <w:sz w:val="30"/>
          <w:szCs w:val="30"/>
        </w:rPr>
      </w:pPr>
      <w:r>
        <w:rPr>
          <w:rFonts w:ascii="??_GB2312" w:hAnsi="??_GB2312" w:cs="??_GB2312"/>
          <w:sz w:val="30"/>
          <w:szCs w:val="30"/>
        </w:rPr>
        <w:t>10</w:t>
      </w:r>
      <w:r>
        <w:rPr>
          <w:rFonts w:hint="eastAsia" w:ascii="宋体" w:hAnsi="宋体" w:cs="宋体"/>
          <w:sz w:val="30"/>
          <w:szCs w:val="30"/>
        </w:rPr>
        <w:t>、负责协调各新闻宣传部门，采取多种形式宣传老干部工作的方针政策，宣传老干部的历史功绩和现实作用，宣传老干部工作的经验。</w:t>
      </w:r>
    </w:p>
    <w:p w14:paraId="6531B9DE">
      <w:pPr>
        <w:spacing w:line="240" w:lineRule="atLeast"/>
        <w:ind w:firstLine="600" w:firstLineChars="200"/>
        <w:jc w:val="left"/>
        <w:rPr>
          <w:rFonts w:ascii="??_GB2312" w:hAnsi="??_GB2312" w:cs="??_GB2312"/>
          <w:sz w:val="30"/>
          <w:szCs w:val="30"/>
        </w:rPr>
      </w:pPr>
      <w:r>
        <w:rPr>
          <w:rFonts w:ascii="??_GB2312" w:hAnsi="??_GB2312" w:cs="??_GB2312"/>
          <w:sz w:val="30"/>
          <w:szCs w:val="30"/>
        </w:rPr>
        <w:t>11</w:t>
      </w:r>
      <w:r>
        <w:rPr>
          <w:rFonts w:hint="eastAsia" w:ascii="宋体" w:hAnsi="宋体" w:cs="宋体"/>
          <w:sz w:val="30"/>
          <w:szCs w:val="30"/>
        </w:rPr>
        <w:t>、负责收集、整理、保管老干部工作有关资料档案，开展老干部工作调研和年报统计以及信息交流上报。做好离休干部按规定提高待遇呈报工作，审核办理离休干部的有关证件。</w:t>
      </w:r>
    </w:p>
    <w:p w14:paraId="530D1626">
      <w:pPr>
        <w:spacing w:line="240" w:lineRule="atLeast"/>
        <w:ind w:firstLine="600" w:firstLineChars="200"/>
        <w:jc w:val="left"/>
        <w:rPr>
          <w:rFonts w:ascii="??_GB2312" w:hAnsi="??_GB2312" w:cs="??_GB2312"/>
          <w:sz w:val="30"/>
          <w:szCs w:val="30"/>
        </w:rPr>
      </w:pPr>
      <w:r>
        <w:rPr>
          <w:rFonts w:ascii="??_GB2312" w:hAnsi="??_GB2312" w:cs="??_GB2312"/>
          <w:sz w:val="30"/>
          <w:szCs w:val="30"/>
        </w:rPr>
        <w:t>12</w:t>
      </w:r>
      <w:r>
        <w:rPr>
          <w:rFonts w:hint="eastAsia" w:ascii="宋体" w:hAnsi="宋体" w:cs="宋体"/>
          <w:sz w:val="30"/>
          <w:szCs w:val="30"/>
        </w:rPr>
        <w:t>、负责协调、督促易地安置离休干部各项待遇的落实与正常的管理服务工作；做好外地离休干部和老干部工作部门来蓝田学习考察的接待工作。</w:t>
      </w:r>
    </w:p>
    <w:p w14:paraId="5945E05E">
      <w:pPr>
        <w:spacing w:line="240" w:lineRule="atLeast"/>
        <w:ind w:firstLine="600" w:firstLineChars="200"/>
        <w:jc w:val="left"/>
        <w:rPr>
          <w:rFonts w:ascii="??_GB2312" w:hAnsi="??_GB2312" w:cs="??_GB2312"/>
          <w:sz w:val="30"/>
          <w:szCs w:val="30"/>
        </w:rPr>
      </w:pPr>
      <w:r>
        <w:rPr>
          <w:rFonts w:ascii="??_GB2312" w:hAnsi="??_GB2312" w:cs="??_GB2312"/>
          <w:sz w:val="30"/>
          <w:szCs w:val="30"/>
        </w:rPr>
        <w:t>13</w:t>
      </w:r>
      <w:r>
        <w:rPr>
          <w:rFonts w:hint="eastAsia" w:ascii="宋体" w:hAnsi="宋体" w:cs="宋体"/>
          <w:sz w:val="30"/>
          <w:szCs w:val="30"/>
        </w:rPr>
        <w:t>、抓好老干部工作部门的自身建设，承办县委、县政府和上级业务部门交办的其它工作。</w:t>
      </w:r>
    </w:p>
    <w:p w14:paraId="5D25A9A8">
      <w:pPr>
        <w:spacing w:line="240" w:lineRule="atLeast"/>
        <w:ind w:firstLine="602" w:firstLineChars="200"/>
        <w:jc w:val="left"/>
        <w:rPr>
          <w:rFonts w:ascii="??_GB2312" w:hAnsi="??_GB2312" w:cs="??_GB2312"/>
          <w:b/>
          <w:bCs/>
          <w:sz w:val="30"/>
          <w:szCs w:val="30"/>
        </w:rPr>
      </w:pPr>
      <w:r>
        <w:rPr>
          <w:rFonts w:hint="eastAsia" w:ascii="宋体" w:hAnsi="宋体" w:cs="宋体"/>
          <w:b/>
          <w:bCs/>
          <w:sz w:val="30"/>
          <w:szCs w:val="30"/>
        </w:rPr>
        <w:t>（二）按照</w:t>
      </w:r>
      <w:r>
        <w:rPr>
          <w:rFonts w:ascii="??_GB2312" w:hAnsi="??_GB2312" w:cs="??_GB2312"/>
          <w:b/>
          <w:bCs/>
          <w:sz w:val="30"/>
          <w:szCs w:val="30"/>
        </w:rPr>
        <w:t>“</w:t>
      </w:r>
      <w:r>
        <w:rPr>
          <w:rFonts w:hint="eastAsia" w:ascii="宋体" w:hAnsi="宋体" w:cs="宋体"/>
          <w:b/>
          <w:bCs/>
          <w:sz w:val="30"/>
          <w:szCs w:val="30"/>
        </w:rPr>
        <w:t>三定方案</w:t>
      </w:r>
      <w:r>
        <w:rPr>
          <w:rFonts w:ascii="??_GB2312" w:hAnsi="??_GB2312" w:cs="??_GB2312"/>
          <w:b/>
          <w:bCs/>
          <w:sz w:val="30"/>
          <w:szCs w:val="30"/>
        </w:rPr>
        <w:t>”</w:t>
      </w:r>
      <w:r>
        <w:rPr>
          <w:rFonts w:hint="eastAsia" w:ascii="宋体" w:hAnsi="宋体" w:cs="宋体"/>
          <w:b/>
          <w:bCs/>
          <w:sz w:val="30"/>
          <w:szCs w:val="30"/>
        </w:rPr>
        <w:t>规定：老干部工作局内部不设内设机构。</w:t>
      </w:r>
    </w:p>
    <w:p w14:paraId="480A328E">
      <w:pPr>
        <w:spacing w:line="240" w:lineRule="atLeast"/>
        <w:ind w:firstLine="602" w:firstLineChars="200"/>
        <w:jc w:val="left"/>
        <w:rPr>
          <w:rFonts w:ascii="??_GB2312" w:hAnsi="??_GB2312" w:cs="??_GB2312"/>
          <w:b/>
          <w:bCs/>
          <w:sz w:val="30"/>
          <w:szCs w:val="30"/>
        </w:rPr>
      </w:pPr>
      <w:r>
        <w:rPr>
          <w:rFonts w:hint="eastAsia" w:ascii="宋体" w:hAnsi="宋体" w:cs="宋体"/>
          <w:b/>
          <w:bCs/>
          <w:sz w:val="30"/>
          <w:szCs w:val="30"/>
        </w:rPr>
        <w:t>二、</w:t>
      </w:r>
      <w:r>
        <w:rPr>
          <w:rFonts w:ascii="??_GB2312" w:hAnsi="??_GB2312" w:cs="??_GB2312"/>
          <w:b/>
          <w:bCs/>
          <w:sz w:val="30"/>
          <w:szCs w:val="30"/>
        </w:rPr>
        <w:t>2019</w:t>
      </w:r>
      <w:r>
        <w:rPr>
          <w:rFonts w:hint="eastAsia" w:ascii="宋体" w:hAnsi="宋体" w:cs="宋体"/>
          <w:b/>
          <w:bCs/>
          <w:sz w:val="30"/>
          <w:szCs w:val="30"/>
        </w:rPr>
        <w:t>年年度部门工作任务</w:t>
      </w:r>
    </w:p>
    <w:p w14:paraId="7BE516F2">
      <w:pPr>
        <w:spacing w:line="240" w:lineRule="atLeast"/>
        <w:ind w:firstLine="602" w:firstLineChars="200"/>
        <w:jc w:val="left"/>
        <w:rPr>
          <w:rFonts w:ascii="??_GB2312" w:hAnsi="??_GB2312" w:cs="??_GB2312"/>
          <w:sz w:val="30"/>
          <w:szCs w:val="30"/>
        </w:rPr>
      </w:pPr>
      <w:r>
        <w:rPr>
          <w:rFonts w:ascii="??_GB2312" w:hAnsi="??_GB2312" w:cs="??_GB2312"/>
          <w:b/>
          <w:bCs/>
          <w:sz w:val="30"/>
          <w:szCs w:val="30"/>
        </w:rPr>
        <w:t>2019</w:t>
      </w:r>
      <w:r>
        <w:rPr>
          <w:rFonts w:hint="eastAsia" w:ascii="宋体" w:hAnsi="宋体" w:cs="宋体"/>
          <w:b/>
          <w:bCs/>
          <w:sz w:val="30"/>
          <w:szCs w:val="30"/>
        </w:rPr>
        <w:t>年，老干部工作局的主要任务是：</w:t>
      </w:r>
      <w:r>
        <w:rPr>
          <w:rFonts w:hint="eastAsia" w:ascii="宋体" w:hAnsi="宋体" w:cs="宋体"/>
          <w:sz w:val="30"/>
          <w:szCs w:val="30"/>
        </w:rPr>
        <w:t>继续抓好中办发〔</w:t>
      </w:r>
      <w:r>
        <w:rPr>
          <w:rFonts w:ascii="??_GB2312" w:hAnsi="??_GB2312" w:cs="??_GB2312"/>
          <w:sz w:val="30"/>
          <w:szCs w:val="30"/>
        </w:rPr>
        <w:t>2016</w:t>
      </w:r>
      <w:r>
        <w:rPr>
          <w:rFonts w:hint="eastAsia" w:ascii="宋体" w:hAnsi="宋体" w:cs="宋体"/>
          <w:sz w:val="30"/>
          <w:szCs w:val="30"/>
        </w:rPr>
        <w:t>〕</w:t>
      </w:r>
      <w:r>
        <w:rPr>
          <w:rFonts w:ascii="??_GB2312" w:hAnsi="??_GB2312" w:cs="??_GB2312"/>
          <w:sz w:val="30"/>
          <w:szCs w:val="30"/>
        </w:rPr>
        <w:t>3</w:t>
      </w:r>
      <w:r>
        <w:rPr>
          <w:rFonts w:hint="eastAsia" w:ascii="宋体" w:hAnsi="宋体" w:cs="宋体"/>
          <w:sz w:val="30"/>
          <w:szCs w:val="30"/>
        </w:rPr>
        <w:t>号、陕办发〔</w:t>
      </w:r>
      <w:r>
        <w:rPr>
          <w:rFonts w:eastAsia="Times New Roman"/>
          <w:sz w:val="30"/>
          <w:szCs w:val="30"/>
        </w:rPr>
        <w:t>2016</w:t>
      </w:r>
      <w:r>
        <w:rPr>
          <w:rFonts w:hint="eastAsia" w:ascii="宋体" w:hAnsi="宋体" w:cs="宋体"/>
          <w:sz w:val="30"/>
          <w:szCs w:val="30"/>
        </w:rPr>
        <w:t>〕</w:t>
      </w:r>
      <w:r>
        <w:rPr>
          <w:rFonts w:ascii="??_GB2312" w:hAnsi="??_GB2312" w:cs="??_GB2312"/>
          <w:sz w:val="30"/>
          <w:szCs w:val="30"/>
        </w:rPr>
        <w:t>43</w:t>
      </w:r>
      <w:r>
        <w:rPr>
          <w:rFonts w:hint="eastAsia" w:ascii="宋体" w:hAnsi="宋体" w:cs="宋体"/>
          <w:sz w:val="30"/>
          <w:szCs w:val="30"/>
        </w:rPr>
        <w:t>号、市办发</w:t>
      </w:r>
      <w:r>
        <w:rPr>
          <w:rFonts w:hint="eastAsia" w:ascii="??_GB2312" w:hAnsi="??_GB2312" w:cs="宋体"/>
          <w:sz w:val="30"/>
          <w:szCs w:val="30"/>
        </w:rPr>
        <w:t>〔</w:t>
      </w:r>
      <w:r>
        <w:rPr>
          <w:rFonts w:ascii="??_GB2312" w:hAnsi="??_GB2312" w:cs="??_GB2312"/>
          <w:sz w:val="30"/>
          <w:szCs w:val="30"/>
        </w:rPr>
        <w:t>2017</w:t>
      </w:r>
      <w:r>
        <w:rPr>
          <w:rFonts w:hint="eastAsia" w:ascii="??_GB2312" w:hAnsi="??_GB2312" w:cs="宋体"/>
          <w:sz w:val="30"/>
          <w:szCs w:val="30"/>
        </w:rPr>
        <w:t>〕</w:t>
      </w:r>
      <w:r>
        <w:rPr>
          <w:rFonts w:ascii="??_GB2312" w:hAnsi="??_GB2312" w:cs="??_GB2312"/>
          <w:sz w:val="30"/>
          <w:szCs w:val="30"/>
        </w:rPr>
        <w:t>4</w:t>
      </w:r>
      <w:r>
        <w:rPr>
          <w:rFonts w:hint="eastAsia" w:ascii="宋体" w:hAnsi="宋体" w:cs="宋体"/>
          <w:sz w:val="30"/>
          <w:szCs w:val="30"/>
        </w:rPr>
        <w:t>号以及市组通字</w:t>
      </w:r>
      <w:r>
        <w:rPr>
          <w:rFonts w:hint="eastAsia" w:ascii="??_GB2312" w:hAnsi="??_GB2312" w:cs="宋体"/>
          <w:sz w:val="30"/>
          <w:szCs w:val="30"/>
        </w:rPr>
        <w:t>〔</w:t>
      </w:r>
      <w:r>
        <w:rPr>
          <w:rFonts w:ascii="??_GB2312" w:hAnsi="??_GB2312" w:cs="??_GB2312"/>
          <w:sz w:val="30"/>
          <w:szCs w:val="30"/>
        </w:rPr>
        <w:t>2017</w:t>
      </w:r>
      <w:r>
        <w:rPr>
          <w:rFonts w:hint="eastAsia" w:ascii="??_GB2312" w:hAnsi="??_GB2312" w:cs="宋体"/>
          <w:sz w:val="30"/>
          <w:szCs w:val="30"/>
        </w:rPr>
        <w:t>〕</w:t>
      </w:r>
      <w:r>
        <w:rPr>
          <w:rFonts w:ascii="??_GB2312" w:hAnsi="??_GB2312" w:cs="??_GB2312"/>
          <w:sz w:val="30"/>
          <w:szCs w:val="30"/>
        </w:rPr>
        <w:t>73</w:t>
      </w:r>
      <w:r>
        <w:rPr>
          <w:rFonts w:hint="eastAsia" w:ascii="宋体" w:hAnsi="宋体" w:cs="宋体"/>
          <w:sz w:val="30"/>
          <w:szCs w:val="30"/>
        </w:rPr>
        <w:t>号等文件的贯彻落实，加强离退休干部党组织建设，全面落实老干部的政治待遇和生活待遇，做好老干部老有所养、老有所医、老有所为、老有所乐、老有所学工作。围绕上述任务，重点抓好以下工作</w:t>
      </w:r>
      <w:r>
        <w:rPr>
          <w:rFonts w:ascii="??_GB2312" w:hAnsi="??_GB2312" w:cs="??_GB2312"/>
          <w:sz w:val="30"/>
          <w:szCs w:val="30"/>
        </w:rPr>
        <w:t>:</w:t>
      </w:r>
    </w:p>
    <w:p w14:paraId="1721F858">
      <w:pPr>
        <w:spacing w:line="240" w:lineRule="atLeast"/>
        <w:ind w:firstLine="600" w:firstLineChars="200"/>
        <w:jc w:val="left"/>
        <w:rPr>
          <w:rFonts w:ascii="??_GB2312" w:hAnsi="??_GB2312" w:cs="??_GB2312"/>
          <w:sz w:val="30"/>
          <w:szCs w:val="30"/>
        </w:rPr>
      </w:pPr>
      <w:r>
        <w:rPr>
          <w:rFonts w:ascii="??_GB2312" w:hAnsi="??_GB2312" w:cs="??_GB2312"/>
          <w:sz w:val="30"/>
          <w:szCs w:val="30"/>
        </w:rPr>
        <w:t>1.</w:t>
      </w:r>
      <w:r>
        <w:rPr>
          <w:rFonts w:hint="eastAsia" w:ascii="宋体" w:hAnsi="宋体" w:cs="宋体"/>
          <w:sz w:val="30"/>
          <w:szCs w:val="30"/>
        </w:rPr>
        <w:t>贯彻落实党的老干部工作方针政策，督促检查全县老干部政治待遇和生活待遇的落实。</w:t>
      </w:r>
    </w:p>
    <w:p w14:paraId="63F9B8A2">
      <w:pPr>
        <w:spacing w:line="240" w:lineRule="atLeast"/>
        <w:ind w:firstLine="600" w:firstLineChars="200"/>
        <w:jc w:val="left"/>
        <w:rPr>
          <w:rFonts w:ascii="??_GB2312" w:hAnsi="??_GB2312" w:cs="??_GB2312"/>
          <w:sz w:val="30"/>
          <w:szCs w:val="30"/>
        </w:rPr>
      </w:pPr>
      <w:r>
        <w:rPr>
          <w:rFonts w:ascii="??_GB2312" w:hAnsi="??_GB2312" w:cs="??_GB2312"/>
          <w:sz w:val="30"/>
          <w:szCs w:val="30"/>
        </w:rPr>
        <w:t>2.</w:t>
      </w:r>
      <w:r>
        <w:rPr>
          <w:rFonts w:hint="eastAsia" w:ascii="宋体" w:hAnsi="宋体" w:cs="宋体"/>
          <w:sz w:val="30"/>
          <w:szCs w:val="30"/>
        </w:rPr>
        <w:t>落实全面从严治党要求，切实加强离退休干部思想政治建设和党组织建设。进一步加强离退休干部党工委自设建设、加强基层离退休干部党组织建设工作指导、加强离退休干部的思想引领，适时举办老干部工作人员和离退休干部党支部书记的业务培训班；做好《金秋》杂志、《陕西老年报》以及《陕西日报》等党报党刊的征订和分发工作。</w:t>
      </w:r>
    </w:p>
    <w:p w14:paraId="7964D583">
      <w:pPr>
        <w:spacing w:line="240" w:lineRule="atLeast"/>
        <w:ind w:firstLine="600" w:firstLineChars="200"/>
        <w:jc w:val="left"/>
        <w:rPr>
          <w:rFonts w:ascii="??_GB2312" w:hAnsi="??_GB2312" w:cs="??_GB2312"/>
          <w:sz w:val="30"/>
          <w:szCs w:val="30"/>
        </w:rPr>
      </w:pPr>
      <w:r>
        <w:rPr>
          <w:rFonts w:ascii="??_GB2312" w:hAnsi="??_GB2312" w:cs="??_GB2312"/>
          <w:sz w:val="30"/>
          <w:szCs w:val="30"/>
        </w:rPr>
        <w:t>3.</w:t>
      </w:r>
      <w:r>
        <w:rPr>
          <w:rFonts w:hint="eastAsia" w:ascii="宋体" w:hAnsi="宋体" w:cs="宋体"/>
          <w:sz w:val="30"/>
          <w:szCs w:val="30"/>
        </w:rPr>
        <w:t>做好</w:t>
      </w:r>
      <w:r>
        <w:rPr>
          <w:rFonts w:ascii="??_GB2312" w:hAnsi="??_GB2312" w:cs="??_GB2312"/>
          <w:sz w:val="30"/>
          <w:szCs w:val="30"/>
        </w:rPr>
        <w:t>“</w:t>
      </w:r>
      <w:r>
        <w:rPr>
          <w:rFonts w:hint="eastAsia" w:ascii="宋体" w:hAnsi="宋体" w:cs="宋体"/>
          <w:sz w:val="30"/>
          <w:szCs w:val="30"/>
        </w:rPr>
        <w:t>春节、七一、国庆节、老年节</w:t>
      </w:r>
      <w:r>
        <w:rPr>
          <w:rFonts w:ascii="??_GB2312" w:hAnsi="??_GB2312" w:cs="??_GB2312"/>
          <w:sz w:val="30"/>
          <w:szCs w:val="30"/>
        </w:rPr>
        <w:t>”</w:t>
      </w:r>
      <w:r>
        <w:rPr>
          <w:rFonts w:hint="eastAsia" w:ascii="宋体" w:hAnsi="宋体" w:cs="宋体"/>
          <w:sz w:val="30"/>
          <w:szCs w:val="30"/>
        </w:rPr>
        <w:t>等重大节日老干部的走访慰问工作，充分体现党和政府的关怀。</w:t>
      </w:r>
    </w:p>
    <w:p w14:paraId="2756FFDF">
      <w:pPr>
        <w:spacing w:line="240" w:lineRule="atLeast"/>
        <w:ind w:firstLine="600" w:firstLineChars="200"/>
        <w:jc w:val="left"/>
        <w:rPr>
          <w:rFonts w:ascii="??_GB2312" w:hAnsi="??_GB2312" w:cs="??_GB2312"/>
          <w:sz w:val="30"/>
          <w:szCs w:val="30"/>
        </w:rPr>
      </w:pPr>
      <w:r>
        <w:rPr>
          <w:rFonts w:ascii="??_GB2312" w:hAnsi="??_GB2312" w:cs="??_GB2312"/>
          <w:sz w:val="30"/>
          <w:szCs w:val="30"/>
        </w:rPr>
        <w:t>4.</w:t>
      </w:r>
      <w:r>
        <w:rPr>
          <w:rFonts w:hint="eastAsia" w:ascii="宋体" w:hAnsi="宋体" w:cs="宋体"/>
          <w:sz w:val="30"/>
          <w:szCs w:val="30"/>
        </w:rPr>
        <w:t>做好老干部住院看望和离休干部的丧葬以及遗属的安抚工作。并做好易地安置老干部管理服务工作。</w:t>
      </w:r>
    </w:p>
    <w:p w14:paraId="4318B932">
      <w:pPr>
        <w:spacing w:line="240" w:lineRule="atLeast"/>
        <w:ind w:firstLine="600" w:firstLineChars="200"/>
        <w:jc w:val="left"/>
        <w:rPr>
          <w:rFonts w:ascii="??_GB2312" w:hAnsi="??_GB2312" w:cs="??_GB2312"/>
          <w:sz w:val="30"/>
          <w:szCs w:val="30"/>
        </w:rPr>
      </w:pPr>
      <w:r>
        <w:rPr>
          <w:rFonts w:ascii="??_GB2312" w:hAnsi="??_GB2312" w:cs="??_GB2312"/>
          <w:sz w:val="30"/>
          <w:szCs w:val="30"/>
        </w:rPr>
        <w:t>5.</w:t>
      </w:r>
      <w:r>
        <w:rPr>
          <w:rFonts w:hint="eastAsia" w:ascii="宋体" w:hAnsi="宋体" w:cs="宋体"/>
          <w:sz w:val="30"/>
          <w:szCs w:val="30"/>
        </w:rPr>
        <w:t>协调资金，做好老干部的医药费按规定据实报销工作</w:t>
      </w:r>
      <w:r>
        <w:rPr>
          <w:rFonts w:ascii="??_GB2312" w:hAnsi="??_GB2312" w:cs="??_GB2312"/>
          <w:sz w:val="30"/>
          <w:szCs w:val="30"/>
        </w:rPr>
        <w:t>,</w:t>
      </w:r>
      <w:r>
        <w:rPr>
          <w:rFonts w:hint="eastAsia" w:ascii="宋体" w:hAnsi="宋体" w:cs="宋体"/>
          <w:sz w:val="30"/>
          <w:szCs w:val="30"/>
        </w:rPr>
        <w:t>为老同志安度晚年提供可靠保障。</w:t>
      </w:r>
    </w:p>
    <w:p w14:paraId="4CDB8AA2">
      <w:pPr>
        <w:spacing w:line="240" w:lineRule="atLeast"/>
        <w:ind w:firstLine="600" w:firstLineChars="200"/>
        <w:jc w:val="left"/>
        <w:rPr>
          <w:rFonts w:ascii="??_GB2312" w:hAnsi="??_GB2312" w:cs="??_GB2312"/>
          <w:sz w:val="30"/>
          <w:szCs w:val="30"/>
        </w:rPr>
      </w:pPr>
      <w:r>
        <w:rPr>
          <w:rFonts w:ascii="??_GB2312" w:hAnsi="??_GB2312" w:cs="??_GB2312"/>
          <w:sz w:val="30"/>
          <w:szCs w:val="30"/>
        </w:rPr>
        <w:t>6.</w:t>
      </w:r>
      <w:r>
        <w:rPr>
          <w:rFonts w:hint="eastAsia" w:ascii="宋体" w:hAnsi="宋体" w:cs="宋体"/>
          <w:sz w:val="30"/>
          <w:szCs w:val="30"/>
        </w:rPr>
        <w:t>突出</w:t>
      </w:r>
      <w:r>
        <w:rPr>
          <w:rFonts w:ascii="??_GB2312" w:hAnsi="??_GB2312" w:cs="??_GB2312"/>
          <w:sz w:val="30"/>
          <w:szCs w:val="30"/>
        </w:rPr>
        <w:t>“</w:t>
      </w:r>
      <w:r>
        <w:rPr>
          <w:rFonts w:hint="eastAsia" w:ascii="宋体" w:hAnsi="宋体" w:cs="宋体"/>
          <w:sz w:val="30"/>
          <w:szCs w:val="30"/>
        </w:rPr>
        <w:t>增添正能量</w:t>
      </w:r>
      <w:r>
        <w:rPr>
          <w:rFonts w:ascii="??_GB2312" w:hAnsi="??_GB2312" w:cs="??_GB2312"/>
          <w:sz w:val="30"/>
          <w:szCs w:val="30"/>
        </w:rPr>
        <w:t>”</w:t>
      </w:r>
      <w:r>
        <w:rPr>
          <w:rFonts w:hint="eastAsia" w:ascii="宋体" w:hAnsi="宋体" w:cs="宋体"/>
          <w:sz w:val="30"/>
          <w:szCs w:val="30"/>
        </w:rPr>
        <w:t>，组织引导离退休干部老有所为。鼓励老干部在自觉自愿、量力而行的前提下，参加老年社团组织，在服务改革、服务发展、服务民生、服务群众、服务党员等方面传承发挥正能量作用。适时组织老干部考察县域重点项目建设，为蓝田社会经济发展建言献策。</w:t>
      </w:r>
    </w:p>
    <w:p w14:paraId="0B4AC73D">
      <w:pPr>
        <w:spacing w:line="240" w:lineRule="atLeast"/>
        <w:ind w:firstLine="600" w:firstLineChars="200"/>
        <w:jc w:val="left"/>
        <w:rPr>
          <w:rFonts w:ascii="??_GB2312" w:hAnsi="??_GB2312" w:cs="??_GB2312"/>
          <w:sz w:val="30"/>
          <w:szCs w:val="30"/>
        </w:rPr>
      </w:pPr>
      <w:r>
        <w:rPr>
          <w:rFonts w:ascii="??_GB2312" w:hAnsi="??_GB2312" w:cs="??_GB2312"/>
          <w:sz w:val="30"/>
          <w:szCs w:val="30"/>
        </w:rPr>
        <w:t>7.</w:t>
      </w:r>
      <w:r>
        <w:rPr>
          <w:rFonts w:hint="eastAsia" w:ascii="宋体" w:hAnsi="宋体" w:cs="宋体"/>
          <w:sz w:val="30"/>
          <w:szCs w:val="30"/>
        </w:rPr>
        <w:t>加强老年大学建设工作，指导办好基层老年学校，搞好日常活动安排和学习教育工作。对老干部进行思想政治、保健、音乐、书法等教育，组织开展健康有益的文娱活动。</w:t>
      </w:r>
    </w:p>
    <w:p w14:paraId="65E7CDA1">
      <w:pPr>
        <w:spacing w:line="240" w:lineRule="atLeast"/>
        <w:ind w:firstLine="600" w:firstLineChars="200"/>
        <w:jc w:val="left"/>
        <w:rPr>
          <w:rFonts w:ascii="??_GB2312" w:hAnsi="??_GB2312" w:cs="??_GB2312"/>
          <w:sz w:val="30"/>
          <w:szCs w:val="30"/>
        </w:rPr>
      </w:pPr>
      <w:r>
        <w:rPr>
          <w:rFonts w:ascii="??_GB2312" w:hAnsi="??_GB2312" w:cs="??_GB2312"/>
          <w:sz w:val="30"/>
          <w:szCs w:val="30"/>
        </w:rPr>
        <w:t>8.</w:t>
      </w:r>
      <w:r>
        <w:rPr>
          <w:rFonts w:hint="eastAsia" w:ascii="宋体" w:hAnsi="宋体" w:cs="宋体"/>
          <w:sz w:val="30"/>
          <w:szCs w:val="30"/>
        </w:rPr>
        <w:t>加强关心下一代工作委员会工作，督查指导村镇街关心下一代教育工作。吸收</w:t>
      </w:r>
      <w:r>
        <w:rPr>
          <w:rFonts w:ascii="??_GB2312" w:hAnsi="??_GB2312" w:cs="??_GB2312"/>
          <w:sz w:val="30"/>
          <w:szCs w:val="30"/>
        </w:rPr>
        <w:t>“</w:t>
      </w:r>
      <w:r>
        <w:rPr>
          <w:rFonts w:hint="eastAsia" w:ascii="宋体" w:hAnsi="宋体" w:cs="宋体"/>
          <w:sz w:val="30"/>
          <w:szCs w:val="30"/>
        </w:rPr>
        <w:t>五老</w:t>
      </w:r>
      <w:r>
        <w:rPr>
          <w:rFonts w:ascii="??_GB2312" w:hAnsi="??_GB2312" w:cs="??_GB2312"/>
          <w:sz w:val="30"/>
          <w:szCs w:val="30"/>
        </w:rPr>
        <w:t xml:space="preserve">” </w:t>
      </w:r>
      <w:r>
        <w:rPr>
          <w:rFonts w:hint="eastAsia" w:ascii="宋体" w:hAnsi="宋体" w:cs="宋体"/>
          <w:sz w:val="30"/>
          <w:szCs w:val="30"/>
        </w:rPr>
        <w:t>成员，围绕</w:t>
      </w:r>
      <w:r>
        <w:rPr>
          <w:rFonts w:ascii="??_GB2312" w:hAnsi="??_GB2312" w:cs="??_GB2312"/>
          <w:sz w:val="30"/>
          <w:szCs w:val="30"/>
        </w:rPr>
        <w:t>“</w:t>
      </w:r>
      <w:r>
        <w:rPr>
          <w:rFonts w:hint="eastAsia" w:ascii="宋体" w:hAnsi="宋体" w:cs="宋体"/>
          <w:sz w:val="30"/>
          <w:szCs w:val="30"/>
        </w:rPr>
        <w:t>四项教育</w:t>
      </w:r>
      <w:r>
        <w:rPr>
          <w:rFonts w:ascii="??_GB2312" w:hAnsi="??_GB2312" w:cs="??_GB2312"/>
          <w:sz w:val="30"/>
          <w:szCs w:val="30"/>
        </w:rPr>
        <w:t>”</w:t>
      </w:r>
      <w:r>
        <w:rPr>
          <w:rFonts w:hint="eastAsia" w:ascii="宋体" w:hAnsi="宋体" w:cs="宋体"/>
          <w:sz w:val="30"/>
          <w:szCs w:val="30"/>
        </w:rPr>
        <w:t>，组建报告团，深入全县巡回报告。</w:t>
      </w:r>
    </w:p>
    <w:p w14:paraId="518388FC">
      <w:pPr>
        <w:spacing w:line="240" w:lineRule="atLeast"/>
        <w:ind w:firstLine="600" w:firstLineChars="200"/>
        <w:jc w:val="left"/>
        <w:rPr>
          <w:rFonts w:ascii="??_GB2312" w:hAnsi="??_GB2312" w:cs="??_GB2312"/>
          <w:sz w:val="30"/>
          <w:szCs w:val="30"/>
        </w:rPr>
      </w:pPr>
      <w:r>
        <w:rPr>
          <w:rFonts w:ascii="??_GB2312" w:hAnsi="??_GB2312" w:cs="??_GB2312"/>
          <w:sz w:val="30"/>
          <w:szCs w:val="30"/>
        </w:rPr>
        <w:t>9.</w:t>
      </w:r>
      <w:r>
        <w:rPr>
          <w:rFonts w:hint="eastAsia" w:ascii="宋体" w:hAnsi="宋体" w:cs="宋体"/>
          <w:sz w:val="30"/>
          <w:szCs w:val="30"/>
        </w:rPr>
        <w:t>深入学习宣传贯彻党的十九大精神，用习近平新时代中国特色社会主义思想指导全县老干部工作上有新作为。抓好</w:t>
      </w:r>
      <w:r>
        <w:rPr>
          <w:rFonts w:ascii="??_GB2312" w:hAnsi="??_GB2312" w:cs="??_GB2312"/>
          <w:sz w:val="30"/>
          <w:szCs w:val="30"/>
        </w:rPr>
        <w:t xml:space="preserve">“ </w:t>
      </w:r>
      <w:r>
        <w:rPr>
          <w:rFonts w:hint="eastAsia" w:ascii="宋体" w:hAnsi="宋体" w:cs="宋体"/>
          <w:sz w:val="30"/>
          <w:szCs w:val="30"/>
        </w:rPr>
        <w:t>不忘初心</w:t>
      </w:r>
      <w:r>
        <w:rPr>
          <w:rFonts w:hint="eastAsia" w:ascii="宋体" w:hAnsi="宋体" w:cs="宋体"/>
          <w:sz w:val="30"/>
          <w:szCs w:val="30"/>
          <w:lang w:eastAsia="zh-CN"/>
        </w:rPr>
        <w:t>、</w:t>
      </w:r>
      <w:r>
        <w:rPr>
          <w:rFonts w:hint="eastAsia" w:ascii="宋体" w:hAnsi="宋体" w:cs="宋体"/>
          <w:sz w:val="30"/>
          <w:szCs w:val="30"/>
        </w:rPr>
        <w:t>牢记使命</w:t>
      </w:r>
      <w:r>
        <w:rPr>
          <w:rFonts w:ascii="??_GB2312" w:hAnsi="??_GB2312" w:cs="??_GB2312"/>
          <w:sz w:val="30"/>
          <w:szCs w:val="30"/>
        </w:rPr>
        <w:t>”</w:t>
      </w:r>
      <w:r>
        <w:rPr>
          <w:rFonts w:hint="eastAsia" w:ascii="宋体" w:hAnsi="宋体" w:cs="宋体"/>
          <w:sz w:val="30"/>
          <w:szCs w:val="30"/>
        </w:rPr>
        <w:t>主题教育</w:t>
      </w:r>
      <w:r>
        <w:rPr>
          <w:rFonts w:hint="eastAsia" w:ascii="宋体" w:hAnsi="宋体" w:cs="宋体"/>
          <w:sz w:val="30"/>
          <w:szCs w:val="30"/>
          <w:lang w:eastAsia="zh-CN"/>
        </w:rPr>
        <w:t>；</w:t>
      </w:r>
      <w:r>
        <w:rPr>
          <w:rFonts w:hint="eastAsia" w:ascii="宋体" w:hAnsi="宋体" w:cs="宋体"/>
          <w:sz w:val="30"/>
          <w:szCs w:val="30"/>
        </w:rPr>
        <w:t>抓好为老同志学习党的十九大以及十九届二中</w:t>
      </w:r>
      <w:r>
        <w:rPr>
          <w:rFonts w:hint="eastAsia" w:ascii="宋体" w:hAnsi="宋体" w:cs="宋体"/>
          <w:sz w:val="30"/>
          <w:szCs w:val="30"/>
          <w:lang w:eastAsia="zh-CN"/>
        </w:rPr>
        <w:t>、</w:t>
      </w:r>
      <w:bookmarkStart w:id="0" w:name="_GoBack"/>
      <w:bookmarkEnd w:id="0"/>
      <w:r>
        <w:rPr>
          <w:rFonts w:hint="eastAsia" w:ascii="宋体" w:hAnsi="宋体" w:cs="宋体"/>
          <w:sz w:val="30"/>
          <w:szCs w:val="30"/>
        </w:rPr>
        <w:t>三中全会精神的</w:t>
      </w:r>
      <w:r>
        <w:rPr>
          <w:rFonts w:ascii="??_GB2312" w:hAnsi="??_GB2312" w:cs="??_GB2312"/>
          <w:sz w:val="30"/>
          <w:szCs w:val="30"/>
        </w:rPr>
        <w:t>“</w:t>
      </w:r>
      <w:r>
        <w:rPr>
          <w:rFonts w:hint="eastAsia" w:ascii="宋体" w:hAnsi="宋体" w:cs="宋体"/>
          <w:sz w:val="30"/>
          <w:szCs w:val="30"/>
        </w:rPr>
        <w:t>送学</w:t>
      </w:r>
      <w:r>
        <w:rPr>
          <w:rFonts w:ascii="??_GB2312" w:hAnsi="??_GB2312" w:cs="??_GB2312"/>
          <w:sz w:val="30"/>
          <w:szCs w:val="30"/>
        </w:rPr>
        <w:t>”</w:t>
      </w:r>
      <w:r>
        <w:rPr>
          <w:rFonts w:hint="eastAsia" w:ascii="宋体" w:hAnsi="宋体" w:cs="宋体"/>
          <w:sz w:val="30"/>
          <w:szCs w:val="30"/>
        </w:rPr>
        <w:t>全覆盖工作。</w:t>
      </w:r>
    </w:p>
    <w:p w14:paraId="5B5B5BA9">
      <w:pPr>
        <w:spacing w:line="240" w:lineRule="atLeast"/>
        <w:ind w:firstLine="600" w:firstLineChars="200"/>
        <w:jc w:val="left"/>
        <w:rPr>
          <w:rFonts w:ascii="??_GB2312" w:hAnsi="??_GB2312" w:cs="??_GB2312"/>
          <w:sz w:val="30"/>
          <w:szCs w:val="30"/>
        </w:rPr>
      </w:pPr>
      <w:r>
        <w:rPr>
          <w:rFonts w:ascii="??_GB2312" w:hAnsi="??_GB2312" w:cs="??_GB2312"/>
          <w:sz w:val="30"/>
          <w:szCs w:val="30"/>
        </w:rPr>
        <w:t>10.</w:t>
      </w:r>
      <w:r>
        <w:rPr>
          <w:rFonts w:hint="eastAsia" w:ascii="宋体" w:hAnsi="宋体" w:cs="宋体"/>
          <w:sz w:val="30"/>
          <w:szCs w:val="30"/>
        </w:rPr>
        <w:t>做好外地来蓝田学习考察的老干部的接待工作。抓好老干部重大活动的组织安排。</w:t>
      </w:r>
    </w:p>
    <w:p w14:paraId="57008853">
      <w:pPr>
        <w:spacing w:line="240" w:lineRule="atLeast"/>
        <w:ind w:firstLine="600" w:firstLineChars="200"/>
        <w:jc w:val="left"/>
        <w:rPr>
          <w:rFonts w:ascii="??_GB2312" w:hAnsi="??_GB2312" w:cs="??_GB2312"/>
          <w:sz w:val="30"/>
          <w:szCs w:val="30"/>
        </w:rPr>
      </w:pPr>
      <w:r>
        <w:rPr>
          <w:rFonts w:ascii="??_GB2312" w:hAnsi="??_GB2312" w:cs="??_GB2312"/>
          <w:sz w:val="30"/>
          <w:szCs w:val="30"/>
        </w:rPr>
        <w:t>11.</w:t>
      </w:r>
      <w:r>
        <w:rPr>
          <w:rFonts w:hint="eastAsia" w:ascii="宋体" w:hAnsi="宋体" w:cs="宋体"/>
          <w:sz w:val="30"/>
          <w:szCs w:val="30"/>
        </w:rPr>
        <w:t>建立离退休干部信息库和离退休干部党建信息库，完善信息库管理制度，并做好日常更新维护工作以及信息的统计上报工作。</w:t>
      </w:r>
    </w:p>
    <w:p w14:paraId="592D9BE1">
      <w:pPr>
        <w:spacing w:line="240" w:lineRule="atLeast"/>
        <w:ind w:firstLine="600" w:firstLineChars="200"/>
        <w:jc w:val="left"/>
        <w:rPr>
          <w:rFonts w:ascii="??_GB2312" w:hAnsi="??_GB2312" w:cs="??_GB2312"/>
          <w:sz w:val="30"/>
          <w:szCs w:val="30"/>
        </w:rPr>
      </w:pPr>
      <w:r>
        <w:rPr>
          <w:rFonts w:ascii="??_GB2312" w:hAnsi="??_GB2312" w:cs="??_GB2312"/>
          <w:sz w:val="30"/>
          <w:szCs w:val="30"/>
        </w:rPr>
        <w:t>12.</w:t>
      </w:r>
      <w:r>
        <w:rPr>
          <w:rFonts w:hint="eastAsia" w:ascii="宋体" w:hAnsi="宋体" w:cs="宋体"/>
          <w:sz w:val="30"/>
          <w:szCs w:val="30"/>
        </w:rPr>
        <w:t>积极推进精准扶贫工作，认真贯彻落实县扶贫工作会议精神。</w:t>
      </w:r>
    </w:p>
    <w:p w14:paraId="6BEE9B48">
      <w:pPr>
        <w:spacing w:line="240" w:lineRule="atLeast"/>
        <w:ind w:firstLine="600" w:firstLineChars="200"/>
        <w:jc w:val="left"/>
        <w:rPr>
          <w:rFonts w:ascii="??_GB2312" w:hAnsi="??_GB2312" w:cs="??_GB2312"/>
          <w:sz w:val="30"/>
          <w:szCs w:val="30"/>
        </w:rPr>
      </w:pPr>
      <w:r>
        <w:rPr>
          <w:rFonts w:ascii="??_GB2312" w:hAnsi="??_GB2312" w:cs="??_GB2312"/>
          <w:sz w:val="30"/>
          <w:szCs w:val="30"/>
        </w:rPr>
        <w:t>13.</w:t>
      </w:r>
      <w:r>
        <w:rPr>
          <w:rFonts w:hint="eastAsia" w:ascii="宋体" w:hAnsi="宋体" w:cs="宋体"/>
          <w:sz w:val="30"/>
          <w:szCs w:val="30"/>
        </w:rPr>
        <w:t>加强机关干部队伍自身建设，积极应对</w:t>
      </w:r>
      <w:r>
        <w:rPr>
          <w:rFonts w:ascii="??_GB2312" w:hAnsi="??_GB2312" w:cs="??_GB2312"/>
          <w:sz w:val="30"/>
          <w:szCs w:val="30"/>
        </w:rPr>
        <w:t>“</w:t>
      </w:r>
      <w:r>
        <w:rPr>
          <w:rFonts w:hint="eastAsia" w:ascii="宋体" w:hAnsi="宋体" w:cs="宋体"/>
          <w:sz w:val="30"/>
          <w:szCs w:val="30"/>
        </w:rPr>
        <w:t>转型发展</w:t>
      </w:r>
      <w:r>
        <w:rPr>
          <w:rFonts w:ascii="??_GB2312" w:hAnsi="??_GB2312" w:cs="??_GB2312"/>
          <w:sz w:val="30"/>
          <w:szCs w:val="30"/>
        </w:rPr>
        <w:t>”</w:t>
      </w:r>
      <w:r>
        <w:rPr>
          <w:rFonts w:hint="eastAsia" w:ascii="宋体" w:hAnsi="宋体" w:cs="宋体"/>
          <w:sz w:val="30"/>
          <w:szCs w:val="30"/>
        </w:rPr>
        <w:t>，进一步提高为老服务能力。</w:t>
      </w:r>
    </w:p>
    <w:p w14:paraId="30162D60">
      <w:pPr>
        <w:spacing w:line="240" w:lineRule="atLeast"/>
        <w:ind w:firstLine="600" w:firstLineChars="200"/>
        <w:jc w:val="left"/>
        <w:rPr>
          <w:rFonts w:ascii="??_GB2312" w:hAnsi="??_GB2312" w:cs="??_GB2312"/>
          <w:sz w:val="30"/>
          <w:szCs w:val="30"/>
        </w:rPr>
      </w:pPr>
      <w:r>
        <w:rPr>
          <w:rFonts w:ascii="??_GB2312" w:hAnsi="??_GB2312" w:cs="??_GB2312"/>
          <w:sz w:val="30"/>
          <w:szCs w:val="30"/>
        </w:rPr>
        <w:t>14.</w:t>
      </w:r>
      <w:r>
        <w:rPr>
          <w:rFonts w:hint="eastAsia" w:ascii="宋体" w:hAnsi="宋体" w:cs="宋体"/>
          <w:sz w:val="30"/>
          <w:szCs w:val="30"/>
        </w:rPr>
        <w:t>完成县委、县政府和上级业务部门交办的其它工作。</w:t>
      </w:r>
    </w:p>
    <w:p w14:paraId="66416C2D">
      <w:pPr>
        <w:spacing w:line="240" w:lineRule="atLeast"/>
        <w:ind w:firstLine="602" w:firstLineChars="200"/>
        <w:jc w:val="left"/>
        <w:rPr>
          <w:rFonts w:ascii="??_GB2312" w:hAnsi="??_GB2312" w:cs="??_GB2312"/>
          <w:b/>
          <w:bCs/>
          <w:sz w:val="30"/>
          <w:szCs w:val="30"/>
        </w:rPr>
      </w:pPr>
      <w:r>
        <w:rPr>
          <w:rFonts w:hint="eastAsia" w:ascii="宋体" w:hAnsi="宋体" w:cs="宋体"/>
          <w:b/>
          <w:bCs/>
          <w:sz w:val="30"/>
          <w:szCs w:val="30"/>
        </w:rPr>
        <w:t>三、部门预算单位构成</w:t>
      </w:r>
    </w:p>
    <w:p w14:paraId="0C3FD46B">
      <w:pPr>
        <w:spacing w:line="240" w:lineRule="atLeast"/>
        <w:ind w:firstLine="600" w:firstLineChars="200"/>
        <w:jc w:val="left"/>
        <w:rPr>
          <w:rFonts w:ascii="??_GB2312" w:hAnsi="??_GB2312" w:cs="??_GB2312"/>
          <w:sz w:val="30"/>
          <w:szCs w:val="30"/>
        </w:rPr>
      </w:pPr>
      <w:r>
        <w:rPr>
          <w:rFonts w:hint="eastAsia" w:ascii="宋体" w:hAnsi="宋体" w:cs="宋体"/>
          <w:sz w:val="30"/>
          <w:szCs w:val="30"/>
        </w:rPr>
        <w:t>从预算单位构成看，本部门内部没有内设机构。</w:t>
      </w:r>
      <w:r>
        <w:rPr>
          <w:rFonts w:ascii="??_GB2312" w:hAnsi="??_GB2312" w:cs="??_GB2312"/>
          <w:sz w:val="30"/>
          <w:szCs w:val="30"/>
        </w:rPr>
        <w:t>2019</w:t>
      </w:r>
      <w:r>
        <w:rPr>
          <w:rFonts w:hint="eastAsia" w:ascii="宋体" w:hAnsi="宋体" w:cs="宋体"/>
          <w:sz w:val="30"/>
          <w:szCs w:val="30"/>
        </w:rPr>
        <w:t>年部门预算包括部门本级（机关）预算和所属单位蓝田县老年大学、蓝田县关心下一代工作委员会预算。</w:t>
      </w:r>
    </w:p>
    <w:p w14:paraId="5BA4D43F">
      <w:pPr>
        <w:spacing w:line="240" w:lineRule="atLeast"/>
        <w:ind w:firstLine="600" w:firstLineChars="200"/>
        <w:jc w:val="left"/>
        <w:rPr>
          <w:rFonts w:ascii="??_GB2312" w:hAnsi="??_GB2312" w:cs="??_GB2312"/>
          <w:sz w:val="30"/>
          <w:szCs w:val="30"/>
        </w:rPr>
      </w:pPr>
      <w:r>
        <w:rPr>
          <w:rFonts w:hint="eastAsia" w:ascii="宋体" w:hAnsi="宋体" w:cs="宋体"/>
          <w:sz w:val="30"/>
          <w:szCs w:val="30"/>
        </w:rPr>
        <w:t>纳入本部门</w:t>
      </w:r>
      <w:r>
        <w:rPr>
          <w:rFonts w:ascii="??_GB2312" w:hAnsi="??_GB2312" w:cs="??_GB2312"/>
          <w:sz w:val="30"/>
          <w:szCs w:val="30"/>
        </w:rPr>
        <w:t>2019</w:t>
      </w:r>
      <w:r>
        <w:rPr>
          <w:rFonts w:hint="eastAsia" w:ascii="宋体" w:hAnsi="宋体" w:cs="宋体"/>
          <w:sz w:val="30"/>
          <w:szCs w:val="30"/>
        </w:rPr>
        <w:t>年部门预算编制范围的预算单位共有</w:t>
      </w:r>
      <w:r>
        <w:rPr>
          <w:rFonts w:ascii="??_GB2312" w:hAnsi="??_GB2312" w:cs="??_GB2312"/>
          <w:sz w:val="30"/>
          <w:szCs w:val="30"/>
        </w:rPr>
        <w:t>3</w:t>
      </w:r>
      <w:r>
        <w:rPr>
          <w:rFonts w:hint="eastAsia" w:ascii="宋体" w:hAnsi="宋体" w:cs="宋体"/>
          <w:sz w:val="30"/>
          <w:szCs w:val="30"/>
        </w:rPr>
        <w:t>个，包括：</w:t>
      </w:r>
    </w:p>
    <w:tbl>
      <w:tblPr>
        <w:tblStyle w:val="6"/>
        <w:tblW w:w="7373"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
        <w:gridCol w:w="6428"/>
      </w:tblGrid>
      <w:tr w14:paraId="51D0A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 w:type="dxa"/>
          </w:tcPr>
          <w:p w14:paraId="545E65FA">
            <w:pPr>
              <w:spacing w:line="240" w:lineRule="atLeast"/>
              <w:jc w:val="center"/>
              <w:rPr>
                <w:rFonts w:ascii="??_GB2312" w:hAnsi="??_GB2312" w:cs="??_GB2312"/>
                <w:sz w:val="28"/>
                <w:szCs w:val="28"/>
              </w:rPr>
            </w:pPr>
            <w:r>
              <w:rPr>
                <w:rFonts w:hint="eastAsia" w:ascii="宋体" w:hAnsi="宋体" w:cs="宋体"/>
                <w:sz w:val="28"/>
                <w:szCs w:val="28"/>
              </w:rPr>
              <w:t>序号</w:t>
            </w:r>
          </w:p>
        </w:tc>
        <w:tc>
          <w:tcPr>
            <w:tcW w:w="6428" w:type="dxa"/>
          </w:tcPr>
          <w:p w14:paraId="2731135E">
            <w:pPr>
              <w:spacing w:line="240" w:lineRule="atLeast"/>
              <w:ind w:firstLine="560" w:firstLineChars="200"/>
              <w:jc w:val="center"/>
              <w:rPr>
                <w:rFonts w:ascii="??_GB2312" w:hAnsi="??_GB2312" w:cs="??_GB2312"/>
                <w:sz w:val="28"/>
                <w:szCs w:val="28"/>
              </w:rPr>
            </w:pPr>
            <w:r>
              <w:rPr>
                <w:rFonts w:hint="eastAsia" w:ascii="宋体" w:hAnsi="宋体" w:cs="宋体"/>
                <w:sz w:val="28"/>
                <w:szCs w:val="28"/>
              </w:rPr>
              <w:t>单位名称</w:t>
            </w:r>
          </w:p>
        </w:tc>
      </w:tr>
      <w:tr w14:paraId="0A5657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 w:type="dxa"/>
          </w:tcPr>
          <w:p w14:paraId="595F5C60">
            <w:pPr>
              <w:spacing w:line="240" w:lineRule="atLeast"/>
              <w:jc w:val="center"/>
              <w:rPr>
                <w:rFonts w:ascii="??_GB2312" w:hAnsi="??_GB2312" w:cs="??_GB2312"/>
                <w:sz w:val="28"/>
                <w:szCs w:val="28"/>
              </w:rPr>
            </w:pPr>
            <w:r>
              <w:rPr>
                <w:rFonts w:ascii="??_GB2312" w:hAnsi="??_GB2312" w:cs="??_GB2312"/>
                <w:sz w:val="28"/>
                <w:szCs w:val="28"/>
              </w:rPr>
              <w:t>1</w:t>
            </w:r>
          </w:p>
        </w:tc>
        <w:tc>
          <w:tcPr>
            <w:tcW w:w="6428" w:type="dxa"/>
          </w:tcPr>
          <w:p w14:paraId="401E1BA1">
            <w:pPr>
              <w:spacing w:line="240" w:lineRule="atLeast"/>
              <w:ind w:firstLine="560" w:firstLineChars="200"/>
              <w:jc w:val="center"/>
              <w:rPr>
                <w:rFonts w:ascii="??_GB2312" w:hAnsi="??_GB2312" w:cs="??_GB2312"/>
                <w:sz w:val="28"/>
                <w:szCs w:val="28"/>
              </w:rPr>
            </w:pPr>
            <w:r>
              <w:rPr>
                <w:rFonts w:hint="eastAsia" w:ascii="宋体" w:hAnsi="宋体" w:cs="宋体"/>
                <w:sz w:val="28"/>
                <w:szCs w:val="28"/>
              </w:rPr>
              <w:t>中共蓝田县委老干部工作局（机关）</w:t>
            </w:r>
          </w:p>
        </w:tc>
      </w:tr>
      <w:tr w14:paraId="422B4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 w:type="dxa"/>
          </w:tcPr>
          <w:p w14:paraId="1152EBBE">
            <w:pPr>
              <w:spacing w:line="240" w:lineRule="atLeast"/>
              <w:jc w:val="center"/>
              <w:rPr>
                <w:rFonts w:ascii="??_GB2312" w:hAnsi="??_GB2312" w:cs="??_GB2312"/>
                <w:sz w:val="28"/>
                <w:szCs w:val="28"/>
              </w:rPr>
            </w:pPr>
            <w:r>
              <w:rPr>
                <w:rFonts w:ascii="??_GB2312" w:hAnsi="??_GB2312" w:cs="??_GB2312"/>
                <w:sz w:val="28"/>
                <w:szCs w:val="28"/>
              </w:rPr>
              <w:t>2</w:t>
            </w:r>
          </w:p>
        </w:tc>
        <w:tc>
          <w:tcPr>
            <w:tcW w:w="6428" w:type="dxa"/>
          </w:tcPr>
          <w:p w14:paraId="170BBB51">
            <w:pPr>
              <w:spacing w:line="240" w:lineRule="atLeast"/>
              <w:ind w:firstLine="560" w:firstLineChars="200"/>
              <w:jc w:val="center"/>
              <w:rPr>
                <w:rFonts w:ascii="??_GB2312" w:hAnsi="??_GB2312" w:cs="??_GB2312"/>
                <w:sz w:val="28"/>
                <w:szCs w:val="28"/>
              </w:rPr>
            </w:pPr>
            <w:r>
              <w:rPr>
                <w:rFonts w:hint="eastAsia" w:ascii="宋体" w:hAnsi="宋体" w:cs="宋体"/>
                <w:sz w:val="28"/>
                <w:szCs w:val="28"/>
              </w:rPr>
              <w:t>蓝田县老年大学</w:t>
            </w:r>
          </w:p>
        </w:tc>
      </w:tr>
      <w:tr w14:paraId="29D6B9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5" w:type="dxa"/>
          </w:tcPr>
          <w:p w14:paraId="5E59FC46">
            <w:pPr>
              <w:spacing w:line="240" w:lineRule="atLeast"/>
              <w:jc w:val="center"/>
              <w:rPr>
                <w:rFonts w:ascii="??_GB2312" w:hAnsi="??_GB2312" w:cs="??_GB2312"/>
                <w:sz w:val="28"/>
                <w:szCs w:val="28"/>
              </w:rPr>
            </w:pPr>
            <w:r>
              <w:rPr>
                <w:rFonts w:ascii="??_GB2312" w:hAnsi="??_GB2312" w:cs="??_GB2312"/>
                <w:sz w:val="28"/>
                <w:szCs w:val="28"/>
              </w:rPr>
              <w:t>3</w:t>
            </w:r>
          </w:p>
        </w:tc>
        <w:tc>
          <w:tcPr>
            <w:tcW w:w="6428" w:type="dxa"/>
          </w:tcPr>
          <w:p w14:paraId="4AAA2695">
            <w:pPr>
              <w:spacing w:line="240" w:lineRule="atLeast"/>
              <w:ind w:firstLine="560" w:firstLineChars="200"/>
              <w:jc w:val="center"/>
              <w:rPr>
                <w:rFonts w:ascii="??_GB2312" w:hAnsi="??_GB2312" w:cs="??_GB2312"/>
                <w:sz w:val="28"/>
                <w:szCs w:val="28"/>
              </w:rPr>
            </w:pPr>
            <w:r>
              <w:rPr>
                <w:rFonts w:hint="eastAsia" w:ascii="宋体" w:hAnsi="宋体" w:cs="宋体"/>
                <w:sz w:val="28"/>
                <w:szCs w:val="28"/>
              </w:rPr>
              <w:t>蓝田县关心下一代工作委员会</w:t>
            </w:r>
          </w:p>
        </w:tc>
      </w:tr>
    </w:tbl>
    <w:p w14:paraId="7343CCFE">
      <w:pPr>
        <w:spacing w:line="240" w:lineRule="atLeast"/>
        <w:ind w:firstLine="602" w:firstLineChars="200"/>
        <w:jc w:val="left"/>
        <w:rPr>
          <w:rFonts w:ascii="??_GB2312" w:hAnsi="??_GB2312" w:cs="??_GB2312"/>
          <w:b/>
          <w:bCs/>
          <w:sz w:val="30"/>
          <w:szCs w:val="30"/>
        </w:rPr>
      </w:pPr>
      <w:r>
        <w:rPr>
          <w:rFonts w:hint="eastAsia" w:ascii="宋体" w:hAnsi="宋体" w:cs="宋体"/>
          <w:b/>
          <w:bCs/>
          <w:sz w:val="30"/>
          <w:szCs w:val="30"/>
        </w:rPr>
        <w:t>四、部门人员情况说明</w:t>
      </w:r>
    </w:p>
    <w:p w14:paraId="0E45C64D">
      <w:pPr>
        <w:spacing w:line="240" w:lineRule="atLeast"/>
        <w:ind w:firstLine="600" w:firstLineChars="200"/>
        <w:jc w:val="left"/>
        <w:rPr>
          <w:rFonts w:ascii="??_GB2312" w:hAnsi="??_GB2312" w:cs="??_GB2312"/>
          <w:sz w:val="30"/>
          <w:szCs w:val="30"/>
        </w:rPr>
      </w:pPr>
      <w:r>
        <w:rPr>
          <w:rFonts w:hint="eastAsia" w:ascii="宋体" w:hAnsi="宋体" w:cs="宋体"/>
          <w:sz w:val="30"/>
          <w:szCs w:val="30"/>
        </w:rPr>
        <w:t>截止</w:t>
      </w:r>
      <w:r>
        <w:rPr>
          <w:rFonts w:ascii="??_GB2312" w:hAnsi="??_GB2312" w:cs="??_GB2312"/>
          <w:sz w:val="30"/>
          <w:szCs w:val="30"/>
        </w:rPr>
        <w:t>2018</w:t>
      </w:r>
      <w:r>
        <w:rPr>
          <w:rFonts w:hint="eastAsia" w:ascii="宋体" w:hAnsi="宋体" w:cs="宋体"/>
          <w:sz w:val="30"/>
          <w:szCs w:val="30"/>
        </w:rPr>
        <w:t>年底，本部门人员编制</w:t>
      </w:r>
      <w:r>
        <w:rPr>
          <w:rFonts w:ascii="??_GB2312" w:hAnsi="??_GB2312" w:cs="??_GB2312"/>
          <w:sz w:val="30"/>
          <w:szCs w:val="30"/>
        </w:rPr>
        <w:t>3</w:t>
      </w:r>
      <w:r>
        <w:rPr>
          <w:rFonts w:hint="eastAsia" w:ascii="宋体" w:hAnsi="宋体" w:cs="宋体"/>
          <w:sz w:val="30"/>
          <w:szCs w:val="30"/>
        </w:rPr>
        <w:t>人，其中行政编制</w:t>
      </w:r>
      <w:r>
        <w:rPr>
          <w:rFonts w:ascii="??_GB2312" w:hAnsi="??_GB2312" w:cs="??_GB2312"/>
          <w:sz w:val="30"/>
          <w:szCs w:val="30"/>
        </w:rPr>
        <w:t>3</w:t>
      </w:r>
      <w:r>
        <w:rPr>
          <w:rFonts w:hint="eastAsia" w:ascii="宋体" w:hAnsi="宋体" w:cs="宋体"/>
          <w:sz w:val="30"/>
          <w:szCs w:val="30"/>
        </w:rPr>
        <w:t>人；实有人员</w:t>
      </w:r>
      <w:r>
        <w:rPr>
          <w:rFonts w:ascii="??_GB2312" w:hAnsi="??_GB2312" w:cs="??_GB2312"/>
          <w:sz w:val="30"/>
          <w:szCs w:val="30"/>
        </w:rPr>
        <w:t>3</w:t>
      </w:r>
      <w:r>
        <w:rPr>
          <w:rFonts w:hint="eastAsia" w:ascii="宋体" w:hAnsi="宋体" w:cs="宋体"/>
          <w:sz w:val="30"/>
          <w:szCs w:val="30"/>
        </w:rPr>
        <w:t>人，其中行政</w:t>
      </w:r>
      <w:r>
        <w:rPr>
          <w:rFonts w:ascii="??_GB2312" w:hAnsi="??_GB2312" w:cs="??_GB2312"/>
          <w:sz w:val="30"/>
          <w:szCs w:val="30"/>
        </w:rPr>
        <w:t>3</w:t>
      </w:r>
      <w:r>
        <w:rPr>
          <w:rFonts w:hint="eastAsia" w:ascii="宋体" w:hAnsi="宋体" w:cs="宋体"/>
          <w:sz w:val="30"/>
          <w:szCs w:val="30"/>
        </w:rPr>
        <w:t>人。</w:t>
      </w:r>
    </w:p>
    <w:tbl>
      <w:tblPr>
        <w:tblStyle w:val="6"/>
        <w:tblW w:w="8235"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4770"/>
        <w:gridCol w:w="1080"/>
        <w:gridCol w:w="1470"/>
      </w:tblGrid>
      <w:tr w14:paraId="5A639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Pr>
          <w:p w14:paraId="06197832">
            <w:pPr>
              <w:spacing w:line="240" w:lineRule="atLeast"/>
              <w:jc w:val="center"/>
              <w:rPr>
                <w:rFonts w:ascii="??_GB2312" w:hAnsi="??_GB2312" w:cs="??_GB2312"/>
                <w:sz w:val="28"/>
                <w:szCs w:val="28"/>
              </w:rPr>
            </w:pPr>
            <w:r>
              <w:rPr>
                <w:rFonts w:hint="eastAsia" w:ascii="宋体" w:hAnsi="宋体" w:cs="宋体"/>
                <w:sz w:val="28"/>
                <w:szCs w:val="28"/>
              </w:rPr>
              <w:t>序号</w:t>
            </w:r>
          </w:p>
        </w:tc>
        <w:tc>
          <w:tcPr>
            <w:tcW w:w="4770" w:type="dxa"/>
          </w:tcPr>
          <w:p w14:paraId="7A173365">
            <w:pPr>
              <w:spacing w:line="240" w:lineRule="atLeast"/>
              <w:ind w:firstLine="560" w:firstLineChars="200"/>
              <w:jc w:val="center"/>
              <w:rPr>
                <w:rFonts w:ascii="??_GB2312" w:hAnsi="??_GB2312" w:cs="??_GB2312"/>
                <w:sz w:val="28"/>
                <w:szCs w:val="28"/>
              </w:rPr>
            </w:pPr>
            <w:r>
              <w:rPr>
                <w:rFonts w:hint="eastAsia" w:ascii="宋体" w:hAnsi="宋体" w:cs="宋体"/>
                <w:sz w:val="28"/>
                <w:szCs w:val="28"/>
              </w:rPr>
              <w:t>单位名称</w:t>
            </w:r>
          </w:p>
        </w:tc>
        <w:tc>
          <w:tcPr>
            <w:tcW w:w="1080" w:type="dxa"/>
          </w:tcPr>
          <w:p w14:paraId="0C5C8025">
            <w:pPr>
              <w:spacing w:line="240" w:lineRule="atLeast"/>
              <w:jc w:val="center"/>
              <w:rPr>
                <w:rFonts w:ascii="??_GB2312" w:hAnsi="??_GB2312" w:cs="??_GB2312"/>
                <w:sz w:val="28"/>
                <w:szCs w:val="28"/>
              </w:rPr>
            </w:pPr>
            <w:r>
              <w:rPr>
                <w:rFonts w:hint="eastAsia" w:ascii="宋体" w:hAnsi="宋体" w:cs="宋体"/>
                <w:sz w:val="28"/>
                <w:szCs w:val="28"/>
              </w:rPr>
              <w:t>编制数</w:t>
            </w:r>
          </w:p>
        </w:tc>
        <w:tc>
          <w:tcPr>
            <w:tcW w:w="1470" w:type="dxa"/>
          </w:tcPr>
          <w:p w14:paraId="5ED51BAA">
            <w:pPr>
              <w:spacing w:line="240" w:lineRule="atLeast"/>
              <w:rPr>
                <w:rFonts w:ascii="??_GB2312" w:hAnsi="??_GB2312" w:cs="??_GB2312"/>
                <w:sz w:val="28"/>
                <w:szCs w:val="28"/>
              </w:rPr>
            </w:pPr>
            <w:r>
              <w:rPr>
                <w:rFonts w:hint="eastAsia" w:ascii="宋体" w:hAnsi="宋体" w:cs="宋体"/>
                <w:sz w:val="28"/>
                <w:szCs w:val="28"/>
              </w:rPr>
              <w:t>在职人数</w:t>
            </w:r>
          </w:p>
        </w:tc>
      </w:tr>
      <w:tr w14:paraId="5145AC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Pr>
          <w:p w14:paraId="7CE5F40E">
            <w:pPr>
              <w:spacing w:line="240" w:lineRule="atLeast"/>
              <w:jc w:val="center"/>
              <w:rPr>
                <w:rFonts w:ascii="??_GB2312" w:hAnsi="??_GB2312" w:cs="??_GB2312"/>
                <w:sz w:val="28"/>
                <w:szCs w:val="28"/>
              </w:rPr>
            </w:pPr>
            <w:r>
              <w:rPr>
                <w:rFonts w:ascii="??_GB2312" w:hAnsi="??_GB2312" w:cs="??_GB2312"/>
                <w:sz w:val="28"/>
                <w:szCs w:val="28"/>
              </w:rPr>
              <w:t>1</w:t>
            </w:r>
          </w:p>
        </w:tc>
        <w:tc>
          <w:tcPr>
            <w:tcW w:w="4770" w:type="dxa"/>
          </w:tcPr>
          <w:p w14:paraId="5BC09F94">
            <w:pPr>
              <w:spacing w:line="240" w:lineRule="atLeast"/>
              <w:jc w:val="center"/>
              <w:rPr>
                <w:rFonts w:ascii="??_GB2312" w:hAnsi="??_GB2312" w:cs="??_GB2312"/>
                <w:sz w:val="28"/>
                <w:szCs w:val="28"/>
              </w:rPr>
            </w:pPr>
            <w:r>
              <w:rPr>
                <w:rFonts w:hint="eastAsia" w:ascii="宋体" w:hAnsi="宋体" w:cs="宋体"/>
                <w:sz w:val="28"/>
                <w:szCs w:val="28"/>
              </w:rPr>
              <w:t>中共蓝田县委老干部工作局（机关）</w:t>
            </w:r>
          </w:p>
        </w:tc>
        <w:tc>
          <w:tcPr>
            <w:tcW w:w="1080" w:type="dxa"/>
          </w:tcPr>
          <w:p w14:paraId="12AC50BD">
            <w:pPr>
              <w:spacing w:line="240" w:lineRule="atLeast"/>
              <w:ind w:firstLine="560" w:firstLineChars="200"/>
              <w:jc w:val="center"/>
              <w:rPr>
                <w:rFonts w:ascii="??_GB2312" w:hAnsi="??_GB2312" w:cs="??_GB2312"/>
                <w:sz w:val="28"/>
                <w:szCs w:val="28"/>
              </w:rPr>
            </w:pPr>
            <w:r>
              <w:rPr>
                <w:rFonts w:ascii="??_GB2312" w:hAnsi="??_GB2312" w:cs="??_GB2312"/>
                <w:sz w:val="28"/>
                <w:szCs w:val="28"/>
              </w:rPr>
              <w:t>3</w:t>
            </w:r>
          </w:p>
        </w:tc>
        <w:tc>
          <w:tcPr>
            <w:tcW w:w="1470" w:type="dxa"/>
          </w:tcPr>
          <w:p w14:paraId="56634DBD">
            <w:pPr>
              <w:spacing w:line="240" w:lineRule="atLeast"/>
              <w:ind w:firstLine="560" w:firstLineChars="200"/>
              <w:rPr>
                <w:rFonts w:ascii="??_GB2312" w:hAnsi="??_GB2312" w:cs="??_GB2312"/>
                <w:sz w:val="28"/>
                <w:szCs w:val="28"/>
              </w:rPr>
            </w:pPr>
            <w:r>
              <w:rPr>
                <w:rFonts w:ascii="??_GB2312" w:hAnsi="??_GB2312" w:cs="??_GB2312"/>
                <w:sz w:val="28"/>
                <w:szCs w:val="28"/>
              </w:rPr>
              <w:t>3</w:t>
            </w:r>
          </w:p>
        </w:tc>
      </w:tr>
      <w:tr w14:paraId="58EF8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Pr>
          <w:p w14:paraId="01147CDD">
            <w:pPr>
              <w:spacing w:line="240" w:lineRule="atLeast"/>
              <w:jc w:val="center"/>
              <w:rPr>
                <w:rFonts w:ascii="??_GB2312" w:hAnsi="??_GB2312" w:cs="??_GB2312"/>
                <w:sz w:val="28"/>
                <w:szCs w:val="28"/>
              </w:rPr>
            </w:pPr>
            <w:r>
              <w:rPr>
                <w:rFonts w:ascii="??_GB2312" w:hAnsi="??_GB2312" w:cs="??_GB2312"/>
                <w:sz w:val="28"/>
                <w:szCs w:val="28"/>
              </w:rPr>
              <w:t>2</w:t>
            </w:r>
          </w:p>
        </w:tc>
        <w:tc>
          <w:tcPr>
            <w:tcW w:w="4770" w:type="dxa"/>
          </w:tcPr>
          <w:p w14:paraId="16F9186F">
            <w:pPr>
              <w:spacing w:line="240" w:lineRule="atLeast"/>
              <w:ind w:firstLine="560" w:firstLineChars="200"/>
              <w:jc w:val="center"/>
              <w:rPr>
                <w:rFonts w:ascii="??_GB2312" w:hAnsi="??_GB2312" w:cs="??_GB2312"/>
                <w:sz w:val="28"/>
                <w:szCs w:val="28"/>
              </w:rPr>
            </w:pPr>
            <w:r>
              <w:rPr>
                <w:rFonts w:hint="eastAsia" w:ascii="宋体" w:hAnsi="宋体" w:cs="宋体"/>
                <w:sz w:val="28"/>
                <w:szCs w:val="28"/>
              </w:rPr>
              <w:t>蓝田县老年大学</w:t>
            </w:r>
          </w:p>
        </w:tc>
        <w:tc>
          <w:tcPr>
            <w:tcW w:w="1080" w:type="dxa"/>
          </w:tcPr>
          <w:p w14:paraId="229E9B97">
            <w:pPr>
              <w:spacing w:line="240" w:lineRule="atLeast"/>
              <w:ind w:firstLine="560" w:firstLineChars="200"/>
              <w:jc w:val="center"/>
              <w:rPr>
                <w:rFonts w:ascii="??_GB2312" w:hAnsi="??_GB2312" w:cs="??_GB2312"/>
                <w:sz w:val="28"/>
                <w:szCs w:val="28"/>
              </w:rPr>
            </w:pPr>
          </w:p>
        </w:tc>
        <w:tc>
          <w:tcPr>
            <w:tcW w:w="1470" w:type="dxa"/>
          </w:tcPr>
          <w:p w14:paraId="7FF00BE9">
            <w:pPr>
              <w:spacing w:line="240" w:lineRule="atLeast"/>
              <w:ind w:firstLine="560" w:firstLineChars="200"/>
              <w:rPr>
                <w:rFonts w:ascii="??_GB2312" w:hAnsi="??_GB2312" w:cs="??_GB2312"/>
                <w:sz w:val="28"/>
                <w:szCs w:val="28"/>
              </w:rPr>
            </w:pPr>
            <w:r>
              <w:rPr>
                <w:rFonts w:hint="eastAsia" w:ascii="宋体" w:hAnsi="宋体" w:cs="宋体"/>
                <w:sz w:val="28"/>
                <w:szCs w:val="28"/>
              </w:rPr>
              <w:t>返聘</w:t>
            </w:r>
          </w:p>
        </w:tc>
      </w:tr>
      <w:tr w14:paraId="46601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Pr>
          <w:p w14:paraId="66858317">
            <w:pPr>
              <w:spacing w:line="240" w:lineRule="atLeast"/>
              <w:jc w:val="center"/>
              <w:rPr>
                <w:rFonts w:ascii="??_GB2312" w:hAnsi="??_GB2312" w:cs="??_GB2312"/>
                <w:sz w:val="28"/>
                <w:szCs w:val="28"/>
              </w:rPr>
            </w:pPr>
            <w:r>
              <w:rPr>
                <w:rFonts w:ascii="??_GB2312" w:hAnsi="??_GB2312" w:cs="??_GB2312"/>
                <w:sz w:val="28"/>
                <w:szCs w:val="28"/>
              </w:rPr>
              <w:t>3</w:t>
            </w:r>
          </w:p>
        </w:tc>
        <w:tc>
          <w:tcPr>
            <w:tcW w:w="4770" w:type="dxa"/>
          </w:tcPr>
          <w:p w14:paraId="36E370C0">
            <w:pPr>
              <w:spacing w:line="240" w:lineRule="atLeast"/>
              <w:ind w:firstLine="560" w:firstLineChars="200"/>
              <w:jc w:val="center"/>
              <w:rPr>
                <w:rFonts w:ascii="??_GB2312" w:hAnsi="??_GB2312" w:cs="??_GB2312"/>
                <w:sz w:val="28"/>
                <w:szCs w:val="28"/>
              </w:rPr>
            </w:pPr>
            <w:r>
              <w:rPr>
                <w:rFonts w:hint="eastAsia" w:ascii="宋体" w:hAnsi="宋体" w:cs="宋体"/>
                <w:sz w:val="28"/>
                <w:szCs w:val="28"/>
              </w:rPr>
              <w:t>蓝田县关心下一代工作委员会</w:t>
            </w:r>
          </w:p>
        </w:tc>
        <w:tc>
          <w:tcPr>
            <w:tcW w:w="1080" w:type="dxa"/>
          </w:tcPr>
          <w:p w14:paraId="095ECA16">
            <w:pPr>
              <w:spacing w:line="240" w:lineRule="atLeast"/>
              <w:ind w:firstLine="560" w:firstLineChars="200"/>
              <w:jc w:val="center"/>
              <w:rPr>
                <w:rFonts w:ascii="??_GB2312" w:hAnsi="??_GB2312" w:cs="??_GB2312"/>
                <w:sz w:val="28"/>
                <w:szCs w:val="28"/>
              </w:rPr>
            </w:pPr>
          </w:p>
        </w:tc>
        <w:tc>
          <w:tcPr>
            <w:tcW w:w="1470" w:type="dxa"/>
          </w:tcPr>
          <w:p w14:paraId="68C13E82">
            <w:pPr>
              <w:spacing w:line="240" w:lineRule="atLeast"/>
              <w:ind w:firstLine="560" w:firstLineChars="200"/>
              <w:rPr>
                <w:rFonts w:ascii="??_GB2312" w:hAnsi="??_GB2312" w:cs="??_GB2312"/>
                <w:sz w:val="28"/>
                <w:szCs w:val="28"/>
              </w:rPr>
            </w:pPr>
            <w:r>
              <w:rPr>
                <w:rFonts w:hint="eastAsia" w:ascii="宋体" w:hAnsi="宋体" w:cs="宋体"/>
                <w:sz w:val="28"/>
                <w:szCs w:val="28"/>
              </w:rPr>
              <w:t>返聘</w:t>
            </w:r>
          </w:p>
        </w:tc>
      </w:tr>
    </w:tbl>
    <w:p w14:paraId="5BCAEBDA">
      <w:pPr>
        <w:spacing w:line="240" w:lineRule="atLeast"/>
        <w:jc w:val="left"/>
        <w:rPr>
          <w:rFonts w:ascii="??_GB2312" w:hAnsi="??_GB2312" w:cs="??_GB2312"/>
          <w:sz w:val="30"/>
          <w:szCs w:val="30"/>
        </w:rPr>
      </w:pPr>
      <w:r>
        <w:rPr>
          <w:rFonts w:ascii="??_GB2312" w:hAnsi="??_GB2312" w:cs="??_GB2312"/>
          <w:color w:val="000000"/>
          <w:sz w:val="28"/>
          <w:szCs w:val="28"/>
          <w:shd w:val="clear" w:color="auto" w:fill="FFFFFF"/>
        </w:rPr>
        <w:drawing>
          <wp:inline distT="0" distB="0" distL="0" distR="0">
            <wp:extent cx="5146040" cy="2190115"/>
            <wp:effectExtent l="0" t="0" r="0" b="0"/>
            <wp:docPr id="1"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27493985">
      <w:pPr>
        <w:spacing w:line="240" w:lineRule="atLeast"/>
        <w:ind w:firstLine="602" w:firstLineChars="200"/>
        <w:jc w:val="left"/>
        <w:rPr>
          <w:rFonts w:ascii="??_GB2312" w:hAnsi="??_GB2312" w:cs="??_GB2312"/>
          <w:b/>
          <w:bCs/>
          <w:sz w:val="30"/>
          <w:szCs w:val="30"/>
        </w:rPr>
      </w:pPr>
      <w:r>
        <w:rPr>
          <w:rFonts w:hint="eastAsia" w:ascii="宋体" w:hAnsi="宋体" w:cs="宋体"/>
          <w:b/>
          <w:bCs/>
          <w:sz w:val="30"/>
          <w:szCs w:val="30"/>
        </w:rPr>
        <w:t>五、部门国有资产占有使用及资产购置情况说明</w:t>
      </w:r>
    </w:p>
    <w:p w14:paraId="46B6E2DE">
      <w:pPr>
        <w:spacing w:line="240" w:lineRule="atLeast"/>
        <w:ind w:firstLine="600" w:firstLineChars="200"/>
        <w:jc w:val="left"/>
        <w:rPr>
          <w:rFonts w:ascii="??_GB2312" w:hAnsi="??_GB2312" w:cs="??_GB2312"/>
          <w:sz w:val="30"/>
          <w:szCs w:val="30"/>
        </w:rPr>
      </w:pPr>
      <w:r>
        <w:rPr>
          <w:rFonts w:hint="eastAsia" w:ascii="宋体" w:hAnsi="宋体" w:cs="宋体"/>
          <w:sz w:val="30"/>
          <w:szCs w:val="30"/>
        </w:rPr>
        <w:t>截止</w:t>
      </w:r>
      <w:r>
        <w:rPr>
          <w:rFonts w:ascii="??_GB2312" w:hAnsi="??_GB2312" w:cs="??_GB2312"/>
          <w:sz w:val="30"/>
          <w:szCs w:val="30"/>
        </w:rPr>
        <w:t>2018</w:t>
      </w:r>
      <w:r>
        <w:rPr>
          <w:rFonts w:hint="eastAsia" w:ascii="宋体" w:hAnsi="宋体" w:cs="宋体"/>
          <w:sz w:val="30"/>
          <w:szCs w:val="30"/>
        </w:rPr>
        <w:t>年底，老干部工作局部门本级及所属的预算单位共有车辆</w:t>
      </w:r>
      <w:r>
        <w:rPr>
          <w:rFonts w:ascii="??_GB2312" w:hAnsi="??_GB2312" w:cs="??_GB2312"/>
          <w:sz w:val="30"/>
          <w:szCs w:val="30"/>
        </w:rPr>
        <w:t>0</w:t>
      </w:r>
      <w:r>
        <w:rPr>
          <w:rFonts w:hint="eastAsia" w:ascii="宋体" w:hAnsi="宋体" w:cs="宋体"/>
          <w:sz w:val="30"/>
          <w:szCs w:val="30"/>
        </w:rPr>
        <w:t>辆，单价</w:t>
      </w:r>
      <w:r>
        <w:rPr>
          <w:rFonts w:ascii="??_GB2312" w:hAnsi="??_GB2312" w:cs="??_GB2312"/>
          <w:sz w:val="30"/>
          <w:szCs w:val="30"/>
        </w:rPr>
        <w:t>20</w:t>
      </w:r>
      <w:r>
        <w:rPr>
          <w:rFonts w:hint="eastAsia" w:ascii="宋体" w:hAnsi="宋体" w:cs="宋体"/>
          <w:sz w:val="30"/>
          <w:szCs w:val="30"/>
        </w:rPr>
        <w:t>万元以上的设备</w:t>
      </w:r>
      <w:r>
        <w:rPr>
          <w:rFonts w:ascii="??_GB2312" w:hAnsi="??_GB2312" w:cs="??_GB2312"/>
          <w:sz w:val="30"/>
          <w:szCs w:val="30"/>
        </w:rPr>
        <w:t>0</w:t>
      </w:r>
      <w:r>
        <w:rPr>
          <w:rFonts w:hint="eastAsia" w:ascii="宋体" w:hAnsi="宋体" w:cs="宋体"/>
          <w:sz w:val="30"/>
          <w:szCs w:val="30"/>
        </w:rPr>
        <w:t>台（套）。</w:t>
      </w:r>
      <w:r>
        <w:rPr>
          <w:rFonts w:ascii="??_GB2312" w:hAnsi="??_GB2312" w:cs="??_GB2312"/>
          <w:sz w:val="30"/>
          <w:szCs w:val="30"/>
        </w:rPr>
        <w:t>2019</w:t>
      </w:r>
      <w:r>
        <w:rPr>
          <w:rFonts w:hint="eastAsia" w:ascii="宋体" w:hAnsi="宋体" w:cs="宋体"/>
          <w:sz w:val="30"/>
          <w:szCs w:val="30"/>
        </w:rPr>
        <w:t>年部门预算安排购置车辆</w:t>
      </w:r>
      <w:r>
        <w:rPr>
          <w:rFonts w:ascii="??_GB2312" w:hAnsi="??_GB2312" w:cs="??_GB2312"/>
          <w:sz w:val="30"/>
          <w:szCs w:val="30"/>
        </w:rPr>
        <w:t>0</w:t>
      </w:r>
      <w:r>
        <w:rPr>
          <w:rFonts w:hint="eastAsia" w:ascii="宋体" w:hAnsi="宋体" w:cs="宋体"/>
          <w:sz w:val="30"/>
          <w:szCs w:val="30"/>
        </w:rPr>
        <w:t>辆；安排购置单价</w:t>
      </w:r>
      <w:r>
        <w:rPr>
          <w:rFonts w:ascii="??_GB2312" w:hAnsi="??_GB2312" w:cs="??_GB2312"/>
          <w:sz w:val="30"/>
          <w:szCs w:val="30"/>
        </w:rPr>
        <w:t>20</w:t>
      </w:r>
      <w:r>
        <w:rPr>
          <w:rFonts w:hint="eastAsia" w:ascii="宋体" w:hAnsi="宋体" w:cs="宋体"/>
          <w:sz w:val="30"/>
          <w:szCs w:val="30"/>
        </w:rPr>
        <w:t>万元以上的设备</w:t>
      </w:r>
      <w:r>
        <w:rPr>
          <w:rFonts w:ascii="??_GB2312" w:hAnsi="??_GB2312" w:cs="??_GB2312"/>
          <w:sz w:val="30"/>
          <w:szCs w:val="30"/>
        </w:rPr>
        <w:t>0</w:t>
      </w:r>
      <w:r>
        <w:rPr>
          <w:rFonts w:hint="eastAsia" w:ascii="宋体" w:hAnsi="宋体" w:cs="宋体"/>
          <w:sz w:val="30"/>
          <w:szCs w:val="30"/>
        </w:rPr>
        <w:t>台（套）。</w:t>
      </w:r>
    </w:p>
    <w:p w14:paraId="71C71109">
      <w:pPr>
        <w:spacing w:line="240" w:lineRule="atLeast"/>
        <w:ind w:firstLine="602" w:firstLineChars="200"/>
        <w:jc w:val="left"/>
        <w:rPr>
          <w:rFonts w:ascii="??_GB2312" w:hAnsi="??_GB2312" w:cs="??_GB2312"/>
          <w:b/>
          <w:bCs/>
          <w:sz w:val="30"/>
          <w:szCs w:val="30"/>
        </w:rPr>
      </w:pPr>
      <w:r>
        <w:rPr>
          <w:rFonts w:hint="eastAsia" w:ascii="宋体" w:hAnsi="宋体" w:cs="宋体"/>
          <w:b/>
          <w:bCs/>
          <w:sz w:val="30"/>
          <w:szCs w:val="30"/>
        </w:rPr>
        <w:t>六、部门预算绩效目标说明</w:t>
      </w:r>
    </w:p>
    <w:p w14:paraId="53FE5CEE">
      <w:pPr>
        <w:spacing w:line="240" w:lineRule="atLeast"/>
        <w:ind w:firstLine="600" w:firstLineChars="200"/>
        <w:jc w:val="left"/>
        <w:rPr>
          <w:rFonts w:ascii="??_GB2312" w:hAnsi="??_GB2312" w:cs="??_GB2312"/>
          <w:sz w:val="30"/>
          <w:szCs w:val="30"/>
        </w:rPr>
      </w:pPr>
      <w:r>
        <w:rPr>
          <w:rFonts w:ascii="??_GB2312" w:hAnsi="??_GB2312" w:cs="??_GB2312"/>
          <w:sz w:val="30"/>
          <w:szCs w:val="30"/>
        </w:rPr>
        <w:t>2019</w:t>
      </w:r>
      <w:r>
        <w:rPr>
          <w:rFonts w:hint="eastAsia" w:ascii="宋体" w:hAnsi="宋体" w:cs="宋体"/>
          <w:sz w:val="30"/>
          <w:szCs w:val="30"/>
        </w:rPr>
        <w:t>年本部门实现了绩效目标管理全覆盖，涉及一般公共预算当年拨款</w:t>
      </w:r>
      <w:r>
        <w:rPr>
          <w:rFonts w:ascii="??_GB2312" w:hAnsi="??_GB2312" w:cs="??_GB2312"/>
          <w:sz w:val="30"/>
          <w:szCs w:val="30"/>
        </w:rPr>
        <w:t>406976.80</w:t>
      </w:r>
      <w:r>
        <w:rPr>
          <w:rFonts w:hint="eastAsia" w:ascii="宋体" w:hAnsi="宋体" w:cs="宋体"/>
          <w:sz w:val="30"/>
          <w:szCs w:val="30"/>
        </w:rPr>
        <w:t>元</w:t>
      </w:r>
      <w:r>
        <w:rPr>
          <w:rFonts w:ascii="??_GB2312" w:hAnsi="??_GB2312" w:cs="??_GB2312"/>
          <w:sz w:val="30"/>
          <w:szCs w:val="30"/>
        </w:rPr>
        <w:t>,</w:t>
      </w:r>
      <w:r>
        <w:rPr>
          <w:rFonts w:hint="eastAsia" w:ascii="宋体" w:hAnsi="宋体" w:cs="宋体"/>
          <w:sz w:val="30"/>
          <w:szCs w:val="30"/>
        </w:rPr>
        <w:t>政府性基金预算当年拨款</w:t>
      </w:r>
      <w:r>
        <w:rPr>
          <w:rFonts w:ascii="??_GB2312" w:hAnsi="??_GB2312" w:cs="??_GB2312"/>
          <w:sz w:val="30"/>
          <w:szCs w:val="30"/>
        </w:rPr>
        <w:t>0</w:t>
      </w:r>
      <w:r>
        <w:rPr>
          <w:rFonts w:hint="eastAsia" w:ascii="宋体" w:hAnsi="宋体" w:cs="宋体"/>
          <w:sz w:val="30"/>
          <w:szCs w:val="30"/>
        </w:rPr>
        <w:t>万元。</w:t>
      </w:r>
    </w:p>
    <w:p w14:paraId="3A823721">
      <w:pPr>
        <w:spacing w:line="240" w:lineRule="atLeast"/>
        <w:ind w:firstLine="602" w:firstLineChars="200"/>
        <w:jc w:val="left"/>
        <w:rPr>
          <w:rFonts w:ascii="??_GB2312" w:hAnsi="??_GB2312" w:cs="??_GB2312"/>
          <w:b/>
          <w:bCs/>
          <w:sz w:val="30"/>
          <w:szCs w:val="30"/>
        </w:rPr>
      </w:pPr>
      <w:r>
        <w:rPr>
          <w:rFonts w:hint="eastAsia" w:ascii="宋体" w:hAnsi="宋体" w:cs="宋体"/>
          <w:b/>
          <w:bCs/>
          <w:sz w:val="30"/>
          <w:szCs w:val="30"/>
        </w:rPr>
        <w:t>七、</w:t>
      </w:r>
      <w:r>
        <w:rPr>
          <w:rFonts w:ascii="??_GB2312" w:hAnsi="??_GB2312" w:cs="??_GB2312"/>
          <w:b/>
          <w:bCs/>
          <w:sz w:val="30"/>
          <w:szCs w:val="30"/>
        </w:rPr>
        <w:t>2019</w:t>
      </w:r>
      <w:r>
        <w:rPr>
          <w:rFonts w:hint="eastAsia" w:ascii="宋体" w:hAnsi="宋体" w:cs="宋体"/>
          <w:b/>
          <w:bCs/>
          <w:sz w:val="30"/>
          <w:szCs w:val="30"/>
        </w:rPr>
        <w:t>年部门预算收支说明</w:t>
      </w:r>
    </w:p>
    <w:p w14:paraId="4055E039">
      <w:pPr>
        <w:spacing w:line="240" w:lineRule="atLeast"/>
        <w:ind w:firstLine="602" w:firstLineChars="200"/>
        <w:jc w:val="left"/>
        <w:rPr>
          <w:rFonts w:ascii="??_GB2312" w:hAnsi="??_GB2312" w:cs="??_GB2312"/>
          <w:b/>
          <w:bCs/>
          <w:sz w:val="30"/>
          <w:szCs w:val="30"/>
        </w:rPr>
      </w:pPr>
      <w:r>
        <w:rPr>
          <w:rFonts w:hint="eastAsia" w:ascii="宋体" w:hAnsi="宋体" w:cs="宋体"/>
          <w:b/>
          <w:bCs/>
          <w:sz w:val="30"/>
          <w:szCs w:val="30"/>
        </w:rPr>
        <w:t>（一）收支预算总体情况。</w:t>
      </w:r>
    </w:p>
    <w:p w14:paraId="4A44AFD2">
      <w:pPr>
        <w:spacing w:line="240" w:lineRule="atLeast"/>
        <w:ind w:firstLine="600" w:firstLineChars="200"/>
        <w:jc w:val="left"/>
        <w:rPr>
          <w:rFonts w:ascii="??_GB2312" w:hAnsi="??_GB2312" w:cs="??_GB2312"/>
          <w:sz w:val="30"/>
          <w:szCs w:val="30"/>
        </w:rPr>
      </w:pPr>
      <w:r>
        <w:rPr>
          <w:rFonts w:ascii="??_GB2312" w:hAnsi="??_GB2312" w:cs="??_GB2312"/>
          <w:sz w:val="30"/>
          <w:szCs w:val="30"/>
        </w:rPr>
        <w:t>2019</w:t>
      </w:r>
      <w:r>
        <w:rPr>
          <w:rFonts w:hint="eastAsia" w:ascii="宋体" w:hAnsi="宋体" w:cs="宋体"/>
          <w:sz w:val="30"/>
          <w:szCs w:val="30"/>
        </w:rPr>
        <w:t>年本部门预算收入</w:t>
      </w:r>
      <w:r>
        <w:rPr>
          <w:rFonts w:ascii="??_GB2312" w:hAnsi="??_GB2312" w:cs="??_GB2312"/>
          <w:sz w:val="30"/>
          <w:szCs w:val="30"/>
        </w:rPr>
        <w:t>406976.80</w:t>
      </w:r>
      <w:r>
        <w:rPr>
          <w:rFonts w:hint="eastAsia" w:ascii="宋体" w:hAnsi="宋体" w:cs="宋体"/>
          <w:sz w:val="30"/>
          <w:szCs w:val="30"/>
        </w:rPr>
        <w:t>元，其中一般公共预算拨款收入</w:t>
      </w:r>
      <w:r>
        <w:rPr>
          <w:rFonts w:ascii="??_GB2312" w:hAnsi="??_GB2312" w:cs="??_GB2312"/>
          <w:sz w:val="30"/>
          <w:szCs w:val="30"/>
        </w:rPr>
        <w:t>406976.80</w:t>
      </w:r>
      <w:r>
        <w:rPr>
          <w:rFonts w:hint="eastAsia" w:ascii="宋体" w:hAnsi="宋体" w:cs="宋体"/>
          <w:sz w:val="30"/>
          <w:szCs w:val="30"/>
        </w:rPr>
        <w:t>元（其中</w:t>
      </w:r>
      <w:r>
        <w:rPr>
          <w:rFonts w:ascii="??_GB2312" w:hAnsi="??_GB2312" w:cs="??_GB2312"/>
          <w:sz w:val="30"/>
          <w:szCs w:val="30"/>
        </w:rPr>
        <w:t>:</w:t>
      </w:r>
      <w:r>
        <w:rPr>
          <w:rFonts w:hint="eastAsia" w:ascii="宋体" w:hAnsi="宋体" w:cs="宋体"/>
          <w:sz w:val="30"/>
          <w:szCs w:val="30"/>
        </w:rPr>
        <w:t>人员支出</w:t>
      </w:r>
      <w:r>
        <w:rPr>
          <w:rFonts w:ascii="??_GB2312" w:hAnsi="??_GB2312" w:cs="??_GB2312"/>
          <w:sz w:val="30"/>
          <w:szCs w:val="30"/>
        </w:rPr>
        <w:t>352886.80</w:t>
      </w:r>
      <w:r>
        <w:rPr>
          <w:rFonts w:hint="eastAsia" w:ascii="宋体" w:hAnsi="宋体" w:cs="宋体"/>
          <w:sz w:val="30"/>
          <w:szCs w:val="30"/>
        </w:rPr>
        <w:t>元，对个人和家庭补助支出</w:t>
      </w:r>
      <w:r>
        <w:rPr>
          <w:rFonts w:ascii="??_GB2312" w:hAnsi="??_GB2312" w:cs="??_GB2312"/>
          <w:sz w:val="30"/>
          <w:szCs w:val="30"/>
        </w:rPr>
        <w:t>20850</w:t>
      </w:r>
      <w:r>
        <w:rPr>
          <w:rFonts w:hint="eastAsia" w:ascii="宋体" w:hAnsi="宋体" w:cs="宋体"/>
          <w:sz w:val="30"/>
          <w:szCs w:val="30"/>
        </w:rPr>
        <w:t>元，商品和服务支出</w:t>
      </w:r>
      <w:r>
        <w:rPr>
          <w:rFonts w:ascii="??_GB2312" w:hAnsi="??_GB2312" w:cs="??_GB2312"/>
          <w:sz w:val="30"/>
          <w:szCs w:val="30"/>
        </w:rPr>
        <w:t>33240</w:t>
      </w:r>
      <w:r>
        <w:rPr>
          <w:rFonts w:hint="eastAsia" w:ascii="宋体" w:hAnsi="宋体" w:cs="宋体"/>
          <w:sz w:val="30"/>
          <w:szCs w:val="30"/>
        </w:rPr>
        <w:t>元）、政府性基金拨款收入</w:t>
      </w:r>
      <w:r>
        <w:rPr>
          <w:rFonts w:ascii="??_GB2312" w:hAnsi="??_GB2312" w:cs="??_GB2312"/>
          <w:sz w:val="30"/>
          <w:szCs w:val="30"/>
        </w:rPr>
        <w:t>0</w:t>
      </w:r>
      <w:r>
        <w:rPr>
          <w:rFonts w:hint="eastAsia" w:ascii="宋体" w:hAnsi="宋体" w:cs="宋体"/>
          <w:sz w:val="30"/>
          <w:szCs w:val="30"/>
        </w:rPr>
        <w:t>万元。</w:t>
      </w:r>
      <w:r>
        <w:rPr>
          <w:rFonts w:ascii="??_GB2312" w:hAnsi="??_GB2312" w:cs="??_GB2312"/>
          <w:sz w:val="30"/>
          <w:szCs w:val="30"/>
        </w:rPr>
        <w:t>2019</w:t>
      </w:r>
      <w:r>
        <w:rPr>
          <w:rFonts w:hint="eastAsia" w:ascii="宋体" w:hAnsi="宋体" w:cs="宋体"/>
          <w:sz w:val="30"/>
          <w:szCs w:val="30"/>
        </w:rPr>
        <w:t>年本部门预算收入较上年增加</w:t>
      </w:r>
      <w:r>
        <w:rPr>
          <w:rFonts w:ascii="??_GB2312" w:hAnsi="??_GB2312" w:cs="??_GB2312"/>
          <w:sz w:val="30"/>
          <w:szCs w:val="30"/>
        </w:rPr>
        <w:t>34433.72</w:t>
      </w:r>
      <w:r>
        <w:rPr>
          <w:rFonts w:hint="eastAsia" w:ascii="宋体" w:hAnsi="宋体" w:cs="宋体"/>
          <w:sz w:val="30"/>
          <w:szCs w:val="30"/>
        </w:rPr>
        <w:t>元，主要原因是增加干部养老保险缴费。</w:t>
      </w:r>
      <w:r>
        <w:rPr>
          <w:rFonts w:ascii="??_GB2312" w:hAnsi="??_GB2312" w:cs="??_GB2312"/>
          <w:sz w:val="30"/>
          <w:szCs w:val="30"/>
        </w:rPr>
        <w:t>2019</w:t>
      </w:r>
      <w:r>
        <w:rPr>
          <w:rFonts w:hint="eastAsia" w:ascii="宋体" w:hAnsi="宋体" w:cs="宋体"/>
          <w:sz w:val="30"/>
          <w:szCs w:val="30"/>
        </w:rPr>
        <w:t>年本部门预算支出</w:t>
      </w:r>
      <w:r>
        <w:rPr>
          <w:rFonts w:ascii="??_GB2312" w:hAnsi="??_GB2312" w:cs="??_GB2312"/>
          <w:sz w:val="30"/>
          <w:szCs w:val="30"/>
        </w:rPr>
        <w:t>406976.80</w:t>
      </w:r>
      <w:r>
        <w:rPr>
          <w:rFonts w:hint="eastAsia" w:ascii="宋体" w:hAnsi="宋体" w:cs="宋体"/>
          <w:sz w:val="30"/>
          <w:szCs w:val="30"/>
        </w:rPr>
        <w:t>元，其中一般公共预算拨款支出</w:t>
      </w:r>
      <w:r>
        <w:rPr>
          <w:rFonts w:ascii="??_GB2312" w:hAnsi="??_GB2312" w:cs="??_GB2312"/>
          <w:sz w:val="30"/>
          <w:szCs w:val="30"/>
        </w:rPr>
        <w:t>406976.80</w:t>
      </w:r>
      <w:r>
        <w:rPr>
          <w:rFonts w:hint="eastAsia" w:ascii="宋体" w:hAnsi="宋体" w:cs="宋体"/>
          <w:sz w:val="30"/>
          <w:szCs w:val="30"/>
        </w:rPr>
        <w:t>元（其中</w:t>
      </w:r>
      <w:r>
        <w:rPr>
          <w:rFonts w:ascii="??_GB2312" w:hAnsi="??_GB2312" w:cs="??_GB2312"/>
          <w:sz w:val="30"/>
          <w:szCs w:val="30"/>
        </w:rPr>
        <w:t>:</w:t>
      </w:r>
      <w:r>
        <w:rPr>
          <w:rFonts w:hint="eastAsia" w:ascii="宋体" w:hAnsi="宋体" w:cs="宋体"/>
          <w:sz w:val="30"/>
          <w:szCs w:val="30"/>
        </w:rPr>
        <w:t>人员支出</w:t>
      </w:r>
      <w:r>
        <w:rPr>
          <w:rFonts w:ascii="??_GB2312" w:hAnsi="??_GB2312" w:cs="??_GB2312"/>
          <w:sz w:val="30"/>
          <w:szCs w:val="30"/>
        </w:rPr>
        <w:t>352886.80</w:t>
      </w:r>
      <w:r>
        <w:rPr>
          <w:rFonts w:hint="eastAsia" w:ascii="宋体" w:hAnsi="宋体" w:cs="宋体"/>
          <w:sz w:val="30"/>
          <w:szCs w:val="30"/>
        </w:rPr>
        <w:t>元，对个人和家庭补助支出</w:t>
      </w:r>
      <w:r>
        <w:rPr>
          <w:rFonts w:ascii="??_GB2312" w:hAnsi="??_GB2312" w:cs="??_GB2312"/>
          <w:sz w:val="30"/>
          <w:szCs w:val="30"/>
        </w:rPr>
        <w:t>20850</w:t>
      </w:r>
      <w:r>
        <w:rPr>
          <w:rFonts w:hint="eastAsia" w:ascii="宋体" w:hAnsi="宋体" w:cs="宋体"/>
          <w:sz w:val="30"/>
          <w:szCs w:val="30"/>
        </w:rPr>
        <w:t>元，商品和服务支出</w:t>
      </w:r>
      <w:r>
        <w:rPr>
          <w:rFonts w:ascii="??_GB2312" w:hAnsi="??_GB2312" w:cs="??_GB2312"/>
          <w:sz w:val="30"/>
          <w:szCs w:val="30"/>
        </w:rPr>
        <w:t>33240</w:t>
      </w:r>
      <w:r>
        <w:rPr>
          <w:rFonts w:hint="eastAsia" w:ascii="宋体" w:hAnsi="宋体" w:cs="宋体"/>
          <w:sz w:val="30"/>
          <w:szCs w:val="30"/>
        </w:rPr>
        <w:t>元）、政府性基金拨款支出</w:t>
      </w:r>
      <w:r>
        <w:rPr>
          <w:rFonts w:ascii="??_GB2312" w:hAnsi="??_GB2312" w:cs="??_GB2312"/>
          <w:sz w:val="30"/>
          <w:szCs w:val="30"/>
        </w:rPr>
        <w:t>0</w:t>
      </w:r>
      <w:r>
        <w:rPr>
          <w:rFonts w:hint="eastAsia" w:ascii="宋体" w:hAnsi="宋体" w:cs="宋体"/>
          <w:sz w:val="30"/>
          <w:szCs w:val="30"/>
        </w:rPr>
        <w:t>万元，</w:t>
      </w:r>
      <w:r>
        <w:rPr>
          <w:rFonts w:ascii="??_GB2312" w:hAnsi="??_GB2312" w:cs="??_GB2312"/>
          <w:sz w:val="30"/>
          <w:szCs w:val="30"/>
        </w:rPr>
        <w:t>2019</w:t>
      </w:r>
      <w:r>
        <w:rPr>
          <w:rFonts w:hint="eastAsia" w:ascii="宋体" w:hAnsi="宋体" w:cs="宋体"/>
          <w:sz w:val="30"/>
          <w:szCs w:val="30"/>
        </w:rPr>
        <w:t>年本部门预算支出较上年增加</w:t>
      </w:r>
      <w:r>
        <w:rPr>
          <w:rFonts w:ascii="??_GB2312" w:hAnsi="??_GB2312" w:cs="??_GB2312"/>
          <w:sz w:val="30"/>
          <w:szCs w:val="30"/>
        </w:rPr>
        <w:t>39083.72</w:t>
      </w:r>
      <w:r>
        <w:rPr>
          <w:rFonts w:hint="eastAsia" w:ascii="宋体" w:hAnsi="宋体" w:cs="宋体"/>
          <w:sz w:val="30"/>
          <w:szCs w:val="30"/>
        </w:rPr>
        <w:t>元，主要原因是增加干部养老保险缴费支出。</w:t>
      </w:r>
    </w:p>
    <w:p w14:paraId="34B7EB3E">
      <w:pPr>
        <w:spacing w:line="240" w:lineRule="atLeast"/>
        <w:ind w:firstLine="602" w:firstLineChars="200"/>
        <w:jc w:val="left"/>
        <w:rPr>
          <w:rFonts w:ascii="??_GB2312" w:hAnsi="??_GB2312" w:cs="??_GB2312"/>
          <w:b/>
          <w:bCs/>
          <w:sz w:val="30"/>
          <w:szCs w:val="30"/>
        </w:rPr>
      </w:pPr>
      <w:r>
        <w:rPr>
          <w:rFonts w:hint="eastAsia" w:ascii="宋体" w:hAnsi="宋体" w:cs="宋体"/>
          <w:b/>
          <w:bCs/>
          <w:sz w:val="30"/>
          <w:szCs w:val="30"/>
        </w:rPr>
        <w:t>（二）财政拨款收支情况。</w:t>
      </w:r>
    </w:p>
    <w:p w14:paraId="61FD9854">
      <w:pPr>
        <w:spacing w:line="240" w:lineRule="atLeast"/>
        <w:ind w:firstLine="600" w:firstLineChars="200"/>
        <w:jc w:val="left"/>
        <w:rPr>
          <w:rFonts w:ascii="??_GB2312" w:hAnsi="??_GB2312" w:cs="??_GB2312"/>
          <w:sz w:val="30"/>
          <w:szCs w:val="30"/>
        </w:rPr>
      </w:pPr>
      <w:r>
        <w:rPr>
          <w:rFonts w:ascii="??_GB2312" w:hAnsi="??_GB2312" w:cs="??_GB2312"/>
          <w:sz w:val="30"/>
          <w:szCs w:val="30"/>
        </w:rPr>
        <w:t>2019</w:t>
      </w:r>
      <w:r>
        <w:rPr>
          <w:rFonts w:hint="eastAsia" w:ascii="宋体" w:hAnsi="宋体" w:cs="宋体"/>
          <w:sz w:val="30"/>
          <w:szCs w:val="30"/>
        </w:rPr>
        <w:t>年本部门财政拨款收入</w:t>
      </w:r>
      <w:r>
        <w:rPr>
          <w:rFonts w:ascii="??_GB2312" w:hAnsi="??_GB2312" w:cs="??_GB2312"/>
          <w:sz w:val="30"/>
          <w:szCs w:val="30"/>
        </w:rPr>
        <w:t>406976.80</w:t>
      </w:r>
      <w:r>
        <w:rPr>
          <w:rFonts w:hint="eastAsia" w:ascii="宋体" w:hAnsi="宋体" w:cs="宋体"/>
          <w:sz w:val="30"/>
          <w:szCs w:val="30"/>
        </w:rPr>
        <w:t>元，其中一般公共预算拨款收入</w:t>
      </w:r>
      <w:r>
        <w:rPr>
          <w:rFonts w:ascii="??_GB2312" w:hAnsi="??_GB2312" w:cs="??_GB2312"/>
          <w:sz w:val="30"/>
          <w:szCs w:val="30"/>
        </w:rPr>
        <w:t>406976.80</w:t>
      </w:r>
      <w:r>
        <w:rPr>
          <w:rFonts w:hint="eastAsia" w:ascii="宋体" w:hAnsi="宋体" w:cs="宋体"/>
          <w:sz w:val="30"/>
          <w:szCs w:val="30"/>
        </w:rPr>
        <w:t>元、政府性基金拨款收入</w:t>
      </w:r>
      <w:r>
        <w:rPr>
          <w:rFonts w:ascii="??_GB2312" w:hAnsi="??_GB2312" w:cs="??_GB2312"/>
          <w:sz w:val="30"/>
          <w:szCs w:val="30"/>
        </w:rPr>
        <w:t>0</w:t>
      </w:r>
      <w:r>
        <w:rPr>
          <w:rFonts w:hint="eastAsia" w:ascii="宋体" w:hAnsi="宋体" w:cs="宋体"/>
          <w:sz w:val="30"/>
          <w:szCs w:val="30"/>
        </w:rPr>
        <w:t>万元，</w:t>
      </w:r>
      <w:r>
        <w:rPr>
          <w:rFonts w:ascii="??_GB2312" w:hAnsi="??_GB2312" w:cs="??_GB2312"/>
          <w:sz w:val="30"/>
          <w:szCs w:val="30"/>
        </w:rPr>
        <w:t>2019</w:t>
      </w:r>
      <w:r>
        <w:rPr>
          <w:rFonts w:hint="eastAsia" w:ascii="宋体" w:hAnsi="宋体" w:cs="宋体"/>
          <w:sz w:val="30"/>
          <w:szCs w:val="30"/>
        </w:rPr>
        <w:t>年本部门财政拨款收入较上年增加</w:t>
      </w:r>
      <w:r>
        <w:rPr>
          <w:rFonts w:ascii="??_GB2312" w:hAnsi="??_GB2312" w:cs="??_GB2312"/>
          <w:sz w:val="30"/>
          <w:szCs w:val="30"/>
        </w:rPr>
        <w:t>34433.72</w:t>
      </w:r>
      <w:r>
        <w:rPr>
          <w:rFonts w:hint="eastAsia" w:ascii="宋体" w:hAnsi="宋体" w:cs="宋体"/>
          <w:sz w:val="30"/>
          <w:szCs w:val="30"/>
        </w:rPr>
        <w:t>元，主要原因是增加干部养老保险缴费；</w:t>
      </w:r>
      <w:r>
        <w:rPr>
          <w:rFonts w:ascii="??_GB2312" w:hAnsi="??_GB2312" w:cs="??_GB2312"/>
          <w:sz w:val="30"/>
          <w:szCs w:val="30"/>
        </w:rPr>
        <w:t>2019</w:t>
      </w:r>
      <w:r>
        <w:rPr>
          <w:rFonts w:hint="eastAsia" w:ascii="宋体" w:hAnsi="宋体" w:cs="宋体"/>
          <w:sz w:val="30"/>
          <w:szCs w:val="30"/>
        </w:rPr>
        <w:t>年本部门财政拨款支出</w:t>
      </w:r>
      <w:r>
        <w:rPr>
          <w:rFonts w:ascii="??_GB2312" w:hAnsi="??_GB2312" w:cs="??_GB2312"/>
          <w:sz w:val="30"/>
          <w:szCs w:val="30"/>
        </w:rPr>
        <w:t>406976.80</w:t>
      </w:r>
      <w:r>
        <w:rPr>
          <w:rFonts w:hint="eastAsia" w:ascii="宋体" w:hAnsi="宋体" w:cs="宋体"/>
          <w:sz w:val="30"/>
          <w:szCs w:val="30"/>
        </w:rPr>
        <w:t>元，其中一般公共预算拨款支出</w:t>
      </w:r>
      <w:r>
        <w:rPr>
          <w:rFonts w:ascii="??_GB2312" w:hAnsi="??_GB2312" w:cs="??_GB2312"/>
          <w:sz w:val="30"/>
          <w:szCs w:val="30"/>
        </w:rPr>
        <w:t>406976.80</w:t>
      </w:r>
      <w:r>
        <w:rPr>
          <w:rFonts w:hint="eastAsia" w:ascii="宋体" w:hAnsi="宋体" w:cs="宋体"/>
          <w:sz w:val="30"/>
          <w:szCs w:val="30"/>
        </w:rPr>
        <w:t>元、政府性基金拨款支出</w:t>
      </w:r>
      <w:r>
        <w:rPr>
          <w:rFonts w:ascii="??_GB2312" w:hAnsi="??_GB2312" w:cs="??_GB2312"/>
          <w:sz w:val="30"/>
          <w:szCs w:val="30"/>
        </w:rPr>
        <w:t>0</w:t>
      </w:r>
      <w:r>
        <w:rPr>
          <w:rFonts w:hint="eastAsia" w:ascii="宋体" w:hAnsi="宋体" w:cs="宋体"/>
          <w:sz w:val="30"/>
          <w:szCs w:val="30"/>
        </w:rPr>
        <w:t>万元，</w:t>
      </w:r>
      <w:r>
        <w:rPr>
          <w:rFonts w:ascii="??_GB2312" w:hAnsi="??_GB2312" w:cs="??_GB2312"/>
          <w:sz w:val="30"/>
          <w:szCs w:val="30"/>
        </w:rPr>
        <w:t>2019</w:t>
      </w:r>
      <w:r>
        <w:rPr>
          <w:rFonts w:hint="eastAsia" w:ascii="宋体" w:hAnsi="宋体" w:cs="宋体"/>
          <w:sz w:val="30"/>
          <w:szCs w:val="30"/>
        </w:rPr>
        <w:t>年本部门财政拨款支出较上年增加</w:t>
      </w:r>
      <w:r>
        <w:rPr>
          <w:rFonts w:ascii="??_GB2312" w:hAnsi="??_GB2312" w:cs="??_GB2312"/>
          <w:sz w:val="30"/>
          <w:szCs w:val="30"/>
        </w:rPr>
        <w:t>39083.72</w:t>
      </w:r>
      <w:r>
        <w:rPr>
          <w:rFonts w:hint="eastAsia" w:ascii="宋体" w:hAnsi="宋体" w:cs="宋体"/>
          <w:sz w:val="30"/>
          <w:szCs w:val="30"/>
        </w:rPr>
        <w:t>元，主要原因是增加干部养老保险缴费支出。</w:t>
      </w:r>
    </w:p>
    <w:p w14:paraId="39431834">
      <w:pPr>
        <w:spacing w:line="240" w:lineRule="atLeast"/>
        <w:ind w:firstLine="602" w:firstLineChars="200"/>
        <w:jc w:val="left"/>
        <w:rPr>
          <w:rFonts w:ascii="??_GB2312" w:hAnsi="??_GB2312" w:cs="??_GB2312"/>
          <w:b/>
          <w:bCs/>
          <w:sz w:val="30"/>
          <w:szCs w:val="30"/>
        </w:rPr>
      </w:pPr>
      <w:r>
        <w:rPr>
          <w:rFonts w:hint="eastAsia" w:ascii="宋体" w:hAnsi="宋体" w:cs="宋体"/>
          <w:b/>
          <w:bCs/>
          <w:sz w:val="30"/>
          <w:szCs w:val="30"/>
        </w:rPr>
        <w:t>（三）一般公共预算拨款支出明细情况。</w:t>
      </w:r>
    </w:p>
    <w:p w14:paraId="0CEACA70">
      <w:pPr>
        <w:spacing w:line="240" w:lineRule="atLeast"/>
        <w:ind w:firstLine="602" w:firstLineChars="200"/>
        <w:jc w:val="left"/>
        <w:rPr>
          <w:rFonts w:ascii="??_GB2312" w:hAnsi="??_GB2312" w:cs="??_GB2312"/>
          <w:sz w:val="30"/>
          <w:szCs w:val="30"/>
        </w:rPr>
      </w:pPr>
      <w:r>
        <w:rPr>
          <w:rFonts w:ascii="??_GB2312" w:hAnsi="??_GB2312" w:cs="??_GB2312"/>
          <w:b/>
          <w:bCs/>
          <w:sz w:val="30"/>
          <w:szCs w:val="30"/>
        </w:rPr>
        <w:t>1</w:t>
      </w:r>
      <w:r>
        <w:rPr>
          <w:rFonts w:hint="eastAsia" w:ascii="宋体" w:hAnsi="宋体" w:cs="宋体"/>
          <w:b/>
          <w:bCs/>
          <w:sz w:val="30"/>
          <w:szCs w:val="30"/>
        </w:rPr>
        <w:t>、一般公共预算当年拨款规模变化情况。</w:t>
      </w:r>
    </w:p>
    <w:p w14:paraId="34AC2ABA">
      <w:pPr>
        <w:spacing w:line="240" w:lineRule="atLeast"/>
        <w:ind w:firstLine="600" w:firstLineChars="200"/>
        <w:jc w:val="left"/>
        <w:rPr>
          <w:rFonts w:ascii="??_GB2312" w:hAnsi="??_GB2312" w:cs="??_GB2312"/>
          <w:sz w:val="30"/>
          <w:szCs w:val="30"/>
        </w:rPr>
      </w:pPr>
      <w:r>
        <w:rPr>
          <w:rFonts w:ascii="??_GB2312" w:hAnsi="??_GB2312" w:cs="??_GB2312"/>
          <w:sz w:val="30"/>
          <w:szCs w:val="30"/>
        </w:rPr>
        <w:t>2019</w:t>
      </w:r>
      <w:r>
        <w:rPr>
          <w:rFonts w:hint="eastAsia" w:ascii="宋体" w:hAnsi="宋体" w:cs="宋体"/>
          <w:sz w:val="30"/>
          <w:szCs w:val="30"/>
        </w:rPr>
        <w:t>年本部门一般公共预算拨款支出</w:t>
      </w:r>
      <w:r>
        <w:rPr>
          <w:rFonts w:ascii="??_GB2312" w:hAnsi="??_GB2312" w:cs="??_GB2312"/>
          <w:sz w:val="30"/>
          <w:szCs w:val="30"/>
        </w:rPr>
        <w:t>406976.80</w:t>
      </w:r>
      <w:r>
        <w:rPr>
          <w:rFonts w:hint="eastAsia" w:ascii="宋体" w:hAnsi="宋体" w:cs="宋体"/>
          <w:sz w:val="30"/>
          <w:szCs w:val="30"/>
        </w:rPr>
        <w:t>元，较上年增加</w:t>
      </w:r>
      <w:r>
        <w:rPr>
          <w:rFonts w:ascii="??_GB2312" w:hAnsi="??_GB2312" w:cs="??_GB2312"/>
          <w:sz w:val="30"/>
          <w:szCs w:val="30"/>
        </w:rPr>
        <w:t>34433.72</w:t>
      </w:r>
      <w:r>
        <w:rPr>
          <w:rFonts w:hint="eastAsia" w:ascii="宋体" w:hAnsi="宋体" w:cs="宋体"/>
          <w:sz w:val="30"/>
          <w:szCs w:val="30"/>
        </w:rPr>
        <w:t>元，主要原因是增加干部养老保险缴费支出。</w:t>
      </w:r>
    </w:p>
    <w:p w14:paraId="27081A12">
      <w:pPr>
        <w:numPr>
          <w:ilvl w:val="0"/>
          <w:numId w:val="1"/>
        </w:numPr>
        <w:spacing w:line="240" w:lineRule="atLeast"/>
        <w:ind w:firstLine="602" w:firstLineChars="200"/>
        <w:jc w:val="left"/>
        <w:rPr>
          <w:rFonts w:ascii="??_GB2312" w:hAnsi="??_GB2312" w:cs="??_GB2312"/>
          <w:b/>
          <w:bCs/>
          <w:sz w:val="30"/>
          <w:szCs w:val="30"/>
        </w:rPr>
      </w:pPr>
      <w:r>
        <w:rPr>
          <w:rFonts w:hint="eastAsia" w:ascii="宋体" w:hAnsi="宋体" w:cs="宋体"/>
          <w:b/>
          <w:bCs/>
          <w:sz w:val="30"/>
          <w:szCs w:val="30"/>
        </w:rPr>
        <w:t>支出按功能科目分类的明细情况。</w:t>
      </w:r>
    </w:p>
    <w:p w14:paraId="15CAF0A3">
      <w:pPr>
        <w:spacing w:line="240" w:lineRule="atLeast"/>
        <w:ind w:firstLine="600" w:firstLineChars="200"/>
        <w:jc w:val="left"/>
        <w:rPr>
          <w:rFonts w:ascii="??_GB2312" w:hAnsi="??_GB2312" w:cs="??_GB2312"/>
          <w:sz w:val="30"/>
          <w:szCs w:val="30"/>
        </w:rPr>
      </w:pPr>
      <w:r>
        <w:rPr>
          <w:rFonts w:hint="eastAsia" w:ascii="宋体" w:hAnsi="宋体" w:cs="宋体"/>
          <w:sz w:val="30"/>
          <w:szCs w:val="30"/>
        </w:rPr>
        <w:t>本部门</w:t>
      </w:r>
      <w:r>
        <w:rPr>
          <w:rFonts w:ascii="??_GB2312" w:hAnsi="??_GB2312" w:cs="??_GB2312"/>
          <w:sz w:val="30"/>
          <w:szCs w:val="30"/>
        </w:rPr>
        <w:t>2019</w:t>
      </w:r>
      <w:r>
        <w:rPr>
          <w:rFonts w:hint="eastAsia" w:ascii="宋体" w:hAnsi="宋体" w:cs="宋体"/>
          <w:sz w:val="30"/>
          <w:szCs w:val="30"/>
        </w:rPr>
        <w:t>年一般公共预算支出</w:t>
      </w:r>
      <w:r>
        <w:rPr>
          <w:rFonts w:ascii="??_GB2312" w:hAnsi="??_GB2312" w:cs="??_GB2312"/>
          <w:sz w:val="30"/>
          <w:szCs w:val="30"/>
        </w:rPr>
        <w:t>406976.80</w:t>
      </w:r>
      <w:r>
        <w:rPr>
          <w:rFonts w:hint="eastAsia" w:ascii="宋体" w:hAnsi="宋体" w:cs="宋体"/>
          <w:sz w:val="30"/>
          <w:szCs w:val="30"/>
        </w:rPr>
        <w:t>元，其中：</w:t>
      </w:r>
    </w:p>
    <w:p w14:paraId="58095184">
      <w:pPr>
        <w:spacing w:line="240" w:lineRule="atLeast"/>
        <w:ind w:firstLine="600" w:firstLineChars="200"/>
        <w:jc w:val="left"/>
        <w:rPr>
          <w:rFonts w:ascii="??_GB2312" w:hAnsi="??_GB2312" w:cs="??_GB2312"/>
          <w:sz w:val="30"/>
          <w:szCs w:val="30"/>
        </w:rPr>
      </w:pPr>
      <w:r>
        <w:rPr>
          <w:rFonts w:hint="eastAsia" w:ascii="宋体" w:hAnsi="宋体" w:cs="宋体"/>
          <w:sz w:val="30"/>
          <w:szCs w:val="30"/>
        </w:rPr>
        <w:t>（</w:t>
      </w:r>
      <w:r>
        <w:rPr>
          <w:rFonts w:ascii="??_GB2312" w:hAnsi="??_GB2312" w:cs="??_GB2312"/>
          <w:sz w:val="30"/>
          <w:szCs w:val="30"/>
        </w:rPr>
        <w:t>1</w:t>
      </w:r>
      <w:r>
        <w:rPr>
          <w:rFonts w:hint="eastAsia" w:ascii="宋体" w:hAnsi="宋体" w:cs="宋体"/>
          <w:sz w:val="30"/>
          <w:szCs w:val="30"/>
        </w:rPr>
        <w:t>）行政运行（</w:t>
      </w:r>
      <w:r>
        <w:rPr>
          <w:rFonts w:ascii="??_GB2312" w:hAnsi="??_GB2312" w:cs="??_GB2312"/>
          <w:sz w:val="30"/>
          <w:szCs w:val="30"/>
        </w:rPr>
        <w:t>2010601</w:t>
      </w:r>
      <w:r>
        <w:rPr>
          <w:rFonts w:hint="eastAsia" w:ascii="宋体" w:hAnsi="宋体" w:cs="宋体"/>
          <w:sz w:val="30"/>
          <w:szCs w:val="30"/>
        </w:rPr>
        <w:t>）</w:t>
      </w:r>
      <w:r>
        <w:rPr>
          <w:rFonts w:ascii="??_GB2312" w:hAnsi="??_GB2312" w:cs="??_GB2312"/>
          <w:sz w:val="30"/>
          <w:szCs w:val="30"/>
        </w:rPr>
        <w:t>406976.80</w:t>
      </w:r>
      <w:r>
        <w:rPr>
          <w:rFonts w:hint="eastAsia" w:ascii="宋体" w:hAnsi="宋体" w:cs="宋体"/>
          <w:sz w:val="30"/>
          <w:szCs w:val="30"/>
        </w:rPr>
        <w:t>元（其中</w:t>
      </w:r>
      <w:r>
        <w:rPr>
          <w:rFonts w:ascii="??_GB2312" w:hAnsi="??_GB2312" w:cs="??_GB2312"/>
          <w:sz w:val="30"/>
          <w:szCs w:val="30"/>
        </w:rPr>
        <w:t>:</w:t>
      </w:r>
      <w:r>
        <w:rPr>
          <w:rFonts w:hint="eastAsia" w:ascii="宋体" w:hAnsi="宋体" w:cs="宋体"/>
          <w:sz w:val="30"/>
          <w:szCs w:val="30"/>
        </w:rPr>
        <w:t>人员支出</w:t>
      </w:r>
      <w:r>
        <w:rPr>
          <w:rFonts w:ascii="??_GB2312" w:hAnsi="??_GB2312" w:cs="??_GB2312"/>
          <w:sz w:val="30"/>
          <w:szCs w:val="30"/>
        </w:rPr>
        <w:t>352886.80</w:t>
      </w:r>
      <w:r>
        <w:rPr>
          <w:rFonts w:hint="eastAsia" w:ascii="宋体" w:hAnsi="宋体" w:cs="宋体"/>
          <w:sz w:val="30"/>
          <w:szCs w:val="30"/>
        </w:rPr>
        <w:t>元，对个人和家庭补助支出</w:t>
      </w:r>
      <w:r>
        <w:rPr>
          <w:rFonts w:ascii="??_GB2312" w:hAnsi="??_GB2312" w:cs="??_GB2312"/>
          <w:sz w:val="30"/>
          <w:szCs w:val="30"/>
        </w:rPr>
        <w:t>20850</w:t>
      </w:r>
      <w:r>
        <w:rPr>
          <w:rFonts w:hint="eastAsia" w:ascii="宋体" w:hAnsi="宋体" w:cs="宋体"/>
          <w:sz w:val="30"/>
          <w:szCs w:val="30"/>
        </w:rPr>
        <w:t>元，商品和服务支出</w:t>
      </w:r>
      <w:r>
        <w:rPr>
          <w:rFonts w:ascii="??_GB2312" w:hAnsi="??_GB2312" w:cs="??_GB2312"/>
          <w:sz w:val="30"/>
          <w:szCs w:val="30"/>
        </w:rPr>
        <w:t>33240</w:t>
      </w:r>
      <w:r>
        <w:rPr>
          <w:rFonts w:hint="eastAsia" w:ascii="宋体" w:hAnsi="宋体" w:cs="宋体"/>
          <w:sz w:val="30"/>
          <w:szCs w:val="30"/>
        </w:rPr>
        <w:t>元），较上年增加</w:t>
      </w:r>
      <w:r>
        <w:rPr>
          <w:rFonts w:ascii="??_GB2312" w:hAnsi="??_GB2312" w:cs="??_GB2312"/>
          <w:sz w:val="30"/>
          <w:szCs w:val="30"/>
        </w:rPr>
        <w:t>34433.72</w:t>
      </w:r>
      <w:r>
        <w:rPr>
          <w:rFonts w:hint="eastAsia" w:ascii="宋体" w:hAnsi="宋体" w:cs="宋体"/>
          <w:sz w:val="30"/>
          <w:szCs w:val="30"/>
        </w:rPr>
        <w:t>元，主要原因是增加干部养老保险缴费支出；</w:t>
      </w:r>
    </w:p>
    <w:p w14:paraId="1615C105">
      <w:pPr>
        <w:spacing w:line="240" w:lineRule="atLeast"/>
        <w:ind w:firstLine="600" w:firstLineChars="200"/>
        <w:jc w:val="left"/>
        <w:rPr>
          <w:rFonts w:ascii="??_GB2312" w:hAnsi="??_GB2312" w:cs="??_GB2312"/>
          <w:sz w:val="30"/>
          <w:szCs w:val="30"/>
        </w:rPr>
      </w:pPr>
      <w:r>
        <w:rPr>
          <w:rFonts w:hint="eastAsia" w:ascii="宋体" w:hAnsi="宋体" w:cs="宋体"/>
          <w:sz w:val="30"/>
          <w:szCs w:val="30"/>
        </w:rPr>
        <w:t>（</w:t>
      </w:r>
      <w:r>
        <w:rPr>
          <w:rFonts w:ascii="??_GB2312" w:hAnsi="??_GB2312" w:cs="??_GB2312"/>
          <w:sz w:val="30"/>
          <w:szCs w:val="30"/>
        </w:rPr>
        <w:t>2</w:t>
      </w:r>
      <w:r>
        <w:rPr>
          <w:rFonts w:hint="eastAsia" w:ascii="宋体" w:hAnsi="宋体" w:cs="宋体"/>
          <w:sz w:val="30"/>
          <w:szCs w:val="30"/>
        </w:rPr>
        <w:t>）事业运行（</w:t>
      </w:r>
      <w:r>
        <w:rPr>
          <w:rFonts w:ascii="??_GB2312" w:hAnsi="??_GB2312" w:cs="??_GB2312"/>
          <w:sz w:val="30"/>
          <w:szCs w:val="30"/>
        </w:rPr>
        <w:t>2010650</w:t>
      </w:r>
      <w:r>
        <w:rPr>
          <w:rFonts w:hint="eastAsia" w:ascii="宋体" w:hAnsi="宋体" w:cs="宋体"/>
          <w:sz w:val="30"/>
          <w:szCs w:val="30"/>
        </w:rPr>
        <w:t>）</w:t>
      </w:r>
      <w:r>
        <w:rPr>
          <w:rFonts w:ascii="??_GB2312" w:hAnsi="??_GB2312" w:cs="??_GB2312"/>
          <w:sz w:val="30"/>
          <w:szCs w:val="30"/>
        </w:rPr>
        <w:t>0</w:t>
      </w:r>
      <w:r>
        <w:rPr>
          <w:rFonts w:hint="eastAsia" w:ascii="宋体" w:hAnsi="宋体" w:cs="宋体"/>
          <w:sz w:val="30"/>
          <w:szCs w:val="30"/>
        </w:rPr>
        <w:t>元；</w:t>
      </w:r>
    </w:p>
    <w:p w14:paraId="18121837">
      <w:pPr>
        <w:spacing w:line="240" w:lineRule="atLeast"/>
        <w:ind w:firstLine="600" w:firstLineChars="200"/>
        <w:jc w:val="left"/>
        <w:rPr>
          <w:rFonts w:ascii="??_GB2312" w:hAnsi="??_GB2312" w:cs="??_GB2312"/>
          <w:sz w:val="30"/>
          <w:szCs w:val="30"/>
        </w:rPr>
      </w:pPr>
      <w:r>
        <w:rPr>
          <w:rFonts w:hint="eastAsia" w:ascii="宋体" w:hAnsi="宋体" w:cs="宋体"/>
          <w:sz w:val="30"/>
          <w:szCs w:val="30"/>
        </w:rPr>
        <w:t>（</w:t>
      </w:r>
      <w:r>
        <w:rPr>
          <w:rFonts w:ascii="??_GB2312" w:hAnsi="??_GB2312" w:cs="??_GB2312"/>
          <w:sz w:val="30"/>
          <w:szCs w:val="30"/>
        </w:rPr>
        <w:t>3</w:t>
      </w:r>
      <w:r>
        <w:rPr>
          <w:rFonts w:hint="eastAsia" w:ascii="宋体" w:hAnsi="宋体" w:cs="宋体"/>
          <w:sz w:val="30"/>
          <w:szCs w:val="30"/>
        </w:rPr>
        <w:t>）机构运行（</w:t>
      </w:r>
      <w:r>
        <w:rPr>
          <w:rFonts w:ascii="??_GB2312" w:hAnsi="??_GB2312" w:cs="??_GB2312"/>
          <w:sz w:val="30"/>
          <w:szCs w:val="30"/>
        </w:rPr>
        <w:t>2130601</w:t>
      </w:r>
      <w:r>
        <w:rPr>
          <w:rFonts w:hint="eastAsia" w:ascii="宋体" w:hAnsi="宋体" w:cs="宋体"/>
          <w:sz w:val="30"/>
          <w:szCs w:val="30"/>
        </w:rPr>
        <w:t>）</w:t>
      </w:r>
      <w:r>
        <w:rPr>
          <w:rFonts w:ascii="??_GB2312" w:hAnsi="??_GB2312" w:cs="??_GB2312"/>
          <w:sz w:val="30"/>
          <w:szCs w:val="30"/>
        </w:rPr>
        <w:t>0</w:t>
      </w:r>
      <w:r>
        <w:rPr>
          <w:rFonts w:hint="eastAsia" w:ascii="宋体" w:hAnsi="宋体" w:cs="宋体"/>
          <w:sz w:val="30"/>
          <w:szCs w:val="30"/>
        </w:rPr>
        <w:t>元；</w:t>
      </w:r>
    </w:p>
    <w:p w14:paraId="0CB85760">
      <w:pPr>
        <w:spacing w:line="240" w:lineRule="atLeast"/>
        <w:ind w:firstLine="600" w:firstLineChars="200"/>
        <w:jc w:val="left"/>
        <w:rPr>
          <w:rFonts w:ascii="??_GB2312" w:hAnsi="??_GB2312" w:cs="??_GB2312"/>
          <w:sz w:val="30"/>
          <w:szCs w:val="30"/>
        </w:rPr>
      </w:pPr>
      <w:r>
        <w:rPr>
          <w:rFonts w:hint="eastAsia" w:ascii="宋体" w:hAnsi="宋体" w:cs="宋体"/>
          <w:sz w:val="30"/>
          <w:szCs w:val="30"/>
        </w:rPr>
        <w:t>（</w:t>
      </w:r>
      <w:r>
        <w:rPr>
          <w:rFonts w:ascii="??_GB2312" w:hAnsi="??_GB2312" w:cs="??_GB2312"/>
          <w:sz w:val="30"/>
          <w:szCs w:val="30"/>
        </w:rPr>
        <w:t>4</w:t>
      </w:r>
      <w:r>
        <w:rPr>
          <w:rFonts w:hint="eastAsia" w:ascii="宋体" w:hAnsi="宋体" w:cs="宋体"/>
          <w:sz w:val="30"/>
          <w:szCs w:val="30"/>
        </w:rPr>
        <w:t>）一般行政管理事务（</w:t>
      </w:r>
      <w:r>
        <w:rPr>
          <w:rFonts w:ascii="??_GB2312" w:hAnsi="??_GB2312" w:cs="??_GB2312"/>
          <w:sz w:val="30"/>
          <w:szCs w:val="30"/>
        </w:rPr>
        <w:t>2010602</w:t>
      </w:r>
      <w:r>
        <w:rPr>
          <w:rFonts w:hint="eastAsia" w:ascii="宋体" w:hAnsi="宋体" w:cs="宋体"/>
          <w:sz w:val="30"/>
          <w:szCs w:val="30"/>
        </w:rPr>
        <w:t>）</w:t>
      </w:r>
      <w:r>
        <w:rPr>
          <w:rFonts w:ascii="??_GB2312" w:hAnsi="??_GB2312" w:cs="??_GB2312"/>
          <w:sz w:val="30"/>
          <w:szCs w:val="30"/>
        </w:rPr>
        <w:t>0</w:t>
      </w:r>
      <w:r>
        <w:rPr>
          <w:rFonts w:hint="eastAsia" w:ascii="宋体" w:hAnsi="宋体" w:cs="宋体"/>
          <w:sz w:val="30"/>
          <w:szCs w:val="30"/>
        </w:rPr>
        <w:t>元。</w:t>
      </w:r>
    </w:p>
    <w:p w14:paraId="420A6BB7">
      <w:pPr>
        <w:spacing w:line="240" w:lineRule="atLeast"/>
        <w:ind w:firstLine="602" w:firstLineChars="200"/>
        <w:jc w:val="left"/>
        <w:rPr>
          <w:rFonts w:ascii="??_GB2312" w:hAnsi="??_GB2312" w:cs="??_GB2312"/>
          <w:b/>
          <w:bCs/>
          <w:sz w:val="30"/>
          <w:szCs w:val="30"/>
        </w:rPr>
      </w:pPr>
      <w:r>
        <w:rPr>
          <w:rFonts w:ascii="??_GB2312" w:hAnsi="??_GB2312" w:cs="??_GB2312"/>
          <w:b/>
          <w:bCs/>
          <w:sz w:val="30"/>
          <w:szCs w:val="30"/>
        </w:rPr>
        <w:t>3</w:t>
      </w:r>
      <w:r>
        <w:rPr>
          <w:rFonts w:hint="eastAsia" w:ascii="宋体" w:hAnsi="宋体" w:cs="宋体"/>
          <w:b/>
          <w:bCs/>
          <w:sz w:val="30"/>
          <w:szCs w:val="30"/>
        </w:rPr>
        <w:t>、支出按经济科目分类的明细情况</w:t>
      </w:r>
    </w:p>
    <w:p w14:paraId="4A0A284E">
      <w:pPr>
        <w:spacing w:line="240" w:lineRule="atLeast"/>
        <w:ind w:firstLine="602" w:firstLineChars="200"/>
        <w:jc w:val="left"/>
        <w:rPr>
          <w:rFonts w:ascii="??_GB2312" w:hAnsi="??_GB2312" w:cs="??_GB2312"/>
          <w:sz w:val="30"/>
          <w:szCs w:val="30"/>
        </w:rPr>
      </w:pPr>
      <w:r>
        <w:rPr>
          <w:rFonts w:hint="eastAsia" w:ascii="宋体" w:hAnsi="宋体" w:cs="宋体"/>
          <w:b/>
          <w:bCs/>
          <w:sz w:val="30"/>
          <w:szCs w:val="30"/>
        </w:rPr>
        <w:t>（</w:t>
      </w:r>
      <w:r>
        <w:rPr>
          <w:rFonts w:ascii="??_GB2312" w:hAnsi="??_GB2312" w:cs="??_GB2312"/>
          <w:b/>
          <w:bCs/>
          <w:sz w:val="30"/>
          <w:szCs w:val="30"/>
        </w:rPr>
        <w:t>1</w:t>
      </w:r>
      <w:r>
        <w:rPr>
          <w:rFonts w:hint="eastAsia" w:ascii="宋体" w:hAnsi="宋体" w:cs="宋体"/>
          <w:b/>
          <w:bCs/>
          <w:sz w:val="30"/>
          <w:szCs w:val="30"/>
        </w:rPr>
        <w:t>）按照部门预算支出经济分类的类级科目说明</w:t>
      </w:r>
      <w:r>
        <w:rPr>
          <w:rFonts w:hint="eastAsia" w:ascii="宋体" w:hAnsi="宋体" w:cs="宋体"/>
          <w:sz w:val="30"/>
          <w:szCs w:val="30"/>
        </w:rPr>
        <w:t>：</w:t>
      </w:r>
    </w:p>
    <w:p w14:paraId="0F1FD1E0">
      <w:pPr>
        <w:spacing w:line="240" w:lineRule="atLeast"/>
        <w:ind w:firstLine="600" w:firstLineChars="200"/>
        <w:jc w:val="left"/>
        <w:rPr>
          <w:rFonts w:ascii="??_GB2312" w:hAnsi="??_GB2312" w:cs="??_GB2312"/>
          <w:sz w:val="30"/>
          <w:szCs w:val="30"/>
        </w:rPr>
      </w:pPr>
      <w:r>
        <w:rPr>
          <w:rFonts w:ascii="??_GB2312" w:hAnsi="??_GB2312" w:cs="??_GB2312"/>
          <w:sz w:val="30"/>
          <w:szCs w:val="30"/>
        </w:rPr>
        <w:t>2019</w:t>
      </w:r>
      <w:r>
        <w:rPr>
          <w:rFonts w:hint="eastAsia" w:ascii="宋体" w:hAnsi="宋体" w:cs="宋体"/>
          <w:sz w:val="30"/>
          <w:szCs w:val="30"/>
        </w:rPr>
        <w:t>年本部门一般公共预算支出</w:t>
      </w:r>
      <w:r>
        <w:rPr>
          <w:rFonts w:ascii="??_GB2312" w:hAnsi="??_GB2312" w:cs="??_GB2312"/>
          <w:sz w:val="30"/>
          <w:szCs w:val="30"/>
        </w:rPr>
        <w:t>406976.80</w:t>
      </w:r>
      <w:r>
        <w:rPr>
          <w:rFonts w:hint="eastAsia" w:ascii="宋体" w:hAnsi="宋体" w:cs="宋体"/>
          <w:sz w:val="30"/>
          <w:szCs w:val="30"/>
        </w:rPr>
        <w:t>元，其中：</w:t>
      </w:r>
    </w:p>
    <w:p w14:paraId="198E9D2B">
      <w:pPr>
        <w:spacing w:line="240" w:lineRule="atLeast"/>
        <w:ind w:firstLine="600" w:firstLineChars="200"/>
        <w:jc w:val="left"/>
        <w:rPr>
          <w:rFonts w:ascii="??_GB2312" w:hAnsi="??_GB2312" w:cs="??_GB2312"/>
          <w:sz w:val="30"/>
          <w:szCs w:val="30"/>
        </w:rPr>
      </w:pPr>
      <w:r>
        <w:rPr>
          <w:rFonts w:hint="eastAsia" w:ascii="宋体" w:hAnsi="宋体" w:cs="宋体"/>
          <w:sz w:val="30"/>
          <w:szCs w:val="30"/>
        </w:rPr>
        <w:t>工资福利支出（</w:t>
      </w:r>
      <w:r>
        <w:rPr>
          <w:rFonts w:ascii="??_GB2312" w:hAnsi="??_GB2312" w:cs="??_GB2312"/>
          <w:sz w:val="30"/>
          <w:szCs w:val="30"/>
        </w:rPr>
        <w:t>301</w:t>
      </w:r>
      <w:r>
        <w:rPr>
          <w:rFonts w:hint="eastAsia" w:ascii="宋体" w:hAnsi="宋体" w:cs="宋体"/>
          <w:sz w:val="30"/>
          <w:szCs w:val="30"/>
        </w:rPr>
        <w:t>）</w:t>
      </w:r>
      <w:r>
        <w:rPr>
          <w:rFonts w:ascii="??_GB2312" w:hAnsi="??_GB2312" w:cs="??_GB2312"/>
          <w:sz w:val="30"/>
          <w:szCs w:val="30"/>
        </w:rPr>
        <w:t>352886.80</w:t>
      </w:r>
      <w:r>
        <w:rPr>
          <w:rFonts w:hint="eastAsia" w:ascii="宋体" w:hAnsi="宋体" w:cs="宋体"/>
          <w:sz w:val="30"/>
          <w:szCs w:val="30"/>
        </w:rPr>
        <w:t>元，较上年</w:t>
      </w:r>
      <w:r>
        <w:rPr>
          <w:rFonts w:ascii="??_GB2312" w:hAnsi="??_GB2312" w:cs="??_GB2312"/>
          <w:sz w:val="30"/>
          <w:szCs w:val="30"/>
        </w:rPr>
        <w:t>306323.08</w:t>
      </w:r>
      <w:r>
        <w:rPr>
          <w:rFonts w:hint="eastAsia" w:ascii="宋体" w:hAnsi="宋体" w:cs="宋体"/>
          <w:sz w:val="30"/>
          <w:szCs w:val="30"/>
        </w:rPr>
        <w:t>增加</w:t>
      </w:r>
      <w:r>
        <w:rPr>
          <w:rFonts w:ascii="??_GB2312" w:hAnsi="??_GB2312" w:cs="??_GB2312"/>
          <w:sz w:val="30"/>
          <w:szCs w:val="30"/>
        </w:rPr>
        <w:t>46563.72</w:t>
      </w:r>
      <w:r>
        <w:rPr>
          <w:rFonts w:hint="eastAsia" w:ascii="宋体" w:hAnsi="宋体" w:cs="宋体"/>
          <w:sz w:val="30"/>
          <w:szCs w:val="30"/>
        </w:rPr>
        <w:t>元，原因是增加干部养老保险缴费；</w:t>
      </w:r>
    </w:p>
    <w:p w14:paraId="54D19A6B">
      <w:pPr>
        <w:spacing w:line="240" w:lineRule="atLeast"/>
        <w:ind w:firstLine="600" w:firstLineChars="200"/>
        <w:jc w:val="left"/>
        <w:rPr>
          <w:rFonts w:ascii="??_GB2312" w:hAnsi="??_GB2312" w:cs="??_GB2312"/>
          <w:sz w:val="30"/>
          <w:szCs w:val="30"/>
        </w:rPr>
      </w:pPr>
      <w:r>
        <w:rPr>
          <w:rFonts w:hint="eastAsia" w:ascii="宋体" w:hAnsi="宋体" w:cs="宋体"/>
          <w:sz w:val="30"/>
          <w:szCs w:val="30"/>
        </w:rPr>
        <w:t>商品和服务支出（</w:t>
      </w:r>
      <w:r>
        <w:rPr>
          <w:rFonts w:ascii="??_GB2312" w:hAnsi="??_GB2312" w:cs="??_GB2312"/>
          <w:sz w:val="30"/>
          <w:szCs w:val="30"/>
        </w:rPr>
        <w:t>302</w:t>
      </w:r>
      <w:r>
        <w:rPr>
          <w:rFonts w:hint="eastAsia" w:ascii="宋体" w:hAnsi="宋体" w:cs="宋体"/>
          <w:sz w:val="30"/>
          <w:szCs w:val="30"/>
        </w:rPr>
        <w:t>）</w:t>
      </w:r>
      <w:r>
        <w:rPr>
          <w:rFonts w:ascii="??_GB2312" w:hAnsi="??_GB2312" w:cs="??_GB2312"/>
          <w:sz w:val="30"/>
          <w:szCs w:val="30"/>
        </w:rPr>
        <w:t>33240</w:t>
      </w:r>
      <w:r>
        <w:rPr>
          <w:rFonts w:hint="eastAsia" w:ascii="宋体" w:hAnsi="宋体" w:cs="宋体"/>
          <w:sz w:val="30"/>
          <w:szCs w:val="30"/>
        </w:rPr>
        <w:t>元，较上年</w:t>
      </w:r>
      <w:r>
        <w:rPr>
          <w:rFonts w:ascii="??_GB2312" w:hAnsi="??_GB2312" w:cs="??_GB2312"/>
          <w:sz w:val="30"/>
          <w:szCs w:val="30"/>
        </w:rPr>
        <w:t>44320</w:t>
      </w:r>
      <w:r>
        <w:rPr>
          <w:rFonts w:hint="eastAsia" w:ascii="宋体" w:hAnsi="宋体" w:cs="宋体"/>
          <w:sz w:val="30"/>
          <w:szCs w:val="30"/>
        </w:rPr>
        <w:t>元减少</w:t>
      </w:r>
      <w:r>
        <w:rPr>
          <w:rFonts w:ascii="??_GB2312" w:hAnsi="??_GB2312" w:cs="??_GB2312"/>
          <w:sz w:val="30"/>
          <w:szCs w:val="30"/>
        </w:rPr>
        <w:t>11080</w:t>
      </w:r>
      <w:r>
        <w:rPr>
          <w:rFonts w:hint="eastAsia" w:ascii="宋体" w:hAnsi="宋体" w:cs="宋体"/>
          <w:sz w:val="30"/>
          <w:szCs w:val="30"/>
        </w:rPr>
        <w:t>元，原因是退休</w:t>
      </w:r>
      <w:r>
        <w:rPr>
          <w:rFonts w:ascii="??_GB2312" w:hAnsi="??_GB2312" w:cs="??_GB2312"/>
          <w:sz w:val="30"/>
          <w:szCs w:val="30"/>
        </w:rPr>
        <w:t>1</w:t>
      </w:r>
      <w:r>
        <w:rPr>
          <w:rFonts w:hint="eastAsia" w:ascii="宋体" w:hAnsi="宋体" w:cs="宋体"/>
          <w:sz w:val="30"/>
          <w:szCs w:val="30"/>
        </w:rPr>
        <w:t>人的公用经费及车补；</w:t>
      </w:r>
    </w:p>
    <w:p w14:paraId="656AFF20">
      <w:pPr>
        <w:spacing w:line="240" w:lineRule="atLeast"/>
        <w:ind w:firstLine="600" w:firstLineChars="200"/>
        <w:jc w:val="left"/>
        <w:rPr>
          <w:rFonts w:ascii="??_GB2312" w:hAnsi="??_GB2312" w:cs="??_GB2312"/>
          <w:sz w:val="30"/>
          <w:szCs w:val="30"/>
        </w:rPr>
      </w:pPr>
      <w:r>
        <w:rPr>
          <w:rFonts w:hint="eastAsia" w:ascii="宋体" w:hAnsi="宋体" w:cs="宋体"/>
          <w:sz w:val="30"/>
          <w:szCs w:val="30"/>
        </w:rPr>
        <w:t>对个人和家庭的补助支出（</w:t>
      </w:r>
      <w:r>
        <w:rPr>
          <w:rFonts w:ascii="??_GB2312" w:hAnsi="??_GB2312" w:cs="??_GB2312"/>
          <w:sz w:val="30"/>
          <w:szCs w:val="30"/>
        </w:rPr>
        <w:t>303</w:t>
      </w:r>
      <w:r>
        <w:rPr>
          <w:rFonts w:hint="eastAsia" w:ascii="宋体" w:hAnsi="宋体" w:cs="宋体"/>
          <w:sz w:val="30"/>
          <w:szCs w:val="30"/>
        </w:rPr>
        <w:t>）</w:t>
      </w:r>
      <w:r>
        <w:rPr>
          <w:rFonts w:ascii="??_GB2312" w:hAnsi="??_GB2312" w:cs="??_GB2312"/>
          <w:sz w:val="30"/>
          <w:szCs w:val="30"/>
        </w:rPr>
        <w:t>20850</w:t>
      </w:r>
      <w:r>
        <w:rPr>
          <w:rFonts w:hint="eastAsia" w:ascii="宋体" w:hAnsi="宋体" w:cs="宋体"/>
          <w:sz w:val="30"/>
          <w:szCs w:val="30"/>
        </w:rPr>
        <w:t>元，较上年</w:t>
      </w:r>
      <w:r>
        <w:rPr>
          <w:rFonts w:ascii="??_GB2312" w:hAnsi="??_GB2312" w:cs="??_GB2312"/>
          <w:sz w:val="30"/>
          <w:szCs w:val="30"/>
        </w:rPr>
        <w:t>17250</w:t>
      </w:r>
      <w:r>
        <w:rPr>
          <w:rFonts w:hint="eastAsia" w:ascii="宋体" w:hAnsi="宋体" w:cs="宋体"/>
          <w:sz w:val="30"/>
          <w:szCs w:val="30"/>
        </w:rPr>
        <w:t>元增</w:t>
      </w:r>
      <w:r>
        <w:rPr>
          <w:rFonts w:ascii="??_GB2312" w:hAnsi="??_GB2312" w:cs="??_GB2312"/>
          <w:sz w:val="30"/>
          <w:szCs w:val="30"/>
        </w:rPr>
        <w:t>3600</w:t>
      </w:r>
      <w:r>
        <w:rPr>
          <w:rFonts w:hint="eastAsia" w:ascii="宋体" w:hAnsi="宋体" w:cs="宋体"/>
          <w:sz w:val="30"/>
          <w:szCs w:val="30"/>
        </w:rPr>
        <w:t>元，主要提高离休干部遗属补助标准。</w:t>
      </w:r>
    </w:p>
    <w:p w14:paraId="5A734726">
      <w:pPr>
        <w:numPr>
          <w:ilvl w:val="0"/>
          <w:numId w:val="2"/>
        </w:numPr>
        <w:spacing w:line="240" w:lineRule="atLeast"/>
        <w:ind w:firstLine="602" w:firstLineChars="200"/>
        <w:jc w:val="left"/>
        <w:rPr>
          <w:rFonts w:ascii="??_GB2312" w:hAnsi="??_GB2312" w:cs="??_GB2312"/>
          <w:b/>
          <w:bCs/>
          <w:sz w:val="30"/>
          <w:szCs w:val="30"/>
        </w:rPr>
      </w:pPr>
      <w:r>
        <w:rPr>
          <w:rFonts w:hint="eastAsia" w:ascii="宋体" w:hAnsi="宋体" w:cs="宋体"/>
          <w:b/>
          <w:bCs/>
          <w:sz w:val="30"/>
          <w:szCs w:val="30"/>
        </w:rPr>
        <w:t>按照政府预算支出经济分类的类级科目说明：</w:t>
      </w:r>
    </w:p>
    <w:p w14:paraId="2DE1D7E4">
      <w:pPr>
        <w:spacing w:line="240" w:lineRule="atLeast"/>
        <w:ind w:firstLine="600" w:firstLineChars="200"/>
        <w:jc w:val="left"/>
        <w:rPr>
          <w:rFonts w:ascii="??_GB2312" w:hAnsi="??_GB2312" w:cs="??_GB2312"/>
          <w:sz w:val="30"/>
          <w:szCs w:val="30"/>
        </w:rPr>
      </w:pPr>
      <w:r>
        <w:rPr>
          <w:rFonts w:ascii="??_GB2312" w:hAnsi="??_GB2312" w:cs="??_GB2312"/>
          <w:sz w:val="30"/>
          <w:szCs w:val="30"/>
        </w:rPr>
        <w:t>2019</w:t>
      </w:r>
      <w:r>
        <w:rPr>
          <w:rFonts w:hint="eastAsia" w:ascii="宋体" w:hAnsi="宋体" w:cs="宋体"/>
          <w:sz w:val="30"/>
          <w:szCs w:val="30"/>
        </w:rPr>
        <w:t>年本部门一般公共预算支出</w:t>
      </w:r>
      <w:r>
        <w:rPr>
          <w:rFonts w:ascii="??_GB2312" w:hAnsi="??_GB2312" w:cs="??_GB2312"/>
          <w:sz w:val="30"/>
          <w:szCs w:val="30"/>
        </w:rPr>
        <w:t>406976.80</w:t>
      </w:r>
      <w:r>
        <w:rPr>
          <w:rFonts w:hint="eastAsia" w:ascii="宋体" w:hAnsi="宋体" w:cs="宋体"/>
          <w:sz w:val="30"/>
          <w:szCs w:val="30"/>
        </w:rPr>
        <w:t>元，其中：</w:t>
      </w:r>
    </w:p>
    <w:p w14:paraId="6B6F101D">
      <w:pPr>
        <w:spacing w:line="240" w:lineRule="atLeast"/>
        <w:ind w:firstLine="600" w:firstLineChars="200"/>
        <w:jc w:val="left"/>
        <w:rPr>
          <w:rFonts w:ascii="??_GB2312" w:hAnsi="??_GB2312" w:cs="??_GB2312"/>
          <w:sz w:val="30"/>
          <w:szCs w:val="30"/>
        </w:rPr>
      </w:pPr>
      <w:r>
        <w:rPr>
          <w:rFonts w:hint="eastAsia" w:ascii="宋体" w:hAnsi="宋体" w:cs="宋体"/>
          <w:sz w:val="30"/>
          <w:szCs w:val="30"/>
        </w:rPr>
        <w:t>机关工资福利支出（</w:t>
      </w:r>
      <w:r>
        <w:rPr>
          <w:rFonts w:ascii="??_GB2312" w:hAnsi="??_GB2312" w:cs="??_GB2312"/>
          <w:sz w:val="30"/>
          <w:szCs w:val="30"/>
        </w:rPr>
        <w:t>501</w:t>
      </w:r>
      <w:r>
        <w:rPr>
          <w:rFonts w:hint="eastAsia" w:ascii="宋体" w:hAnsi="宋体" w:cs="宋体"/>
          <w:sz w:val="30"/>
          <w:szCs w:val="30"/>
        </w:rPr>
        <w:t>）</w:t>
      </w:r>
      <w:r>
        <w:rPr>
          <w:rFonts w:ascii="??_GB2312" w:hAnsi="??_GB2312" w:cs="??_GB2312"/>
          <w:sz w:val="30"/>
          <w:szCs w:val="30"/>
        </w:rPr>
        <w:t>352886.80</w:t>
      </w:r>
      <w:r>
        <w:rPr>
          <w:rFonts w:hint="eastAsia" w:ascii="宋体" w:hAnsi="宋体" w:cs="宋体"/>
          <w:sz w:val="30"/>
          <w:szCs w:val="30"/>
        </w:rPr>
        <w:t>元，较上年</w:t>
      </w:r>
      <w:r>
        <w:rPr>
          <w:rFonts w:ascii="??_GB2312" w:hAnsi="??_GB2312" w:cs="??_GB2312"/>
          <w:sz w:val="30"/>
          <w:szCs w:val="30"/>
        </w:rPr>
        <w:t>306323.08</w:t>
      </w:r>
      <w:r>
        <w:rPr>
          <w:rFonts w:hint="eastAsia" w:ascii="宋体" w:hAnsi="宋体" w:cs="宋体"/>
          <w:sz w:val="30"/>
          <w:szCs w:val="30"/>
        </w:rPr>
        <w:t>增加</w:t>
      </w:r>
      <w:r>
        <w:rPr>
          <w:rFonts w:ascii="??_GB2312" w:hAnsi="??_GB2312" w:cs="??_GB2312"/>
          <w:sz w:val="30"/>
          <w:szCs w:val="30"/>
        </w:rPr>
        <w:t>46563.72</w:t>
      </w:r>
      <w:r>
        <w:rPr>
          <w:rFonts w:hint="eastAsia" w:ascii="宋体" w:hAnsi="宋体" w:cs="宋体"/>
          <w:sz w:val="30"/>
          <w:szCs w:val="30"/>
        </w:rPr>
        <w:t>元，原因是增加干部养老保险缴费；</w:t>
      </w:r>
    </w:p>
    <w:p w14:paraId="734143EF">
      <w:pPr>
        <w:spacing w:line="240" w:lineRule="atLeast"/>
        <w:ind w:firstLine="600" w:firstLineChars="200"/>
        <w:jc w:val="left"/>
        <w:rPr>
          <w:rFonts w:ascii="??_GB2312" w:hAnsi="??_GB2312" w:cs="??_GB2312"/>
          <w:sz w:val="30"/>
          <w:szCs w:val="30"/>
        </w:rPr>
      </w:pPr>
      <w:r>
        <w:rPr>
          <w:rFonts w:hint="eastAsia" w:ascii="宋体" w:hAnsi="宋体" w:cs="宋体"/>
          <w:sz w:val="30"/>
          <w:szCs w:val="30"/>
        </w:rPr>
        <w:t>机关商品和服务支出（</w:t>
      </w:r>
      <w:r>
        <w:rPr>
          <w:rFonts w:ascii="??_GB2312" w:hAnsi="??_GB2312" w:cs="??_GB2312"/>
          <w:sz w:val="30"/>
          <w:szCs w:val="30"/>
        </w:rPr>
        <w:t>502</w:t>
      </w:r>
      <w:r>
        <w:rPr>
          <w:rFonts w:hint="eastAsia" w:ascii="宋体" w:hAnsi="宋体" w:cs="宋体"/>
          <w:sz w:val="30"/>
          <w:szCs w:val="30"/>
        </w:rPr>
        <w:t>）</w:t>
      </w:r>
      <w:r>
        <w:rPr>
          <w:rFonts w:ascii="??_GB2312" w:hAnsi="??_GB2312" w:cs="??_GB2312"/>
          <w:sz w:val="30"/>
          <w:szCs w:val="30"/>
        </w:rPr>
        <w:t>33240</w:t>
      </w:r>
      <w:r>
        <w:rPr>
          <w:rFonts w:hint="eastAsia" w:ascii="宋体" w:hAnsi="宋体" w:cs="宋体"/>
          <w:sz w:val="30"/>
          <w:szCs w:val="30"/>
        </w:rPr>
        <w:t>元，较上年</w:t>
      </w:r>
      <w:r>
        <w:rPr>
          <w:rFonts w:ascii="??_GB2312" w:hAnsi="??_GB2312" w:cs="??_GB2312"/>
          <w:sz w:val="30"/>
          <w:szCs w:val="30"/>
        </w:rPr>
        <w:t>44320</w:t>
      </w:r>
      <w:r>
        <w:rPr>
          <w:rFonts w:hint="eastAsia" w:ascii="宋体" w:hAnsi="宋体" w:cs="宋体"/>
          <w:sz w:val="30"/>
          <w:szCs w:val="30"/>
        </w:rPr>
        <w:t>元减少</w:t>
      </w:r>
      <w:r>
        <w:rPr>
          <w:rFonts w:ascii="??_GB2312" w:hAnsi="??_GB2312" w:cs="??_GB2312"/>
          <w:sz w:val="30"/>
          <w:szCs w:val="30"/>
        </w:rPr>
        <w:t>11080</w:t>
      </w:r>
      <w:r>
        <w:rPr>
          <w:rFonts w:hint="eastAsia" w:ascii="宋体" w:hAnsi="宋体" w:cs="宋体"/>
          <w:sz w:val="30"/>
          <w:szCs w:val="30"/>
        </w:rPr>
        <w:t>元，原因是退休</w:t>
      </w:r>
      <w:r>
        <w:rPr>
          <w:rFonts w:ascii="??_GB2312" w:hAnsi="??_GB2312" w:cs="??_GB2312"/>
          <w:sz w:val="30"/>
          <w:szCs w:val="30"/>
        </w:rPr>
        <w:t>1</w:t>
      </w:r>
      <w:r>
        <w:rPr>
          <w:rFonts w:hint="eastAsia" w:ascii="宋体" w:hAnsi="宋体" w:cs="宋体"/>
          <w:sz w:val="30"/>
          <w:szCs w:val="30"/>
        </w:rPr>
        <w:t>人的公用经费及车补；</w:t>
      </w:r>
    </w:p>
    <w:p w14:paraId="31A5DA6F">
      <w:pPr>
        <w:spacing w:line="240" w:lineRule="atLeast"/>
        <w:ind w:firstLine="600" w:firstLineChars="200"/>
        <w:jc w:val="left"/>
        <w:rPr>
          <w:rFonts w:ascii="??_GB2312" w:hAnsi="??_GB2312" w:cs="??_GB2312"/>
          <w:sz w:val="30"/>
          <w:szCs w:val="30"/>
        </w:rPr>
      </w:pPr>
      <w:r>
        <w:rPr>
          <w:rFonts w:hint="eastAsia" w:ascii="宋体" w:hAnsi="宋体" w:cs="宋体"/>
          <w:sz w:val="30"/>
          <w:szCs w:val="30"/>
        </w:rPr>
        <w:t>机关资本性支出（一）（</w:t>
      </w:r>
      <w:r>
        <w:rPr>
          <w:rFonts w:ascii="??_GB2312" w:hAnsi="??_GB2312" w:cs="??_GB2312"/>
          <w:sz w:val="30"/>
          <w:szCs w:val="30"/>
        </w:rPr>
        <w:t>503</w:t>
      </w:r>
      <w:r>
        <w:rPr>
          <w:rFonts w:hint="eastAsia" w:ascii="宋体" w:hAnsi="宋体" w:cs="宋体"/>
          <w:sz w:val="30"/>
          <w:szCs w:val="30"/>
        </w:rPr>
        <w:t>）</w:t>
      </w:r>
      <w:r>
        <w:rPr>
          <w:rFonts w:ascii="??_GB2312" w:hAnsi="??_GB2312" w:cs="??_GB2312"/>
          <w:sz w:val="30"/>
          <w:szCs w:val="30"/>
        </w:rPr>
        <w:t>0</w:t>
      </w:r>
      <w:r>
        <w:rPr>
          <w:rFonts w:hint="eastAsia" w:ascii="宋体" w:hAnsi="宋体" w:cs="宋体"/>
          <w:sz w:val="30"/>
          <w:szCs w:val="30"/>
        </w:rPr>
        <w:t>万元；</w:t>
      </w:r>
    </w:p>
    <w:p w14:paraId="7A8448FA">
      <w:pPr>
        <w:spacing w:line="240" w:lineRule="atLeast"/>
        <w:ind w:firstLine="600" w:firstLineChars="200"/>
        <w:jc w:val="left"/>
        <w:rPr>
          <w:rFonts w:ascii="??_GB2312" w:hAnsi="??_GB2312" w:cs="??_GB2312"/>
          <w:sz w:val="30"/>
          <w:szCs w:val="30"/>
        </w:rPr>
      </w:pPr>
      <w:r>
        <w:rPr>
          <w:rFonts w:hint="eastAsia" w:ascii="宋体" w:hAnsi="宋体" w:cs="宋体"/>
          <w:sz w:val="30"/>
          <w:szCs w:val="30"/>
        </w:rPr>
        <w:t>机关资本性支出（二）（</w:t>
      </w:r>
      <w:r>
        <w:rPr>
          <w:rFonts w:ascii="??_GB2312" w:hAnsi="??_GB2312" w:cs="??_GB2312"/>
          <w:sz w:val="30"/>
          <w:szCs w:val="30"/>
        </w:rPr>
        <w:t>504</w:t>
      </w:r>
      <w:r>
        <w:rPr>
          <w:rFonts w:hint="eastAsia" w:ascii="宋体" w:hAnsi="宋体" w:cs="宋体"/>
          <w:sz w:val="30"/>
          <w:szCs w:val="30"/>
        </w:rPr>
        <w:t>）</w:t>
      </w:r>
      <w:r>
        <w:rPr>
          <w:rFonts w:ascii="??_GB2312" w:hAnsi="??_GB2312" w:cs="??_GB2312"/>
          <w:sz w:val="30"/>
          <w:szCs w:val="30"/>
        </w:rPr>
        <w:t>0</w:t>
      </w:r>
      <w:r>
        <w:rPr>
          <w:rFonts w:hint="eastAsia" w:ascii="宋体" w:hAnsi="宋体" w:cs="宋体"/>
          <w:sz w:val="30"/>
          <w:szCs w:val="30"/>
        </w:rPr>
        <w:t>万元；</w:t>
      </w:r>
    </w:p>
    <w:p w14:paraId="622C54D0">
      <w:pPr>
        <w:spacing w:line="240" w:lineRule="atLeast"/>
        <w:ind w:firstLine="600" w:firstLineChars="200"/>
        <w:jc w:val="left"/>
        <w:rPr>
          <w:rFonts w:ascii="??_GB2312" w:hAnsi="??_GB2312" w:cs="??_GB2312"/>
          <w:sz w:val="30"/>
          <w:szCs w:val="30"/>
        </w:rPr>
      </w:pPr>
      <w:r>
        <w:rPr>
          <w:rFonts w:hint="eastAsia" w:ascii="宋体" w:hAnsi="宋体" w:cs="宋体"/>
          <w:sz w:val="30"/>
          <w:szCs w:val="30"/>
        </w:rPr>
        <w:t>对事业单位经常性补助（</w:t>
      </w:r>
      <w:r>
        <w:rPr>
          <w:rFonts w:ascii="??_GB2312" w:hAnsi="??_GB2312" w:cs="??_GB2312"/>
          <w:sz w:val="30"/>
          <w:szCs w:val="30"/>
        </w:rPr>
        <w:t>505</w:t>
      </w:r>
      <w:r>
        <w:rPr>
          <w:rFonts w:hint="eastAsia" w:ascii="宋体" w:hAnsi="宋体" w:cs="宋体"/>
          <w:sz w:val="30"/>
          <w:szCs w:val="30"/>
        </w:rPr>
        <w:t>）</w:t>
      </w:r>
      <w:r>
        <w:rPr>
          <w:rFonts w:ascii="??_GB2312" w:hAnsi="??_GB2312" w:cs="??_GB2312"/>
          <w:sz w:val="30"/>
          <w:szCs w:val="30"/>
        </w:rPr>
        <w:t>0</w:t>
      </w:r>
      <w:r>
        <w:rPr>
          <w:rFonts w:hint="eastAsia" w:ascii="宋体" w:hAnsi="宋体" w:cs="宋体"/>
          <w:sz w:val="30"/>
          <w:szCs w:val="30"/>
        </w:rPr>
        <w:t>万元；</w:t>
      </w:r>
    </w:p>
    <w:p w14:paraId="4EF355F0">
      <w:pPr>
        <w:spacing w:line="240" w:lineRule="atLeast"/>
        <w:ind w:firstLine="600" w:firstLineChars="200"/>
        <w:jc w:val="left"/>
        <w:rPr>
          <w:rFonts w:ascii="??_GB2312" w:hAnsi="??_GB2312" w:cs="??_GB2312"/>
          <w:sz w:val="30"/>
          <w:szCs w:val="30"/>
        </w:rPr>
      </w:pPr>
      <w:r>
        <w:rPr>
          <w:rFonts w:hint="eastAsia" w:ascii="宋体" w:hAnsi="宋体" w:cs="宋体"/>
          <w:sz w:val="30"/>
          <w:szCs w:val="30"/>
        </w:rPr>
        <w:t>对事业单位资本性补助（</w:t>
      </w:r>
      <w:r>
        <w:rPr>
          <w:rFonts w:ascii="??_GB2312" w:hAnsi="??_GB2312" w:cs="??_GB2312"/>
          <w:sz w:val="30"/>
          <w:szCs w:val="30"/>
        </w:rPr>
        <w:t>506</w:t>
      </w:r>
      <w:r>
        <w:rPr>
          <w:rFonts w:hint="eastAsia" w:ascii="宋体" w:hAnsi="宋体" w:cs="宋体"/>
          <w:sz w:val="30"/>
          <w:szCs w:val="30"/>
        </w:rPr>
        <w:t>）</w:t>
      </w:r>
      <w:r>
        <w:rPr>
          <w:rFonts w:ascii="??_GB2312" w:hAnsi="??_GB2312" w:cs="??_GB2312"/>
          <w:sz w:val="30"/>
          <w:szCs w:val="30"/>
        </w:rPr>
        <w:t>0</w:t>
      </w:r>
      <w:r>
        <w:rPr>
          <w:rFonts w:hint="eastAsia" w:ascii="宋体" w:hAnsi="宋体" w:cs="宋体"/>
          <w:sz w:val="30"/>
          <w:szCs w:val="30"/>
        </w:rPr>
        <w:t>万元；</w:t>
      </w:r>
    </w:p>
    <w:p w14:paraId="4C818D31">
      <w:pPr>
        <w:spacing w:line="240" w:lineRule="atLeast"/>
        <w:ind w:firstLine="600" w:firstLineChars="200"/>
        <w:jc w:val="left"/>
        <w:rPr>
          <w:rFonts w:ascii="??_GB2312" w:hAnsi="??_GB2312" w:cs="??_GB2312"/>
          <w:sz w:val="30"/>
          <w:szCs w:val="30"/>
        </w:rPr>
      </w:pPr>
      <w:r>
        <w:rPr>
          <w:rFonts w:hint="eastAsia" w:ascii="宋体" w:hAnsi="宋体" w:cs="宋体"/>
          <w:sz w:val="30"/>
          <w:szCs w:val="30"/>
        </w:rPr>
        <w:t>对个人和家庭的补助支出（</w:t>
      </w:r>
      <w:r>
        <w:rPr>
          <w:rFonts w:ascii="??_GB2312" w:hAnsi="??_GB2312" w:cs="??_GB2312"/>
          <w:sz w:val="30"/>
          <w:szCs w:val="30"/>
        </w:rPr>
        <w:t>509</w:t>
      </w:r>
      <w:r>
        <w:rPr>
          <w:rFonts w:hint="eastAsia" w:ascii="宋体" w:hAnsi="宋体" w:cs="宋体"/>
          <w:sz w:val="30"/>
          <w:szCs w:val="30"/>
        </w:rPr>
        <w:t>）</w:t>
      </w:r>
      <w:r>
        <w:rPr>
          <w:rFonts w:ascii="??_GB2312" w:hAnsi="??_GB2312" w:cs="??_GB2312"/>
          <w:sz w:val="30"/>
          <w:szCs w:val="30"/>
        </w:rPr>
        <w:t>20850</w:t>
      </w:r>
      <w:r>
        <w:rPr>
          <w:rFonts w:hint="eastAsia" w:ascii="宋体" w:hAnsi="宋体" w:cs="宋体"/>
          <w:sz w:val="30"/>
          <w:szCs w:val="30"/>
        </w:rPr>
        <w:t>元，较上年</w:t>
      </w:r>
      <w:r>
        <w:rPr>
          <w:rFonts w:ascii="??_GB2312" w:hAnsi="??_GB2312" w:cs="??_GB2312"/>
          <w:sz w:val="30"/>
          <w:szCs w:val="30"/>
        </w:rPr>
        <w:t>17250</w:t>
      </w:r>
      <w:r>
        <w:rPr>
          <w:rFonts w:hint="eastAsia" w:ascii="宋体" w:hAnsi="宋体" w:cs="宋体"/>
          <w:sz w:val="30"/>
          <w:szCs w:val="30"/>
        </w:rPr>
        <w:t>元增</w:t>
      </w:r>
      <w:r>
        <w:rPr>
          <w:rFonts w:ascii="??_GB2312" w:hAnsi="??_GB2312" w:cs="??_GB2312"/>
          <w:sz w:val="30"/>
          <w:szCs w:val="30"/>
        </w:rPr>
        <w:t>3600</w:t>
      </w:r>
      <w:r>
        <w:rPr>
          <w:rFonts w:hint="eastAsia" w:ascii="宋体" w:hAnsi="宋体" w:cs="宋体"/>
          <w:sz w:val="30"/>
          <w:szCs w:val="30"/>
        </w:rPr>
        <w:t>元，主要提高离休干部遗属补助标准。</w:t>
      </w:r>
    </w:p>
    <w:p w14:paraId="2A14AA89">
      <w:pPr>
        <w:spacing w:line="240" w:lineRule="atLeast"/>
        <w:ind w:firstLine="602" w:firstLineChars="200"/>
        <w:jc w:val="left"/>
        <w:rPr>
          <w:rFonts w:ascii="??_GB2312" w:hAnsi="??_GB2312" w:cs="??_GB2312"/>
          <w:b/>
          <w:bCs/>
          <w:sz w:val="30"/>
          <w:szCs w:val="30"/>
        </w:rPr>
      </w:pPr>
      <w:r>
        <w:rPr>
          <w:rFonts w:hint="eastAsia" w:ascii="宋体" w:hAnsi="宋体" w:cs="宋体"/>
          <w:b/>
          <w:bCs/>
          <w:sz w:val="30"/>
          <w:szCs w:val="30"/>
        </w:rPr>
        <w:t>（四）政府性基金预算支出情况</w:t>
      </w:r>
    </w:p>
    <w:p w14:paraId="6F0BC0B7">
      <w:pPr>
        <w:spacing w:line="240" w:lineRule="atLeast"/>
        <w:ind w:firstLine="600" w:firstLineChars="200"/>
        <w:jc w:val="left"/>
        <w:rPr>
          <w:rFonts w:ascii="??_GB2312" w:hAnsi="??_GB2312" w:cs="??_GB2312"/>
          <w:sz w:val="30"/>
          <w:szCs w:val="30"/>
        </w:rPr>
      </w:pPr>
      <w:r>
        <w:rPr>
          <w:rFonts w:hint="eastAsia" w:ascii="宋体" w:hAnsi="宋体" w:cs="宋体"/>
          <w:sz w:val="30"/>
          <w:szCs w:val="30"/>
        </w:rPr>
        <w:t>本部门无政府性基金预算收支，并已公开空表。</w:t>
      </w:r>
    </w:p>
    <w:p w14:paraId="1CC2135F">
      <w:pPr>
        <w:spacing w:line="240" w:lineRule="atLeast"/>
        <w:ind w:firstLine="602" w:firstLineChars="200"/>
        <w:jc w:val="left"/>
        <w:rPr>
          <w:rFonts w:ascii="??_GB2312" w:hAnsi="??_GB2312" w:cs="??_GB2312"/>
          <w:b/>
          <w:bCs/>
          <w:sz w:val="30"/>
          <w:szCs w:val="30"/>
        </w:rPr>
      </w:pPr>
      <w:r>
        <w:rPr>
          <w:rFonts w:hint="eastAsia" w:ascii="宋体" w:hAnsi="宋体" w:cs="宋体"/>
          <w:b/>
          <w:bCs/>
          <w:sz w:val="30"/>
          <w:szCs w:val="30"/>
        </w:rPr>
        <w:t>（五）国有资本经营预算拨款收支情况</w:t>
      </w:r>
    </w:p>
    <w:p w14:paraId="6E637540">
      <w:pPr>
        <w:spacing w:line="240" w:lineRule="atLeast"/>
        <w:ind w:firstLine="600" w:firstLineChars="200"/>
        <w:jc w:val="left"/>
        <w:rPr>
          <w:rFonts w:ascii="??_GB2312" w:hAnsi="??_GB2312" w:cs="??_GB2312"/>
          <w:sz w:val="30"/>
          <w:szCs w:val="30"/>
        </w:rPr>
      </w:pPr>
      <w:r>
        <w:rPr>
          <w:rFonts w:hint="eastAsia" w:ascii="宋体" w:hAnsi="宋体" w:cs="宋体"/>
          <w:sz w:val="30"/>
          <w:szCs w:val="30"/>
        </w:rPr>
        <w:t>本部门无国有资本经营预算拨款收支。</w:t>
      </w:r>
    </w:p>
    <w:p w14:paraId="1F445B11">
      <w:pPr>
        <w:numPr>
          <w:ilvl w:val="0"/>
          <w:numId w:val="3"/>
        </w:numPr>
        <w:spacing w:line="240" w:lineRule="atLeast"/>
        <w:ind w:firstLine="600" w:firstLineChars="200"/>
        <w:jc w:val="left"/>
        <w:rPr>
          <w:rFonts w:ascii="??_GB2312" w:hAnsi="??_GB2312" w:cs="??_GB2312"/>
          <w:sz w:val="30"/>
          <w:szCs w:val="30"/>
        </w:rPr>
      </w:pPr>
      <w:r>
        <w:rPr>
          <w:rFonts w:ascii="??_GB2312" w:hAnsi="??_GB2312" w:eastAsia="Times New Roman"/>
          <w:b/>
          <w:bCs/>
          <w:sz w:val="30"/>
          <w:szCs w:val="30"/>
        </w:rPr>
        <w:t>“</w:t>
      </w:r>
      <w:r>
        <w:rPr>
          <w:rFonts w:hint="eastAsia" w:ascii="宋体" w:hAnsi="宋体" w:cs="宋体"/>
          <w:b/>
          <w:bCs/>
          <w:sz w:val="30"/>
          <w:szCs w:val="30"/>
        </w:rPr>
        <w:t>三公</w:t>
      </w:r>
      <w:r>
        <w:rPr>
          <w:rFonts w:ascii="??_GB2312" w:hAnsi="??_GB2312" w:cs="??_GB2312"/>
          <w:b/>
          <w:bCs/>
          <w:sz w:val="30"/>
          <w:szCs w:val="30"/>
        </w:rPr>
        <w:t>”</w:t>
      </w:r>
      <w:r>
        <w:rPr>
          <w:rFonts w:hint="eastAsia" w:ascii="宋体" w:hAnsi="宋体" w:cs="宋体"/>
          <w:b/>
          <w:bCs/>
          <w:sz w:val="30"/>
          <w:szCs w:val="30"/>
        </w:rPr>
        <w:t>经费等预算情况</w:t>
      </w:r>
    </w:p>
    <w:p w14:paraId="6D6F3719">
      <w:pPr>
        <w:spacing w:line="240" w:lineRule="atLeast"/>
        <w:ind w:firstLine="600" w:firstLineChars="200"/>
        <w:jc w:val="left"/>
        <w:rPr>
          <w:rFonts w:ascii="??_GB2312" w:hAnsi="??_GB2312" w:cs="??_GB2312"/>
          <w:sz w:val="30"/>
          <w:szCs w:val="30"/>
        </w:rPr>
      </w:pPr>
      <w:r>
        <w:rPr>
          <w:rFonts w:ascii="??_GB2312" w:hAnsi="??_GB2312" w:cs="??_GB2312"/>
          <w:sz w:val="30"/>
          <w:szCs w:val="30"/>
        </w:rPr>
        <w:t>2018</w:t>
      </w:r>
      <w:r>
        <w:rPr>
          <w:rFonts w:hint="eastAsia" w:ascii="宋体" w:hAnsi="宋体" w:cs="宋体"/>
          <w:sz w:val="30"/>
          <w:szCs w:val="30"/>
        </w:rPr>
        <w:t>年和</w:t>
      </w:r>
      <w:r>
        <w:rPr>
          <w:rFonts w:ascii="??_GB2312" w:hAnsi="??_GB2312" w:cs="??_GB2312"/>
          <w:sz w:val="30"/>
          <w:szCs w:val="30"/>
        </w:rPr>
        <w:t>2019</w:t>
      </w:r>
      <w:r>
        <w:rPr>
          <w:rFonts w:hint="eastAsia" w:ascii="宋体" w:hAnsi="宋体" w:cs="宋体"/>
          <w:sz w:val="30"/>
          <w:szCs w:val="30"/>
        </w:rPr>
        <w:t>年，本部门没有安排三公经费预算，并已公开空表。</w:t>
      </w:r>
    </w:p>
    <w:p w14:paraId="4D5F5603">
      <w:pPr>
        <w:spacing w:line="240" w:lineRule="atLeast"/>
        <w:ind w:firstLine="640" w:firstLineChars="200"/>
        <w:jc w:val="left"/>
        <w:rPr>
          <w:rFonts w:ascii="??_GB2312" w:hAnsi="??_GB2312" w:cs="??_GB2312"/>
          <w:sz w:val="30"/>
          <w:szCs w:val="30"/>
          <w:highlight w:val="yellow"/>
        </w:rPr>
      </w:pPr>
      <w:r>
        <w:rPr>
          <w:rFonts w:ascii="??_GB2312" w:eastAsia="Times New Roman"/>
          <w:sz w:val="32"/>
          <w:szCs w:val="32"/>
        </w:rPr>
        <w:t>精简会议，压缩支出。</w:t>
      </w:r>
      <w:r>
        <w:rPr>
          <w:rFonts w:ascii="??_GB2312" w:eastAsia="Times New Roman" w:cs="??_GB2312"/>
          <w:sz w:val="32"/>
          <w:szCs w:val="32"/>
        </w:rPr>
        <w:t>2018</w:t>
      </w:r>
      <w:r>
        <w:rPr>
          <w:rFonts w:ascii="??_GB2312" w:eastAsia="Times New Roman"/>
          <w:sz w:val="32"/>
          <w:szCs w:val="32"/>
        </w:rPr>
        <w:t>和</w:t>
      </w:r>
      <w:r>
        <w:rPr>
          <w:rFonts w:ascii="??_GB2312" w:eastAsia="Times New Roman" w:cs="??_GB2312"/>
          <w:sz w:val="32"/>
          <w:szCs w:val="32"/>
        </w:rPr>
        <w:t>2019</w:t>
      </w:r>
      <w:r>
        <w:rPr>
          <w:rFonts w:ascii="??_GB2312" w:eastAsia="Times New Roman"/>
          <w:sz w:val="32"/>
          <w:szCs w:val="32"/>
        </w:rPr>
        <w:t>年的培训费、会议费均没有安排经费支出预算。</w:t>
      </w:r>
    </w:p>
    <w:p w14:paraId="3D05E99D">
      <w:pPr>
        <w:spacing w:line="240" w:lineRule="atLeast"/>
        <w:ind w:firstLine="600" w:firstLineChars="200"/>
        <w:jc w:val="left"/>
        <w:rPr>
          <w:rFonts w:ascii="??_GB2312" w:hAnsi="??_GB2312" w:cs="??_GB2312"/>
          <w:sz w:val="30"/>
          <w:szCs w:val="30"/>
        </w:rPr>
      </w:pPr>
      <w:r>
        <w:rPr>
          <w:rFonts w:ascii="??_GB2312" w:hAnsi="??_GB2312" w:cs="??_GB2312"/>
          <w:sz w:val="30"/>
          <w:szCs w:val="30"/>
        </w:rPr>
        <w:t>2019</w:t>
      </w:r>
      <w:r>
        <w:rPr>
          <w:rFonts w:hint="eastAsia" w:ascii="宋体" w:hAnsi="宋体" w:cs="宋体"/>
          <w:sz w:val="30"/>
          <w:szCs w:val="30"/>
        </w:rPr>
        <w:t>年本部门一般公共预算</w:t>
      </w:r>
      <w:r>
        <w:rPr>
          <w:rFonts w:ascii="??_GB2312" w:hAnsi="??_GB2312" w:cs="??_GB2312"/>
          <w:sz w:val="30"/>
          <w:szCs w:val="30"/>
        </w:rPr>
        <w:t>“</w:t>
      </w:r>
      <w:r>
        <w:rPr>
          <w:rFonts w:hint="eastAsia" w:ascii="宋体" w:hAnsi="宋体" w:cs="宋体"/>
          <w:sz w:val="30"/>
          <w:szCs w:val="30"/>
        </w:rPr>
        <w:t>三公</w:t>
      </w:r>
      <w:r>
        <w:rPr>
          <w:rFonts w:ascii="??_GB2312" w:hAnsi="??_GB2312" w:cs="??_GB2312"/>
          <w:sz w:val="30"/>
          <w:szCs w:val="30"/>
        </w:rPr>
        <w:t>”</w:t>
      </w:r>
      <w:r>
        <w:rPr>
          <w:rFonts w:hint="eastAsia" w:ascii="宋体" w:hAnsi="宋体" w:cs="宋体"/>
          <w:sz w:val="30"/>
          <w:szCs w:val="30"/>
        </w:rPr>
        <w:t>经费预算支出</w:t>
      </w:r>
      <w:r>
        <w:rPr>
          <w:rFonts w:ascii="??_GB2312" w:hAnsi="??_GB2312" w:cs="??_GB2312"/>
          <w:sz w:val="30"/>
          <w:szCs w:val="30"/>
        </w:rPr>
        <w:t>0</w:t>
      </w:r>
      <w:r>
        <w:rPr>
          <w:rFonts w:hint="eastAsia" w:ascii="宋体" w:hAnsi="宋体" w:cs="宋体"/>
          <w:sz w:val="30"/>
          <w:szCs w:val="30"/>
        </w:rPr>
        <w:t>万元，其中：因公出国（境）经费</w:t>
      </w:r>
      <w:r>
        <w:rPr>
          <w:rFonts w:ascii="??_GB2312" w:hAnsi="??_GB2312" w:cs="??_GB2312"/>
          <w:sz w:val="30"/>
          <w:szCs w:val="30"/>
        </w:rPr>
        <w:t>0</w:t>
      </w:r>
      <w:r>
        <w:rPr>
          <w:rFonts w:hint="eastAsia" w:ascii="宋体" w:hAnsi="宋体" w:cs="宋体"/>
          <w:sz w:val="30"/>
          <w:szCs w:val="30"/>
        </w:rPr>
        <w:t>万元；公务接待费</w:t>
      </w:r>
      <w:r>
        <w:rPr>
          <w:rFonts w:ascii="??_GB2312" w:hAnsi="??_GB2312" w:cs="??_GB2312"/>
          <w:sz w:val="30"/>
          <w:szCs w:val="30"/>
        </w:rPr>
        <w:t>0</w:t>
      </w:r>
      <w:r>
        <w:rPr>
          <w:rFonts w:hint="eastAsia" w:ascii="宋体" w:hAnsi="宋体" w:cs="宋体"/>
          <w:sz w:val="30"/>
          <w:szCs w:val="30"/>
        </w:rPr>
        <w:t>万元；公务用车保有量及运行维护费均为</w:t>
      </w:r>
      <w:r>
        <w:rPr>
          <w:rFonts w:ascii="??_GB2312" w:hAnsi="??_GB2312" w:cs="??_GB2312"/>
          <w:sz w:val="30"/>
          <w:szCs w:val="30"/>
        </w:rPr>
        <w:t>0</w:t>
      </w:r>
      <w:r>
        <w:rPr>
          <w:rFonts w:hint="eastAsia" w:ascii="宋体" w:hAnsi="宋体" w:cs="宋体"/>
          <w:sz w:val="30"/>
          <w:szCs w:val="30"/>
        </w:rPr>
        <w:t>万元；公务用车购置费</w:t>
      </w:r>
      <w:r>
        <w:rPr>
          <w:rFonts w:ascii="??_GB2312" w:hAnsi="??_GB2312" w:cs="??_GB2312"/>
          <w:sz w:val="30"/>
          <w:szCs w:val="30"/>
        </w:rPr>
        <w:t>0</w:t>
      </w:r>
      <w:r>
        <w:rPr>
          <w:rFonts w:hint="eastAsia" w:ascii="宋体" w:hAnsi="宋体" w:cs="宋体"/>
          <w:sz w:val="30"/>
          <w:szCs w:val="30"/>
        </w:rPr>
        <w:t>万元。</w:t>
      </w:r>
    </w:p>
    <w:p w14:paraId="3E361E35">
      <w:pPr>
        <w:spacing w:line="240" w:lineRule="atLeast"/>
        <w:ind w:firstLine="602" w:firstLineChars="200"/>
        <w:jc w:val="left"/>
        <w:rPr>
          <w:rFonts w:ascii="??_GB2312" w:hAnsi="??_GB2312" w:cs="??_GB2312"/>
          <w:sz w:val="30"/>
          <w:szCs w:val="30"/>
        </w:rPr>
      </w:pPr>
      <w:r>
        <w:rPr>
          <w:rFonts w:hint="eastAsia" w:ascii="宋体" w:hAnsi="宋体" w:cs="宋体"/>
          <w:b/>
          <w:bCs/>
          <w:sz w:val="30"/>
          <w:szCs w:val="30"/>
        </w:rPr>
        <w:t>（七）机关运行经费安排情况</w:t>
      </w:r>
    </w:p>
    <w:p w14:paraId="3AF095CA">
      <w:pPr>
        <w:spacing w:line="240" w:lineRule="atLeast"/>
        <w:ind w:firstLine="600" w:firstLineChars="200"/>
        <w:jc w:val="left"/>
        <w:rPr>
          <w:rFonts w:ascii="??_GB2312" w:hAnsi="??_GB2312" w:cs="??_GB2312"/>
          <w:sz w:val="30"/>
          <w:szCs w:val="30"/>
        </w:rPr>
      </w:pPr>
      <w:r>
        <w:rPr>
          <w:rFonts w:hint="eastAsia" w:ascii="宋体" w:hAnsi="宋体" w:cs="宋体"/>
          <w:sz w:val="30"/>
          <w:szCs w:val="30"/>
        </w:rPr>
        <w:t>本部门</w:t>
      </w:r>
      <w:r>
        <w:rPr>
          <w:rFonts w:ascii="??_GB2312" w:hAnsi="??_GB2312" w:cs="??_GB2312"/>
          <w:sz w:val="30"/>
          <w:szCs w:val="30"/>
        </w:rPr>
        <w:t>2019</w:t>
      </w:r>
      <w:r>
        <w:rPr>
          <w:rFonts w:hint="eastAsia" w:ascii="宋体" w:hAnsi="宋体" w:cs="宋体"/>
          <w:sz w:val="30"/>
          <w:szCs w:val="30"/>
        </w:rPr>
        <w:t>年机关运行经费预算安排</w:t>
      </w:r>
      <w:r>
        <w:rPr>
          <w:rFonts w:ascii="??_GB2312" w:hAnsi="??_GB2312" w:cs="??_GB2312"/>
          <w:sz w:val="30"/>
          <w:szCs w:val="30"/>
        </w:rPr>
        <w:t>386126.80</w:t>
      </w:r>
      <w:r>
        <w:rPr>
          <w:rFonts w:hint="eastAsia" w:ascii="宋体" w:hAnsi="宋体" w:cs="宋体"/>
          <w:sz w:val="30"/>
          <w:szCs w:val="30"/>
        </w:rPr>
        <w:t>元（其中人员支出</w:t>
      </w:r>
      <w:r>
        <w:rPr>
          <w:rFonts w:ascii="??_GB2312" w:hAnsi="??_GB2312" w:cs="??_GB2312"/>
          <w:sz w:val="30"/>
          <w:szCs w:val="30"/>
        </w:rPr>
        <w:t>352886.80</w:t>
      </w:r>
      <w:r>
        <w:rPr>
          <w:rFonts w:hint="eastAsia" w:ascii="宋体" w:hAnsi="宋体" w:cs="宋体"/>
          <w:sz w:val="30"/>
          <w:szCs w:val="30"/>
        </w:rPr>
        <w:t>元，商品和服务支出</w:t>
      </w:r>
      <w:r>
        <w:rPr>
          <w:rFonts w:ascii="??_GB2312" w:hAnsi="??_GB2312" w:cs="??_GB2312"/>
          <w:sz w:val="30"/>
          <w:szCs w:val="30"/>
        </w:rPr>
        <w:t>33240</w:t>
      </w:r>
      <w:r>
        <w:rPr>
          <w:rFonts w:hint="eastAsia" w:ascii="宋体" w:hAnsi="宋体" w:cs="宋体"/>
          <w:sz w:val="30"/>
          <w:szCs w:val="30"/>
        </w:rPr>
        <w:t>元），较上年</w:t>
      </w:r>
      <w:r>
        <w:rPr>
          <w:rFonts w:ascii="??_GB2312" w:hAnsi="??_GB2312" w:cs="??_GB2312"/>
          <w:sz w:val="30"/>
          <w:szCs w:val="30"/>
        </w:rPr>
        <w:t>350643.08</w:t>
      </w:r>
      <w:r>
        <w:rPr>
          <w:rFonts w:hint="eastAsia" w:ascii="宋体" w:hAnsi="宋体" w:cs="宋体"/>
          <w:sz w:val="30"/>
          <w:szCs w:val="30"/>
        </w:rPr>
        <w:t>元增加</w:t>
      </w:r>
      <w:r>
        <w:rPr>
          <w:rFonts w:ascii="??_GB2312" w:hAnsi="??_GB2312" w:cs="??_GB2312"/>
          <w:sz w:val="30"/>
          <w:szCs w:val="30"/>
        </w:rPr>
        <w:t>35483.72</w:t>
      </w:r>
      <w:r>
        <w:rPr>
          <w:rFonts w:hint="eastAsia" w:ascii="宋体" w:hAnsi="宋体" w:cs="宋体"/>
          <w:sz w:val="30"/>
          <w:szCs w:val="30"/>
        </w:rPr>
        <w:t>元，主要原因是干部养老保险缴费。</w:t>
      </w:r>
      <w:r>
        <w:rPr>
          <w:rFonts w:ascii="??_GB2312" w:hAnsi="??_GB2312" w:cs="??_GB2312"/>
          <w:sz w:val="30"/>
          <w:szCs w:val="30"/>
        </w:rPr>
        <w:t xml:space="preserve"> </w:t>
      </w:r>
    </w:p>
    <w:p w14:paraId="277C0AAD">
      <w:pPr>
        <w:spacing w:line="240" w:lineRule="atLeast"/>
        <w:ind w:firstLine="602" w:firstLineChars="200"/>
        <w:jc w:val="left"/>
        <w:rPr>
          <w:rFonts w:ascii="??_GB2312" w:hAnsi="??_GB2312" w:cs="??_GB2312"/>
          <w:b/>
          <w:bCs/>
          <w:sz w:val="30"/>
          <w:szCs w:val="30"/>
        </w:rPr>
      </w:pPr>
      <w:r>
        <w:rPr>
          <w:rFonts w:hint="eastAsia" w:ascii="宋体" w:hAnsi="宋体" w:cs="宋体"/>
          <w:b/>
          <w:bCs/>
          <w:sz w:val="30"/>
          <w:szCs w:val="30"/>
        </w:rPr>
        <w:t>（八）政府采购情况。</w:t>
      </w:r>
    </w:p>
    <w:p w14:paraId="2C30CEE4">
      <w:pPr>
        <w:spacing w:line="240" w:lineRule="atLeast"/>
        <w:ind w:firstLine="600" w:firstLineChars="200"/>
        <w:jc w:val="left"/>
        <w:rPr>
          <w:rFonts w:ascii="??_GB2312" w:hAnsi="??_GB2312" w:cs="??_GB2312"/>
          <w:sz w:val="30"/>
          <w:szCs w:val="30"/>
        </w:rPr>
      </w:pPr>
      <w:r>
        <w:rPr>
          <w:rFonts w:hint="eastAsia" w:ascii="宋体" w:hAnsi="宋体" w:cs="宋体"/>
          <w:sz w:val="30"/>
          <w:szCs w:val="30"/>
        </w:rPr>
        <w:t>本部门</w:t>
      </w:r>
      <w:r>
        <w:rPr>
          <w:rFonts w:ascii="??_GB2312" w:hAnsi="??_GB2312" w:cs="??_GB2312"/>
          <w:sz w:val="30"/>
          <w:szCs w:val="30"/>
        </w:rPr>
        <w:t>2019</w:t>
      </w:r>
      <w:r>
        <w:rPr>
          <w:rFonts w:hint="eastAsia" w:ascii="宋体" w:hAnsi="宋体" w:cs="宋体"/>
          <w:sz w:val="30"/>
          <w:szCs w:val="30"/>
        </w:rPr>
        <w:t>年无政府采购预算，并已公开空表。</w:t>
      </w:r>
    </w:p>
    <w:p w14:paraId="1F117870">
      <w:pPr>
        <w:spacing w:line="240" w:lineRule="atLeast"/>
        <w:ind w:firstLine="602" w:firstLineChars="200"/>
        <w:jc w:val="left"/>
        <w:rPr>
          <w:rFonts w:ascii="??_GB2312" w:hAnsi="??_GB2312" w:cs="??_GB2312"/>
          <w:b/>
          <w:bCs/>
          <w:sz w:val="30"/>
          <w:szCs w:val="30"/>
        </w:rPr>
      </w:pPr>
      <w:r>
        <w:rPr>
          <w:rFonts w:hint="eastAsia" w:ascii="宋体" w:hAnsi="宋体" w:cs="宋体"/>
          <w:b/>
          <w:bCs/>
          <w:sz w:val="30"/>
          <w:szCs w:val="30"/>
        </w:rPr>
        <w:t>八、专业名词解释</w:t>
      </w:r>
    </w:p>
    <w:p w14:paraId="2847362C">
      <w:pPr>
        <w:spacing w:line="240" w:lineRule="atLeast"/>
        <w:ind w:firstLine="602" w:firstLineChars="200"/>
        <w:jc w:val="left"/>
        <w:rPr>
          <w:rFonts w:ascii="??_GB2312" w:hAnsi="??_GB2312" w:cs="??_GB2312"/>
          <w:sz w:val="30"/>
          <w:szCs w:val="30"/>
        </w:rPr>
      </w:pPr>
      <w:r>
        <w:rPr>
          <w:rFonts w:ascii="??_GB2312" w:hAnsi="??_GB2312" w:cs="??_GB2312"/>
          <w:b/>
          <w:bCs/>
          <w:sz w:val="30"/>
          <w:szCs w:val="30"/>
        </w:rPr>
        <w:t>1.</w:t>
      </w:r>
      <w:r>
        <w:rPr>
          <w:rFonts w:hint="eastAsia" w:ascii="宋体" w:hAnsi="宋体" w:cs="宋体"/>
          <w:b/>
          <w:bCs/>
          <w:sz w:val="30"/>
          <w:szCs w:val="30"/>
        </w:rPr>
        <w:t>机关运行经费</w:t>
      </w:r>
      <w:r>
        <w:rPr>
          <w:rFonts w:hint="eastAsia" w:ascii="宋体" w:hAnsi="宋体" w:cs="宋体"/>
          <w:sz w:val="30"/>
          <w:szCs w:val="30"/>
        </w:rPr>
        <w:t>：指各部门的公用经费，包括办公及印刷费、邮电费、差旅费、会议费、福利费、日常维修费、专用材料及一般设备购置费、办公用房水电费、办公用房取暖费、办公用房物业管理费、公务用车运行维护费以及其他费用。</w:t>
      </w:r>
    </w:p>
    <w:p w14:paraId="23ED30F8">
      <w:pPr>
        <w:spacing w:line="240" w:lineRule="atLeast"/>
        <w:ind w:firstLine="602" w:firstLineChars="200"/>
        <w:jc w:val="left"/>
        <w:rPr>
          <w:rFonts w:ascii="??_GB2312" w:hAnsi="??_GB2312" w:cs="??_GB2312"/>
          <w:sz w:val="30"/>
          <w:szCs w:val="30"/>
        </w:rPr>
      </w:pPr>
      <w:r>
        <w:rPr>
          <w:rFonts w:ascii="??_GB2312" w:hAnsi="??_GB2312" w:cs="??_GB2312"/>
          <w:b/>
          <w:bCs/>
          <w:sz w:val="30"/>
          <w:szCs w:val="30"/>
        </w:rPr>
        <w:t>2</w:t>
      </w:r>
      <w:r>
        <w:rPr>
          <w:rFonts w:hint="eastAsia" w:ascii="宋体" w:hAnsi="宋体" w:cs="宋体"/>
          <w:sz w:val="30"/>
          <w:szCs w:val="30"/>
        </w:rPr>
        <w:t>、</w:t>
      </w:r>
      <w:r>
        <w:rPr>
          <w:rFonts w:hint="eastAsia" w:ascii="宋体" w:hAnsi="宋体" w:cs="宋体"/>
          <w:b/>
          <w:bCs/>
          <w:sz w:val="30"/>
          <w:szCs w:val="30"/>
        </w:rPr>
        <w:t>财政拨款收入</w:t>
      </w:r>
      <w:r>
        <w:rPr>
          <w:rFonts w:ascii="??_GB2312" w:hAnsi="??_GB2312" w:cs="??_GB2312"/>
          <w:sz w:val="30"/>
          <w:szCs w:val="30"/>
        </w:rPr>
        <w:t>:</w:t>
      </w:r>
      <w:r>
        <w:rPr>
          <w:rFonts w:hint="eastAsia" w:ascii="宋体" w:hAnsi="宋体" w:cs="宋体"/>
          <w:sz w:val="30"/>
          <w:szCs w:val="30"/>
        </w:rPr>
        <w:t>指财政当年拨付的资金。</w:t>
      </w:r>
    </w:p>
    <w:p w14:paraId="144F0C79">
      <w:pPr>
        <w:spacing w:line="240" w:lineRule="atLeast"/>
        <w:ind w:firstLine="602" w:firstLineChars="200"/>
        <w:jc w:val="left"/>
        <w:rPr>
          <w:rFonts w:ascii="??_GB2312" w:hAnsi="??_GB2312" w:cs="??_GB2312"/>
          <w:sz w:val="30"/>
          <w:szCs w:val="30"/>
        </w:rPr>
      </w:pPr>
      <w:r>
        <w:rPr>
          <w:rFonts w:ascii="??_GB2312" w:hAnsi="??_GB2312" w:cs="??_GB2312"/>
          <w:b/>
          <w:bCs/>
          <w:sz w:val="30"/>
          <w:szCs w:val="30"/>
        </w:rPr>
        <w:t>3</w:t>
      </w:r>
      <w:r>
        <w:rPr>
          <w:rFonts w:hint="eastAsia" w:ascii="宋体" w:hAnsi="宋体" w:cs="宋体"/>
          <w:b/>
          <w:bCs/>
          <w:sz w:val="30"/>
          <w:szCs w:val="30"/>
        </w:rPr>
        <w:t>、基本支出</w:t>
      </w:r>
      <w:r>
        <w:rPr>
          <w:rFonts w:ascii="??_GB2312" w:hAnsi="??_GB2312" w:cs="??_GB2312"/>
          <w:b/>
          <w:bCs/>
          <w:sz w:val="30"/>
          <w:szCs w:val="30"/>
        </w:rPr>
        <w:t>:</w:t>
      </w:r>
      <w:r>
        <w:rPr>
          <w:rFonts w:hint="eastAsia" w:ascii="宋体" w:hAnsi="宋体" w:cs="宋体"/>
          <w:sz w:val="30"/>
          <w:szCs w:val="30"/>
        </w:rPr>
        <w:t>指为保障机构正常运转、完成日常工作任务而发生的人员支出和公用支出。</w:t>
      </w:r>
    </w:p>
    <w:p w14:paraId="2CB53211">
      <w:pPr>
        <w:spacing w:line="240" w:lineRule="atLeast"/>
        <w:ind w:firstLine="602" w:firstLineChars="200"/>
        <w:jc w:val="left"/>
        <w:rPr>
          <w:rFonts w:ascii="??_GB2312" w:hAnsi="??_GB2312" w:cs="??_GB2312"/>
          <w:sz w:val="30"/>
          <w:szCs w:val="30"/>
        </w:rPr>
      </w:pPr>
      <w:r>
        <w:rPr>
          <w:rFonts w:ascii="??_GB2312" w:hAnsi="??_GB2312" w:cs="??_GB2312"/>
          <w:b/>
          <w:bCs/>
          <w:sz w:val="30"/>
          <w:szCs w:val="30"/>
        </w:rPr>
        <w:t>4</w:t>
      </w:r>
      <w:r>
        <w:rPr>
          <w:rFonts w:hint="eastAsia" w:ascii="宋体" w:hAnsi="宋体" w:cs="宋体"/>
          <w:b/>
          <w:bCs/>
          <w:sz w:val="30"/>
          <w:szCs w:val="30"/>
        </w:rPr>
        <w:t>、</w:t>
      </w:r>
      <w:r>
        <w:rPr>
          <w:rFonts w:ascii="??_GB2312" w:hAnsi="??_GB2312" w:cs="??_GB2312"/>
          <w:b/>
          <w:bCs/>
          <w:sz w:val="30"/>
          <w:szCs w:val="30"/>
        </w:rPr>
        <w:t>“</w:t>
      </w:r>
      <w:r>
        <w:rPr>
          <w:rFonts w:hint="eastAsia" w:ascii="宋体" w:hAnsi="宋体" w:cs="宋体"/>
          <w:b/>
          <w:bCs/>
          <w:sz w:val="30"/>
          <w:szCs w:val="30"/>
        </w:rPr>
        <w:t>三公</w:t>
      </w:r>
      <w:r>
        <w:rPr>
          <w:rFonts w:ascii="??_GB2312" w:hAnsi="??_GB2312" w:cs="??_GB2312"/>
          <w:b/>
          <w:bCs/>
          <w:sz w:val="30"/>
          <w:szCs w:val="30"/>
        </w:rPr>
        <w:t>”</w:t>
      </w:r>
      <w:r>
        <w:rPr>
          <w:rFonts w:hint="eastAsia" w:ascii="宋体" w:hAnsi="宋体" w:cs="宋体"/>
          <w:b/>
          <w:bCs/>
          <w:sz w:val="30"/>
          <w:szCs w:val="30"/>
        </w:rPr>
        <w:t>经费</w:t>
      </w:r>
      <w:r>
        <w:rPr>
          <w:rFonts w:ascii="??_GB2312" w:hAnsi="??_GB2312" w:cs="??_GB2312"/>
          <w:b/>
          <w:bCs/>
          <w:sz w:val="30"/>
          <w:szCs w:val="30"/>
        </w:rPr>
        <w:t>:</w:t>
      </w:r>
      <w:r>
        <w:rPr>
          <w:rFonts w:hint="eastAsia" w:ascii="宋体" w:hAnsi="宋体" w:cs="宋体"/>
          <w:sz w:val="30"/>
          <w:szCs w:val="30"/>
        </w:rPr>
        <w:t>纳入财政预决算管理的</w:t>
      </w:r>
      <w:r>
        <w:rPr>
          <w:rFonts w:ascii="??_GB2312" w:hAnsi="??_GB2312" w:cs="??_GB2312"/>
          <w:sz w:val="30"/>
          <w:szCs w:val="30"/>
        </w:rPr>
        <w:t>“</w:t>
      </w:r>
      <w:r>
        <w:rPr>
          <w:rFonts w:hint="eastAsia" w:ascii="宋体" w:hAnsi="宋体" w:cs="宋体"/>
          <w:sz w:val="30"/>
          <w:szCs w:val="30"/>
        </w:rPr>
        <w:t>三公</w:t>
      </w:r>
      <w:r>
        <w:rPr>
          <w:rFonts w:ascii="??_GB2312" w:hAnsi="??_GB2312" w:cs="??_GB2312"/>
          <w:sz w:val="30"/>
          <w:szCs w:val="30"/>
        </w:rPr>
        <w:t>”</w:t>
      </w:r>
      <w:r>
        <w:rPr>
          <w:rFonts w:hint="eastAsia" w:ascii="宋体" w:hAnsi="宋体" w:cs="宋体"/>
          <w:sz w:val="30"/>
          <w:szCs w:val="30"/>
        </w:rPr>
        <w:t>经费，是指使用财政拨款安排的因公出国</w:t>
      </w:r>
      <w:r>
        <w:rPr>
          <w:rFonts w:ascii="??_GB2312" w:hAnsi="??_GB2312" w:cs="??_GB2312"/>
          <w:sz w:val="30"/>
          <w:szCs w:val="30"/>
        </w:rPr>
        <w:t>(</w:t>
      </w:r>
      <w:r>
        <w:rPr>
          <w:rFonts w:hint="eastAsia" w:ascii="宋体" w:hAnsi="宋体" w:cs="宋体"/>
          <w:sz w:val="30"/>
          <w:szCs w:val="30"/>
        </w:rPr>
        <w:t>境</w:t>
      </w:r>
      <w:r>
        <w:rPr>
          <w:rFonts w:ascii="??_GB2312" w:hAnsi="??_GB2312" w:cs="??_GB2312"/>
          <w:sz w:val="30"/>
          <w:szCs w:val="30"/>
        </w:rPr>
        <w:t>)</w:t>
      </w:r>
      <w:r>
        <w:rPr>
          <w:rFonts w:hint="eastAsia" w:ascii="宋体" w:hAnsi="宋体" w:cs="宋体"/>
          <w:sz w:val="30"/>
          <w:szCs w:val="30"/>
        </w:rPr>
        <w:t>费、公务用车购置及运行费和公务接待费。</w:t>
      </w:r>
    </w:p>
    <w:p w14:paraId="3E900B3D">
      <w:pPr>
        <w:spacing w:line="240" w:lineRule="atLeast"/>
        <w:ind w:firstLine="602" w:firstLineChars="200"/>
        <w:jc w:val="left"/>
        <w:rPr>
          <w:rFonts w:ascii="??_GB2312" w:hAnsi="??_GB2312" w:cs="??_GB2312"/>
          <w:sz w:val="30"/>
          <w:szCs w:val="30"/>
        </w:rPr>
      </w:pPr>
      <w:r>
        <w:rPr>
          <w:rFonts w:ascii="??_GB2312" w:hAnsi="??_GB2312" w:cs="??_GB2312"/>
          <w:b/>
          <w:bCs/>
          <w:sz w:val="30"/>
          <w:szCs w:val="30"/>
        </w:rPr>
        <w:t>5</w:t>
      </w:r>
      <w:r>
        <w:rPr>
          <w:rFonts w:hint="eastAsia" w:ascii="宋体" w:hAnsi="宋体" w:cs="宋体"/>
          <w:b/>
          <w:bCs/>
          <w:sz w:val="30"/>
          <w:szCs w:val="30"/>
        </w:rPr>
        <w:t>、</w:t>
      </w:r>
      <w:r>
        <w:rPr>
          <w:rFonts w:hint="eastAsia" w:ascii="宋体" w:hAnsi="宋体" w:cs="宋体"/>
          <w:b/>
          <w:bCs/>
          <w:color w:val="3D3D3C"/>
          <w:sz w:val="30"/>
          <w:szCs w:val="30"/>
          <w:shd w:val="clear" w:color="auto" w:fill="FFFFFF"/>
        </w:rPr>
        <w:t>其他交通费用：</w:t>
      </w:r>
      <w:r>
        <w:rPr>
          <w:rFonts w:hint="eastAsia" w:ascii="宋体" w:hAnsi="宋体" w:cs="宋体"/>
          <w:color w:val="3D3D3C"/>
          <w:sz w:val="30"/>
          <w:szCs w:val="30"/>
          <w:shd w:val="clear" w:color="auto" w:fill="FFFFFF"/>
        </w:rPr>
        <w:t>指国家实行公务用车改革后，发给公务人员的交通补助。</w:t>
      </w:r>
    </w:p>
    <w:p w14:paraId="6EFEACEE">
      <w:pPr>
        <w:spacing w:line="240" w:lineRule="atLeast"/>
        <w:ind w:firstLine="602" w:firstLineChars="200"/>
        <w:jc w:val="left"/>
        <w:rPr>
          <w:rFonts w:ascii="??_GB2312" w:hAnsi="??_GB2312" w:cs="??_GB2312"/>
          <w:b/>
          <w:bCs/>
          <w:sz w:val="30"/>
          <w:szCs w:val="30"/>
        </w:rPr>
      </w:pPr>
      <w:r>
        <w:rPr>
          <w:rFonts w:hint="eastAsia" w:ascii="宋体" w:hAnsi="宋体" w:cs="宋体"/>
          <w:b/>
          <w:bCs/>
          <w:sz w:val="30"/>
          <w:szCs w:val="30"/>
        </w:rPr>
        <w:t>九、部门预算表（附后）</w:t>
      </w:r>
    </w:p>
    <w:tbl>
      <w:tblPr>
        <w:tblStyle w:val="6"/>
        <w:tblW w:w="8115" w:type="dxa"/>
        <w:jc w:val="center"/>
        <w:tblLayout w:type="fixed"/>
        <w:tblCellMar>
          <w:top w:w="15" w:type="dxa"/>
          <w:left w:w="15" w:type="dxa"/>
          <w:bottom w:w="15" w:type="dxa"/>
          <w:right w:w="15" w:type="dxa"/>
        </w:tblCellMar>
      </w:tblPr>
      <w:tblGrid>
        <w:gridCol w:w="1095"/>
        <w:gridCol w:w="7020"/>
      </w:tblGrid>
      <w:tr w14:paraId="0236656B">
        <w:tblPrEx>
          <w:tblCellMar>
            <w:top w:w="15" w:type="dxa"/>
            <w:left w:w="15" w:type="dxa"/>
            <w:bottom w:w="15" w:type="dxa"/>
            <w:right w:w="15" w:type="dxa"/>
          </w:tblCellMar>
        </w:tblPrEx>
        <w:trPr>
          <w:trHeight w:val="461" w:hRule="atLeast"/>
          <w:jc w:val="center"/>
        </w:trPr>
        <w:tc>
          <w:tcPr>
            <w:tcW w:w="1095" w:type="dxa"/>
            <w:tcBorders>
              <w:top w:val="single" w:color="000000" w:sz="4" w:space="0"/>
              <w:left w:val="single" w:color="000000" w:sz="4" w:space="0"/>
              <w:bottom w:val="single" w:color="000000" w:sz="4" w:space="0"/>
              <w:right w:val="single" w:color="auto" w:sz="4" w:space="0"/>
            </w:tcBorders>
            <w:vAlign w:val="center"/>
          </w:tcPr>
          <w:p w14:paraId="7C1D2B23">
            <w:pPr>
              <w:jc w:val="center"/>
              <w:rPr>
                <w:rFonts w:ascii="宋体"/>
                <w:color w:val="000000"/>
                <w:kern w:val="0"/>
                <w:sz w:val="20"/>
                <w:szCs w:val="20"/>
              </w:rPr>
            </w:pPr>
            <w:r>
              <w:rPr>
                <w:rFonts w:hint="eastAsia" w:ascii="宋体" w:hAnsi="宋体" w:cs="宋体"/>
                <w:color w:val="000000"/>
                <w:kern w:val="0"/>
                <w:sz w:val="20"/>
                <w:szCs w:val="20"/>
              </w:rPr>
              <w:t>序号</w:t>
            </w:r>
          </w:p>
        </w:tc>
        <w:tc>
          <w:tcPr>
            <w:tcW w:w="7020" w:type="dxa"/>
            <w:tcBorders>
              <w:top w:val="single" w:color="auto" w:sz="4" w:space="0"/>
              <w:left w:val="single" w:color="auto" w:sz="4" w:space="0"/>
              <w:bottom w:val="single" w:color="000000" w:sz="4" w:space="0"/>
              <w:right w:val="single" w:color="auto" w:sz="4" w:space="0"/>
            </w:tcBorders>
            <w:vAlign w:val="center"/>
          </w:tcPr>
          <w:p w14:paraId="640B8702">
            <w:pPr>
              <w:widowControl/>
              <w:jc w:val="center"/>
              <w:textAlignment w:val="center"/>
              <w:rPr>
                <w:rFonts w:ascii="宋体"/>
                <w:color w:val="000000"/>
                <w:kern w:val="0"/>
                <w:sz w:val="20"/>
                <w:szCs w:val="20"/>
              </w:rPr>
            </w:pPr>
            <w:r>
              <w:rPr>
                <w:rFonts w:hint="eastAsia" w:ascii="微软雅黑" w:hAnsi="微软雅黑" w:eastAsia="微软雅黑" w:cs="微软雅黑"/>
                <w:color w:val="3D3D3C"/>
                <w:kern w:val="0"/>
                <w:sz w:val="18"/>
                <w:szCs w:val="18"/>
              </w:rPr>
              <w:t>报表名称</w:t>
            </w:r>
          </w:p>
        </w:tc>
      </w:tr>
      <w:tr w14:paraId="441364F8">
        <w:tblPrEx>
          <w:tblCellMar>
            <w:top w:w="15" w:type="dxa"/>
            <w:left w:w="15" w:type="dxa"/>
            <w:bottom w:w="15" w:type="dxa"/>
            <w:right w:w="15" w:type="dxa"/>
          </w:tblCellMar>
        </w:tblPrEx>
        <w:trPr>
          <w:trHeight w:val="461" w:hRule="atLeast"/>
          <w:jc w:val="center"/>
        </w:trPr>
        <w:tc>
          <w:tcPr>
            <w:tcW w:w="1095" w:type="dxa"/>
            <w:tcBorders>
              <w:top w:val="single" w:color="000000" w:sz="4" w:space="0"/>
              <w:left w:val="single" w:color="000000" w:sz="4" w:space="0"/>
              <w:bottom w:val="single" w:color="000000" w:sz="4" w:space="0"/>
              <w:right w:val="single" w:color="auto" w:sz="4" w:space="0"/>
            </w:tcBorders>
            <w:vAlign w:val="center"/>
          </w:tcPr>
          <w:p w14:paraId="54990E0D">
            <w:pPr>
              <w:widowControl/>
              <w:jc w:val="center"/>
              <w:textAlignment w:val="center"/>
              <w:rPr>
                <w:rFonts w:ascii="宋体"/>
                <w:color w:val="000000"/>
                <w:sz w:val="20"/>
                <w:szCs w:val="20"/>
              </w:rPr>
            </w:pPr>
            <w:r>
              <w:rPr>
                <w:rFonts w:hint="eastAsia" w:ascii="宋体" w:hAnsi="宋体" w:cs="宋体"/>
                <w:color w:val="000000"/>
                <w:kern w:val="0"/>
                <w:sz w:val="20"/>
                <w:szCs w:val="20"/>
              </w:rPr>
              <w:t>表</w:t>
            </w:r>
            <w:r>
              <w:rPr>
                <w:rFonts w:ascii="宋体" w:hAnsi="宋体" w:cs="宋体"/>
                <w:color w:val="000000"/>
                <w:kern w:val="0"/>
                <w:sz w:val="20"/>
                <w:szCs w:val="20"/>
              </w:rPr>
              <w:t>1</w:t>
            </w:r>
          </w:p>
        </w:tc>
        <w:tc>
          <w:tcPr>
            <w:tcW w:w="7020" w:type="dxa"/>
            <w:tcBorders>
              <w:top w:val="single" w:color="000000" w:sz="4" w:space="0"/>
              <w:left w:val="single" w:color="auto" w:sz="4" w:space="0"/>
              <w:bottom w:val="single" w:color="000000" w:sz="4" w:space="0"/>
              <w:right w:val="single" w:color="auto" w:sz="4" w:space="0"/>
            </w:tcBorders>
            <w:vAlign w:val="center"/>
          </w:tcPr>
          <w:p w14:paraId="0E43E7A0">
            <w:pPr>
              <w:widowControl/>
              <w:jc w:val="left"/>
              <w:textAlignment w:val="center"/>
              <w:rPr>
                <w:rFonts w:ascii="宋体"/>
                <w:color w:val="000000"/>
                <w:sz w:val="20"/>
                <w:szCs w:val="20"/>
              </w:rPr>
            </w:pPr>
            <w:r>
              <w:rPr>
                <w:rFonts w:ascii="宋体" w:hAnsi="宋体" w:cs="宋体"/>
                <w:color w:val="000000"/>
                <w:kern w:val="0"/>
                <w:sz w:val="20"/>
                <w:szCs w:val="20"/>
              </w:rPr>
              <w:t>2019</w:t>
            </w:r>
            <w:r>
              <w:rPr>
                <w:rFonts w:hint="eastAsia" w:ascii="宋体" w:hAnsi="宋体" w:cs="宋体"/>
                <w:color w:val="000000"/>
                <w:kern w:val="0"/>
                <w:sz w:val="20"/>
                <w:szCs w:val="20"/>
              </w:rPr>
              <w:t>年部门综合预算收支总表</w:t>
            </w:r>
          </w:p>
        </w:tc>
      </w:tr>
      <w:tr w14:paraId="2E8D7FC1">
        <w:tblPrEx>
          <w:tblCellMar>
            <w:top w:w="15" w:type="dxa"/>
            <w:left w:w="15" w:type="dxa"/>
            <w:bottom w:w="15" w:type="dxa"/>
            <w:right w:w="15" w:type="dxa"/>
          </w:tblCellMar>
        </w:tblPrEx>
        <w:trPr>
          <w:trHeight w:val="461" w:hRule="atLeast"/>
          <w:jc w:val="center"/>
        </w:trPr>
        <w:tc>
          <w:tcPr>
            <w:tcW w:w="1095" w:type="dxa"/>
            <w:tcBorders>
              <w:top w:val="single" w:color="000000" w:sz="4" w:space="0"/>
              <w:left w:val="single" w:color="000000" w:sz="4" w:space="0"/>
              <w:bottom w:val="single" w:color="000000" w:sz="4" w:space="0"/>
              <w:right w:val="single" w:color="auto" w:sz="4" w:space="0"/>
            </w:tcBorders>
            <w:vAlign w:val="center"/>
          </w:tcPr>
          <w:p w14:paraId="6EF22361">
            <w:pPr>
              <w:widowControl/>
              <w:jc w:val="center"/>
              <w:textAlignment w:val="center"/>
              <w:rPr>
                <w:rFonts w:ascii="宋体"/>
                <w:color w:val="000000"/>
                <w:sz w:val="20"/>
                <w:szCs w:val="20"/>
              </w:rPr>
            </w:pPr>
            <w:r>
              <w:rPr>
                <w:rFonts w:hint="eastAsia" w:ascii="宋体" w:hAnsi="宋体" w:cs="宋体"/>
                <w:color w:val="000000"/>
                <w:kern w:val="0"/>
                <w:sz w:val="20"/>
                <w:szCs w:val="20"/>
              </w:rPr>
              <w:t>表</w:t>
            </w:r>
            <w:r>
              <w:rPr>
                <w:rFonts w:ascii="宋体" w:hAnsi="宋体" w:cs="宋体"/>
                <w:color w:val="000000"/>
                <w:kern w:val="0"/>
                <w:sz w:val="20"/>
                <w:szCs w:val="20"/>
              </w:rPr>
              <w:t>2</w:t>
            </w:r>
          </w:p>
        </w:tc>
        <w:tc>
          <w:tcPr>
            <w:tcW w:w="7020" w:type="dxa"/>
            <w:tcBorders>
              <w:top w:val="single" w:color="000000" w:sz="4" w:space="0"/>
              <w:left w:val="single" w:color="auto" w:sz="4" w:space="0"/>
              <w:bottom w:val="single" w:color="000000" w:sz="4" w:space="0"/>
              <w:right w:val="single" w:color="auto" w:sz="4" w:space="0"/>
            </w:tcBorders>
            <w:vAlign w:val="center"/>
          </w:tcPr>
          <w:p w14:paraId="768953DF">
            <w:pPr>
              <w:widowControl/>
              <w:jc w:val="left"/>
              <w:textAlignment w:val="center"/>
              <w:rPr>
                <w:rFonts w:ascii="宋体"/>
                <w:color w:val="000000"/>
                <w:sz w:val="20"/>
                <w:szCs w:val="20"/>
              </w:rPr>
            </w:pPr>
            <w:r>
              <w:rPr>
                <w:rFonts w:ascii="宋体" w:hAnsi="宋体" w:cs="宋体"/>
                <w:color w:val="000000"/>
                <w:kern w:val="0"/>
                <w:sz w:val="20"/>
                <w:szCs w:val="20"/>
              </w:rPr>
              <w:t>2019</w:t>
            </w:r>
            <w:r>
              <w:rPr>
                <w:rFonts w:hint="eastAsia" w:ascii="宋体" w:hAnsi="宋体" w:cs="宋体"/>
                <w:color w:val="000000"/>
                <w:kern w:val="0"/>
                <w:sz w:val="20"/>
                <w:szCs w:val="20"/>
              </w:rPr>
              <w:t>年部门综合预算收入总表</w:t>
            </w:r>
          </w:p>
        </w:tc>
      </w:tr>
      <w:tr w14:paraId="6B057158">
        <w:tblPrEx>
          <w:tblCellMar>
            <w:top w:w="15" w:type="dxa"/>
            <w:left w:w="15" w:type="dxa"/>
            <w:bottom w:w="15" w:type="dxa"/>
            <w:right w:w="15" w:type="dxa"/>
          </w:tblCellMar>
        </w:tblPrEx>
        <w:trPr>
          <w:trHeight w:val="461" w:hRule="atLeast"/>
          <w:jc w:val="center"/>
        </w:trPr>
        <w:tc>
          <w:tcPr>
            <w:tcW w:w="1095" w:type="dxa"/>
            <w:tcBorders>
              <w:top w:val="single" w:color="000000" w:sz="4" w:space="0"/>
              <w:left w:val="single" w:color="000000" w:sz="4" w:space="0"/>
              <w:bottom w:val="single" w:color="000000" w:sz="4" w:space="0"/>
              <w:right w:val="single" w:color="auto" w:sz="4" w:space="0"/>
            </w:tcBorders>
            <w:vAlign w:val="center"/>
          </w:tcPr>
          <w:p w14:paraId="56ACD926">
            <w:pPr>
              <w:widowControl/>
              <w:jc w:val="center"/>
              <w:textAlignment w:val="center"/>
              <w:rPr>
                <w:rFonts w:ascii="宋体"/>
                <w:color w:val="000000"/>
                <w:sz w:val="20"/>
                <w:szCs w:val="20"/>
              </w:rPr>
            </w:pPr>
            <w:r>
              <w:rPr>
                <w:rFonts w:hint="eastAsia" w:ascii="宋体" w:hAnsi="宋体" w:cs="宋体"/>
                <w:color w:val="000000"/>
                <w:kern w:val="0"/>
                <w:sz w:val="20"/>
                <w:szCs w:val="20"/>
              </w:rPr>
              <w:t>表</w:t>
            </w:r>
            <w:r>
              <w:rPr>
                <w:rFonts w:ascii="宋体" w:hAnsi="宋体" w:cs="宋体"/>
                <w:color w:val="000000"/>
                <w:kern w:val="0"/>
                <w:sz w:val="20"/>
                <w:szCs w:val="20"/>
              </w:rPr>
              <w:t>3</w:t>
            </w:r>
          </w:p>
        </w:tc>
        <w:tc>
          <w:tcPr>
            <w:tcW w:w="7020" w:type="dxa"/>
            <w:tcBorders>
              <w:top w:val="single" w:color="000000" w:sz="4" w:space="0"/>
              <w:left w:val="single" w:color="auto" w:sz="4" w:space="0"/>
              <w:bottom w:val="single" w:color="000000" w:sz="4" w:space="0"/>
              <w:right w:val="single" w:color="auto" w:sz="4" w:space="0"/>
            </w:tcBorders>
            <w:vAlign w:val="center"/>
          </w:tcPr>
          <w:p w14:paraId="5C858EB5">
            <w:pPr>
              <w:widowControl/>
              <w:jc w:val="left"/>
              <w:textAlignment w:val="center"/>
              <w:rPr>
                <w:rFonts w:ascii="宋体"/>
                <w:color w:val="000000"/>
                <w:sz w:val="20"/>
                <w:szCs w:val="20"/>
              </w:rPr>
            </w:pPr>
            <w:r>
              <w:rPr>
                <w:rFonts w:ascii="宋体" w:hAnsi="宋体" w:cs="宋体"/>
                <w:color w:val="000000"/>
                <w:kern w:val="0"/>
                <w:sz w:val="20"/>
                <w:szCs w:val="20"/>
              </w:rPr>
              <w:t>2019</w:t>
            </w:r>
            <w:r>
              <w:rPr>
                <w:rFonts w:hint="eastAsia" w:ascii="宋体" w:hAnsi="宋体" w:cs="宋体"/>
                <w:color w:val="000000"/>
                <w:kern w:val="0"/>
                <w:sz w:val="20"/>
                <w:szCs w:val="20"/>
              </w:rPr>
              <w:t>年部门综合预算支出总表</w:t>
            </w:r>
          </w:p>
        </w:tc>
      </w:tr>
      <w:tr w14:paraId="5C9D05E8">
        <w:tblPrEx>
          <w:tblCellMar>
            <w:top w:w="15" w:type="dxa"/>
            <w:left w:w="15" w:type="dxa"/>
            <w:bottom w:w="15" w:type="dxa"/>
            <w:right w:w="15" w:type="dxa"/>
          </w:tblCellMar>
        </w:tblPrEx>
        <w:trPr>
          <w:trHeight w:val="461" w:hRule="atLeast"/>
          <w:jc w:val="center"/>
        </w:trPr>
        <w:tc>
          <w:tcPr>
            <w:tcW w:w="1095" w:type="dxa"/>
            <w:tcBorders>
              <w:top w:val="single" w:color="000000" w:sz="4" w:space="0"/>
              <w:left w:val="single" w:color="000000" w:sz="4" w:space="0"/>
              <w:bottom w:val="single" w:color="000000" w:sz="4" w:space="0"/>
              <w:right w:val="single" w:color="auto" w:sz="4" w:space="0"/>
            </w:tcBorders>
            <w:vAlign w:val="center"/>
          </w:tcPr>
          <w:p w14:paraId="1B7B3914">
            <w:pPr>
              <w:widowControl/>
              <w:jc w:val="center"/>
              <w:textAlignment w:val="center"/>
              <w:rPr>
                <w:rFonts w:ascii="宋体"/>
                <w:color w:val="000000"/>
                <w:sz w:val="20"/>
                <w:szCs w:val="20"/>
              </w:rPr>
            </w:pPr>
            <w:r>
              <w:rPr>
                <w:rFonts w:hint="eastAsia" w:ascii="宋体" w:hAnsi="宋体" w:cs="宋体"/>
                <w:color w:val="000000"/>
                <w:kern w:val="0"/>
                <w:sz w:val="20"/>
                <w:szCs w:val="20"/>
              </w:rPr>
              <w:t>表</w:t>
            </w:r>
            <w:r>
              <w:rPr>
                <w:rFonts w:ascii="宋体" w:hAnsi="宋体" w:cs="宋体"/>
                <w:color w:val="000000"/>
                <w:kern w:val="0"/>
                <w:sz w:val="20"/>
                <w:szCs w:val="20"/>
              </w:rPr>
              <w:t>4</w:t>
            </w:r>
          </w:p>
        </w:tc>
        <w:tc>
          <w:tcPr>
            <w:tcW w:w="7020" w:type="dxa"/>
            <w:tcBorders>
              <w:top w:val="single" w:color="000000" w:sz="4" w:space="0"/>
              <w:left w:val="single" w:color="auto" w:sz="4" w:space="0"/>
              <w:bottom w:val="single" w:color="000000" w:sz="4" w:space="0"/>
              <w:right w:val="single" w:color="auto" w:sz="4" w:space="0"/>
            </w:tcBorders>
            <w:vAlign w:val="center"/>
          </w:tcPr>
          <w:p w14:paraId="38C834BA">
            <w:pPr>
              <w:widowControl/>
              <w:jc w:val="left"/>
              <w:textAlignment w:val="center"/>
              <w:rPr>
                <w:rFonts w:ascii="宋体"/>
                <w:color w:val="000000"/>
                <w:sz w:val="20"/>
                <w:szCs w:val="20"/>
              </w:rPr>
            </w:pPr>
            <w:r>
              <w:rPr>
                <w:rFonts w:ascii="宋体" w:hAnsi="宋体" w:cs="宋体"/>
                <w:color w:val="000000"/>
                <w:kern w:val="0"/>
                <w:sz w:val="20"/>
                <w:szCs w:val="20"/>
              </w:rPr>
              <w:t>2019</w:t>
            </w:r>
            <w:r>
              <w:rPr>
                <w:rFonts w:hint="eastAsia" w:ascii="宋体" w:hAnsi="宋体" w:cs="宋体"/>
                <w:color w:val="000000"/>
                <w:kern w:val="0"/>
                <w:sz w:val="20"/>
                <w:szCs w:val="20"/>
              </w:rPr>
              <w:t>年部门综合预算财政拨款收支总表</w:t>
            </w:r>
          </w:p>
        </w:tc>
      </w:tr>
      <w:tr w14:paraId="0B97AF14">
        <w:tblPrEx>
          <w:tblCellMar>
            <w:top w:w="15" w:type="dxa"/>
            <w:left w:w="15" w:type="dxa"/>
            <w:bottom w:w="15" w:type="dxa"/>
            <w:right w:w="15" w:type="dxa"/>
          </w:tblCellMar>
        </w:tblPrEx>
        <w:trPr>
          <w:trHeight w:val="461" w:hRule="atLeast"/>
          <w:jc w:val="center"/>
        </w:trPr>
        <w:tc>
          <w:tcPr>
            <w:tcW w:w="1095" w:type="dxa"/>
            <w:tcBorders>
              <w:top w:val="single" w:color="000000" w:sz="4" w:space="0"/>
              <w:left w:val="single" w:color="000000" w:sz="4" w:space="0"/>
              <w:bottom w:val="single" w:color="000000" w:sz="4" w:space="0"/>
              <w:right w:val="single" w:color="auto" w:sz="4" w:space="0"/>
            </w:tcBorders>
            <w:vAlign w:val="center"/>
          </w:tcPr>
          <w:p w14:paraId="12EBF956">
            <w:pPr>
              <w:widowControl/>
              <w:jc w:val="center"/>
              <w:textAlignment w:val="center"/>
              <w:rPr>
                <w:rFonts w:ascii="宋体"/>
                <w:color w:val="000000"/>
                <w:sz w:val="20"/>
                <w:szCs w:val="20"/>
              </w:rPr>
            </w:pPr>
            <w:r>
              <w:rPr>
                <w:rFonts w:hint="eastAsia" w:ascii="宋体" w:hAnsi="宋体" w:cs="宋体"/>
                <w:color w:val="000000"/>
                <w:kern w:val="0"/>
                <w:sz w:val="20"/>
                <w:szCs w:val="20"/>
              </w:rPr>
              <w:t>表</w:t>
            </w:r>
            <w:r>
              <w:rPr>
                <w:rFonts w:ascii="宋体" w:hAnsi="宋体" w:cs="宋体"/>
                <w:color w:val="000000"/>
                <w:kern w:val="0"/>
                <w:sz w:val="20"/>
                <w:szCs w:val="20"/>
              </w:rPr>
              <w:t>5</w:t>
            </w:r>
          </w:p>
        </w:tc>
        <w:tc>
          <w:tcPr>
            <w:tcW w:w="7020" w:type="dxa"/>
            <w:tcBorders>
              <w:top w:val="single" w:color="000000" w:sz="4" w:space="0"/>
              <w:left w:val="single" w:color="auto" w:sz="4" w:space="0"/>
              <w:bottom w:val="single" w:color="000000" w:sz="4" w:space="0"/>
              <w:right w:val="single" w:color="auto" w:sz="4" w:space="0"/>
            </w:tcBorders>
            <w:vAlign w:val="center"/>
          </w:tcPr>
          <w:p w14:paraId="7197B920">
            <w:pPr>
              <w:widowControl/>
              <w:jc w:val="left"/>
              <w:textAlignment w:val="center"/>
              <w:rPr>
                <w:rFonts w:ascii="宋体"/>
                <w:color w:val="000000"/>
                <w:sz w:val="20"/>
                <w:szCs w:val="20"/>
              </w:rPr>
            </w:pPr>
            <w:r>
              <w:rPr>
                <w:rFonts w:ascii="宋体" w:hAnsi="宋体" w:cs="宋体"/>
                <w:color w:val="000000"/>
                <w:kern w:val="0"/>
                <w:sz w:val="20"/>
                <w:szCs w:val="20"/>
              </w:rPr>
              <w:t>2019</w:t>
            </w:r>
            <w:r>
              <w:rPr>
                <w:rFonts w:hint="eastAsia" w:ascii="宋体" w:hAnsi="宋体" w:cs="宋体"/>
                <w:color w:val="000000"/>
                <w:kern w:val="0"/>
                <w:sz w:val="20"/>
                <w:szCs w:val="20"/>
              </w:rPr>
              <w:t>年部门综合预算一般公共预算支出明细表（按功能科目分）</w:t>
            </w:r>
          </w:p>
        </w:tc>
      </w:tr>
      <w:tr w14:paraId="637A8954">
        <w:tblPrEx>
          <w:tblCellMar>
            <w:top w:w="15" w:type="dxa"/>
            <w:left w:w="15" w:type="dxa"/>
            <w:bottom w:w="15" w:type="dxa"/>
            <w:right w:w="15" w:type="dxa"/>
          </w:tblCellMar>
        </w:tblPrEx>
        <w:trPr>
          <w:trHeight w:val="461" w:hRule="atLeast"/>
          <w:jc w:val="center"/>
        </w:trPr>
        <w:tc>
          <w:tcPr>
            <w:tcW w:w="1095" w:type="dxa"/>
            <w:tcBorders>
              <w:top w:val="single" w:color="000000" w:sz="4" w:space="0"/>
              <w:left w:val="single" w:color="000000" w:sz="4" w:space="0"/>
              <w:bottom w:val="single" w:color="000000" w:sz="4" w:space="0"/>
              <w:right w:val="single" w:color="auto" w:sz="4" w:space="0"/>
            </w:tcBorders>
            <w:vAlign w:val="center"/>
          </w:tcPr>
          <w:p w14:paraId="4C8D3AF7">
            <w:pPr>
              <w:widowControl/>
              <w:jc w:val="center"/>
              <w:textAlignment w:val="center"/>
              <w:rPr>
                <w:rFonts w:ascii="宋体"/>
                <w:color w:val="000000"/>
                <w:sz w:val="20"/>
                <w:szCs w:val="20"/>
              </w:rPr>
            </w:pPr>
            <w:r>
              <w:rPr>
                <w:rFonts w:hint="eastAsia" w:ascii="宋体" w:hAnsi="宋体" w:cs="宋体"/>
                <w:color w:val="000000"/>
                <w:kern w:val="0"/>
                <w:sz w:val="20"/>
                <w:szCs w:val="20"/>
              </w:rPr>
              <w:t>表</w:t>
            </w:r>
            <w:r>
              <w:rPr>
                <w:rFonts w:ascii="宋体" w:hAnsi="宋体" w:cs="宋体"/>
                <w:color w:val="000000"/>
                <w:kern w:val="0"/>
                <w:sz w:val="20"/>
                <w:szCs w:val="20"/>
              </w:rPr>
              <w:t>6</w:t>
            </w:r>
          </w:p>
        </w:tc>
        <w:tc>
          <w:tcPr>
            <w:tcW w:w="7020" w:type="dxa"/>
            <w:tcBorders>
              <w:top w:val="single" w:color="000000" w:sz="4" w:space="0"/>
              <w:left w:val="single" w:color="auto" w:sz="4" w:space="0"/>
              <w:bottom w:val="single" w:color="000000" w:sz="4" w:space="0"/>
              <w:right w:val="single" w:color="auto" w:sz="4" w:space="0"/>
            </w:tcBorders>
            <w:vAlign w:val="center"/>
          </w:tcPr>
          <w:p w14:paraId="1A2D0E46">
            <w:pPr>
              <w:widowControl/>
              <w:jc w:val="left"/>
              <w:textAlignment w:val="center"/>
              <w:rPr>
                <w:rFonts w:ascii="宋体"/>
                <w:color w:val="000000"/>
                <w:sz w:val="20"/>
                <w:szCs w:val="20"/>
              </w:rPr>
            </w:pPr>
            <w:r>
              <w:rPr>
                <w:rFonts w:ascii="宋体" w:hAnsi="宋体" w:cs="宋体"/>
                <w:color w:val="000000"/>
                <w:kern w:val="0"/>
                <w:sz w:val="20"/>
                <w:szCs w:val="20"/>
              </w:rPr>
              <w:t>2019</w:t>
            </w:r>
            <w:r>
              <w:rPr>
                <w:rFonts w:hint="eastAsia" w:ascii="宋体" w:hAnsi="宋体" w:cs="宋体"/>
                <w:color w:val="000000"/>
                <w:kern w:val="0"/>
                <w:sz w:val="20"/>
                <w:szCs w:val="20"/>
              </w:rPr>
              <w:t>年部门综合预算一般公共预算支出明细表（按经济分类科目分）</w:t>
            </w:r>
          </w:p>
        </w:tc>
      </w:tr>
      <w:tr w14:paraId="216E8C1B">
        <w:tblPrEx>
          <w:tblCellMar>
            <w:top w:w="15" w:type="dxa"/>
            <w:left w:w="15" w:type="dxa"/>
            <w:bottom w:w="15" w:type="dxa"/>
            <w:right w:w="15" w:type="dxa"/>
          </w:tblCellMar>
        </w:tblPrEx>
        <w:trPr>
          <w:trHeight w:val="461" w:hRule="atLeast"/>
          <w:jc w:val="center"/>
        </w:trPr>
        <w:tc>
          <w:tcPr>
            <w:tcW w:w="1095" w:type="dxa"/>
            <w:tcBorders>
              <w:top w:val="single" w:color="000000" w:sz="4" w:space="0"/>
              <w:left w:val="single" w:color="000000" w:sz="4" w:space="0"/>
              <w:bottom w:val="single" w:color="000000" w:sz="4" w:space="0"/>
              <w:right w:val="single" w:color="auto" w:sz="4" w:space="0"/>
            </w:tcBorders>
            <w:vAlign w:val="center"/>
          </w:tcPr>
          <w:p w14:paraId="6E23E348">
            <w:pPr>
              <w:widowControl/>
              <w:jc w:val="center"/>
              <w:textAlignment w:val="center"/>
              <w:rPr>
                <w:rFonts w:ascii="宋体"/>
                <w:color w:val="000000"/>
                <w:sz w:val="20"/>
                <w:szCs w:val="20"/>
              </w:rPr>
            </w:pPr>
            <w:r>
              <w:rPr>
                <w:rFonts w:hint="eastAsia" w:ascii="宋体" w:hAnsi="宋体" w:cs="宋体"/>
                <w:color w:val="000000"/>
                <w:kern w:val="0"/>
                <w:sz w:val="20"/>
                <w:szCs w:val="20"/>
              </w:rPr>
              <w:t>表</w:t>
            </w:r>
            <w:r>
              <w:rPr>
                <w:rFonts w:ascii="宋体" w:hAnsi="宋体" w:cs="宋体"/>
                <w:color w:val="000000"/>
                <w:kern w:val="0"/>
                <w:sz w:val="20"/>
                <w:szCs w:val="20"/>
              </w:rPr>
              <w:t>7</w:t>
            </w:r>
          </w:p>
        </w:tc>
        <w:tc>
          <w:tcPr>
            <w:tcW w:w="7020" w:type="dxa"/>
            <w:tcBorders>
              <w:top w:val="single" w:color="000000" w:sz="4" w:space="0"/>
              <w:left w:val="single" w:color="auto" w:sz="4" w:space="0"/>
              <w:bottom w:val="single" w:color="000000" w:sz="4" w:space="0"/>
              <w:right w:val="single" w:color="auto" w:sz="4" w:space="0"/>
            </w:tcBorders>
            <w:vAlign w:val="center"/>
          </w:tcPr>
          <w:p w14:paraId="16B231DA">
            <w:pPr>
              <w:widowControl/>
              <w:jc w:val="left"/>
              <w:textAlignment w:val="center"/>
              <w:rPr>
                <w:rFonts w:ascii="宋体"/>
                <w:color w:val="000000"/>
                <w:sz w:val="20"/>
                <w:szCs w:val="20"/>
              </w:rPr>
            </w:pPr>
            <w:r>
              <w:rPr>
                <w:rFonts w:ascii="宋体" w:hAnsi="宋体" w:cs="宋体"/>
                <w:color w:val="000000"/>
                <w:kern w:val="0"/>
                <w:sz w:val="20"/>
                <w:szCs w:val="20"/>
              </w:rPr>
              <w:t>2019</w:t>
            </w:r>
            <w:r>
              <w:rPr>
                <w:rFonts w:hint="eastAsia" w:ascii="宋体" w:hAnsi="宋体" w:cs="宋体"/>
                <w:color w:val="000000"/>
                <w:kern w:val="0"/>
                <w:sz w:val="20"/>
                <w:szCs w:val="20"/>
              </w:rPr>
              <w:t>年部门综合预算一般公共预算基本支出明细表（按支出功能分类科目）</w:t>
            </w:r>
          </w:p>
        </w:tc>
      </w:tr>
      <w:tr w14:paraId="3B7D1ECE">
        <w:tblPrEx>
          <w:tblCellMar>
            <w:top w:w="15" w:type="dxa"/>
            <w:left w:w="15" w:type="dxa"/>
            <w:bottom w:w="15" w:type="dxa"/>
            <w:right w:w="15" w:type="dxa"/>
          </w:tblCellMar>
        </w:tblPrEx>
        <w:trPr>
          <w:trHeight w:val="461" w:hRule="atLeast"/>
          <w:jc w:val="center"/>
        </w:trPr>
        <w:tc>
          <w:tcPr>
            <w:tcW w:w="1095" w:type="dxa"/>
            <w:tcBorders>
              <w:top w:val="single" w:color="000000" w:sz="4" w:space="0"/>
              <w:left w:val="single" w:color="000000" w:sz="4" w:space="0"/>
              <w:bottom w:val="single" w:color="000000" w:sz="4" w:space="0"/>
              <w:right w:val="single" w:color="auto" w:sz="4" w:space="0"/>
            </w:tcBorders>
            <w:vAlign w:val="center"/>
          </w:tcPr>
          <w:p w14:paraId="3B4A3997">
            <w:pPr>
              <w:widowControl/>
              <w:jc w:val="center"/>
              <w:textAlignment w:val="center"/>
              <w:rPr>
                <w:rFonts w:ascii="宋体"/>
                <w:color w:val="000000"/>
                <w:sz w:val="20"/>
                <w:szCs w:val="20"/>
              </w:rPr>
            </w:pPr>
            <w:r>
              <w:rPr>
                <w:rFonts w:hint="eastAsia" w:ascii="宋体" w:hAnsi="宋体" w:cs="宋体"/>
                <w:color w:val="000000"/>
                <w:kern w:val="0"/>
                <w:sz w:val="20"/>
                <w:szCs w:val="20"/>
              </w:rPr>
              <w:t>表</w:t>
            </w:r>
            <w:r>
              <w:rPr>
                <w:rFonts w:ascii="宋体" w:hAnsi="宋体" w:cs="宋体"/>
                <w:color w:val="000000"/>
                <w:kern w:val="0"/>
                <w:sz w:val="20"/>
                <w:szCs w:val="20"/>
              </w:rPr>
              <w:t>8</w:t>
            </w:r>
          </w:p>
        </w:tc>
        <w:tc>
          <w:tcPr>
            <w:tcW w:w="7020" w:type="dxa"/>
            <w:tcBorders>
              <w:top w:val="single" w:color="000000" w:sz="4" w:space="0"/>
              <w:left w:val="single" w:color="auto" w:sz="4" w:space="0"/>
              <w:bottom w:val="single" w:color="000000" w:sz="4" w:space="0"/>
              <w:right w:val="single" w:color="auto" w:sz="4" w:space="0"/>
            </w:tcBorders>
            <w:vAlign w:val="center"/>
          </w:tcPr>
          <w:p w14:paraId="24691CF1">
            <w:pPr>
              <w:widowControl/>
              <w:jc w:val="left"/>
              <w:textAlignment w:val="center"/>
              <w:rPr>
                <w:rFonts w:ascii="宋体"/>
                <w:color w:val="000000"/>
                <w:sz w:val="20"/>
                <w:szCs w:val="20"/>
              </w:rPr>
            </w:pPr>
            <w:r>
              <w:rPr>
                <w:rFonts w:ascii="宋体" w:hAnsi="宋体" w:cs="宋体"/>
                <w:color w:val="000000"/>
                <w:kern w:val="0"/>
                <w:sz w:val="20"/>
                <w:szCs w:val="20"/>
              </w:rPr>
              <w:t>2019</w:t>
            </w:r>
            <w:r>
              <w:rPr>
                <w:rFonts w:hint="eastAsia" w:ascii="宋体" w:hAnsi="宋体" w:cs="宋体"/>
                <w:color w:val="000000"/>
                <w:kern w:val="0"/>
                <w:sz w:val="20"/>
                <w:szCs w:val="20"/>
              </w:rPr>
              <w:t>年部门综合预算一般公共预算基本支出明细表（按支出经济分类科目）</w:t>
            </w:r>
          </w:p>
        </w:tc>
      </w:tr>
      <w:tr w14:paraId="547CBA1E">
        <w:tblPrEx>
          <w:tblCellMar>
            <w:top w:w="15" w:type="dxa"/>
            <w:left w:w="15" w:type="dxa"/>
            <w:bottom w:w="15" w:type="dxa"/>
            <w:right w:w="15" w:type="dxa"/>
          </w:tblCellMar>
        </w:tblPrEx>
        <w:trPr>
          <w:trHeight w:val="461" w:hRule="atLeast"/>
          <w:jc w:val="center"/>
        </w:trPr>
        <w:tc>
          <w:tcPr>
            <w:tcW w:w="1095" w:type="dxa"/>
            <w:tcBorders>
              <w:top w:val="single" w:color="000000" w:sz="4" w:space="0"/>
              <w:left w:val="single" w:color="000000" w:sz="4" w:space="0"/>
              <w:bottom w:val="single" w:color="000000" w:sz="4" w:space="0"/>
              <w:right w:val="single" w:color="auto" w:sz="4" w:space="0"/>
            </w:tcBorders>
            <w:vAlign w:val="center"/>
          </w:tcPr>
          <w:p w14:paraId="29CA1289">
            <w:pPr>
              <w:widowControl/>
              <w:jc w:val="center"/>
              <w:textAlignment w:val="center"/>
              <w:rPr>
                <w:rFonts w:ascii="宋体"/>
                <w:color w:val="000000"/>
                <w:sz w:val="20"/>
                <w:szCs w:val="20"/>
              </w:rPr>
            </w:pPr>
            <w:r>
              <w:rPr>
                <w:rFonts w:hint="eastAsia" w:ascii="宋体" w:hAnsi="宋体" w:cs="宋体"/>
                <w:color w:val="000000"/>
                <w:kern w:val="0"/>
                <w:sz w:val="20"/>
                <w:szCs w:val="20"/>
              </w:rPr>
              <w:t>表</w:t>
            </w:r>
            <w:r>
              <w:rPr>
                <w:rFonts w:ascii="宋体" w:hAnsi="宋体" w:cs="宋体"/>
                <w:color w:val="000000"/>
                <w:kern w:val="0"/>
                <w:sz w:val="20"/>
                <w:szCs w:val="20"/>
              </w:rPr>
              <w:t>9</w:t>
            </w:r>
          </w:p>
        </w:tc>
        <w:tc>
          <w:tcPr>
            <w:tcW w:w="7020" w:type="dxa"/>
            <w:tcBorders>
              <w:top w:val="single" w:color="000000" w:sz="4" w:space="0"/>
              <w:left w:val="single" w:color="auto" w:sz="4" w:space="0"/>
              <w:bottom w:val="single" w:color="000000" w:sz="4" w:space="0"/>
              <w:right w:val="single" w:color="auto" w:sz="4" w:space="0"/>
            </w:tcBorders>
            <w:vAlign w:val="center"/>
          </w:tcPr>
          <w:p w14:paraId="5286225A">
            <w:pPr>
              <w:widowControl/>
              <w:jc w:val="left"/>
              <w:textAlignment w:val="center"/>
              <w:rPr>
                <w:rFonts w:ascii="宋体"/>
                <w:color w:val="000000"/>
                <w:sz w:val="20"/>
                <w:szCs w:val="20"/>
              </w:rPr>
            </w:pPr>
            <w:r>
              <w:rPr>
                <w:rFonts w:ascii="宋体" w:hAnsi="宋体" w:cs="宋体"/>
                <w:color w:val="000000"/>
                <w:kern w:val="0"/>
                <w:sz w:val="20"/>
                <w:szCs w:val="20"/>
              </w:rPr>
              <w:t>2019</w:t>
            </w:r>
            <w:r>
              <w:rPr>
                <w:rFonts w:hint="eastAsia" w:ascii="宋体" w:hAnsi="宋体" w:cs="宋体"/>
                <w:color w:val="000000"/>
                <w:kern w:val="0"/>
                <w:sz w:val="20"/>
                <w:szCs w:val="20"/>
              </w:rPr>
              <w:t>年部门综合预算政府性基金预算支出明细表（按功能科目分）</w:t>
            </w:r>
          </w:p>
        </w:tc>
      </w:tr>
      <w:tr w14:paraId="46EDDD07">
        <w:tblPrEx>
          <w:tblCellMar>
            <w:top w:w="15" w:type="dxa"/>
            <w:left w:w="15" w:type="dxa"/>
            <w:bottom w:w="15" w:type="dxa"/>
            <w:right w:w="15" w:type="dxa"/>
          </w:tblCellMar>
        </w:tblPrEx>
        <w:trPr>
          <w:trHeight w:val="461" w:hRule="atLeast"/>
          <w:jc w:val="center"/>
        </w:trPr>
        <w:tc>
          <w:tcPr>
            <w:tcW w:w="1095" w:type="dxa"/>
            <w:tcBorders>
              <w:top w:val="single" w:color="000000" w:sz="4" w:space="0"/>
              <w:left w:val="single" w:color="000000" w:sz="4" w:space="0"/>
              <w:bottom w:val="single" w:color="000000" w:sz="4" w:space="0"/>
              <w:right w:val="single" w:color="auto" w:sz="4" w:space="0"/>
            </w:tcBorders>
            <w:vAlign w:val="center"/>
          </w:tcPr>
          <w:p w14:paraId="5862F014">
            <w:pPr>
              <w:widowControl/>
              <w:jc w:val="center"/>
              <w:textAlignment w:val="center"/>
              <w:rPr>
                <w:rFonts w:ascii="宋体"/>
                <w:color w:val="000000"/>
                <w:sz w:val="20"/>
                <w:szCs w:val="20"/>
              </w:rPr>
            </w:pPr>
            <w:r>
              <w:rPr>
                <w:rFonts w:hint="eastAsia" w:ascii="宋体" w:hAnsi="宋体" w:cs="宋体"/>
                <w:color w:val="000000"/>
                <w:kern w:val="0"/>
                <w:sz w:val="20"/>
                <w:szCs w:val="20"/>
              </w:rPr>
              <w:t>表</w:t>
            </w:r>
            <w:r>
              <w:rPr>
                <w:rFonts w:ascii="宋体" w:hAnsi="宋体" w:cs="宋体"/>
                <w:color w:val="000000"/>
                <w:kern w:val="0"/>
                <w:sz w:val="20"/>
                <w:szCs w:val="20"/>
              </w:rPr>
              <w:t>10</w:t>
            </w:r>
          </w:p>
        </w:tc>
        <w:tc>
          <w:tcPr>
            <w:tcW w:w="7020" w:type="dxa"/>
            <w:tcBorders>
              <w:top w:val="single" w:color="000000" w:sz="4" w:space="0"/>
              <w:left w:val="single" w:color="auto" w:sz="4" w:space="0"/>
              <w:bottom w:val="single" w:color="000000" w:sz="4" w:space="0"/>
              <w:right w:val="single" w:color="auto" w:sz="4" w:space="0"/>
            </w:tcBorders>
            <w:vAlign w:val="center"/>
          </w:tcPr>
          <w:p w14:paraId="7000F4CF">
            <w:pPr>
              <w:widowControl/>
              <w:jc w:val="left"/>
              <w:textAlignment w:val="center"/>
              <w:rPr>
                <w:rFonts w:ascii="宋体"/>
                <w:color w:val="000000"/>
                <w:sz w:val="20"/>
                <w:szCs w:val="20"/>
              </w:rPr>
            </w:pPr>
            <w:r>
              <w:rPr>
                <w:rFonts w:ascii="宋体" w:hAnsi="宋体" w:cs="宋体"/>
                <w:color w:val="000000"/>
                <w:kern w:val="0"/>
                <w:sz w:val="20"/>
                <w:szCs w:val="20"/>
              </w:rPr>
              <w:t>2019</w:t>
            </w:r>
            <w:r>
              <w:rPr>
                <w:rFonts w:hint="eastAsia" w:ascii="宋体" w:hAnsi="宋体" w:cs="宋体"/>
                <w:color w:val="000000"/>
                <w:kern w:val="0"/>
                <w:sz w:val="20"/>
                <w:szCs w:val="20"/>
              </w:rPr>
              <w:t>年部门综合预算政府性基金预算支出明细表（按经济分类科目分）</w:t>
            </w:r>
          </w:p>
        </w:tc>
      </w:tr>
      <w:tr w14:paraId="51FCC89B">
        <w:tblPrEx>
          <w:tblCellMar>
            <w:top w:w="15" w:type="dxa"/>
            <w:left w:w="15" w:type="dxa"/>
            <w:bottom w:w="15" w:type="dxa"/>
            <w:right w:w="15" w:type="dxa"/>
          </w:tblCellMar>
        </w:tblPrEx>
        <w:trPr>
          <w:trHeight w:val="461" w:hRule="atLeast"/>
          <w:jc w:val="center"/>
        </w:trPr>
        <w:tc>
          <w:tcPr>
            <w:tcW w:w="1095" w:type="dxa"/>
            <w:tcBorders>
              <w:top w:val="single" w:color="000000" w:sz="4" w:space="0"/>
              <w:left w:val="single" w:color="000000" w:sz="4" w:space="0"/>
              <w:bottom w:val="single" w:color="000000" w:sz="4" w:space="0"/>
              <w:right w:val="single" w:color="auto" w:sz="4" w:space="0"/>
            </w:tcBorders>
            <w:vAlign w:val="center"/>
          </w:tcPr>
          <w:p w14:paraId="12DA1066">
            <w:pPr>
              <w:widowControl/>
              <w:jc w:val="center"/>
              <w:textAlignment w:val="center"/>
              <w:rPr>
                <w:rFonts w:ascii="宋体"/>
                <w:color w:val="000000"/>
                <w:sz w:val="20"/>
                <w:szCs w:val="20"/>
              </w:rPr>
            </w:pPr>
            <w:r>
              <w:rPr>
                <w:rFonts w:hint="eastAsia" w:ascii="宋体" w:hAnsi="宋体" w:cs="宋体"/>
                <w:color w:val="000000"/>
                <w:kern w:val="0"/>
                <w:sz w:val="20"/>
                <w:szCs w:val="20"/>
              </w:rPr>
              <w:t>表</w:t>
            </w:r>
            <w:r>
              <w:rPr>
                <w:rFonts w:ascii="宋体" w:hAnsi="宋体" w:cs="宋体"/>
                <w:color w:val="000000"/>
                <w:kern w:val="0"/>
                <w:sz w:val="20"/>
                <w:szCs w:val="20"/>
              </w:rPr>
              <w:t>11</w:t>
            </w:r>
          </w:p>
        </w:tc>
        <w:tc>
          <w:tcPr>
            <w:tcW w:w="7020" w:type="dxa"/>
            <w:tcBorders>
              <w:top w:val="single" w:color="000000" w:sz="4" w:space="0"/>
              <w:left w:val="single" w:color="auto" w:sz="4" w:space="0"/>
              <w:bottom w:val="single" w:color="auto" w:sz="4" w:space="0"/>
              <w:right w:val="single" w:color="auto" w:sz="4" w:space="0"/>
            </w:tcBorders>
            <w:vAlign w:val="center"/>
          </w:tcPr>
          <w:p w14:paraId="01C2D749">
            <w:pPr>
              <w:widowControl/>
              <w:jc w:val="left"/>
              <w:textAlignment w:val="center"/>
              <w:rPr>
                <w:rFonts w:ascii="宋体"/>
                <w:color w:val="000000"/>
                <w:sz w:val="20"/>
                <w:szCs w:val="20"/>
              </w:rPr>
            </w:pPr>
            <w:r>
              <w:rPr>
                <w:rFonts w:ascii="宋体" w:hAnsi="宋体" w:cs="宋体"/>
                <w:color w:val="000000"/>
                <w:kern w:val="0"/>
                <w:sz w:val="20"/>
                <w:szCs w:val="20"/>
              </w:rPr>
              <w:t>2019</w:t>
            </w:r>
            <w:r>
              <w:rPr>
                <w:rFonts w:hint="eastAsia" w:ascii="宋体" w:hAnsi="宋体" w:cs="宋体"/>
                <w:color w:val="000000"/>
                <w:kern w:val="0"/>
                <w:sz w:val="20"/>
                <w:szCs w:val="20"/>
              </w:rPr>
              <w:t>年部门综合预算一般公共预算拨款“三公”经费及会议费、培训费支出预算表</w:t>
            </w:r>
          </w:p>
        </w:tc>
      </w:tr>
      <w:tr w14:paraId="7C35DCEE">
        <w:tblPrEx>
          <w:tblCellMar>
            <w:top w:w="15" w:type="dxa"/>
            <w:left w:w="15" w:type="dxa"/>
            <w:bottom w:w="15" w:type="dxa"/>
            <w:right w:w="15" w:type="dxa"/>
          </w:tblCellMar>
        </w:tblPrEx>
        <w:trPr>
          <w:trHeight w:val="461" w:hRule="atLeast"/>
          <w:jc w:val="center"/>
        </w:trPr>
        <w:tc>
          <w:tcPr>
            <w:tcW w:w="1095" w:type="dxa"/>
            <w:tcBorders>
              <w:top w:val="single" w:color="000000" w:sz="4" w:space="0"/>
              <w:left w:val="single" w:color="000000" w:sz="4" w:space="0"/>
              <w:bottom w:val="single" w:color="000000" w:sz="4" w:space="0"/>
              <w:right w:val="single" w:color="auto" w:sz="4" w:space="0"/>
            </w:tcBorders>
            <w:vAlign w:val="center"/>
          </w:tcPr>
          <w:p w14:paraId="1CAD7137">
            <w:pPr>
              <w:widowControl/>
              <w:jc w:val="center"/>
              <w:textAlignment w:val="center"/>
              <w:rPr>
                <w:rFonts w:ascii="宋体"/>
                <w:color w:val="000000"/>
                <w:sz w:val="20"/>
                <w:szCs w:val="20"/>
              </w:rPr>
            </w:pPr>
            <w:r>
              <w:rPr>
                <w:rFonts w:hint="eastAsia" w:ascii="宋体" w:hAnsi="宋体" w:cs="宋体"/>
                <w:color w:val="000000"/>
                <w:kern w:val="0"/>
                <w:sz w:val="20"/>
                <w:szCs w:val="20"/>
              </w:rPr>
              <w:t>表</w:t>
            </w:r>
            <w:r>
              <w:rPr>
                <w:rFonts w:ascii="宋体" w:hAnsi="宋体" w:cs="宋体"/>
                <w:color w:val="000000"/>
                <w:kern w:val="0"/>
                <w:sz w:val="20"/>
                <w:szCs w:val="20"/>
              </w:rPr>
              <w:t>12</w:t>
            </w:r>
          </w:p>
        </w:tc>
        <w:tc>
          <w:tcPr>
            <w:tcW w:w="7020" w:type="dxa"/>
            <w:tcBorders>
              <w:top w:val="single" w:color="auto" w:sz="4" w:space="0"/>
              <w:left w:val="single" w:color="auto" w:sz="4" w:space="0"/>
              <w:bottom w:val="single" w:color="000000" w:sz="4" w:space="0"/>
              <w:right w:val="single" w:color="auto" w:sz="4" w:space="0"/>
            </w:tcBorders>
            <w:vAlign w:val="center"/>
          </w:tcPr>
          <w:p w14:paraId="4D7B6470">
            <w:pPr>
              <w:widowControl/>
              <w:jc w:val="left"/>
              <w:textAlignment w:val="center"/>
              <w:rPr>
                <w:rFonts w:ascii="宋体"/>
                <w:color w:val="000000"/>
                <w:sz w:val="20"/>
                <w:szCs w:val="20"/>
              </w:rPr>
            </w:pPr>
            <w:r>
              <w:rPr>
                <w:rFonts w:ascii="宋体" w:hAnsi="宋体" w:cs="宋体"/>
                <w:color w:val="000000"/>
                <w:kern w:val="0"/>
                <w:sz w:val="20"/>
                <w:szCs w:val="20"/>
              </w:rPr>
              <w:t>2019</w:t>
            </w:r>
            <w:r>
              <w:rPr>
                <w:rFonts w:hint="eastAsia" w:ascii="宋体" w:hAnsi="宋体" w:cs="宋体"/>
                <w:color w:val="000000"/>
                <w:kern w:val="0"/>
                <w:sz w:val="20"/>
                <w:szCs w:val="20"/>
              </w:rPr>
              <w:t>年部门综合预算政府采购（资产配置、购买服务）预算表</w:t>
            </w:r>
          </w:p>
        </w:tc>
      </w:tr>
      <w:tr w14:paraId="71FB0483">
        <w:tblPrEx>
          <w:tblCellMar>
            <w:top w:w="15" w:type="dxa"/>
            <w:left w:w="15" w:type="dxa"/>
            <w:bottom w:w="15" w:type="dxa"/>
            <w:right w:w="15" w:type="dxa"/>
          </w:tblCellMar>
        </w:tblPrEx>
        <w:trPr>
          <w:trHeight w:val="461" w:hRule="atLeast"/>
          <w:jc w:val="center"/>
        </w:trPr>
        <w:tc>
          <w:tcPr>
            <w:tcW w:w="1095" w:type="dxa"/>
            <w:tcBorders>
              <w:top w:val="single" w:color="000000" w:sz="4" w:space="0"/>
              <w:left w:val="single" w:color="000000" w:sz="4" w:space="0"/>
              <w:bottom w:val="single" w:color="000000" w:sz="4" w:space="0"/>
              <w:right w:val="single" w:color="auto" w:sz="4" w:space="0"/>
            </w:tcBorders>
            <w:vAlign w:val="center"/>
          </w:tcPr>
          <w:p w14:paraId="6E1D979B">
            <w:pPr>
              <w:widowControl/>
              <w:jc w:val="center"/>
              <w:textAlignment w:val="center"/>
              <w:rPr>
                <w:rFonts w:ascii="宋体"/>
                <w:color w:val="000000"/>
                <w:sz w:val="20"/>
                <w:szCs w:val="20"/>
              </w:rPr>
            </w:pPr>
            <w:r>
              <w:rPr>
                <w:rFonts w:hint="eastAsia" w:ascii="宋体" w:hAnsi="宋体" w:cs="宋体"/>
                <w:color w:val="000000"/>
                <w:kern w:val="0"/>
                <w:sz w:val="20"/>
                <w:szCs w:val="20"/>
              </w:rPr>
              <w:t>表</w:t>
            </w:r>
            <w:r>
              <w:rPr>
                <w:rFonts w:ascii="宋体" w:hAnsi="宋体" w:cs="宋体"/>
                <w:color w:val="000000"/>
                <w:kern w:val="0"/>
                <w:sz w:val="20"/>
                <w:szCs w:val="20"/>
              </w:rPr>
              <w:t>13</w:t>
            </w:r>
          </w:p>
        </w:tc>
        <w:tc>
          <w:tcPr>
            <w:tcW w:w="7020" w:type="dxa"/>
            <w:tcBorders>
              <w:top w:val="single" w:color="000000" w:sz="4" w:space="0"/>
              <w:left w:val="single" w:color="auto" w:sz="4" w:space="0"/>
              <w:bottom w:val="single" w:color="000000" w:sz="4" w:space="0"/>
              <w:right w:val="single" w:color="auto" w:sz="4" w:space="0"/>
            </w:tcBorders>
            <w:vAlign w:val="center"/>
          </w:tcPr>
          <w:p w14:paraId="1DF12E41">
            <w:pPr>
              <w:widowControl/>
              <w:jc w:val="left"/>
              <w:textAlignment w:val="center"/>
              <w:rPr>
                <w:rFonts w:ascii="宋体"/>
                <w:color w:val="000000"/>
                <w:sz w:val="20"/>
                <w:szCs w:val="20"/>
              </w:rPr>
            </w:pPr>
            <w:r>
              <w:rPr>
                <w:rFonts w:ascii="宋体" w:hAnsi="宋体" w:cs="宋体"/>
                <w:color w:val="000000"/>
                <w:kern w:val="0"/>
                <w:sz w:val="20"/>
                <w:szCs w:val="20"/>
              </w:rPr>
              <w:t>2019</w:t>
            </w:r>
            <w:r>
              <w:rPr>
                <w:rFonts w:hint="eastAsia" w:ascii="宋体" w:hAnsi="宋体" w:cs="宋体"/>
                <w:color w:val="000000"/>
                <w:kern w:val="0"/>
                <w:sz w:val="20"/>
                <w:szCs w:val="20"/>
              </w:rPr>
              <w:t>年部门综合预算专项资金明细表</w:t>
            </w:r>
          </w:p>
        </w:tc>
      </w:tr>
      <w:tr w14:paraId="7947243F">
        <w:tblPrEx>
          <w:tblCellMar>
            <w:top w:w="15" w:type="dxa"/>
            <w:left w:w="15" w:type="dxa"/>
            <w:bottom w:w="15" w:type="dxa"/>
            <w:right w:w="15" w:type="dxa"/>
          </w:tblCellMar>
        </w:tblPrEx>
        <w:trPr>
          <w:trHeight w:val="461" w:hRule="atLeast"/>
          <w:jc w:val="center"/>
        </w:trPr>
        <w:tc>
          <w:tcPr>
            <w:tcW w:w="1095" w:type="dxa"/>
            <w:tcBorders>
              <w:top w:val="single" w:color="000000" w:sz="4" w:space="0"/>
              <w:left w:val="single" w:color="000000" w:sz="4" w:space="0"/>
              <w:bottom w:val="single" w:color="000000" w:sz="4" w:space="0"/>
              <w:right w:val="single" w:color="auto" w:sz="4" w:space="0"/>
            </w:tcBorders>
            <w:vAlign w:val="center"/>
          </w:tcPr>
          <w:p w14:paraId="04127BB0">
            <w:pPr>
              <w:widowControl/>
              <w:jc w:val="center"/>
              <w:textAlignment w:val="center"/>
              <w:rPr>
                <w:rFonts w:ascii="宋体"/>
                <w:color w:val="000000"/>
                <w:sz w:val="20"/>
                <w:szCs w:val="20"/>
              </w:rPr>
            </w:pPr>
            <w:r>
              <w:rPr>
                <w:rFonts w:hint="eastAsia" w:ascii="宋体" w:hAnsi="宋体" w:cs="宋体"/>
                <w:color w:val="000000"/>
                <w:kern w:val="0"/>
                <w:sz w:val="20"/>
                <w:szCs w:val="20"/>
              </w:rPr>
              <w:t>表</w:t>
            </w:r>
            <w:r>
              <w:rPr>
                <w:rFonts w:ascii="宋体" w:hAnsi="宋体" w:cs="宋体"/>
                <w:color w:val="000000"/>
                <w:kern w:val="0"/>
                <w:sz w:val="20"/>
                <w:szCs w:val="20"/>
              </w:rPr>
              <w:t>14</w:t>
            </w:r>
          </w:p>
        </w:tc>
        <w:tc>
          <w:tcPr>
            <w:tcW w:w="7020" w:type="dxa"/>
            <w:tcBorders>
              <w:top w:val="single" w:color="000000" w:sz="4" w:space="0"/>
              <w:left w:val="single" w:color="auto" w:sz="4" w:space="0"/>
              <w:bottom w:val="single" w:color="000000" w:sz="4" w:space="0"/>
              <w:right w:val="single" w:color="auto" w:sz="4" w:space="0"/>
            </w:tcBorders>
            <w:vAlign w:val="center"/>
          </w:tcPr>
          <w:p w14:paraId="31383330">
            <w:pPr>
              <w:widowControl/>
              <w:jc w:val="left"/>
              <w:textAlignment w:val="center"/>
              <w:rPr>
                <w:rFonts w:ascii="宋体"/>
                <w:color w:val="000000"/>
                <w:sz w:val="20"/>
                <w:szCs w:val="20"/>
              </w:rPr>
            </w:pPr>
            <w:r>
              <w:rPr>
                <w:rFonts w:ascii="宋体" w:hAnsi="宋体" w:cs="宋体"/>
                <w:color w:val="000000"/>
                <w:kern w:val="0"/>
                <w:sz w:val="20"/>
                <w:szCs w:val="20"/>
              </w:rPr>
              <w:t>2019</w:t>
            </w:r>
            <w:r>
              <w:rPr>
                <w:rFonts w:hint="eastAsia" w:ascii="宋体" w:hAnsi="宋体" w:cs="宋体"/>
                <w:color w:val="000000"/>
                <w:kern w:val="0"/>
                <w:sz w:val="20"/>
                <w:szCs w:val="20"/>
              </w:rPr>
              <w:t>年部门整体支出绩效目标表</w:t>
            </w:r>
          </w:p>
        </w:tc>
      </w:tr>
      <w:tr w14:paraId="71A589D5">
        <w:tblPrEx>
          <w:tblCellMar>
            <w:top w:w="15" w:type="dxa"/>
            <w:left w:w="15" w:type="dxa"/>
            <w:bottom w:w="15" w:type="dxa"/>
            <w:right w:w="15" w:type="dxa"/>
          </w:tblCellMar>
        </w:tblPrEx>
        <w:trPr>
          <w:trHeight w:val="470" w:hRule="atLeast"/>
          <w:jc w:val="center"/>
        </w:trPr>
        <w:tc>
          <w:tcPr>
            <w:tcW w:w="1095" w:type="dxa"/>
            <w:tcBorders>
              <w:top w:val="single" w:color="000000" w:sz="4" w:space="0"/>
              <w:left w:val="single" w:color="000000" w:sz="4" w:space="0"/>
              <w:bottom w:val="single" w:color="000000" w:sz="4" w:space="0"/>
              <w:right w:val="single" w:color="auto" w:sz="4" w:space="0"/>
            </w:tcBorders>
            <w:vAlign w:val="center"/>
          </w:tcPr>
          <w:p w14:paraId="4DED67C6">
            <w:pPr>
              <w:widowControl/>
              <w:jc w:val="center"/>
              <w:textAlignment w:val="center"/>
              <w:rPr>
                <w:rFonts w:ascii="宋体"/>
                <w:color w:val="000000"/>
                <w:sz w:val="20"/>
                <w:szCs w:val="20"/>
              </w:rPr>
            </w:pPr>
            <w:r>
              <w:rPr>
                <w:rFonts w:hint="eastAsia" w:ascii="宋体" w:hAnsi="宋体" w:cs="宋体"/>
                <w:color w:val="000000"/>
                <w:kern w:val="0"/>
                <w:sz w:val="20"/>
                <w:szCs w:val="20"/>
              </w:rPr>
              <w:t>表</w:t>
            </w:r>
            <w:r>
              <w:rPr>
                <w:rFonts w:ascii="宋体" w:hAnsi="宋体" w:cs="宋体"/>
                <w:color w:val="000000"/>
                <w:kern w:val="0"/>
                <w:sz w:val="20"/>
                <w:szCs w:val="20"/>
              </w:rPr>
              <w:t>15</w:t>
            </w:r>
          </w:p>
        </w:tc>
        <w:tc>
          <w:tcPr>
            <w:tcW w:w="7020" w:type="dxa"/>
            <w:tcBorders>
              <w:top w:val="single" w:color="000000" w:sz="4" w:space="0"/>
              <w:left w:val="single" w:color="auto" w:sz="4" w:space="0"/>
              <w:bottom w:val="single" w:color="auto" w:sz="4" w:space="0"/>
              <w:right w:val="single" w:color="auto" w:sz="4" w:space="0"/>
            </w:tcBorders>
            <w:vAlign w:val="center"/>
          </w:tcPr>
          <w:p w14:paraId="60B9AFFF">
            <w:pPr>
              <w:widowControl/>
              <w:jc w:val="left"/>
              <w:textAlignment w:val="center"/>
              <w:rPr>
                <w:rFonts w:ascii="宋体"/>
                <w:color w:val="000000"/>
                <w:sz w:val="20"/>
                <w:szCs w:val="20"/>
              </w:rPr>
            </w:pPr>
            <w:r>
              <w:rPr>
                <w:rFonts w:ascii="宋体" w:hAnsi="宋体" w:cs="宋体"/>
                <w:color w:val="000000"/>
                <w:kern w:val="0"/>
                <w:sz w:val="20"/>
                <w:szCs w:val="20"/>
              </w:rPr>
              <w:t>2019</w:t>
            </w:r>
            <w:r>
              <w:rPr>
                <w:rFonts w:hint="eastAsia" w:ascii="宋体" w:hAnsi="宋体" w:cs="宋体"/>
                <w:color w:val="000000"/>
                <w:kern w:val="0"/>
                <w:sz w:val="20"/>
                <w:szCs w:val="20"/>
              </w:rPr>
              <w:t>年专项资金整体绩效目标表</w:t>
            </w:r>
          </w:p>
        </w:tc>
      </w:tr>
    </w:tbl>
    <w:p w14:paraId="382C6FBF">
      <w:pPr>
        <w:spacing w:line="360" w:lineRule="auto"/>
        <w:ind w:firstLine="640" w:firstLineChars="200"/>
        <w:rPr>
          <w:rFonts w:ascii="??_GB2312" w:hAnsi="宋体" w:eastAsia="Times New Roman"/>
          <w:sz w:val="32"/>
          <w:szCs w:val="32"/>
        </w:rPr>
      </w:pPr>
    </w:p>
    <w:p w14:paraId="146E81D9">
      <w:pPr>
        <w:spacing w:line="360" w:lineRule="auto"/>
      </w:pPr>
      <w:r>
        <w:rPr>
          <w:rFonts w:ascii="??_GB2312" w:hAnsi="宋体" w:eastAsia="Times New Roman" w:cs="??_GB2312"/>
          <w:sz w:val="32"/>
          <w:szCs w:val="32"/>
        </w:rPr>
        <w:t xml:space="preserve">                                   </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_GB2312">
    <w:altName w:val="Times New Roman"/>
    <w:panose1 w:val="00000000000000000000"/>
    <w:charset w:val="00"/>
    <w:family w:val="auto"/>
    <w:pitch w:val="default"/>
    <w:sig w:usb0="00000000" w:usb1="00000000" w:usb2="00000000" w:usb3="00000000" w:csb0="0000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88032E">
    <w:pPr>
      <w:pStyle w:val="3"/>
    </w:pPr>
    <w:r>
      <w:pict>
        <v:shape id="_x0000_s4097" o:spid="_x0000_s4097"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weight="0.5pt" joinstyle="miter"/>
          <v:imagedata o:title=""/>
          <o:lock v:ext="edit"/>
          <v:textbox inset="0mm,0mm,0mm,0mm" style="mso-fit-shape-to-text:t;">
            <w:txbxContent>
              <w:p w14:paraId="152E555C">
                <w:pPr>
                  <w:pStyle w:val="3"/>
                </w:pPr>
                <w:r>
                  <w:fldChar w:fldCharType="begin"/>
                </w:r>
                <w:r>
                  <w:instrText xml:space="preserve"> PAGE  \* MERGEFORMAT </w:instrText>
                </w:r>
                <w:r>
                  <w:fldChar w:fldCharType="separate"/>
                </w:r>
                <w:r>
                  <w:t>1</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C4E8F1"/>
    <w:multiLevelType w:val="singleLevel"/>
    <w:tmpl w:val="FEC4E8F1"/>
    <w:lvl w:ilvl="0" w:tentative="0">
      <w:start w:val="2"/>
      <w:numFmt w:val="decimal"/>
      <w:suff w:val="nothing"/>
      <w:lvlText w:val="（%1）"/>
      <w:lvlJc w:val="left"/>
    </w:lvl>
  </w:abstractNum>
  <w:abstractNum w:abstractNumId="1">
    <w:nsid w:val="5E5A3EAD"/>
    <w:multiLevelType w:val="singleLevel"/>
    <w:tmpl w:val="5E5A3EAD"/>
    <w:lvl w:ilvl="0" w:tentative="0">
      <w:start w:val="6"/>
      <w:numFmt w:val="chineseCounting"/>
      <w:suff w:val="nothing"/>
      <w:lvlText w:val="（%1）"/>
      <w:lvlJc w:val="left"/>
      <w:rPr>
        <w:rFonts w:hint="eastAsia"/>
      </w:rPr>
    </w:lvl>
  </w:abstractNum>
  <w:abstractNum w:abstractNumId="2">
    <w:nsid w:val="765E6625"/>
    <w:multiLevelType w:val="singleLevel"/>
    <w:tmpl w:val="765E6625"/>
    <w:lvl w:ilvl="0" w:tentative="0">
      <w:start w:val="2"/>
      <w:numFmt w:val="decimal"/>
      <w:suff w:val="nothing"/>
      <w:lvlText w:val="%1、"/>
      <w:lvlJc w:val="left"/>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80"/>
  <w:embedSystemFonts/>
  <w:bordersDoNotSurroundHeader w:val="1"/>
  <w:bordersDoNotSurroundFooter w:val="1"/>
  <w:documentProtection w:enforcement="0"/>
  <w:defaultTabStop w:val="420"/>
  <w:doNotHyphenateCaps/>
  <w:drawingGridVerticalSpacing w:val="156"/>
  <w:noPunctuationKerning w:val="1"/>
  <w:characterSpacingControl w:val="compressPunctuation"/>
  <w:noLineBreaksAfter w:lang="zh-CN" w:val="$([{£¥·‘“〈《「『【〔〖〝﹙﹛﹝＄（．［｛￡￥"/>
  <w:noLineBreaksBefore w:lang="zh-CN" w:val="!%),.:;&gt;?]}¢¨°·ˇˉ―‖’”…‰′″›℃∶、。〃〉》」』】〕〗〞︶︺︾﹀﹄﹚﹜﹞！＂％＇），．：；？］｀｜｝～￠"/>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WJlYjhkM2E2OTkyOWZhYjU4NmFhNjkxNjgyYWQ0ZmYifQ=="/>
  </w:docVars>
  <w:rsids>
    <w:rsidRoot w:val="65AD5B19"/>
    <w:rsid w:val="000029AD"/>
    <w:rsid w:val="00123EC1"/>
    <w:rsid w:val="002B2451"/>
    <w:rsid w:val="004D079A"/>
    <w:rsid w:val="004D301B"/>
    <w:rsid w:val="004E27F7"/>
    <w:rsid w:val="005A2310"/>
    <w:rsid w:val="006E5D8B"/>
    <w:rsid w:val="00700D1F"/>
    <w:rsid w:val="007768C8"/>
    <w:rsid w:val="007C100B"/>
    <w:rsid w:val="007D3CAA"/>
    <w:rsid w:val="009E7BC8"/>
    <w:rsid w:val="00A7687F"/>
    <w:rsid w:val="00AC4AFB"/>
    <w:rsid w:val="00B34A11"/>
    <w:rsid w:val="00B409E6"/>
    <w:rsid w:val="00BA1C2F"/>
    <w:rsid w:val="00C96907"/>
    <w:rsid w:val="00CF6343"/>
    <w:rsid w:val="00D11A7E"/>
    <w:rsid w:val="00DB6BEE"/>
    <w:rsid w:val="00F07A52"/>
    <w:rsid w:val="00F47E3A"/>
    <w:rsid w:val="00F97B5F"/>
    <w:rsid w:val="00FB4B30"/>
    <w:rsid w:val="00FD6679"/>
    <w:rsid w:val="02D064FC"/>
    <w:rsid w:val="03791441"/>
    <w:rsid w:val="08026480"/>
    <w:rsid w:val="09DA3E74"/>
    <w:rsid w:val="0BE959F6"/>
    <w:rsid w:val="119D7172"/>
    <w:rsid w:val="141944DF"/>
    <w:rsid w:val="16F30EA0"/>
    <w:rsid w:val="1750687D"/>
    <w:rsid w:val="18FF38F0"/>
    <w:rsid w:val="1C8E22E2"/>
    <w:rsid w:val="1D96644F"/>
    <w:rsid w:val="1EF706E7"/>
    <w:rsid w:val="222B608E"/>
    <w:rsid w:val="238C59AD"/>
    <w:rsid w:val="2A573426"/>
    <w:rsid w:val="3A891A53"/>
    <w:rsid w:val="3DC76E38"/>
    <w:rsid w:val="3EF72732"/>
    <w:rsid w:val="49D460FB"/>
    <w:rsid w:val="4C9E4982"/>
    <w:rsid w:val="50C50B9E"/>
    <w:rsid w:val="5396275F"/>
    <w:rsid w:val="558F3771"/>
    <w:rsid w:val="5A3766CB"/>
    <w:rsid w:val="65AD5B19"/>
    <w:rsid w:val="6696741B"/>
    <w:rsid w:val="6BDA06CD"/>
    <w:rsid w:val="7AB35D49"/>
    <w:rsid w:val="7F7B320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qFormat/>
    <w:uiPriority w:val="99"/>
    <w:rPr>
      <w:sz w:val="18"/>
      <w:szCs w:val="18"/>
    </w:rPr>
  </w:style>
  <w:style w:type="paragraph" w:styleId="3">
    <w:name w:val="footer"/>
    <w:basedOn w:val="1"/>
    <w:link w:val="10"/>
    <w:qFormat/>
    <w:uiPriority w:val="99"/>
    <w:pPr>
      <w:tabs>
        <w:tab w:val="center" w:pos="4153"/>
        <w:tab w:val="right" w:pos="8306"/>
      </w:tabs>
      <w:snapToGrid w:val="0"/>
      <w:jc w:val="left"/>
    </w:pPr>
    <w:rPr>
      <w:sz w:val="18"/>
      <w:szCs w:val="18"/>
    </w:rPr>
  </w:style>
  <w:style w:type="paragraph" w:styleId="4">
    <w:name w:val="header"/>
    <w:basedOn w:val="1"/>
    <w:link w:val="1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szCs w:val="18"/>
    </w:rPr>
  </w:style>
  <w:style w:type="paragraph" w:styleId="5">
    <w:name w:val="Normal (Web)"/>
    <w:basedOn w:val="1"/>
    <w:qFormat/>
    <w:uiPriority w:val="99"/>
    <w:pPr>
      <w:spacing w:before="100" w:beforeAutospacing="1" w:after="100" w:afterAutospacing="1"/>
      <w:jc w:val="left"/>
    </w:pPr>
    <w:rPr>
      <w:kern w:val="0"/>
      <w:sz w:val="24"/>
      <w:szCs w:val="24"/>
    </w:rPr>
  </w:style>
  <w:style w:type="table" w:styleId="7">
    <w:name w:val="Table Grid"/>
    <w:basedOn w:val="6"/>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批注框文本 Char"/>
    <w:basedOn w:val="8"/>
    <w:link w:val="2"/>
    <w:qFormat/>
    <w:locked/>
    <w:uiPriority w:val="99"/>
    <w:rPr>
      <w:kern w:val="2"/>
      <w:sz w:val="18"/>
      <w:szCs w:val="18"/>
    </w:rPr>
  </w:style>
  <w:style w:type="character" w:customStyle="1" w:styleId="10">
    <w:name w:val="页脚 Char"/>
    <w:basedOn w:val="8"/>
    <w:link w:val="3"/>
    <w:semiHidden/>
    <w:qFormat/>
    <w:locked/>
    <w:uiPriority w:val="99"/>
    <w:rPr>
      <w:sz w:val="18"/>
      <w:szCs w:val="18"/>
    </w:rPr>
  </w:style>
  <w:style w:type="character" w:customStyle="1" w:styleId="11">
    <w:name w:val="页眉 Char"/>
    <w:basedOn w:val="8"/>
    <w:link w:val="4"/>
    <w:semiHidden/>
    <w:qFormat/>
    <w:locked/>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chart" Target="charts/chart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2" Type="http://schemas.openxmlformats.org/officeDocument/2006/relationships/themeOverride" Target="../theme/themeOverride1.xml"/><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部门人员情况柱状图</a:t>
            </a:r>
            <a:endParaRPr lang="zh-CN" altLang="en-US"/>
          </a:p>
        </c:rich>
      </c:tx>
      <c:layout>
        <c:manualLayout>
          <c:xMode val="edge"/>
          <c:yMode val="edge"/>
          <c:x val="0.354094885866539"/>
          <c:y val="0.0158228166684644"/>
        </c:manualLayout>
      </c:layout>
      <c:overlay val="0"/>
      <c:spPr>
        <a:noFill/>
        <a:ln w="25403">
          <a:noFill/>
        </a:ln>
      </c:spPr>
    </c:title>
    <c:autoTitleDeleted val="0"/>
    <c:plotArea>
      <c:layout>
        <c:manualLayout>
          <c:layoutTarget val="inner"/>
          <c:xMode val="edge"/>
          <c:yMode val="edge"/>
          <c:x val="0.0650191021967526"/>
          <c:y val="0.132036513801348"/>
          <c:w val="0.907402101241642"/>
          <c:h val="0.537470115192349"/>
        </c:manualLayout>
      </c:layout>
      <c:barChart>
        <c:barDir val="col"/>
        <c:grouping val="clustered"/>
        <c:varyColors val="0"/>
        <c:ser>
          <c:idx val="0"/>
          <c:order val="0"/>
          <c:tx>
            <c:strRef>
              <c:f>Sheet1!$B$1</c:f>
              <c:strCache>
                <c:ptCount val="1"/>
                <c:pt idx="0">
                  <c:v>编制人数</c:v>
                </c:pt>
              </c:strCache>
            </c:strRef>
          </c:tx>
          <c:spPr>
            <a:solidFill>
              <a:srgbClr val="5B9BD5"/>
            </a:solidFill>
            <a:ln w="25403">
              <a:noFill/>
            </a:ln>
          </c:spPr>
          <c:invertIfNegative val="0"/>
          <c:dLbls>
            <c:delete val="1"/>
          </c:dLbls>
          <c:cat>
            <c:strRef>
              <c:f>Sheet1!$A$2</c:f>
              <c:strCache>
                <c:ptCount val="1"/>
                <c:pt idx="0">
                  <c:v>行政人员</c:v>
                </c:pt>
              </c:strCache>
            </c:strRef>
          </c:cat>
          <c:val>
            <c:numRef>
              <c:f>Sheet1!$B$2</c:f>
              <c:numCache>
                <c:formatCode>General</c:formatCode>
                <c:ptCount val="1"/>
                <c:pt idx="0">
                  <c:v>3</c:v>
                </c:pt>
              </c:numCache>
            </c:numRef>
          </c:val>
        </c:ser>
        <c:ser>
          <c:idx val="1"/>
          <c:order val="1"/>
          <c:tx>
            <c:strRef>
              <c:f>Sheet1!$C$1</c:f>
              <c:strCache>
                <c:ptCount val="1"/>
                <c:pt idx="0">
                  <c:v>实有人数</c:v>
                </c:pt>
              </c:strCache>
            </c:strRef>
          </c:tx>
          <c:spPr>
            <a:solidFill>
              <a:srgbClr val="ED7D31"/>
            </a:solidFill>
            <a:ln w="25403">
              <a:noFill/>
            </a:ln>
          </c:spPr>
          <c:invertIfNegative val="0"/>
          <c:dLbls>
            <c:delete val="1"/>
          </c:dLbls>
          <c:cat>
            <c:strRef>
              <c:f>Sheet1!$A$2</c:f>
              <c:strCache>
                <c:ptCount val="1"/>
                <c:pt idx="0">
                  <c:v>行政人员</c:v>
                </c:pt>
              </c:strCache>
            </c:strRef>
          </c:cat>
          <c:val>
            <c:numRef>
              <c:f>Sheet1!$C$2</c:f>
              <c:numCache>
                <c:formatCode>General</c:formatCode>
                <c:ptCount val="1"/>
                <c:pt idx="0">
                  <c:v>3</c:v>
                </c:pt>
              </c:numCache>
            </c:numRef>
          </c:val>
        </c:ser>
        <c:dLbls>
          <c:showLegendKey val="0"/>
          <c:showVal val="0"/>
          <c:showCatName val="0"/>
          <c:showSerName val="0"/>
          <c:showPercent val="0"/>
          <c:showBubbleSize val="0"/>
        </c:dLbls>
        <c:gapWidth val="219"/>
        <c:overlap val="-27"/>
        <c:axId val="83126912"/>
        <c:axId val="83132800"/>
      </c:barChart>
      <c:catAx>
        <c:axId val="83126912"/>
        <c:scaling>
          <c:orientation val="minMax"/>
        </c:scaling>
        <c:delete val="0"/>
        <c:axPos val="b"/>
        <c:numFmt formatCode="General" sourceLinked="1"/>
        <c:majorTickMark val="out"/>
        <c:minorTickMark val="none"/>
        <c:tickLblPos val="nextTo"/>
        <c:spPr>
          <a:noFill/>
          <a:ln w="9526"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3132800"/>
        <c:crosses val="autoZero"/>
        <c:auto val="1"/>
        <c:lblAlgn val="ctr"/>
        <c:lblOffset val="100"/>
        <c:noMultiLvlLbl val="0"/>
      </c:catAx>
      <c:valAx>
        <c:axId val="83132800"/>
        <c:scaling>
          <c:orientation val="minMax"/>
        </c:scaling>
        <c:delete val="0"/>
        <c:axPos val="l"/>
        <c:majorGridlines>
          <c:spPr>
            <a:ln w="9526" cap="flat" cmpd="sng" algn="ctr">
              <a:solidFill>
                <a:schemeClr val="tx1">
                  <a:lumMod val="15000"/>
                  <a:lumOff val="85000"/>
                </a:schemeClr>
              </a:solidFill>
              <a:prstDash val="solid"/>
              <a:round/>
            </a:ln>
            <a:effectLst/>
          </c:spPr>
        </c:majorGridlines>
        <c:numFmt formatCode="General" sourceLinked="1"/>
        <c:majorTickMark val="out"/>
        <c:minorTickMark val="none"/>
        <c:tickLblPos val="nextTo"/>
        <c:spPr>
          <a:ln w="6351" cap="flat" cmpd="sng" algn="ctr">
            <a:noFill/>
            <a:prstDash val="solid"/>
            <a:round/>
          </a:ln>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3126912"/>
        <c:crosses val="autoZero"/>
        <c:crossBetween val="between"/>
      </c:valAx>
      <c:spPr>
        <a:noFill/>
        <a:ln w="25403">
          <a:noFill/>
        </a:ln>
      </c:spPr>
    </c:plotArea>
    <c:legend>
      <c:legendPos val="b"/>
      <c:layout>
        <c:manualLayout>
          <c:xMode val="edge"/>
          <c:yMode val="edge"/>
          <c:x val="0.304321959755031"/>
          <c:y val="0.809606538908664"/>
          <c:w val="0.773639147379305"/>
          <c:h val="0.881330313162909"/>
        </c:manualLayout>
      </c:layout>
      <c:overlay val="0"/>
      <c:spPr>
        <a:noFill/>
        <a:ln w="25403">
          <a:noFill/>
        </a:ln>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6"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11</Pages>
  <Words>4434</Words>
  <Characters>4986</Characters>
  <Lines>36</Lines>
  <Paragraphs>10</Paragraphs>
  <TotalTime>10</TotalTime>
  <ScaleCrop>false</ScaleCrop>
  <LinksUpToDate>false</LinksUpToDate>
  <CharactersWithSpaces>5024</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2022-03-30T07:59:00Z</dcterms:created>
  <dc:creator>Administrator</dc:creator>
  <cp:lastModifiedBy>Administrator</cp:lastModifiedBy>
  <dcterms:modified xsi:type="dcterms:W3CDTF">2024-08-22T08:31:19Z</dcterms:modified>
  <dc:title>蓝田县老干局</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6D4310EE06E241B58B37E112A0943872</vt:lpwstr>
  </property>
</Properties>
</file>