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E8FD33">
      <w:pPr>
        <w:rPr>
          <w:rFonts w:hint="eastAsia" w:ascii="黑体" w:hAnsi="宋体" w:eastAsia="黑体" w:cs="黑体"/>
          <w:color w:val="000000"/>
          <w:kern w:val="0"/>
          <w:sz w:val="32"/>
          <w:szCs w:val="32"/>
          <w:lang w:val="en-US" w:eastAsia="zh-CN" w:bidi="ar"/>
        </w:rPr>
      </w:pPr>
      <w:r>
        <w:rPr>
          <w:rFonts w:hint="eastAsia" w:ascii="黑体" w:hAnsi="宋体" w:eastAsia="黑体" w:cs="黑体"/>
          <w:color w:val="000000"/>
          <w:kern w:val="0"/>
          <w:sz w:val="32"/>
          <w:szCs w:val="32"/>
          <w:lang w:val="en-US" w:eastAsia="zh-CN" w:bidi="ar"/>
        </w:rPr>
        <w:t>附件1</w:t>
      </w:r>
    </w:p>
    <w:p w14:paraId="15C9AF35">
      <w:pPr>
        <w:jc w:val="center"/>
        <w:rPr>
          <w:rFonts w:hint="eastAsia" w:ascii="方正小标宋简体" w:hAnsi="方正小标宋简体" w:eastAsia="方正小标宋简体" w:cs="方正小标宋简体"/>
          <w:color w:val="000000"/>
          <w:kern w:val="0"/>
          <w:sz w:val="36"/>
          <w:szCs w:val="36"/>
          <w:lang w:val="en-US" w:eastAsia="zh-CN" w:bidi="ar"/>
        </w:rPr>
      </w:pPr>
      <w:r>
        <w:rPr>
          <w:rFonts w:hint="eastAsia" w:ascii="方正小标宋简体" w:hAnsi="方正小标宋简体" w:eastAsia="方正小标宋简体" w:cs="方正小标宋简体"/>
          <w:color w:val="000000"/>
          <w:kern w:val="0"/>
          <w:sz w:val="36"/>
          <w:szCs w:val="36"/>
          <w:lang w:val="en-US" w:eastAsia="zh-CN" w:bidi="ar"/>
        </w:rPr>
        <w:t>电动自行车安全隐患全链条整治行动</w:t>
      </w:r>
    </w:p>
    <w:p w14:paraId="2B193C76">
      <w:pPr>
        <w:jc w:val="center"/>
        <w:rPr>
          <w:rFonts w:hint="eastAsia" w:ascii="方正小标宋简体" w:hAnsi="方正小标宋简体" w:eastAsia="方正小标宋简体" w:cs="方正小标宋简体"/>
          <w:color w:val="000000"/>
          <w:kern w:val="0"/>
          <w:sz w:val="36"/>
          <w:szCs w:val="36"/>
          <w:lang w:val="en-US" w:eastAsia="zh-CN" w:bidi="ar"/>
        </w:rPr>
      </w:pPr>
      <w:r>
        <w:rPr>
          <w:rFonts w:hint="eastAsia" w:ascii="方正小标宋简体" w:hAnsi="方正小标宋简体" w:eastAsia="方正小标宋简体" w:cs="方正小标宋简体"/>
          <w:color w:val="000000"/>
          <w:kern w:val="0"/>
          <w:sz w:val="36"/>
          <w:szCs w:val="36"/>
          <w:lang w:val="en-US" w:eastAsia="zh-CN" w:bidi="ar"/>
        </w:rPr>
        <w:t>“1+N”配套规章制度清单</w:t>
      </w:r>
    </w:p>
    <w:tbl>
      <w:tblPr>
        <w:tblStyle w:val="8"/>
        <w:tblW w:w="8800"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660"/>
        <w:gridCol w:w="1520"/>
        <w:gridCol w:w="2000"/>
        <w:gridCol w:w="3120"/>
        <w:gridCol w:w="1500"/>
      </w:tblGrid>
      <w:tr w14:paraId="3BCDC7C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0" w:hRule="atLeast"/>
        </w:trPr>
        <w:tc>
          <w:tcPr>
            <w:tcW w:w="660" w:type="dxa"/>
            <w:vAlign w:val="center"/>
          </w:tcPr>
          <w:p w14:paraId="470CFC98">
            <w:pPr>
              <w:snapToGrid w:val="0"/>
              <w:contextualSpacing/>
              <w:jc w:val="center"/>
              <w:rPr>
                <w:rFonts w:ascii="Times New Roman" w:hAnsi="Times New Roman" w:eastAsia="黑体"/>
                <w:sz w:val="24"/>
              </w:rPr>
            </w:pPr>
            <w:r>
              <w:rPr>
                <w:rFonts w:ascii="Times New Roman" w:hAnsi="Times New Roman" w:eastAsia="黑体"/>
                <w:sz w:val="24"/>
              </w:rPr>
              <w:t>序号</w:t>
            </w:r>
          </w:p>
        </w:tc>
        <w:tc>
          <w:tcPr>
            <w:tcW w:w="1520" w:type="dxa"/>
            <w:vAlign w:val="center"/>
          </w:tcPr>
          <w:p w14:paraId="5560318A">
            <w:pPr>
              <w:snapToGrid w:val="0"/>
              <w:contextualSpacing/>
              <w:jc w:val="center"/>
              <w:rPr>
                <w:rFonts w:ascii="Times New Roman" w:hAnsi="Times New Roman" w:eastAsia="黑体"/>
                <w:sz w:val="24"/>
              </w:rPr>
            </w:pPr>
            <w:r>
              <w:rPr>
                <w:rFonts w:ascii="Times New Roman" w:hAnsi="Times New Roman" w:eastAsia="黑体"/>
                <w:sz w:val="24"/>
              </w:rPr>
              <w:t>工作任务</w:t>
            </w:r>
          </w:p>
        </w:tc>
        <w:tc>
          <w:tcPr>
            <w:tcW w:w="2000" w:type="dxa"/>
            <w:vAlign w:val="center"/>
          </w:tcPr>
          <w:p w14:paraId="17F3EC2A">
            <w:pPr>
              <w:snapToGrid w:val="0"/>
              <w:contextualSpacing/>
              <w:jc w:val="center"/>
              <w:rPr>
                <w:rFonts w:ascii="Times New Roman" w:hAnsi="Times New Roman" w:eastAsia="黑体"/>
                <w:sz w:val="24"/>
              </w:rPr>
            </w:pPr>
            <w:r>
              <w:rPr>
                <w:rFonts w:ascii="Times New Roman" w:hAnsi="Times New Roman" w:eastAsia="黑体"/>
                <w:sz w:val="24"/>
              </w:rPr>
              <w:t>职责分工</w:t>
            </w:r>
          </w:p>
        </w:tc>
        <w:tc>
          <w:tcPr>
            <w:tcW w:w="3120" w:type="dxa"/>
            <w:vAlign w:val="center"/>
          </w:tcPr>
          <w:p w14:paraId="7C4E9394">
            <w:pPr>
              <w:snapToGrid w:val="0"/>
              <w:contextualSpacing/>
              <w:jc w:val="center"/>
              <w:rPr>
                <w:rFonts w:ascii="Times New Roman" w:hAnsi="Times New Roman" w:eastAsia="黑体"/>
                <w:sz w:val="24"/>
              </w:rPr>
            </w:pPr>
            <w:r>
              <w:rPr>
                <w:rFonts w:ascii="Times New Roman" w:hAnsi="Times New Roman" w:eastAsia="黑体"/>
                <w:sz w:val="24"/>
              </w:rPr>
              <w:t>重点解决问题</w:t>
            </w:r>
          </w:p>
        </w:tc>
        <w:tc>
          <w:tcPr>
            <w:tcW w:w="1500" w:type="dxa"/>
            <w:vAlign w:val="center"/>
          </w:tcPr>
          <w:p w14:paraId="5000BD49">
            <w:pPr>
              <w:snapToGrid w:val="0"/>
              <w:contextualSpacing/>
              <w:jc w:val="center"/>
              <w:rPr>
                <w:rFonts w:ascii="Times New Roman" w:hAnsi="Times New Roman" w:eastAsia="黑体"/>
                <w:sz w:val="24"/>
              </w:rPr>
            </w:pPr>
            <w:r>
              <w:rPr>
                <w:rFonts w:ascii="Times New Roman" w:hAnsi="Times New Roman" w:eastAsia="黑体"/>
                <w:sz w:val="24"/>
              </w:rPr>
              <w:t>完成时限</w:t>
            </w:r>
          </w:p>
        </w:tc>
      </w:tr>
      <w:tr w14:paraId="74515B0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60" w:hRule="atLeast"/>
        </w:trPr>
        <w:tc>
          <w:tcPr>
            <w:tcW w:w="660" w:type="dxa"/>
            <w:vAlign w:val="center"/>
          </w:tcPr>
          <w:p w14:paraId="244C01E6">
            <w:pPr>
              <w:wordWrap w:val="0"/>
              <w:spacing w:before="0" w:after="0" w:line="260" w:lineRule="atLeast"/>
              <w:ind w:left="0" w:right="0"/>
              <w:jc w:val="center"/>
              <w:textAlignment w:val="baseline"/>
              <w:rPr>
                <w:rFonts w:hint="eastAsia" w:eastAsiaTheme="minorEastAsia"/>
                <w:sz w:val="21"/>
                <w:szCs w:val="21"/>
                <w:lang w:eastAsia="zh-CN"/>
              </w:rPr>
            </w:pPr>
            <w:r>
              <w:rPr>
                <w:rFonts w:hint="eastAsia" w:ascii="宋体" w:hAnsi="宋体" w:eastAsia="宋体" w:cs="宋体"/>
                <w:b w:val="0"/>
                <w:i w:val="0"/>
                <w:strike w:val="0"/>
                <w:color w:val="000000"/>
                <w:sz w:val="21"/>
                <w:szCs w:val="21"/>
                <w:lang w:val="en-US" w:eastAsia="zh-CN"/>
              </w:rPr>
              <w:t>1</w:t>
            </w:r>
          </w:p>
        </w:tc>
        <w:tc>
          <w:tcPr>
            <w:tcW w:w="1520" w:type="dxa"/>
            <w:vAlign w:val="center"/>
          </w:tcPr>
          <w:p w14:paraId="5CB33D9E">
            <w:pPr>
              <w:keepNext w:val="0"/>
              <w:keepLines w:val="0"/>
              <w:pageBreakBefore w:val="0"/>
              <w:widowControl w:val="0"/>
              <w:kinsoku/>
              <w:wordWrap w:val="0"/>
              <w:overflowPunct/>
              <w:topLinePunct w:val="0"/>
              <w:autoSpaceDE/>
              <w:autoSpaceDN/>
              <w:bidi w:val="0"/>
              <w:adjustRightInd/>
              <w:snapToGrid/>
              <w:spacing w:before="0" w:after="0" w:line="260" w:lineRule="atLeast"/>
              <w:ind w:left="105" w:leftChars="50" w:right="105" w:rightChars="50"/>
              <w:jc w:val="both"/>
              <w:textAlignment w:val="baseline"/>
              <w:rPr>
                <w:sz w:val="21"/>
                <w:szCs w:val="21"/>
              </w:rPr>
            </w:pPr>
            <w:r>
              <w:rPr>
                <w:rFonts w:ascii="宋体" w:hAnsi="宋体" w:eastAsia="宋体" w:cs="宋体"/>
                <w:b w:val="0"/>
                <w:i w:val="0"/>
                <w:strike w:val="0"/>
                <w:color w:val="000000"/>
                <w:sz w:val="21"/>
                <w:szCs w:val="21"/>
              </w:rPr>
              <w:t>制定电动自行车停放场所和充电设施配套建设标准</w:t>
            </w:r>
          </w:p>
        </w:tc>
        <w:tc>
          <w:tcPr>
            <w:tcW w:w="2000" w:type="dxa"/>
            <w:vAlign w:val="center"/>
          </w:tcPr>
          <w:p w14:paraId="7A4CDF04">
            <w:pPr>
              <w:keepNext w:val="0"/>
              <w:keepLines w:val="0"/>
              <w:pageBreakBefore w:val="0"/>
              <w:widowControl w:val="0"/>
              <w:kinsoku/>
              <w:wordWrap w:val="0"/>
              <w:overflowPunct/>
              <w:topLinePunct w:val="0"/>
              <w:autoSpaceDE/>
              <w:autoSpaceDN/>
              <w:bidi w:val="0"/>
              <w:adjustRightInd/>
              <w:snapToGrid/>
              <w:spacing w:before="0" w:after="0" w:line="260" w:lineRule="atLeast"/>
              <w:ind w:left="105" w:leftChars="50" w:right="105" w:rightChars="50"/>
              <w:jc w:val="both"/>
              <w:textAlignment w:val="baseline"/>
              <w:rPr>
                <w:rFonts w:ascii="宋体" w:hAnsi="宋体" w:eastAsia="宋体" w:cs="宋体"/>
                <w:b w:val="0"/>
                <w:i w:val="0"/>
                <w:strike w:val="0"/>
                <w:color w:val="000000"/>
                <w:sz w:val="21"/>
                <w:szCs w:val="21"/>
              </w:rPr>
            </w:pPr>
            <w:r>
              <w:rPr>
                <w:rFonts w:hint="eastAsia" w:ascii="宋体" w:hAnsi="宋体" w:eastAsia="宋体" w:cs="宋体"/>
                <w:b w:val="0"/>
                <w:i w:val="0"/>
                <w:strike w:val="0"/>
                <w:color w:val="000000"/>
                <w:sz w:val="21"/>
                <w:szCs w:val="21"/>
                <w:lang w:eastAsia="zh-CN"/>
              </w:rPr>
              <w:t>县</w:t>
            </w:r>
            <w:r>
              <w:rPr>
                <w:rFonts w:ascii="宋体" w:hAnsi="宋体" w:eastAsia="宋体" w:cs="宋体"/>
                <w:b w:val="0"/>
                <w:i w:val="0"/>
                <w:strike w:val="0"/>
                <w:color w:val="000000"/>
                <w:sz w:val="21"/>
                <w:szCs w:val="21"/>
              </w:rPr>
              <w:t>资源规划局牵头</w:t>
            </w:r>
            <w:r>
              <w:rPr>
                <w:rFonts w:hint="eastAsia" w:ascii="宋体" w:hAnsi="宋体" w:eastAsia="宋体" w:cs="宋体"/>
                <w:b w:val="0"/>
                <w:i w:val="0"/>
                <w:strike w:val="0"/>
                <w:color w:val="000000"/>
                <w:sz w:val="21"/>
                <w:szCs w:val="21"/>
                <w:lang w:eastAsia="zh-CN"/>
              </w:rPr>
              <w:t>，县</w:t>
            </w:r>
            <w:r>
              <w:rPr>
                <w:rFonts w:ascii="宋体" w:hAnsi="宋体" w:eastAsia="宋体" w:cs="宋体"/>
                <w:b w:val="0"/>
                <w:i w:val="0"/>
                <w:strike w:val="0"/>
                <w:color w:val="000000"/>
                <w:sz w:val="21"/>
                <w:szCs w:val="21"/>
              </w:rPr>
              <w:t>住建局</w:t>
            </w:r>
            <w:r>
              <w:rPr>
                <w:rFonts w:hint="eastAsia" w:ascii="宋体" w:hAnsi="宋体" w:eastAsia="宋体" w:cs="宋体"/>
                <w:b w:val="0"/>
                <w:i w:val="0"/>
                <w:strike w:val="0"/>
                <w:color w:val="000000"/>
                <w:sz w:val="21"/>
                <w:szCs w:val="21"/>
                <w:lang w:eastAsia="zh-CN"/>
              </w:rPr>
              <w:t>、县城管执法局、各镇街</w:t>
            </w:r>
            <w:r>
              <w:rPr>
                <w:rFonts w:ascii="宋体" w:hAnsi="宋体" w:eastAsia="宋体" w:cs="宋体"/>
                <w:b w:val="0"/>
                <w:i w:val="0"/>
                <w:strike w:val="0"/>
                <w:color w:val="000000"/>
                <w:sz w:val="21"/>
                <w:szCs w:val="21"/>
              </w:rPr>
              <w:t>配合</w:t>
            </w:r>
          </w:p>
        </w:tc>
        <w:tc>
          <w:tcPr>
            <w:tcW w:w="3120" w:type="dxa"/>
            <w:vAlign w:val="center"/>
          </w:tcPr>
          <w:p w14:paraId="31CF99F8">
            <w:pPr>
              <w:keepNext w:val="0"/>
              <w:keepLines w:val="0"/>
              <w:pageBreakBefore w:val="0"/>
              <w:widowControl w:val="0"/>
              <w:kinsoku/>
              <w:wordWrap w:val="0"/>
              <w:overflowPunct/>
              <w:topLinePunct w:val="0"/>
              <w:autoSpaceDE/>
              <w:autoSpaceDN/>
              <w:bidi w:val="0"/>
              <w:adjustRightInd/>
              <w:snapToGrid/>
              <w:spacing w:before="0" w:after="0" w:line="260" w:lineRule="atLeast"/>
              <w:ind w:left="105" w:leftChars="50" w:right="105" w:rightChars="50"/>
              <w:jc w:val="both"/>
              <w:textAlignment w:val="baseline"/>
              <w:rPr>
                <w:rFonts w:ascii="宋体" w:hAnsi="宋体" w:eastAsia="宋体" w:cs="宋体"/>
                <w:b w:val="0"/>
                <w:i w:val="0"/>
                <w:strike w:val="0"/>
                <w:color w:val="000000"/>
                <w:sz w:val="21"/>
                <w:szCs w:val="21"/>
              </w:rPr>
            </w:pPr>
            <w:r>
              <w:rPr>
                <w:rFonts w:hint="eastAsia" w:ascii="宋体" w:hAnsi="宋体" w:eastAsia="宋体" w:cs="宋体"/>
                <w:b w:val="0"/>
                <w:i w:val="0"/>
                <w:strike w:val="0"/>
                <w:color w:val="000000"/>
                <w:sz w:val="21"/>
                <w:szCs w:val="21"/>
              </w:rPr>
              <w:t>针对电动自行车“停放难”现状，根据城区差异，制定电动自行车停放场所和充电设施配套建设标准，将配建要求纳入新建居住项目规划条件。统筹在城市商业区、工业区、住宅区、行政区等公共开放空间规划、设置电动自行车停放充电场所。</w:t>
            </w:r>
          </w:p>
        </w:tc>
        <w:tc>
          <w:tcPr>
            <w:tcW w:w="1500" w:type="dxa"/>
            <w:vAlign w:val="center"/>
          </w:tcPr>
          <w:p w14:paraId="031F8D0C">
            <w:pPr>
              <w:keepNext w:val="0"/>
              <w:keepLines w:val="0"/>
              <w:pageBreakBefore w:val="0"/>
              <w:widowControl w:val="0"/>
              <w:kinsoku/>
              <w:wordWrap w:val="0"/>
              <w:overflowPunct/>
              <w:topLinePunct w:val="0"/>
              <w:autoSpaceDE/>
              <w:autoSpaceDN/>
              <w:bidi w:val="0"/>
              <w:adjustRightInd/>
              <w:snapToGrid/>
              <w:spacing w:before="0" w:after="0" w:line="260" w:lineRule="atLeast"/>
              <w:ind w:left="105" w:leftChars="50" w:right="105" w:rightChars="50"/>
              <w:jc w:val="both"/>
              <w:textAlignment w:val="baseline"/>
              <w:rPr>
                <w:rFonts w:ascii="宋体" w:hAnsi="宋体" w:eastAsia="宋体" w:cs="宋体"/>
                <w:b w:val="0"/>
                <w:i w:val="0"/>
                <w:strike w:val="0"/>
                <w:color w:val="000000"/>
                <w:sz w:val="21"/>
                <w:szCs w:val="21"/>
              </w:rPr>
            </w:pPr>
            <w:r>
              <w:rPr>
                <w:rFonts w:ascii="宋体" w:hAnsi="宋体" w:eastAsia="宋体" w:cs="宋体"/>
                <w:b w:val="0"/>
                <w:i w:val="0"/>
                <w:strike w:val="0"/>
                <w:color w:val="000000"/>
                <w:sz w:val="21"/>
                <w:szCs w:val="21"/>
              </w:rPr>
              <w:t>2024年底前取得阶段性成效并持续推进</w:t>
            </w:r>
          </w:p>
        </w:tc>
      </w:tr>
      <w:tr w14:paraId="1EB2098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0" w:hRule="atLeast"/>
        </w:trPr>
        <w:tc>
          <w:tcPr>
            <w:tcW w:w="660" w:type="dxa"/>
            <w:vAlign w:val="center"/>
          </w:tcPr>
          <w:p w14:paraId="58C29227">
            <w:pPr>
              <w:wordWrap w:val="0"/>
              <w:spacing w:before="0" w:after="0" w:line="260" w:lineRule="atLeast"/>
              <w:ind w:left="0" w:right="0"/>
              <w:jc w:val="center"/>
              <w:textAlignment w:val="baseline"/>
              <w:rPr>
                <w:rFonts w:hint="default" w:eastAsiaTheme="minorEastAsia"/>
                <w:sz w:val="21"/>
                <w:szCs w:val="21"/>
                <w:lang w:val="en-US" w:eastAsia="zh-CN"/>
              </w:rPr>
            </w:pPr>
            <w:r>
              <w:rPr>
                <w:rFonts w:hint="eastAsia" w:ascii="宋体" w:hAnsi="宋体" w:eastAsia="宋体" w:cs="宋体"/>
                <w:b w:val="0"/>
                <w:i w:val="0"/>
                <w:strike w:val="0"/>
                <w:color w:val="000000"/>
                <w:sz w:val="21"/>
                <w:szCs w:val="21"/>
                <w:lang w:val="en-US" w:eastAsia="zh-CN"/>
              </w:rPr>
              <w:t>2</w:t>
            </w:r>
          </w:p>
        </w:tc>
        <w:tc>
          <w:tcPr>
            <w:tcW w:w="1520" w:type="dxa"/>
            <w:vAlign w:val="center"/>
          </w:tcPr>
          <w:p w14:paraId="7F26CA4C">
            <w:pPr>
              <w:keepNext w:val="0"/>
              <w:keepLines w:val="0"/>
              <w:pageBreakBefore w:val="0"/>
              <w:widowControl w:val="0"/>
              <w:kinsoku/>
              <w:wordWrap w:val="0"/>
              <w:overflowPunct/>
              <w:topLinePunct w:val="0"/>
              <w:autoSpaceDE/>
              <w:autoSpaceDN/>
              <w:bidi w:val="0"/>
              <w:adjustRightInd/>
              <w:snapToGrid/>
              <w:spacing w:before="0" w:after="0" w:line="260" w:lineRule="atLeast"/>
              <w:ind w:left="105" w:leftChars="50" w:right="105" w:rightChars="50"/>
              <w:jc w:val="both"/>
              <w:textAlignment w:val="baseline"/>
              <w:rPr>
                <w:rFonts w:ascii="宋体" w:hAnsi="宋体" w:eastAsia="宋体" w:cs="宋体"/>
                <w:b w:val="0"/>
                <w:i w:val="0"/>
                <w:strike w:val="0"/>
                <w:color w:val="000000"/>
                <w:sz w:val="21"/>
                <w:szCs w:val="21"/>
              </w:rPr>
            </w:pPr>
            <w:r>
              <w:rPr>
                <w:rFonts w:ascii="宋体" w:hAnsi="宋体" w:eastAsia="宋体" w:cs="宋体"/>
                <w:b w:val="0"/>
                <w:i w:val="0"/>
                <w:strike w:val="0"/>
                <w:color w:val="000000"/>
                <w:sz w:val="21"/>
                <w:szCs w:val="21"/>
              </w:rPr>
              <w:t>各</w:t>
            </w:r>
            <w:r>
              <w:rPr>
                <w:rFonts w:hint="eastAsia" w:ascii="宋体" w:hAnsi="宋体" w:eastAsia="宋体" w:cs="宋体"/>
                <w:b w:val="0"/>
                <w:i w:val="0"/>
                <w:strike w:val="0"/>
                <w:color w:val="000000"/>
                <w:sz w:val="21"/>
                <w:szCs w:val="21"/>
                <w:lang w:eastAsia="zh-CN"/>
              </w:rPr>
              <w:t>镇街、管委会制定集中充电设施建设工作方案</w:t>
            </w:r>
          </w:p>
        </w:tc>
        <w:tc>
          <w:tcPr>
            <w:tcW w:w="2000" w:type="dxa"/>
            <w:vAlign w:val="center"/>
          </w:tcPr>
          <w:p w14:paraId="403EBB9E">
            <w:pPr>
              <w:keepNext w:val="0"/>
              <w:keepLines w:val="0"/>
              <w:pageBreakBefore w:val="0"/>
              <w:widowControl w:val="0"/>
              <w:kinsoku/>
              <w:wordWrap w:val="0"/>
              <w:overflowPunct/>
              <w:topLinePunct w:val="0"/>
              <w:autoSpaceDE/>
              <w:autoSpaceDN/>
              <w:bidi w:val="0"/>
              <w:adjustRightInd/>
              <w:snapToGrid/>
              <w:spacing w:before="0" w:after="0" w:line="260" w:lineRule="atLeast"/>
              <w:ind w:left="105" w:leftChars="50" w:right="105" w:rightChars="50"/>
              <w:jc w:val="both"/>
              <w:textAlignment w:val="baseline"/>
              <w:rPr>
                <w:rFonts w:ascii="宋体" w:hAnsi="宋体" w:eastAsia="宋体" w:cs="宋体"/>
                <w:b w:val="0"/>
                <w:i w:val="0"/>
                <w:strike w:val="0"/>
                <w:color w:val="000000"/>
                <w:sz w:val="21"/>
                <w:szCs w:val="21"/>
              </w:rPr>
            </w:pPr>
            <w:r>
              <w:rPr>
                <w:rFonts w:hint="eastAsia" w:ascii="宋体" w:hAnsi="宋体" w:eastAsia="宋体" w:cs="宋体"/>
                <w:b w:val="0"/>
                <w:i w:val="0"/>
                <w:strike w:val="0"/>
                <w:color w:val="000000"/>
                <w:sz w:val="21"/>
                <w:szCs w:val="21"/>
                <w:lang w:eastAsia="zh-CN"/>
              </w:rPr>
              <w:t>县</w:t>
            </w:r>
            <w:r>
              <w:rPr>
                <w:rFonts w:ascii="宋体" w:hAnsi="宋体" w:eastAsia="宋体" w:cs="宋体"/>
                <w:b w:val="0"/>
                <w:i w:val="0"/>
                <w:strike w:val="0"/>
                <w:color w:val="000000"/>
                <w:sz w:val="21"/>
                <w:szCs w:val="21"/>
              </w:rPr>
              <w:t>住建局牵头</w:t>
            </w:r>
            <w:r>
              <w:rPr>
                <w:rFonts w:hint="eastAsia" w:ascii="宋体" w:hAnsi="宋体" w:eastAsia="宋体" w:cs="宋体"/>
                <w:b w:val="0"/>
                <w:i w:val="0"/>
                <w:strike w:val="0"/>
                <w:color w:val="000000"/>
                <w:sz w:val="21"/>
                <w:szCs w:val="21"/>
                <w:lang w:eastAsia="zh-CN"/>
              </w:rPr>
              <w:t>，县</w:t>
            </w:r>
            <w:r>
              <w:rPr>
                <w:rFonts w:ascii="宋体" w:hAnsi="宋体" w:eastAsia="宋体" w:cs="宋体"/>
                <w:b w:val="0"/>
                <w:i w:val="0"/>
                <w:strike w:val="0"/>
                <w:color w:val="000000"/>
                <w:sz w:val="21"/>
                <w:szCs w:val="21"/>
              </w:rPr>
              <w:t>资源规划局、</w:t>
            </w:r>
            <w:r>
              <w:rPr>
                <w:rFonts w:hint="eastAsia" w:ascii="宋体" w:hAnsi="宋体" w:eastAsia="宋体" w:cs="宋体"/>
                <w:b w:val="0"/>
                <w:i w:val="0"/>
                <w:strike w:val="0"/>
                <w:color w:val="000000"/>
                <w:sz w:val="21"/>
                <w:szCs w:val="21"/>
                <w:lang w:eastAsia="zh-CN"/>
              </w:rPr>
              <w:t>县</w:t>
            </w:r>
            <w:r>
              <w:rPr>
                <w:rFonts w:ascii="宋体" w:hAnsi="宋体" w:eastAsia="宋体" w:cs="宋体"/>
                <w:b w:val="0"/>
                <w:i w:val="0"/>
                <w:strike w:val="0"/>
                <w:color w:val="000000"/>
                <w:sz w:val="21"/>
                <w:szCs w:val="21"/>
              </w:rPr>
              <w:t>财政局、</w:t>
            </w:r>
            <w:r>
              <w:rPr>
                <w:rFonts w:hint="eastAsia" w:ascii="宋体" w:hAnsi="宋体" w:eastAsia="宋体" w:cs="宋体"/>
                <w:b w:val="0"/>
                <w:i w:val="0"/>
                <w:strike w:val="0"/>
                <w:color w:val="000000"/>
                <w:sz w:val="21"/>
                <w:szCs w:val="21"/>
                <w:lang w:eastAsia="zh-CN"/>
              </w:rPr>
              <w:t>县</w:t>
            </w:r>
            <w:r>
              <w:rPr>
                <w:rFonts w:ascii="宋体" w:hAnsi="宋体" w:eastAsia="宋体" w:cs="宋体"/>
                <w:b w:val="0"/>
                <w:i w:val="0"/>
                <w:strike w:val="0"/>
                <w:color w:val="000000"/>
                <w:sz w:val="21"/>
                <w:szCs w:val="21"/>
              </w:rPr>
              <w:t>城管执法局、</w:t>
            </w:r>
            <w:r>
              <w:rPr>
                <w:rFonts w:hint="eastAsia" w:ascii="宋体" w:hAnsi="宋体" w:eastAsia="宋体" w:cs="宋体"/>
                <w:b w:val="0"/>
                <w:i w:val="0"/>
                <w:strike w:val="0"/>
                <w:color w:val="000000"/>
                <w:sz w:val="21"/>
                <w:szCs w:val="21"/>
                <w:lang w:eastAsia="zh-CN"/>
              </w:rPr>
              <w:t>县城改办</w:t>
            </w:r>
            <w:r>
              <w:rPr>
                <w:rFonts w:ascii="宋体" w:hAnsi="宋体" w:eastAsia="宋体" w:cs="宋体"/>
                <w:b w:val="0"/>
                <w:i w:val="0"/>
                <w:strike w:val="0"/>
                <w:color w:val="000000"/>
                <w:sz w:val="21"/>
                <w:szCs w:val="21"/>
              </w:rPr>
              <w:t>、国网</w:t>
            </w:r>
            <w:r>
              <w:rPr>
                <w:rFonts w:hint="eastAsia" w:ascii="宋体" w:hAnsi="宋体" w:eastAsia="宋体" w:cs="宋体"/>
                <w:b w:val="0"/>
                <w:i w:val="0"/>
                <w:strike w:val="0"/>
                <w:color w:val="000000"/>
                <w:sz w:val="21"/>
                <w:szCs w:val="21"/>
                <w:lang w:eastAsia="zh-CN"/>
              </w:rPr>
              <w:t>蓝田县</w:t>
            </w:r>
            <w:r>
              <w:rPr>
                <w:rFonts w:ascii="宋体" w:hAnsi="宋体" w:eastAsia="宋体" w:cs="宋体"/>
                <w:b w:val="0"/>
                <w:i w:val="0"/>
                <w:strike w:val="0"/>
                <w:color w:val="000000"/>
                <w:sz w:val="21"/>
                <w:szCs w:val="21"/>
              </w:rPr>
              <w:t>供电公司</w:t>
            </w:r>
            <w:r>
              <w:rPr>
                <w:rFonts w:hint="eastAsia" w:ascii="宋体" w:hAnsi="宋体" w:eastAsia="宋体" w:cs="宋体"/>
                <w:b w:val="0"/>
                <w:i w:val="0"/>
                <w:strike w:val="0"/>
                <w:color w:val="000000"/>
                <w:sz w:val="21"/>
                <w:szCs w:val="21"/>
                <w:lang w:eastAsia="zh-CN"/>
              </w:rPr>
              <w:t>、</w:t>
            </w:r>
            <w:r>
              <w:rPr>
                <w:rFonts w:ascii="宋体" w:hAnsi="宋体" w:eastAsia="宋体" w:cs="宋体"/>
                <w:b w:val="0"/>
                <w:i w:val="0"/>
                <w:strike w:val="0"/>
                <w:color w:val="000000"/>
                <w:sz w:val="21"/>
                <w:szCs w:val="21"/>
              </w:rPr>
              <w:t>各</w:t>
            </w:r>
            <w:r>
              <w:rPr>
                <w:rFonts w:hint="eastAsia" w:ascii="宋体" w:hAnsi="宋体" w:eastAsia="宋体" w:cs="宋体"/>
                <w:b w:val="0"/>
                <w:i w:val="0"/>
                <w:strike w:val="0"/>
                <w:color w:val="000000"/>
                <w:sz w:val="21"/>
                <w:szCs w:val="21"/>
                <w:lang w:eastAsia="zh-CN"/>
              </w:rPr>
              <w:t>镇街</w:t>
            </w:r>
            <w:r>
              <w:rPr>
                <w:rFonts w:ascii="宋体" w:hAnsi="宋体" w:eastAsia="宋体" w:cs="宋体"/>
                <w:b w:val="0"/>
                <w:i w:val="0"/>
                <w:strike w:val="0"/>
                <w:color w:val="000000"/>
                <w:sz w:val="21"/>
                <w:szCs w:val="21"/>
              </w:rPr>
              <w:t>配合</w:t>
            </w:r>
          </w:p>
        </w:tc>
        <w:tc>
          <w:tcPr>
            <w:tcW w:w="3120" w:type="dxa"/>
            <w:vAlign w:val="center"/>
          </w:tcPr>
          <w:p w14:paraId="2E986171">
            <w:pPr>
              <w:keepNext w:val="0"/>
              <w:keepLines w:val="0"/>
              <w:pageBreakBefore w:val="0"/>
              <w:widowControl w:val="0"/>
              <w:kinsoku/>
              <w:wordWrap w:val="0"/>
              <w:overflowPunct/>
              <w:topLinePunct w:val="0"/>
              <w:autoSpaceDE/>
              <w:autoSpaceDN/>
              <w:bidi w:val="0"/>
              <w:adjustRightInd/>
              <w:snapToGrid/>
              <w:spacing w:before="0" w:after="0" w:line="260" w:lineRule="atLeast"/>
              <w:ind w:left="105" w:leftChars="50" w:right="105" w:rightChars="50"/>
              <w:jc w:val="both"/>
              <w:textAlignment w:val="baseline"/>
              <w:rPr>
                <w:rFonts w:ascii="宋体" w:hAnsi="宋体" w:eastAsia="宋体" w:cs="宋体"/>
                <w:b w:val="0"/>
                <w:i w:val="0"/>
                <w:strike w:val="0"/>
                <w:color w:val="000000"/>
                <w:sz w:val="21"/>
                <w:szCs w:val="21"/>
              </w:rPr>
            </w:pPr>
            <w:r>
              <w:rPr>
                <w:rFonts w:hint="eastAsia" w:ascii="宋体" w:hAnsi="宋体" w:eastAsia="宋体" w:cs="宋体"/>
                <w:b w:val="0"/>
                <w:i w:val="0"/>
                <w:strike w:val="0"/>
                <w:color w:val="000000"/>
                <w:sz w:val="21"/>
                <w:szCs w:val="21"/>
              </w:rPr>
              <w:t>针对电动自行车“充电难”现状，根据对既有小区电动自行车数量及充电设施摸排情况，分地区明确充电接口与电动自行车配建标准，推动将充电设施建设纳入地方政府民生事项，落实资金渠道，明确时限要求，统筹建设任务。</w:t>
            </w:r>
          </w:p>
        </w:tc>
        <w:tc>
          <w:tcPr>
            <w:tcW w:w="1500" w:type="dxa"/>
            <w:vAlign w:val="center"/>
          </w:tcPr>
          <w:p w14:paraId="25910756">
            <w:pPr>
              <w:keepNext w:val="0"/>
              <w:keepLines w:val="0"/>
              <w:pageBreakBefore w:val="0"/>
              <w:widowControl w:val="0"/>
              <w:kinsoku/>
              <w:wordWrap w:val="0"/>
              <w:overflowPunct/>
              <w:topLinePunct w:val="0"/>
              <w:autoSpaceDE/>
              <w:autoSpaceDN/>
              <w:bidi w:val="0"/>
              <w:adjustRightInd/>
              <w:snapToGrid/>
              <w:spacing w:before="0" w:after="0" w:line="260" w:lineRule="atLeast"/>
              <w:ind w:left="105" w:leftChars="50" w:right="105" w:rightChars="50"/>
              <w:jc w:val="both"/>
              <w:textAlignment w:val="baseline"/>
              <w:rPr>
                <w:rFonts w:ascii="宋体" w:hAnsi="宋体" w:eastAsia="宋体" w:cs="宋体"/>
                <w:b w:val="0"/>
                <w:i w:val="0"/>
                <w:strike w:val="0"/>
                <w:color w:val="000000"/>
                <w:sz w:val="21"/>
                <w:szCs w:val="21"/>
              </w:rPr>
            </w:pPr>
            <w:r>
              <w:rPr>
                <w:rFonts w:ascii="宋体" w:hAnsi="宋体" w:eastAsia="宋体" w:cs="宋体"/>
                <w:b w:val="0"/>
                <w:i w:val="0"/>
                <w:strike w:val="0"/>
                <w:color w:val="000000"/>
                <w:sz w:val="21"/>
                <w:szCs w:val="21"/>
              </w:rPr>
              <w:t>按年度制定建设计划统筹推进</w:t>
            </w:r>
          </w:p>
        </w:tc>
      </w:tr>
    </w:tbl>
    <w:p w14:paraId="5422B83A">
      <w:pPr>
        <w:rPr>
          <w:rFonts w:hint="eastAsia" w:ascii="黑体" w:hAnsi="宋体" w:eastAsia="黑体" w:cs="黑体"/>
          <w:color w:val="000000"/>
          <w:kern w:val="0"/>
          <w:sz w:val="32"/>
          <w:szCs w:val="32"/>
          <w:lang w:val="en-US" w:eastAsia="zh-CN" w:bidi="ar"/>
        </w:rPr>
        <w:sectPr>
          <w:footerReference r:id="rId3" w:type="default"/>
          <w:pgSz w:w="11906" w:h="16838"/>
          <w:pgMar w:top="2098" w:right="1474" w:bottom="1984" w:left="1587" w:header="851" w:footer="992" w:gutter="0"/>
          <w:pgNumType w:fmt="decimal"/>
          <w:cols w:space="425" w:num="1"/>
          <w:docGrid w:type="lines" w:linePitch="312" w:charSpace="0"/>
        </w:sectPr>
      </w:pPr>
    </w:p>
    <w:p w14:paraId="291ABB7A">
      <w:pPr>
        <w:widowControl/>
        <w:adjustRightInd w:val="0"/>
        <w:snapToGrid w:val="0"/>
        <w:spacing w:line="560" w:lineRule="exact"/>
        <w:rPr>
          <w:rFonts w:ascii="Times New Roman" w:hAnsi="Times New Roman" w:eastAsia="黑体"/>
          <w:sz w:val="32"/>
          <w:szCs w:val="32"/>
        </w:rPr>
      </w:pPr>
      <w:r>
        <w:rPr>
          <w:rFonts w:ascii="Times New Roman" w:hAnsi="Times New Roman" w:eastAsia="黑体"/>
          <w:sz w:val="32"/>
          <w:szCs w:val="32"/>
        </w:rPr>
        <w:t>附件2</w:t>
      </w:r>
    </w:p>
    <w:p w14:paraId="6458E88C">
      <w:pPr>
        <w:snapToGrid w:val="0"/>
        <w:jc w:val="center"/>
        <w:rPr>
          <w:rFonts w:ascii="Times New Roman" w:hAnsi="Times New Roman" w:eastAsia="方正小标宋简体"/>
          <w:sz w:val="44"/>
        </w:rPr>
      </w:pPr>
      <w:r>
        <w:rPr>
          <w:rFonts w:ascii="Times New Roman" w:hAnsi="Times New Roman" w:eastAsia="方正小标宋简体"/>
          <w:sz w:val="44"/>
        </w:rPr>
        <w:t>电动自行车安全隐患全链条整治行动重点工作任务清单</w:t>
      </w:r>
    </w:p>
    <w:tbl>
      <w:tblPr>
        <w:tblStyle w:val="8"/>
        <w:tblW w:w="14128" w:type="dxa"/>
        <w:tblInd w:w="-1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2019"/>
        <w:gridCol w:w="1486"/>
        <w:gridCol w:w="4227"/>
        <w:gridCol w:w="1650"/>
        <w:gridCol w:w="1650"/>
        <w:gridCol w:w="1759"/>
        <w:gridCol w:w="1337"/>
      </w:tblGrid>
      <w:tr w14:paraId="29BDA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38" w:hRule="atLeast"/>
          <w:tblHeader/>
        </w:trPr>
        <w:tc>
          <w:tcPr>
            <w:tcW w:w="7732" w:type="dxa"/>
            <w:gridSpan w:val="3"/>
            <w:noWrap w:val="0"/>
            <w:vAlign w:val="center"/>
          </w:tcPr>
          <w:p w14:paraId="4CEAA1C4">
            <w:pPr>
              <w:keepNext w:val="0"/>
              <w:keepLines w:val="0"/>
              <w:pageBreakBefore w:val="0"/>
              <w:widowControl w:val="0"/>
              <w:kinsoku/>
              <w:wordWrap/>
              <w:overflowPunct/>
              <w:topLinePunct w:val="0"/>
              <w:autoSpaceDE/>
              <w:autoSpaceDN/>
              <w:bidi w:val="0"/>
              <w:adjustRightInd/>
              <w:snapToGrid w:val="0"/>
              <w:ind w:left="105" w:leftChars="50" w:right="105" w:rightChars="50"/>
              <w:contextualSpacing/>
              <w:jc w:val="center"/>
              <w:textAlignment w:val="auto"/>
              <w:rPr>
                <w:rFonts w:hint="eastAsia" w:ascii="黑体" w:hAnsi="黑体" w:eastAsia="黑体" w:cs="黑体"/>
                <w:sz w:val="24"/>
                <w:szCs w:val="24"/>
              </w:rPr>
            </w:pPr>
            <w:r>
              <w:rPr>
                <w:rFonts w:hint="eastAsia" w:ascii="黑体" w:hAnsi="黑体" w:eastAsia="黑体" w:cs="黑体"/>
                <w:sz w:val="24"/>
                <w:szCs w:val="24"/>
              </w:rPr>
              <w:t>重点任务</w:t>
            </w:r>
          </w:p>
        </w:tc>
        <w:tc>
          <w:tcPr>
            <w:tcW w:w="1650" w:type="dxa"/>
            <w:noWrap w:val="0"/>
            <w:vAlign w:val="center"/>
          </w:tcPr>
          <w:p w14:paraId="17C43BA9">
            <w:pPr>
              <w:keepNext w:val="0"/>
              <w:keepLines w:val="0"/>
              <w:pageBreakBefore w:val="0"/>
              <w:widowControl w:val="0"/>
              <w:kinsoku/>
              <w:wordWrap/>
              <w:overflowPunct/>
              <w:topLinePunct w:val="0"/>
              <w:autoSpaceDE/>
              <w:autoSpaceDN/>
              <w:bidi w:val="0"/>
              <w:adjustRightInd/>
              <w:snapToGrid w:val="0"/>
              <w:ind w:left="105" w:leftChars="50" w:right="105" w:rightChars="50"/>
              <w:contextualSpacing/>
              <w:jc w:val="center"/>
              <w:textAlignment w:val="auto"/>
              <w:rPr>
                <w:rFonts w:hint="eastAsia" w:ascii="黑体" w:hAnsi="黑体" w:eastAsia="黑体" w:cs="黑体"/>
                <w:sz w:val="24"/>
                <w:szCs w:val="24"/>
              </w:rPr>
            </w:pPr>
            <w:r>
              <w:rPr>
                <w:rFonts w:hint="eastAsia" w:ascii="黑体" w:hAnsi="黑体" w:eastAsia="黑体" w:cs="黑体"/>
                <w:sz w:val="24"/>
                <w:szCs w:val="24"/>
              </w:rPr>
              <w:t>牵头单位</w:t>
            </w:r>
          </w:p>
        </w:tc>
        <w:tc>
          <w:tcPr>
            <w:tcW w:w="1650" w:type="dxa"/>
            <w:noWrap w:val="0"/>
            <w:vAlign w:val="center"/>
          </w:tcPr>
          <w:p w14:paraId="00E7EDDE">
            <w:pPr>
              <w:keepNext w:val="0"/>
              <w:keepLines w:val="0"/>
              <w:pageBreakBefore w:val="0"/>
              <w:widowControl w:val="0"/>
              <w:kinsoku/>
              <w:wordWrap/>
              <w:overflowPunct/>
              <w:topLinePunct w:val="0"/>
              <w:autoSpaceDE/>
              <w:autoSpaceDN/>
              <w:bidi w:val="0"/>
              <w:adjustRightInd/>
              <w:snapToGrid w:val="0"/>
              <w:ind w:left="105" w:leftChars="50" w:right="105" w:rightChars="50"/>
              <w:contextualSpacing/>
              <w:jc w:val="center"/>
              <w:textAlignment w:val="auto"/>
              <w:rPr>
                <w:rFonts w:hint="eastAsia" w:ascii="黑体" w:hAnsi="黑体" w:eastAsia="黑体" w:cs="黑体"/>
                <w:sz w:val="24"/>
                <w:szCs w:val="24"/>
              </w:rPr>
            </w:pPr>
            <w:r>
              <w:rPr>
                <w:rFonts w:hint="eastAsia" w:ascii="黑体" w:hAnsi="黑体" w:eastAsia="黑体" w:cs="黑体"/>
                <w:sz w:val="24"/>
                <w:szCs w:val="24"/>
              </w:rPr>
              <w:t>配合单位</w:t>
            </w:r>
          </w:p>
        </w:tc>
        <w:tc>
          <w:tcPr>
            <w:tcW w:w="1759" w:type="dxa"/>
            <w:noWrap w:val="0"/>
            <w:vAlign w:val="center"/>
          </w:tcPr>
          <w:p w14:paraId="4533C304">
            <w:pPr>
              <w:keepNext w:val="0"/>
              <w:keepLines w:val="0"/>
              <w:pageBreakBefore w:val="0"/>
              <w:widowControl w:val="0"/>
              <w:kinsoku/>
              <w:wordWrap/>
              <w:overflowPunct/>
              <w:topLinePunct w:val="0"/>
              <w:autoSpaceDE/>
              <w:autoSpaceDN/>
              <w:bidi w:val="0"/>
              <w:adjustRightInd/>
              <w:snapToGrid w:val="0"/>
              <w:ind w:left="105" w:leftChars="50" w:right="105" w:rightChars="50"/>
              <w:contextualSpacing/>
              <w:jc w:val="center"/>
              <w:textAlignment w:val="auto"/>
              <w:rPr>
                <w:rFonts w:hint="eastAsia" w:ascii="黑体" w:hAnsi="黑体" w:eastAsia="黑体" w:cs="黑体"/>
                <w:sz w:val="24"/>
                <w:szCs w:val="24"/>
              </w:rPr>
            </w:pPr>
            <w:r>
              <w:rPr>
                <w:rFonts w:hint="eastAsia" w:ascii="黑体" w:hAnsi="黑体" w:eastAsia="黑体" w:cs="黑体"/>
                <w:sz w:val="24"/>
                <w:szCs w:val="24"/>
              </w:rPr>
              <w:t>依据</w:t>
            </w:r>
          </w:p>
        </w:tc>
        <w:tc>
          <w:tcPr>
            <w:tcW w:w="1337" w:type="dxa"/>
            <w:noWrap w:val="0"/>
            <w:vAlign w:val="center"/>
          </w:tcPr>
          <w:p w14:paraId="77786426">
            <w:pPr>
              <w:keepNext w:val="0"/>
              <w:keepLines w:val="0"/>
              <w:pageBreakBefore w:val="0"/>
              <w:widowControl w:val="0"/>
              <w:kinsoku/>
              <w:wordWrap/>
              <w:overflowPunct/>
              <w:topLinePunct w:val="0"/>
              <w:autoSpaceDE/>
              <w:autoSpaceDN/>
              <w:bidi w:val="0"/>
              <w:adjustRightInd/>
              <w:snapToGrid w:val="0"/>
              <w:ind w:left="105" w:leftChars="50" w:right="105" w:rightChars="50"/>
              <w:contextualSpacing/>
              <w:jc w:val="center"/>
              <w:textAlignment w:val="auto"/>
              <w:rPr>
                <w:rFonts w:hint="eastAsia" w:ascii="黑体" w:hAnsi="黑体" w:eastAsia="黑体" w:cs="黑体"/>
                <w:sz w:val="24"/>
                <w:szCs w:val="24"/>
              </w:rPr>
            </w:pPr>
            <w:r>
              <w:rPr>
                <w:rFonts w:hint="eastAsia" w:ascii="黑体" w:hAnsi="黑体" w:eastAsia="黑体" w:cs="黑体"/>
                <w:sz w:val="24"/>
                <w:szCs w:val="24"/>
              </w:rPr>
              <w:t>完成时限</w:t>
            </w:r>
          </w:p>
        </w:tc>
      </w:tr>
      <w:tr w14:paraId="31D4E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180" w:hRule="atLeast"/>
        </w:trPr>
        <w:tc>
          <w:tcPr>
            <w:tcW w:w="2019" w:type="dxa"/>
            <w:vMerge w:val="restart"/>
            <w:noWrap w:val="0"/>
            <w:vAlign w:val="center"/>
          </w:tcPr>
          <w:p w14:paraId="355C1F28">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（一）集中整治违法违规生产销售问题</w:t>
            </w:r>
          </w:p>
        </w:tc>
        <w:tc>
          <w:tcPr>
            <w:tcW w:w="1486" w:type="dxa"/>
            <w:noWrap w:val="0"/>
            <w:vAlign w:val="center"/>
          </w:tcPr>
          <w:p w14:paraId="4ED38D90">
            <w:pPr>
              <w:keepNext w:val="0"/>
              <w:keepLines w:val="0"/>
              <w:pageBreakBefore w:val="0"/>
              <w:widowControl w:val="0"/>
              <w:kinsoku/>
              <w:wordWrap/>
              <w:overflowPunct/>
              <w:topLinePunct w:val="0"/>
              <w:autoSpaceDE/>
              <w:autoSpaceDN/>
              <w:bidi w:val="0"/>
              <w:adjustRightInd/>
              <w:snapToGrid w:val="0"/>
              <w:ind w:left="105" w:leftChars="50"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rPr>
              <w:t>1.加强行业规范管理</w:t>
            </w:r>
          </w:p>
        </w:tc>
        <w:tc>
          <w:tcPr>
            <w:tcW w:w="4227" w:type="dxa"/>
            <w:noWrap w:val="0"/>
            <w:vAlign w:val="center"/>
          </w:tcPr>
          <w:p w14:paraId="721E23CF">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r>
              <w:rPr>
                <w:rFonts w:hint="eastAsia" w:ascii="宋体" w:hAnsi="宋体" w:eastAsia="宋体" w:cs="宋体"/>
                <w:sz w:val="21"/>
                <w:szCs w:val="21"/>
              </w:rPr>
              <w:t>动态掌握电动自行车及蓄电池、充电器生产企业底数，严格相关生产资质审查，落实公告管理，督促企业落实国家标准，强化企业质量保障责任。</w:t>
            </w:r>
          </w:p>
        </w:tc>
        <w:tc>
          <w:tcPr>
            <w:tcW w:w="1650" w:type="dxa"/>
            <w:noWrap w:val="0"/>
            <w:vAlign w:val="center"/>
          </w:tcPr>
          <w:p w14:paraId="2592F0BB">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县经贸</w:t>
            </w:r>
            <w:r>
              <w:rPr>
                <w:rFonts w:hint="eastAsia" w:ascii="宋体" w:hAnsi="宋体" w:eastAsia="宋体" w:cs="宋体"/>
                <w:sz w:val="21"/>
                <w:szCs w:val="21"/>
              </w:rPr>
              <w:t>局</w:t>
            </w:r>
          </w:p>
        </w:tc>
        <w:tc>
          <w:tcPr>
            <w:tcW w:w="1650" w:type="dxa"/>
            <w:noWrap w:val="0"/>
            <w:vAlign w:val="center"/>
          </w:tcPr>
          <w:p w14:paraId="06C46C44">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县市场监管局</w:t>
            </w:r>
          </w:p>
        </w:tc>
        <w:tc>
          <w:tcPr>
            <w:tcW w:w="1759" w:type="dxa"/>
            <w:noWrap w:val="0"/>
            <w:vAlign w:val="center"/>
          </w:tcPr>
          <w:p w14:paraId="3C2A9F91">
            <w:pPr>
              <w:keepNext w:val="0"/>
              <w:keepLines w:val="0"/>
              <w:pageBreakBefore w:val="0"/>
              <w:widowControl w:val="0"/>
              <w:kinsoku/>
              <w:wordWrap/>
              <w:overflowPunct/>
              <w:topLinePunct w:val="0"/>
              <w:autoSpaceDE/>
              <w:autoSpaceDN/>
              <w:bidi w:val="0"/>
              <w:adjustRightInd/>
              <w:snapToGrid w:val="0"/>
              <w:ind w:left="105" w:leftChars="50"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rPr>
              <w:t>北京市经验做法</w:t>
            </w:r>
          </w:p>
        </w:tc>
        <w:tc>
          <w:tcPr>
            <w:tcW w:w="1337" w:type="dxa"/>
            <w:noWrap w:val="0"/>
            <w:vAlign w:val="center"/>
          </w:tcPr>
          <w:p w14:paraId="50A6BE1D">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2024年底前完成并持续推进</w:t>
            </w:r>
          </w:p>
        </w:tc>
      </w:tr>
      <w:tr w14:paraId="41A38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696" w:hRule="atLeast"/>
        </w:trPr>
        <w:tc>
          <w:tcPr>
            <w:tcW w:w="2019" w:type="dxa"/>
            <w:vMerge w:val="continue"/>
            <w:noWrap w:val="0"/>
            <w:vAlign w:val="center"/>
          </w:tcPr>
          <w:p w14:paraId="379467D8">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1486" w:type="dxa"/>
            <w:noWrap w:val="0"/>
            <w:vAlign w:val="center"/>
          </w:tcPr>
          <w:p w14:paraId="10D395D7">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rPr>
              <w:t>2.强化生产企业质量管控</w:t>
            </w:r>
          </w:p>
        </w:tc>
        <w:tc>
          <w:tcPr>
            <w:tcW w:w="4227" w:type="dxa"/>
            <w:noWrap w:val="0"/>
            <w:vAlign w:val="center"/>
          </w:tcPr>
          <w:p w14:paraId="17302BE6">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r>
              <w:rPr>
                <w:rFonts w:hint="eastAsia" w:ascii="宋体" w:hAnsi="宋体" w:eastAsia="宋体" w:cs="宋体"/>
                <w:sz w:val="21"/>
                <w:szCs w:val="21"/>
              </w:rPr>
              <w:t>根据电动自行车锂离子蓄电池、充电器强制性标准制定实施情况，及时将有关要求纳入认证管理。对纳入重点工业产品质量安全监管目录的电动自行车及蓄电池、充电器等核心部件，开展常态化质量抽查。</w:t>
            </w:r>
          </w:p>
        </w:tc>
        <w:tc>
          <w:tcPr>
            <w:tcW w:w="1650" w:type="dxa"/>
            <w:noWrap w:val="0"/>
            <w:vAlign w:val="center"/>
          </w:tcPr>
          <w:p w14:paraId="3DDE6E62">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市场监管局</w:t>
            </w:r>
          </w:p>
        </w:tc>
        <w:tc>
          <w:tcPr>
            <w:tcW w:w="1650" w:type="dxa"/>
            <w:noWrap w:val="0"/>
            <w:vAlign w:val="center"/>
          </w:tcPr>
          <w:p w14:paraId="70B21429">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县经贸</w:t>
            </w:r>
            <w:r>
              <w:rPr>
                <w:rFonts w:hint="eastAsia" w:ascii="宋体" w:hAnsi="宋体" w:eastAsia="宋体" w:cs="宋体"/>
                <w:sz w:val="21"/>
                <w:szCs w:val="21"/>
              </w:rPr>
              <w:t>局</w:t>
            </w:r>
          </w:p>
        </w:tc>
        <w:tc>
          <w:tcPr>
            <w:tcW w:w="1759" w:type="dxa"/>
            <w:noWrap w:val="0"/>
            <w:vAlign w:val="center"/>
          </w:tcPr>
          <w:p w14:paraId="291E6D95">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国办发</w:t>
            </w:r>
            <w:r>
              <w:rPr>
                <w:rFonts w:hint="eastAsia" w:ascii="宋体" w:hAnsi="宋体" w:eastAsia="宋体" w:cs="宋体"/>
                <w:sz w:val="21"/>
                <w:szCs w:val="21"/>
                <w:lang w:eastAsia="zh-CN"/>
              </w:rPr>
              <w:t>〔</w:t>
            </w:r>
            <w:r>
              <w:rPr>
                <w:rFonts w:hint="eastAsia" w:ascii="宋体" w:hAnsi="宋体" w:eastAsia="宋体" w:cs="宋体"/>
                <w:sz w:val="21"/>
                <w:szCs w:val="21"/>
              </w:rPr>
              <w:t>2024</w:t>
            </w:r>
            <w:r>
              <w:rPr>
                <w:rFonts w:hint="eastAsia" w:ascii="宋体" w:hAnsi="宋体" w:eastAsia="宋体" w:cs="宋体"/>
                <w:sz w:val="21"/>
                <w:szCs w:val="21"/>
                <w:lang w:eastAsia="zh-CN"/>
              </w:rPr>
              <w:t>〕</w:t>
            </w:r>
            <w:r>
              <w:rPr>
                <w:rFonts w:hint="eastAsia" w:ascii="宋体" w:hAnsi="宋体" w:eastAsia="宋体" w:cs="宋体"/>
                <w:sz w:val="21"/>
                <w:szCs w:val="21"/>
              </w:rPr>
              <w:t>19号文件要求</w:t>
            </w:r>
          </w:p>
        </w:tc>
        <w:tc>
          <w:tcPr>
            <w:tcW w:w="1337" w:type="dxa"/>
            <w:noWrap w:val="0"/>
            <w:vAlign w:val="center"/>
          </w:tcPr>
          <w:p w14:paraId="33E9F6FC">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2024年底前完成并持续推进</w:t>
            </w:r>
          </w:p>
        </w:tc>
      </w:tr>
      <w:tr w14:paraId="56268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581" w:hRule="atLeast"/>
        </w:trPr>
        <w:tc>
          <w:tcPr>
            <w:tcW w:w="2019" w:type="dxa"/>
            <w:vMerge w:val="continue"/>
            <w:noWrap w:val="0"/>
            <w:vAlign w:val="center"/>
          </w:tcPr>
          <w:p w14:paraId="1C614991">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1486" w:type="dxa"/>
            <w:vMerge w:val="restart"/>
            <w:noWrap w:val="0"/>
            <w:vAlign w:val="center"/>
          </w:tcPr>
          <w:p w14:paraId="6614C545">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rPr>
              <w:t>3.加强销售环节监督管理</w:t>
            </w:r>
          </w:p>
        </w:tc>
        <w:tc>
          <w:tcPr>
            <w:tcW w:w="4227" w:type="dxa"/>
            <w:noWrap w:val="0"/>
            <w:vAlign w:val="center"/>
          </w:tcPr>
          <w:p w14:paraId="7F57F5CD">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r>
              <w:rPr>
                <w:rFonts w:hint="eastAsia" w:ascii="宋体" w:hAnsi="宋体" w:eastAsia="宋体" w:cs="宋体"/>
                <w:sz w:val="21"/>
                <w:szCs w:val="21"/>
              </w:rPr>
              <w:t>加强电动自行车经销门店和电商领域等销售主体监管，督促指导电动自行车及蓄电池、充电器销售企业建立执行进货检查验收制度，严格核查产品合格证明、强制性产品认证等信息，电动自行车整车不得与蓄电池拆分销售。</w:t>
            </w:r>
          </w:p>
        </w:tc>
        <w:tc>
          <w:tcPr>
            <w:tcW w:w="1650" w:type="dxa"/>
            <w:noWrap w:val="0"/>
            <w:vAlign w:val="center"/>
          </w:tcPr>
          <w:p w14:paraId="04C62CE2">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市场监管局</w:t>
            </w:r>
          </w:p>
        </w:tc>
        <w:tc>
          <w:tcPr>
            <w:tcW w:w="1650" w:type="dxa"/>
            <w:noWrap w:val="0"/>
            <w:vAlign w:val="center"/>
          </w:tcPr>
          <w:p w14:paraId="7AD433B9">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县公安局</w:t>
            </w:r>
          </w:p>
          <w:p w14:paraId="70554AE7">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县经贸局</w:t>
            </w:r>
          </w:p>
        </w:tc>
        <w:tc>
          <w:tcPr>
            <w:tcW w:w="1759" w:type="dxa"/>
            <w:noWrap w:val="0"/>
            <w:vAlign w:val="center"/>
          </w:tcPr>
          <w:p w14:paraId="146CA1D2">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国办发</w:t>
            </w:r>
            <w:r>
              <w:rPr>
                <w:rFonts w:hint="eastAsia" w:ascii="宋体" w:hAnsi="宋体" w:eastAsia="宋体" w:cs="宋体"/>
                <w:sz w:val="21"/>
                <w:szCs w:val="21"/>
                <w:lang w:eastAsia="zh-CN"/>
              </w:rPr>
              <w:t>〔</w:t>
            </w:r>
            <w:r>
              <w:rPr>
                <w:rFonts w:hint="eastAsia" w:ascii="宋体" w:hAnsi="宋体" w:eastAsia="宋体" w:cs="宋体"/>
                <w:sz w:val="21"/>
                <w:szCs w:val="21"/>
              </w:rPr>
              <w:t>2024</w:t>
            </w:r>
            <w:r>
              <w:rPr>
                <w:rFonts w:hint="eastAsia" w:ascii="宋体" w:hAnsi="宋体" w:eastAsia="宋体" w:cs="宋体"/>
                <w:sz w:val="21"/>
                <w:szCs w:val="21"/>
                <w:lang w:eastAsia="zh-CN"/>
              </w:rPr>
              <w:t>〕</w:t>
            </w:r>
            <w:r>
              <w:rPr>
                <w:rFonts w:hint="eastAsia" w:ascii="宋体" w:hAnsi="宋体" w:eastAsia="宋体" w:cs="宋体"/>
                <w:sz w:val="21"/>
                <w:szCs w:val="21"/>
              </w:rPr>
              <w:t>19号文件要求</w:t>
            </w:r>
          </w:p>
        </w:tc>
        <w:tc>
          <w:tcPr>
            <w:tcW w:w="1337" w:type="dxa"/>
            <w:noWrap w:val="0"/>
            <w:vAlign w:val="center"/>
          </w:tcPr>
          <w:p w14:paraId="28B45DD2">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2024年8月底前完成并持续推进</w:t>
            </w:r>
          </w:p>
        </w:tc>
      </w:tr>
      <w:tr w14:paraId="23088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585" w:hRule="atLeast"/>
        </w:trPr>
        <w:tc>
          <w:tcPr>
            <w:tcW w:w="2019" w:type="dxa"/>
            <w:vMerge w:val="continue"/>
            <w:noWrap w:val="0"/>
            <w:vAlign w:val="center"/>
          </w:tcPr>
          <w:p w14:paraId="6917C55C">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1486" w:type="dxa"/>
            <w:vMerge w:val="continue"/>
            <w:noWrap w:val="0"/>
            <w:vAlign w:val="center"/>
          </w:tcPr>
          <w:p w14:paraId="334EE1A6">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4227" w:type="dxa"/>
            <w:noWrap w:val="0"/>
            <w:vAlign w:val="center"/>
          </w:tcPr>
          <w:p w14:paraId="1264CC0B">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r>
              <w:rPr>
                <w:rFonts w:hint="eastAsia" w:ascii="宋体" w:hAnsi="宋体" w:eastAsia="宋体" w:cs="宋体"/>
                <w:sz w:val="21"/>
                <w:szCs w:val="21"/>
              </w:rPr>
              <w:t>将解除车速限制、整车质量、蓄电池及充电器电气安全性能等纳入重点抽查项目，持续开展流通领域产品质量监督抽查，依法查处违法行为，向社会公布抽检结果。</w:t>
            </w:r>
          </w:p>
        </w:tc>
        <w:tc>
          <w:tcPr>
            <w:tcW w:w="1650" w:type="dxa"/>
            <w:noWrap w:val="0"/>
            <w:vAlign w:val="center"/>
          </w:tcPr>
          <w:p w14:paraId="62C0BDD2">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市场监管局</w:t>
            </w:r>
          </w:p>
        </w:tc>
        <w:tc>
          <w:tcPr>
            <w:tcW w:w="1650" w:type="dxa"/>
            <w:noWrap w:val="0"/>
            <w:vAlign w:val="center"/>
          </w:tcPr>
          <w:p w14:paraId="0E7C247B">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县公安局</w:t>
            </w:r>
          </w:p>
          <w:p w14:paraId="7B561D5F">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县经贸局</w:t>
            </w:r>
          </w:p>
        </w:tc>
        <w:tc>
          <w:tcPr>
            <w:tcW w:w="1759" w:type="dxa"/>
            <w:noWrap w:val="0"/>
            <w:vAlign w:val="center"/>
          </w:tcPr>
          <w:p w14:paraId="6FC1BDA0">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国办发</w:t>
            </w:r>
            <w:r>
              <w:rPr>
                <w:rFonts w:hint="eastAsia" w:ascii="宋体" w:hAnsi="宋体" w:eastAsia="宋体" w:cs="宋体"/>
                <w:sz w:val="21"/>
                <w:szCs w:val="21"/>
                <w:lang w:eastAsia="zh-CN"/>
              </w:rPr>
              <w:t>〔</w:t>
            </w:r>
            <w:r>
              <w:rPr>
                <w:rFonts w:hint="eastAsia" w:ascii="宋体" w:hAnsi="宋体" w:eastAsia="宋体" w:cs="宋体"/>
                <w:sz w:val="21"/>
                <w:szCs w:val="21"/>
              </w:rPr>
              <w:t>2024</w:t>
            </w:r>
            <w:r>
              <w:rPr>
                <w:rFonts w:hint="eastAsia" w:ascii="宋体" w:hAnsi="宋体" w:eastAsia="宋体" w:cs="宋体"/>
                <w:sz w:val="21"/>
                <w:szCs w:val="21"/>
                <w:lang w:eastAsia="zh-CN"/>
              </w:rPr>
              <w:t>〕</w:t>
            </w:r>
            <w:r>
              <w:rPr>
                <w:rFonts w:hint="eastAsia" w:ascii="宋体" w:hAnsi="宋体" w:eastAsia="宋体" w:cs="宋体"/>
                <w:sz w:val="21"/>
                <w:szCs w:val="21"/>
              </w:rPr>
              <w:t>19号文件要求</w:t>
            </w:r>
          </w:p>
        </w:tc>
        <w:tc>
          <w:tcPr>
            <w:tcW w:w="1337" w:type="dxa"/>
            <w:noWrap w:val="0"/>
            <w:vAlign w:val="center"/>
          </w:tcPr>
          <w:p w14:paraId="4E16896C">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2024年底前完成并持续推进</w:t>
            </w:r>
          </w:p>
        </w:tc>
      </w:tr>
      <w:tr w14:paraId="3AF25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675" w:hRule="atLeast"/>
        </w:trPr>
        <w:tc>
          <w:tcPr>
            <w:tcW w:w="2019" w:type="dxa"/>
            <w:vMerge w:val="restart"/>
            <w:noWrap w:val="0"/>
            <w:vAlign w:val="center"/>
          </w:tcPr>
          <w:p w14:paraId="51F91FAD">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（一）集中整治违法违规生产销售问题</w:t>
            </w:r>
          </w:p>
        </w:tc>
        <w:tc>
          <w:tcPr>
            <w:tcW w:w="1486" w:type="dxa"/>
            <w:vMerge w:val="restart"/>
            <w:noWrap w:val="0"/>
            <w:vAlign w:val="center"/>
          </w:tcPr>
          <w:p w14:paraId="7D608BF8">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rPr>
              <w:t>3.加强销售环节监督管理</w:t>
            </w:r>
          </w:p>
        </w:tc>
        <w:tc>
          <w:tcPr>
            <w:tcW w:w="4227" w:type="dxa"/>
            <w:noWrap w:val="0"/>
            <w:vAlign w:val="center"/>
          </w:tcPr>
          <w:p w14:paraId="26AEE2ED">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r>
              <w:rPr>
                <w:rFonts w:hint="eastAsia" w:ascii="宋体" w:hAnsi="宋体" w:eastAsia="宋体" w:cs="宋体"/>
                <w:sz w:val="21"/>
                <w:szCs w:val="21"/>
              </w:rPr>
              <w:t>督促电商平台经营者清理非法改装广告信息，在电动自行车相关商品销售页面明示“禁止非法改装”内容，严禁发布“解互认协议”“解限速”“增容量”等信息，严禁销售未依法经强制性产品认证的电动自行车、蓄电池和充电器等产品。</w:t>
            </w:r>
          </w:p>
        </w:tc>
        <w:tc>
          <w:tcPr>
            <w:tcW w:w="1650" w:type="dxa"/>
            <w:noWrap w:val="0"/>
            <w:vAlign w:val="center"/>
          </w:tcPr>
          <w:p w14:paraId="39C76C30">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市场监管局</w:t>
            </w:r>
          </w:p>
        </w:tc>
        <w:tc>
          <w:tcPr>
            <w:tcW w:w="1650" w:type="dxa"/>
            <w:noWrap w:val="0"/>
            <w:vAlign w:val="center"/>
          </w:tcPr>
          <w:p w14:paraId="2468CA4E">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县公安局</w:t>
            </w:r>
          </w:p>
          <w:p w14:paraId="10ED7976">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县经贸局</w:t>
            </w:r>
          </w:p>
        </w:tc>
        <w:tc>
          <w:tcPr>
            <w:tcW w:w="1759" w:type="dxa"/>
            <w:noWrap w:val="0"/>
            <w:vAlign w:val="center"/>
          </w:tcPr>
          <w:p w14:paraId="5D91649E">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国办发</w:t>
            </w:r>
            <w:r>
              <w:rPr>
                <w:rFonts w:hint="eastAsia" w:ascii="宋体" w:hAnsi="宋体" w:eastAsia="宋体" w:cs="宋体"/>
                <w:sz w:val="21"/>
                <w:szCs w:val="21"/>
                <w:lang w:eastAsia="zh-CN"/>
              </w:rPr>
              <w:t>〔</w:t>
            </w:r>
            <w:r>
              <w:rPr>
                <w:rFonts w:hint="eastAsia" w:ascii="宋体" w:hAnsi="宋体" w:eastAsia="宋体" w:cs="宋体"/>
                <w:sz w:val="21"/>
                <w:szCs w:val="21"/>
              </w:rPr>
              <w:t>2024</w:t>
            </w:r>
            <w:r>
              <w:rPr>
                <w:rFonts w:hint="eastAsia" w:ascii="宋体" w:hAnsi="宋体" w:eastAsia="宋体" w:cs="宋体"/>
                <w:sz w:val="21"/>
                <w:szCs w:val="21"/>
                <w:lang w:eastAsia="zh-CN"/>
              </w:rPr>
              <w:t>〕</w:t>
            </w:r>
            <w:r>
              <w:rPr>
                <w:rFonts w:hint="eastAsia" w:ascii="宋体" w:hAnsi="宋体" w:eastAsia="宋体" w:cs="宋体"/>
                <w:sz w:val="21"/>
                <w:szCs w:val="21"/>
              </w:rPr>
              <w:t>19号文件要求</w:t>
            </w:r>
          </w:p>
        </w:tc>
        <w:tc>
          <w:tcPr>
            <w:tcW w:w="1337" w:type="dxa"/>
            <w:noWrap w:val="0"/>
            <w:vAlign w:val="center"/>
          </w:tcPr>
          <w:p w14:paraId="0370D928">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2024年8月底前完成并持续推进</w:t>
            </w:r>
          </w:p>
        </w:tc>
      </w:tr>
      <w:tr w14:paraId="0B8B7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705" w:hRule="atLeast"/>
        </w:trPr>
        <w:tc>
          <w:tcPr>
            <w:tcW w:w="2019" w:type="dxa"/>
            <w:vMerge w:val="continue"/>
            <w:noWrap w:val="0"/>
            <w:vAlign w:val="center"/>
          </w:tcPr>
          <w:p w14:paraId="54B270C0">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1486" w:type="dxa"/>
            <w:vMerge w:val="continue"/>
            <w:noWrap w:val="0"/>
            <w:vAlign w:val="center"/>
          </w:tcPr>
          <w:p w14:paraId="0C4B7876">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4227" w:type="dxa"/>
            <w:noWrap w:val="0"/>
            <w:vAlign w:val="center"/>
          </w:tcPr>
          <w:p w14:paraId="4F317922">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r>
              <w:rPr>
                <w:rFonts w:hint="eastAsia" w:ascii="宋体" w:hAnsi="宋体" w:eastAsia="宋体" w:cs="宋体"/>
                <w:sz w:val="21"/>
                <w:szCs w:val="21"/>
              </w:rPr>
              <w:t>落实《禁止寄递物品管理规定》，监督指导寄递企业落实寄验视制度，加强寄递渠道安全监管，禁止寄递电动自行车用蓄电池。</w:t>
            </w:r>
          </w:p>
        </w:tc>
        <w:tc>
          <w:tcPr>
            <w:tcW w:w="1650" w:type="dxa"/>
            <w:noWrap w:val="0"/>
            <w:vAlign w:val="center"/>
          </w:tcPr>
          <w:p w14:paraId="47B50B09">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县交通局</w:t>
            </w:r>
          </w:p>
          <w:p w14:paraId="621D60BE">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highlight w:val="none"/>
                <w:lang w:eastAsia="zh-CN"/>
              </w:rPr>
              <w:t>县</w:t>
            </w:r>
            <w:r>
              <w:rPr>
                <w:rFonts w:hint="eastAsia" w:ascii="宋体" w:hAnsi="宋体" w:eastAsia="宋体" w:cs="宋体"/>
                <w:sz w:val="21"/>
                <w:szCs w:val="21"/>
                <w:highlight w:val="none"/>
              </w:rPr>
              <w:t>邮政</w:t>
            </w:r>
            <w:r>
              <w:rPr>
                <w:rFonts w:hint="eastAsia" w:ascii="宋体" w:hAnsi="宋体" w:eastAsia="宋体" w:cs="宋体"/>
                <w:sz w:val="21"/>
                <w:szCs w:val="21"/>
                <w:highlight w:val="none"/>
                <w:lang w:eastAsia="zh-CN"/>
              </w:rPr>
              <w:t>公司</w:t>
            </w:r>
          </w:p>
        </w:tc>
        <w:tc>
          <w:tcPr>
            <w:tcW w:w="1650" w:type="dxa"/>
            <w:noWrap w:val="0"/>
            <w:vAlign w:val="center"/>
          </w:tcPr>
          <w:p w14:paraId="1D4F73E5">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lang w:eastAsia="zh-CN"/>
              </w:rPr>
            </w:pPr>
          </w:p>
        </w:tc>
        <w:tc>
          <w:tcPr>
            <w:tcW w:w="1759" w:type="dxa"/>
            <w:noWrap w:val="0"/>
            <w:vAlign w:val="center"/>
          </w:tcPr>
          <w:p w14:paraId="5963A813">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国办发</w:t>
            </w:r>
            <w:r>
              <w:rPr>
                <w:rFonts w:hint="eastAsia" w:ascii="宋体" w:hAnsi="宋体" w:eastAsia="宋体" w:cs="宋体"/>
                <w:sz w:val="21"/>
                <w:szCs w:val="21"/>
                <w:lang w:eastAsia="zh-CN"/>
              </w:rPr>
              <w:t>〔</w:t>
            </w:r>
            <w:r>
              <w:rPr>
                <w:rFonts w:hint="eastAsia" w:ascii="宋体" w:hAnsi="宋体" w:eastAsia="宋体" w:cs="宋体"/>
                <w:sz w:val="21"/>
                <w:szCs w:val="21"/>
              </w:rPr>
              <w:t>2024</w:t>
            </w:r>
            <w:r>
              <w:rPr>
                <w:rFonts w:hint="eastAsia" w:ascii="宋体" w:hAnsi="宋体" w:eastAsia="宋体" w:cs="宋体"/>
                <w:sz w:val="21"/>
                <w:szCs w:val="21"/>
                <w:lang w:eastAsia="zh-CN"/>
              </w:rPr>
              <w:t>〕</w:t>
            </w:r>
            <w:r>
              <w:rPr>
                <w:rFonts w:hint="eastAsia" w:ascii="宋体" w:hAnsi="宋体" w:eastAsia="宋体" w:cs="宋体"/>
                <w:sz w:val="21"/>
                <w:szCs w:val="21"/>
              </w:rPr>
              <w:t>19号文件要求</w:t>
            </w:r>
          </w:p>
        </w:tc>
        <w:tc>
          <w:tcPr>
            <w:tcW w:w="1337" w:type="dxa"/>
            <w:noWrap w:val="0"/>
            <w:vAlign w:val="center"/>
          </w:tcPr>
          <w:p w14:paraId="08433939">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2024年10月底前完成并持续推进</w:t>
            </w:r>
          </w:p>
        </w:tc>
      </w:tr>
      <w:tr w14:paraId="1D836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949" w:hRule="atLeast"/>
        </w:trPr>
        <w:tc>
          <w:tcPr>
            <w:tcW w:w="2019" w:type="dxa"/>
            <w:vMerge w:val="continue"/>
            <w:noWrap w:val="0"/>
            <w:vAlign w:val="center"/>
          </w:tcPr>
          <w:p w14:paraId="29B26059">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1486" w:type="dxa"/>
            <w:noWrap w:val="0"/>
            <w:vAlign w:val="center"/>
          </w:tcPr>
          <w:p w14:paraId="6CC67C60">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rPr>
              <w:t>4.严惩制假售假行为</w:t>
            </w:r>
          </w:p>
        </w:tc>
        <w:tc>
          <w:tcPr>
            <w:tcW w:w="4227" w:type="dxa"/>
            <w:noWrap w:val="0"/>
            <w:vAlign w:val="center"/>
          </w:tcPr>
          <w:p w14:paraId="40A94B23">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r>
              <w:rPr>
                <w:rFonts w:hint="eastAsia" w:ascii="宋体" w:hAnsi="宋体" w:eastAsia="宋体" w:cs="宋体"/>
                <w:sz w:val="21"/>
                <w:szCs w:val="21"/>
              </w:rPr>
              <w:t>建立联合执法机制，针对销售环节电动自行车非法组装、改装，联合公安部门开展联合检查。强化行刑衔接，对涉嫌犯罪的，移送公安机关依法追究刑事责任。</w:t>
            </w:r>
          </w:p>
        </w:tc>
        <w:tc>
          <w:tcPr>
            <w:tcW w:w="1650" w:type="dxa"/>
            <w:noWrap w:val="0"/>
            <w:vAlign w:val="center"/>
          </w:tcPr>
          <w:p w14:paraId="0592A85E">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市场监管局</w:t>
            </w:r>
          </w:p>
        </w:tc>
        <w:tc>
          <w:tcPr>
            <w:tcW w:w="1650" w:type="dxa"/>
            <w:noWrap w:val="0"/>
            <w:vAlign w:val="center"/>
          </w:tcPr>
          <w:p w14:paraId="61C0888E">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公安局</w:t>
            </w:r>
          </w:p>
          <w:p w14:paraId="13119A97">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县经贸</w:t>
            </w:r>
            <w:r>
              <w:rPr>
                <w:rFonts w:hint="eastAsia" w:ascii="宋体" w:hAnsi="宋体" w:eastAsia="宋体" w:cs="宋体"/>
                <w:sz w:val="21"/>
                <w:szCs w:val="21"/>
              </w:rPr>
              <w:t>局</w:t>
            </w:r>
          </w:p>
          <w:p w14:paraId="2736B0A6">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消防救援</w:t>
            </w:r>
            <w:r>
              <w:rPr>
                <w:rFonts w:hint="eastAsia" w:ascii="宋体" w:hAnsi="宋体" w:eastAsia="宋体" w:cs="宋体"/>
                <w:sz w:val="21"/>
                <w:szCs w:val="21"/>
                <w:lang w:eastAsia="zh-CN"/>
              </w:rPr>
              <w:t>大</w:t>
            </w:r>
            <w:r>
              <w:rPr>
                <w:rFonts w:hint="eastAsia" w:ascii="宋体" w:hAnsi="宋体" w:eastAsia="宋体" w:cs="宋体"/>
                <w:sz w:val="21"/>
                <w:szCs w:val="21"/>
              </w:rPr>
              <w:t>队</w:t>
            </w:r>
          </w:p>
        </w:tc>
        <w:tc>
          <w:tcPr>
            <w:tcW w:w="1759" w:type="dxa"/>
            <w:noWrap w:val="0"/>
            <w:vAlign w:val="center"/>
          </w:tcPr>
          <w:p w14:paraId="57BA0820">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国办发</w:t>
            </w:r>
            <w:r>
              <w:rPr>
                <w:rFonts w:hint="eastAsia" w:ascii="宋体" w:hAnsi="宋体" w:eastAsia="宋体" w:cs="宋体"/>
                <w:sz w:val="21"/>
                <w:szCs w:val="21"/>
                <w:lang w:eastAsia="zh-CN"/>
              </w:rPr>
              <w:t>〔</w:t>
            </w:r>
            <w:r>
              <w:rPr>
                <w:rFonts w:hint="eastAsia" w:ascii="宋体" w:hAnsi="宋体" w:eastAsia="宋体" w:cs="宋体"/>
                <w:sz w:val="21"/>
                <w:szCs w:val="21"/>
              </w:rPr>
              <w:t>2024</w:t>
            </w:r>
            <w:r>
              <w:rPr>
                <w:rFonts w:hint="eastAsia" w:ascii="宋体" w:hAnsi="宋体" w:eastAsia="宋体" w:cs="宋体"/>
                <w:sz w:val="21"/>
                <w:szCs w:val="21"/>
                <w:lang w:eastAsia="zh-CN"/>
              </w:rPr>
              <w:t>〕</w:t>
            </w:r>
            <w:r>
              <w:rPr>
                <w:rFonts w:hint="eastAsia" w:ascii="宋体" w:hAnsi="宋体" w:eastAsia="宋体" w:cs="宋体"/>
                <w:sz w:val="21"/>
                <w:szCs w:val="21"/>
              </w:rPr>
              <w:t>19号文件要求</w:t>
            </w:r>
          </w:p>
        </w:tc>
        <w:tc>
          <w:tcPr>
            <w:tcW w:w="1337" w:type="dxa"/>
            <w:noWrap w:val="0"/>
            <w:vAlign w:val="center"/>
          </w:tcPr>
          <w:p w14:paraId="5BAB6625">
            <w:pPr>
              <w:keepNext w:val="0"/>
              <w:keepLines w:val="0"/>
              <w:pageBreakBefore w:val="0"/>
              <w:widowControl w:val="0"/>
              <w:kinsoku/>
              <w:wordWrap/>
              <w:overflowPunct/>
              <w:topLinePunct w:val="0"/>
              <w:autoSpaceDE/>
              <w:autoSpaceDN/>
              <w:bidi w:val="0"/>
              <w:adjustRightInd/>
              <w:snapToGrid w:val="0"/>
              <w:ind w:left="105" w:leftChars="50" w:right="105" w:rightChars="50"/>
              <w:contextualSpacing/>
              <w:jc w:val="center"/>
              <w:textAlignment w:val="auto"/>
              <w:rPr>
                <w:rFonts w:hint="eastAsia" w:ascii="宋体" w:hAnsi="宋体" w:eastAsia="宋体" w:cs="宋体"/>
                <w:sz w:val="21"/>
                <w:szCs w:val="21"/>
              </w:rPr>
            </w:pPr>
            <w:r>
              <w:rPr>
                <w:rFonts w:hint="eastAsia" w:ascii="宋体" w:hAnsi="宋体" w:eastAsia="宋体" w:cs="宋体"/>
                <w:sz w:val="21"/>
                <w:szCs w:val="21"/>
              </w:rPr>
              <w:t>2024年底前取得阶段性进展并持续推进</w:t>
            </w:r>
          </w:p>
        </w:tc>
      </w:tr>
      <w:tr w14:paraId="64E2F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028" w:hRule="atLeast"/>
        </w:trPr>
        <w:tc>
          <w:tcPr>
            <w:tcW w:w="2019" w:type="dxa"/>
            <w:vMerge w:val="restart"/>
            <w:noWrap w:val="0"/>
            <w:vAlign w:val="center"/>
          </w:tcPr>
          <w:p w14:paraId="63577E98">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（二）集中整治停放充电设施不足问题</w:t>
            </w:r>
          </w:p>
        </w:tc>
        <w:tc>
          <w:tcPr>
            <w:tcW w:w="1486" w:type="dxa"/>
            <w:vMerge w:val="restart"/>
            <w:noWrap w:val="0"/>
            <w:vAlign w:val="center"/>
          </w:tcPr>
          <w:p w14:paraId="2E431E61">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5.分类别分场所推进停放场所和充电设施建设</w:t>
            </w:r>
          </w:p>
        </w:tc>
        <w:tc>
          <w:tcPr>
            <w:tcW w:w="4227" w:type="dxa"/>
            <w:noWrap w:val="0"/>
            <w:vAlign w:val="center"/>
          </w:tcPr>
          <w:p w14:paraId="0B44359E">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r>
              <w:rPr>
                <w:rFonts w:hint="eastAsia" w:ascii="宋体" w:hAnsi="宋体" w:eastAsia="宋体" w:cs="宋体"/>
                <w:sz w:val="21"/>
                <w:szCs w:val="21"/>
                <w:lang w:eastAsia="zh-CN"/>
              </w:rPr>
              <w:t>落实省市要求</w:t>
            </w:r>
            <w:r>
              <w:rPr>
                <w:rFonts w:hint="eastAsia" w:ascii="宋体" w:hAnsi="宋体" w:eastAsia="宋体" w:cs="宋体"/>
                <w:sz w:val="21"/>
                <w:szCs w:val="21"/>
              </w:rPr>
              <w:t>，将电动自行车停放场所、充电设施纳入新建、改建、扩建居住区项目公共服务设施配套建设指标，根据城区差异明确充电设施配建比例，并纳入规划条件，指导建设单位、设计单位将电动自行车停放充电场所纳入项目配套。</w:t>
            </w:r>
          </w:p>
        </w:tc>
        <w:tc>
          <w:tcPr>
            <w:tcW w:w="1650" w:type="dxa"/>
            <w:noWrap w:val="0"/>
            <w:vAlign w:val="center"/>
          </w:tcPr>
          <w:p w14:paraId="27B48D7D">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资源规划局</w:t>
            </w:r>
          </w:p>
        </w:tc>
        <w:tc>
          <w:tcPr>
            <w:tcW w:w="1650" w:type="dxa"/>
            <w:noWrap w:val="0"/>
            <w:vAlign w:val="center"/>
          </w:tcPr>
          <w:p w14:paraId="104A20E2">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住建局</w:t>
            </w:r>
          </w:p>
          <w:p w14:paraId="7A65651D">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各镇街</w:t>
            </w:r>
          </w:p>
        </w:tc>
        <w:tc>
          <w:tcPr>
            <w:tcW w:w="1759" w:type="dxa"/>
            <w:vMerge w:val="restart"/>
            <w:noWrap w:val="0"/>
            <w:vAlign w:val="center"/>
          </w:tcPr>
          <w:p w14:paraId="60915465">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北京市经验做法及上级工作要求</w:t>
            </w:r>
          </w:p>
        </w:tc>
        <w:tc>
          <w:tcPr>
            <w:tcW w:w="1337" w:type="dxa"/>
            <w:vMerge w:val="restart"/>
            <w:noWrap w:val="0"/>
            <w:vAlign w:val="center"/>
          </w:tcPr>
          <w:p w14:paraId="57717587">
            <w:pPr>
              <w:keepNext w:val="0"/>
              <w:keepLines w:val="0"/>
              <w:pageBreakBefore w:val="0"/>
              <w:widowControl w:val="0"/>
              <w:kinsoku/>
              <w:wordWrap/>
              <w:overflowPunct/>
              <w:topLinePunct w:val="0"/>
              <w:autoSpaceDE/>
              <w:autoSpaceDN/>
              <w:bidi w:val="0"/>
              <w:adjustRightInd/>
              <w:snapToGrid w:val="0"/>
              <w:ind w:left="105" w:leftChars="50" w:right="105" w:rightChars="50"/>
              <w:contextualSpacing/>
              <w:jc w:val="center"/>
              <w:textAlignment w:val="auto"/>
              <w:rPr>
                <w:rFonts w:hint="eastAsia" w:ascii="宋体" w:hAnsi="宋体" w:eastAsia="宋体" w:cs="宋体"/>
                <w:sz w:val="21"/>
                <w:szCs w:val="21"/>
              </w:rPr>
            </w:pPr>
            <w:r>
              <w:rPr>
                <w:rFonts w:hint="eastAsia" w:ascii="宋体" w:hAnsi="宋体" w:eastAsia="宋体" w:cs="宋体"/>
                <w:sz w:val="21"/>
                <w:szCs w:val="21"/>
              </w:rPr>
              <w:t>2024年底前取得阶段性进展并持续推进</w:t>
            </w:r>
          </w:p>
        </w:tc>
      </w:tr>
      <w:tr w14:paraId="07102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845" w:hRule="atLeast"/>
        </w:trPr>
        <w:tc>
          <w:tcPr>
            <w:tcW w:w="2019" w:type="dxa"/>
            <w:vMerge w:val="continue"/>
            <w:noWrap w:val="0"/>
            <w:vAlign w:val="center"/>
          </w:tcPr>
          <w:p w14:paraId="021F1D75">
            <w:pPr>
              <w:keepNext w:val="0"/>
              <w:keepLines w:val="0"/>
              <w:pageBreakBefore w:val="0"/>
              <w:widowControl w:val="0"/>
              <w:kinsoku/>
              <w:wordWrap/>
              <w:overflowPunct/>
              <w:topLinePunct w:val="0"/>
              <w:autoSpaceDE/>
              <w:autoSpaceDN/>
              <w:bidi w:val="0"/>
              <w:adjustRightInd/>
              <w:snapToGrid w:val="0"/>
              <w:ind w:left="105" w:leftChars="50" w:right="105" w:rightChars="50"/>
              <w:textAlignment w:val="auto"/>
              <w:rPr>
                <w:rFonts w:hint="eastAsia" w:ascii="宋体" w:hAnsi="宋体" w:eastAsia="宋体" w:cs="宋体"/>
                <w:sz w:val="21"/>
                <w:szCs w:val="21"/>
              </w:rPr>
            </w:pPr>
          </w:p>
        </w:tc>
        <w:tc>
          <w:tcPr>
            <w:tcW w:w="1486" w:type="dxa"/>
            <w:vMerge w:val="continue"/>
            <w:noWrap w:val="0"/>
            <w:vAlign w:val="center"/>
          </w:tcPr>
          <w:p w14:paraId="2C07A67F">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4227" w:type="dxa"/>
            <w:noWrap w:val="0"/>
            <w:vAlign w:val="center"/>
          </w:tcPr>
          <w:p w14:paraId="3588F8E0">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r>
              <w:rPr>
                <w:rFonts w:hint="eastAsia" w:ascii="宋体" w:hAnsi="宋体" w:eastAsia="宋体" w:cs="宋体"/>
                <w:sz w:val="21"/>
                <w:szCs w:val="21"/>
              </w:rPr>
              <w:t>分类明确充电接口与电动自行车配建比，组织镇街、村（居）委会制定增设充电设施的工作措施，明确时限要求，推动将停放充电设施建设纳入地方政府民生事项，落实资金渠道。对于拆迁安置房、保障性住房、城中村等高风险区域场所，通过协调资金支持增设充电设施，引导优质企业参与充电设施建设，明确管理服务标准。增设停放充电设施要按照法定程序和设备管理要求办理相关手续，并满足必要安全条件。要指导物业服务企业协助做好停放充电设施安装建设工作。没有物业服务企业的住宅小区，由属地镇街、村（居）委会负责做好相关增设工作。鼓励在小区外围设置共享充（换）电柜，推动机关、团体、企业、事业单位按照标准建设停放充电设施，提倡“满电回家”。</w:t>
            </w:r>
          </w:p>
        </w:tc>
        <w:tc>
          <w:tcPr>
            <w:tcW w:w="1650" w:type="dxa"/>
            <w:noWrap w:val="0"/>
            <w:vAlign w:val="center"/>
          </w:tcPr>
          <w:p w14:paraId="261F3783">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住建局</w:t>
            </w:r>
          </w:p>
        </w:tc>
        <w:tc>
          <w:tcPr>
            <w:tcW w:w="1650" w:type="dxa"/>
            <w:noWrap w:val="0"/>
            <w:vAlign w:val="center"/>
          </w:tcPr>
          <w:p w14:paraId="32FD96CF">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消防救援</w:t>
            </w:r>
            <w:r>
              <w:rPr>
                <w:rFonts w:hint="eastAsia" w:ascii="宋体" w:hAnsi="宋体" w:eastAsia="宋体" w:cs="宋体"/>
                <w:sz w:val="21"/>
                <w:szCs w:val="21"/>
                <w:lang w:eastAsia="zh-CN"/>
              </w:rPr>
              <w:t>大</w:t>
            </w:r>
            <w:r>
              <w:rPr>
                <w:rFonts w:hint="eastAsia" w:ascii="宋体" w:hAnsi="宋体" w:eastAsia="宋体" w:cs="宋体"/>
                <w:sz w:val="21"/>
                <w:szCs w:val="21"/>
              </w:rPr>
              <w:t>队</w:t>
            </w:r>
          </w:p>
          <w:p w14:paraId="225CAB94">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发改委</w:t>
            </w:r>
          </w:p>
          <w:p w14:paraId="608C7FA2">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县资源规划</w:t>
            </w:r>
            <w:r>
              <w:rPr>
                <w:rFonts w:hint="eastAsia" w:ascii="宋体" w:hAnsi="宋体" w:eastAsia="宋体" w:cs="宋体"/>
                <w:sz w:val="21"/>
                <w:szCs w:val="21"/>
              </w:rPr>
              <w:t>局</w:t>
            </w:r>
          </w:p>
          <w:p w14:paraId="59CA4BE1">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财政局</w:t>
            </w:r>
          </w:p>
          <w:p w14:paraId="0CD36264">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县城管执法局</w:t>
            </w:r>
          </w:p>
          <w:p w14:paraId="7C76EC64">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县城改办</w:t>
            </w:r>
          </w:p>
          <w:p w14:paraId="6D2AAC8D">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国网</w:t>
            </w:r>
            <w:r>
              <w:rPr>
                <w:rFonts w:hint="eastAsia" w:ascii="宋体" w:hAnsi="宋体" w:eastAsia="宋体" w:cs="宋体"/>
                <w:sz w:val="21"/>
                <w:szCs w:val="21"/>
                <w:lang w:eastAsia="zh-CN"/>
              </w:rPr>
              <w:t>蓝田</w:t>
            </w:r>
            <w:r>
              <w:rPr>
                <w:rFonts w:hint="eastAsia" w:ascii="宋体" w:hAnsi="宋体" w:eastAsia="宋体" w:cs="宋体"/>
                <w:sz w:val="21"/>
                <w:szCs w:val="21"/>
              </w:rPr>
              <w:t>供电公司</w:t>
            </w:r>
          </w:p>
        </w:tc>
        <w:tc>
          <w:tcPr>
            <w:tcW w:w="1759" w:type="dxa"/>
            <w:vMerge w:val="continue"/>
            <w:noWrap w:val="0"/>
            <w:vAlign w:val="center"/>
          </w:tcPr>
          <w:p w14:paraId="212E30BE">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1337" w:type="dxa"/>
            <w:vMerge w:val="continue"/>
            <w:noWrap w:val="0"/>
            <w:vAlign w:val="center"/>
          </w:tcPr>
          <w:p w14:paraId="69DF0B4A">
            <w:pPr>
              <w:keepNext w:val="0"/>
              <w:keepLines w:val="0"/>
              <w:pageBreakBefore w:val="0"/>
              <w:widowControl w:val="0"/>
              <w:kinsoku/>
              <w:wordWrap/>
              <w:overflowPunct/>
              <w:topLinePunct w:val="0"/>
              <w:autoSpaceDE/>
              <w:autoSpaceDN/>
              <w:bidi w:val="0"/>
              <w:adjustRightInd/>
              <w:snapToGrid w:val="0"/>
              <w:ind w:left="105" w:leftChars="50" w:right="105" w:rightChars="50"/>
              <w:contextualSpacing/>
              <w:jc w:val="center"/>
              <w:textAlignment w:val="auto"/>
              <w:rPr>
                <w:rFonts w:hint="eastAsia" w:ascii="宋体" w:hAnsi="宋体" w:eastAsia="宋体" w:cs="宋体"/>
                <w:sz w:val="21"/>
                <w:szCs w:val="21"/>
              </w:rPr>
            </w:pPr>
          </w:p>
        </w:tc>
      </w:tr>
      <w:tr w14:paraId="0E961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60" w:hRule="atLeast"/>
        </w:trPr>
        <w:tc>
          <w:tcPr>
            <w:tcW w:w="2019" w:type="dxa"/>
            <w:vMerge w:val="restart"/>
            <w:noWrap w:val="0"/>
            <w:vAlign w:val="center"/>
          </w:tcPr>
          <w:p w14:paraId="33BF2BA4">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（二）集中整治停放充电设施不足问题</w:t>
            </w:r>
          </w:p>
        </w:tc>
        <w:tc>
          <w:tcPr>
            <w:tcW w:w="1486" w:type="dxa"/>
            <w:vMerge w:val="restart"/>
            <w:noWrap w:val="0"/>
            <w:vAlign w:val="center"/>
          </w:tcPr>
          <w:p w14:paraId="756A77D1">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none"/>
              </w:rPr>
              <w:t>5.分类别分场所推进停放场所和充电设施建设</w:t>
            </w:r>
          </w:p>
        </w:tc>
        <w:tc>
          <w:tcPr>
            <w:tcW w:w="4227" w:type="dxa"/>
            <w:noWrap w:val="0"/>
            <w:vAlign w:val="center"/>
          </w:tcPr>
          <w:p w14:paraId="39F68B42">
            <w:pPr>
              <w:keepNext w:val="0"/>
              <w:keepLines w:val="0"/>
              <w:pageBreakBefore w:val="0"/>
              <w:widowControl w:val="0"/>
              <w:kinsoku/>
              <w:wordWrap/>
              <w:overflowPunct/>
              <w:topLinePunct w:val="0"/>
              <w:autoSpaceDE/>
              <w:autoSpaceDN/>
              <w:bidi w:val="0"/>
              <w:adjustRightInd/>
              <w:snapToGrid w:val="0"/>
              <w:ind w:left="105" w:leftChars="50" w:right="105" w:rightChars="50"/>
              <w:contextualSpacing/>
              <w:textAlignment w:val="auto"/>
              <w:rPr>
                <w:rFonts w:hint="eastAsia" w:ascii="宋体" w:hAnsi="宋体" w:eastAsia="宋体" w:cs="宋体"/>
                <w:sz w:val="21"/>
                <w:szCs w:val="21"/>
                <w:highlight w:val="yellow"/>
              </w:rPr>
            </w:pPr>
            <w:r>
              <w:rPr>
                <w:rFonts w:hint="eastAsia" w:ascii="宋体" w:hAnsi="宋体" w:eastAsia="宋体" w:cs="宋体"/>
                <w:sz w:val="21"/>
                <w:szCs w:val="21"/>
              </w:rPr>
              <w:t>统筹在城市商业区、工业区、住宅区、行政区等公共开放空间规划、设置电动自行车停放场所。</w:t>
            </w:r>
          </w:p>
        </w:tc>
        <w:tc>
          <w:tcPr>
            <w:tcW w:w="1650" w:type="dxa"/>
            <w:noWrap w:val="0"/>
            <w:vAlign w:val="center"/>
          </w:tcPr>
          <w:p w14:paraId="04FBA3A7">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县资源规划局</w:t>
            </w:r>
          </w:p>
          <w:p w14:paraId="62293BC9">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县城管执法局</w:t>
            </w:r>
          </w:p>
        </w:tc>
        <w:tc>
          <w:tcPr>
            <w:tcW w:w="1650" w:type="dxa"/>
            <w:noWrap w:val="0"/>
            <w:vAlign w:val="center"/>
          </w:tcPr>
          <w:p w14:paraId="5E02AAAA">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各镇街</w:t>
            </w:r>
          </w:p>
        </w:tc>
        <w:tc>
          <w:tcPr>
            <w:tcW w:w="1759" w:type="dxa"/>
            <w:noWrap w:val="0"/>
            <w:vAlign w:val="center"/>
          </w:tcPr>
          <w:p w14:paraId="1C38FD1F">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highlight w:val="yellow"/>
              </w:rPr>
            </w:pPr>
            <w:r>
              <w:rPr>
                <w:rFonts w:hint="eastAsia" w:ascii="宋体" w:hAnsi="宋体" w:eastAsia="宋体" w:cs="宋体"/>
                <w:sz w:val="21"/>
                <w:szCs w:val="21"/>
              </w:rPr>
              <w:t>国办发</w:t>
            </w:r>
            <w:r>
              <w:rPr>
                <w:rFonts w:hint="eastAsia" w:ascii="宋体" w:hAnsi="宋体" w:eastAsia="宋体" w:cs="宋体"/>
                <w:sz w:val="21"/>
                <w:szCs w:val="21"/>
                <w:lang w:eastAsia="zh-CN"/>
              </w:rPr>
              <w:t>〔</w:t>
            </w:r>
            <w:r>
              <w:rPr>
                <w:rFonts w:hint="eastAsia" w:ascii="宋体" w:hAnsi="宋体" w:eastAsia="宋体" w:cs="宋体"/>
                <w:sz w:val="21"/>
                <w:szCs w:val="21"/>
              </w:rPr>
              <w:t>2024</w:t>
            </w:r>
            <w:r>
              <w:rPr>
                <w:rFonts w:hint="eastAsia" w:ascii="宋体" w:hAnsi="宋体" w:eastAsia="宋体" w:cs="宋体"/>
                <w:sz w:val="21"/>
                <w:szCs w:val="21"/>
                <w:lang w:eastAsia="zh-CN"/>
              </w:rPr>
              <w:t>〕</w:t>
            </w:r>
            <w:r>
              <w:rPr>
                <w:rFonts w:hint="eastAsia" w:ascii="宋体" w:hAnsi="宋体" w:eastAsia="宋体" w:cs="宋体"/>
                <w:sz w:val="21"/>
                <w:szCs w:val="21"/>
              </w:rPr>
              <w:t>19号文件要求</w:t>
            </w:r>
          </w:p>
        </w:tc>
        <w:tc>
          <w:tcPr>
            <w:tcW w:w="1337" w:type="dxa"/>
            <w:noWrap w:val="0"/>
            <w:vAlign w:val="center"/>
          </w:tcPr>
          <w:p w14:paraId="21CF4E9D">
            <w:pPr>
              <w:keepNext w:val="0"/>
              <w:keepLines w:val="0"/>
              <w:pageBreakBefore w:val="0"/>
              <w:widowControl w:val="0"/>
              <w:kinsoku/>
              <w:wordWrap/>
              <w:overflowPunct/>
              <w:topLinePunct w:val="0"/>
              <w:autoSpaceDE/>
              <w:autoSpaceDN/>
              <w:bidi w:val="0"/>
              <w:adjustRightInd/>
              <w:snapToGrid w:val="0"/>
              <w:ind w:left="105" w:leftChars="50" w:right="105" w:rightChars="50"/>
              <w:contextualSpacing/>
              <w:jc w:val="center"/>
              <w:textAlignment w:val="auto"/>
              <w:rPr>
                <w:rFonts w:hint="eastAsia" w:ascii="宋体" w:hAnsi="宋体" w:eastAsia="宋体" w:cs="宋体"/>
                <w:sz w:val="21"/>
                <w:szCs w:val="21"/>
                <w:highlight w:val="yellow"/>
              </w:rPr>
            </w:pPr>
            <w:r>
              <w:rPr>
                <w:rFonts w:hint="eastAsia" w:ascii="宋体" w:hAnsi="宋体" w:eastAsia="宋体" w:cs="宋体"/>
                <w:sz w:val="21"/>
                <w:szCs w:val="21"/>
              </w:rPr>
              <w:t>2024年底前取得阶段性进展并持续推进</w:t>
            </w:r>
          </w:p>
        </w:tc>
      </w:tr>
      <w:tr w14:paraId="1974D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085" w:hRule="atLeast"/>
        </w:trPr>
        <w:tc>
          <w:tcPr>
            <w:tcW w:w="2019" w:type="dxa"/>
            <w:vMerge w:val="continue"/>
            <w:noWrap w:val="0"/>
            <w:vAlign w:val="center"/>
          </w:tcPr>
          <w:p w14:paraId="11B4CD34">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1486" w:type="dxa"/>
            <w:vMerge w:val="continue"/>
            <w:noWrap w:val="0"/>
            <w:vAlign w:val="center"/>
          </w:tcPr>
          <w:p w14:paraId="053C2EE7">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4227" w:type="dxa"/>
            <w:noWrap w:val="0"/>
            <w:vAlign w:val="center"/>
          </w:tcPr>
          <w:p w14:paraId="295E0785">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r>
              <w:rPr>
                <w:rFonts w:hint="eastAsia" w:ascii="宋体" w:hAnsi="宋体" w:eastAsia="宋体" w:cs="宋体"/>
                <w:sz w:val="21"/>
                <w:szCs w:val="21"/>
              </w:rPr>
              <w:t>指导电网企业开辟接电绿色通道，按照国家提升“获得电力”服务水平“三零”政策要求做好充电设施报装、接电服务。</w:t>
            </w:r>
          </w:p>
        </w:tc>
        <w:tc>
          <w:tcPr>
            <w:tcW w:w="1650" w:type="dxa"/>
            <w:noWrap w:val="0"/>
            <w:vAlign w:val="center"/>
          </w:tcPr>
          <w:p w14:paraId="22169F04">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发改委</w:t>
            </w:r>
          </w:p>
        </w:tc>
        <w:tc>
          <w:tcPr>
            <w:tcW w:w="1650" w:type="dxa"/>
            <w:noWrap w:val="0"/>
            <w:vAlign w:val="center"/>
          </w:tcPr>
          <w:p w14:paraId="47760F5B">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rPr>
              <w:t>国网</w:t>
            </w:r>
            <w:r>
              <w:rPr>
                <w:rFonts w:hint="eastAsia" w:ascii="宋体" w:hAnsi="宋体" w:eastAsia="宋体" w:cs="宋体"/>
                <w:sz w:val="21"/>
                <w:szCs w:val="21"/>
                <w:lang w:eastAsia="zh-CN"/>
              </w:rPr>
              <w:t>蓝田县</w:t>
            </w:r>
          </w:p>
          <w:p w14:paraId="1F455A35">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供电公司</w:t>
            </w:r>
          </w:p>
        </w:tc>
        <w:tc>
          <w:tcPr>
            <w:tcW w:w="1759" w:type="dxa"/>
            <w:noWrap w:val="0"/>
            <w:vAlign w:val="center"/>
          </w:tcPr>
          <w:p w14:paraId="2C60B598">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国办发</w:t>
            </w:r>
            <w:r>
              <w:rPr>
                <w:rFonts w:hint="eastAsia" w:ascii="宋体" w:hAnsi="宋体" w:eastAsia="宋体" w:cs="宋体"/>
                <w:sz w:val="21"/>
                <w:szCs w:val="21"/>
                <w:lang w:eastAsia="zh-CN"/>
              </w:rPr>
              <w:t>〔</w:t>
            </w:r>
            <w:r>
              <w:rPr>
                <w:rFonts w:hint="eastAsia" w:ascii="宋体" w:hAnsi="宋体" w:eastAsia="宋体" w:cs="宋体"/>
                <w:sz w:val="21"/>
                <w:szCs w:val="21"/>
              </w:rPr>
              <w:t>2024</w:t>
            </w:r>
            <w:r>
              <w:rPr>
                <w:rFonts w:hint="eastAsia" w:ascii="宋体" w:hAnsi="宋体" w:eastAsia="宋体" w:cs="宋体"/>
                <w:sz w:val="21"/>
                <w:szCs w:val="21"/>
                <w:lang w:eastAsia="zh-CN"/>
              </w:rPr>
              <w:t>〕</w:t>
            </w:r>
            <w:r>
              <w:rPr>
                <w:rFonts w:hint="eastAsia" w:ascii="宋体" w:hAnsi="宋体" w:eastAsia="宋体" w:cs="宋体"/>
                <w:sz w:val="21"/>
                <w:szCs w:val="21"/>
              </w:rPr>
              <w:t>19号文件要求</w:t>
            </w:r>
          </w:p>
        </w:tc>
        <w:tc>
          <w:tcPr>
            <w:tcW w:w="1337" w:type="dxa"/>
            <w:vMerge w:val="restart"/>
            <w:noWrap w:val="0"/>
            <w:vAlign w:val="center"/>
          </w:tcPr>
          <w:p w14:paraId="5AAD59D8">
            <w:pPr>
              <w:keepNext w:val="0"/>
              <w:keepLines w:val="0"/>
              <w:pageBreakBefore w:val="0"/>
              <w:widowControl w:val="0"/>
              <w:kinsoku/>
              <w:wordWrap/>
              <w:overflowPunct/>
              <w:topLinePunct w:val="0"/>
              <w:autoSpaceDE/>
              <w:autoSpaceDN/>
              <w:bidi w:val="0"/>
              <w:adjustRightInd/>
              <w:snapToGrid w:val="0"/>
              <w:ind w:left="105" w:leftChars="50" w:right="105" w:rightChars="50"/>
              <w:contextualSpacing/>
              <w:jc w:val="center"/>
              <w:textAlignment w:val="auto"/>
              <w:rPr>
                <w:rFonts w:hint="eastAsia" w:ascii="宋体" w:hAnsi="宋体" w:eastAsia="宋体" w:cs="宋体"/>
                <w:sz w:val="21"/>
                <w:szCs w:val="21"/>
              </w:rPr>
            </w:pPr>
            <w:r>
              <w:rPr>
                <w:rFonts w:hint="eastAsia" w:ascii="宋体" w:hAnsi="宋体" w:eastAsia="宋体" w:cs="宋体"/>
                <w:sz w:val="21"/>
                <w:szCs w:val="21"/>
              </w:rPr>
              <w:t>2024年底前取得阶段性进展并持续推进</w:t>
            </w:r>
          </w:p>
        </w:tc>
      </w:tr>
      <w:tr w14:paraId="53E91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085" w:hRule="atLeast"/>
        </w:trPr>
        <w:tc>
          <w:tcPr>
            <w:tcW w:w="2019" w:type="dxa"/>
            <w:vMerge w:val="continue"/>
            <w:noWrap w:val="0"/>
            <w:vAlign w:val="center"/>
          </w:tcPr>
          <w:p w14:paraId="6CDBAE8F">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1486" w:type="dxa"/>
            <w:noWrap w:val="0"/>
            <w:vAlign w:val="center"/>
          </w:tcPr>
          <w:p w14:paraId="013B387A">
            <w:pPr>
              <w:keepNext w:val="0"/>
              <w:keepLines w:val="0"/>
              <w:pageBreakBefore w:val="0"/>
              <w:widowControl w:val="0"/>
              <w:kinsoku/>
              <w:wordWrap/>
              <w:overflowPunct/>
              <w:topLinePunct w:val="0"/>
              <w:autoSpaceDE/>
              <w:autoSpaceDN/>
              <w:bidi w:val="0"/>
              <w:adjustRightInd/>
              <w:snapToGrid w:val="0"/>
              <w:ind w:left="105" w:leftChars="50"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rPr>
              <w:t>6.做好充电设施接电安装服务</w:t>
            </w:r>
          </w:p>
        </w:tc>
        <w:tc>
          <w:tcPr>
            <w:tcW w:w="4227" w:type="dxa"/>
            <w:noWrap w:val="0"/>
            <w:vAlign w:val="center"/>
          </w:tcPr>
          <w:p w14:paraId="46007CDD">
            <w:pPr>
              <w:keepNext w:val="0"/>
              <w:keepLines w:val="0"/>
              <w:pageBreakBefore w:val="0"/>
              <w:widowControl w:val="0"/>
              <w:kinsoku/>
              <w:wordWrap/>
              <w:overflowPunct/>
              <w:topLinePunct w:val="0"/>
              <w:autoSpaceDE/>
              <w:autoSpaceDN/>
              <w:bidi w:val="0"/>
              <w:adjustRightInd/>
              <w:snapToGrid w:val="0"/>
              <w:ind w:left="105" w:leftChars="50" w:right="105" w:rightChars="50"/>
              <w:contextualSpacing/>
              <w:textAlignment w:val="auto"/>
              <w:rPr>
                <w:rFonts w:hint="eastAsia" w:ascii="宋体" w:hAnsi="宋体" w:eastAsia="宋体" w:cs="宋体"/>
                <w:sz w:val="21"/>
                <w:szCs w:val="21"/>
              </w:rPr>
            </w:pPr>
            <w:r>
              <w:rPr>
                <w:rFonts w:hint="eastAsia" w:ascii="宋体" w:hAnsi="宋体" w:eastAsia="宋体" w:cs="宋体"/>
                <w:sz w:val="21"/>
                <w:szCs w:val="21"/>
              </w:rPr>
              <w:t>加强电气安全技术指导，依据产权划分，指导电动自行车充电设施用户做好供用电隐患治理。</w:t>
            </w:r>
          </w:p>
        </w:tc>
        <w:tc>
          <w:tcPr>
            <w:tcW w:w="1650" w:type="dxa"/>
            <w:noWrap w:val="0"/>
            <w:vAlign w:val="center"/>
          </w:tcPr>
          <w:p w14:paraId="10B93173">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发改委</w:t>
            </w:r>
          </w:p>
        </w:tc>
        <w:tc>
          <w:tcPr>
            <w:tcW w:w="1650" w:type="dxa"/>
            <w:noWrap w:val="0"/>
            <w:vAlign w:val="center"/>
          </w:tcPr>
          <w:p w14:paraId="2F3C6BA3">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rPr>
              <w:t>国网</w:t>
            </w:r>
            <w:r>
              <w:rPr>
                <w:rFonts w:hint="eastAsia" w:ascii="宋体" w:hAnsi="宋体" w:eastAsia="宋体" w:cs="宋体"/>
                <w:sz w:val="21"/>
                <w:szCs w:val="21"/>
                <w:lang w:eastAsia="zh-CN"/>
              </w:rPr>
              <w:t>蓝田县</w:t>
            </w:r>
          </w:p>
          <w:p w14:paraId="57AEE12A">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供电公司</w:t>
            </w:r>
          </w:p>
          <w:p w14:paraId="62A6EB67">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各镇街</w:t>
            </w:r>
          </w:p>
        </w:tc>
        <w:tc>
          <w:tcPr>
            <w:tcW w:w="1759" w:type="dxa"/>
            <w:noWrap w:val="0"/>
            <w:vAlign w:val="center"/>
          </w:tcPr>
          <w:p w14:paraId="2D49A779">
            <w:pPr>
              <w:keepNext w:val="0"/>
              <w:keepLines w:val="0"/>
              <w:pageBreakBefore w:val="0"/>
              <w:widowControl w:val="0"/>
              <w:kinsoku/>
              <w:wordWrap/>
              <w:overflowPunct/>
              <w:topLinePunct w:val="0"/>
              <w:autoSpaceDE/>
              <w:autoSpaceDN/>
              <w:bidi w:val="0"/>
              <w:adjustRightInd/>
              <w:snapToGrid w:val="0"/>
              <w:ind w:left="105" w:leftChars="50"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rPr>
              <w:t>北京市经验做法</w:t>
            </w:r>
          </w:p>
        </w:tc>
        <w:tc>
          <w:tcPr>
            <w:tcW w:w="1337" w:type="dxa"/>
            <w:vMerge w:val="continue"/>
            <w:noWrap w:val="0"/>
            <w:vAlign w:val="center"/>
          </w:tcPr>
          <w:p w14:paraId="33C43C97">
            <w:pPr>
              <w:keepNext w:val="0"/>
              <w:keepLines w:val="0"/>
              <w:pageBreakBefore w:val="0"/>
              <w:widowControl w:val="0"/>
              <w:kinsoku/>
              <w:wordWrap/>
              <w:overflowPunct/>
              <w:topLinePunct w:val="0"/>
              <w:autoSpaceDE/>
              <w:autoSpaceDN/>
              <w:bidi w:val="0"/>
              <w:adjustRightInd/>
              <w:snapToGrid w:val="0"/>
              <w:ind w:left="105" w:leftChars="50" w:right="105" w:rightChars="50"/>
              <w:contextualSpacing/>
              <w:jc w:val="center"/>
              <w:textAlignment w:val="auto"/>
              <w:rPr>
                <w:rFonts w:hint="eastAsia" w:ascii="宋体" w:hAnsi="宋体" w:eastAsia="宋体" w:cs="宋体"/>
                <w:sz w:val="21"/>
                <w:szCs w:val="21"/>
              </w:rPr>
            </w:pPr>
          </w:p>
        </w:tc>
      </w:tr>
      <w:tr w14:paraId="7DEDB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085" w:hRule="atLeast"/>
        </w:trPr>
        <w:tc>
          <w:tcPr>
            <w:tcW w:w="2019" w:type="dxa"/>
            <w:vMerge w:val="continue"/>
            <w:noWrap w:val="0"/>
            <w:vAlign w:val="center"/>
          </w:tcPr>
          <w:p w14:paraId="47745E50">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1486" w:type="dxa"/>
            <w:noWrap w:val="0"/>
            <w:vAlign w:val="center"/>
          </w:tcPr>
          <w:p w14:paraId="14B180A1">
            <w:pPr>
              <w:keepNext w:val="0"/>
              <w:keepLines w:val="0"/>
              <w:pageBreakBefore w:val="0"/>
              <w:widowControl w:val="0"/>
              <w:kinsoku/>
              <w:wordWrap/>
              <w:overflowPunct/>
              <w:topLinePunct w:val="0"/>
              <w:autoSpaceDE/>
              <w:autoSpaceDN/>
              <w:bidi w:val="0"/>
              <w:adjustRightInd/>
              <w:snapToGrid w:val="0"/>
              <w:ind w:left="105" w:leftChars="50"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rPr>
              <w:t>7.降低群众充电成本</w:t>
            </w:r>
          </w:p>
        </w:tc>
        <w:tc>
          <w:tcPr>
            <w:tcW w:w="4227" w:type="dxa"/>
            <w:noWrap w:val="0"/>
            <w:vAlign w:val="center"/>
          </w:tcPr>
          <w:p w14:paraId="2C1A1B47">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r>
              <w:rPr>
                <w:rFonts w:hint="eastAsia" w:ascii="宋体" w:hAnsi="宋体" w:eastAsia="宋体" w:cs="宋体"/>
                <w:sz w:val="21"/>
                <w:szCs w:val="21"/>
              </w:rPr>
              <w:t>指导督促电力企业主动承建充电设施，减收、免收服务费；鼓励采取财政补贴、延长签约运营期等方式，引导社会力量积极参与停放充电设施建设，降低充电服务费用，让群众“能承担”“愿意用”。</w:t>
            </w:r>
          </w:p>
        </w:tc>
        <w:tc>
          <w:tcPr>
            <w:tcW w:w="1650" w:type="dxa"/>
            <w:noWrap w:val="0"/>
            <w:vAlign w:val="center"/>
          </w:tcPr>
          <w:p w14:paraId="457316B2">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发改委</w:t>
            </w:r>
          </w:p>
        </w:tc>
        <w:tc>
          <w:tcPr>
            <w:tcW w:w="1650" w:type="dxa"/>
            <w:noWrap w:val="0"/>
            <w:vAlign w:val="center"/>
          </w:tcPr>
          <w:p w14:paraId="7D713A58">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县市场监管局</w:t>
            </w:r>
          </w:p>
          <w:p w14:paraId="3C4E5EFB">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县住建局</w:t>
            </w:r>
          </w:p>
          <w:p w14:paraId="456800E2">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rPr>
              <w:t>国网</w:t>
            </w:r>
            <w:r>
              <w:rPr>
                <w:rFonts w:hint="eastAsia" w:ascii="宋体" w:hAnsi="宋体" w:eastAsia="宋体" w:cs="宋体"/>
                <w:sz w:val="21"/>
                <w:szCs w:val="21"/>
                <w:lang w:eastAsia="zh-CN"/>
              </w:rPr>
              <w:t>蓝田县</w:t>
            </w:r>
          </w:p>
          <w:p w14:paraId="275680A5">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供电公司</w:t>
            </w:r>
          </w:p>
        </w:tc>
        <w:tc>
          <w:tcPr>
            <w:tcW w:w="1759" w:type="dxa"/>
            <w:noWrap w:val="0"/>
            <w:vAlign w:val="center"/>
          </w:tcPr>
          <w:p w14:paraId="54F6D985">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国办发</w:t>
            </w:r>
            <w:r>
              <w:rPr>
                <w:rFonts w:hint="eastAsia" w:ascii="宋体" w:hAnsi="宋体" w:eastAsia="宋体" w:cs="宋体"/>
                <w:sz w:val="21"/>
                <w:szCs w:val="21"/>
                <w:lang w:eastAsia="zh-CN"/>
              </w:rPr>
              <w:t>〔</w:t>
            </w:r>
            <w:r>
              <w:rPr>
                <w:rFonts w:hint="eastAsia" w:ascii="宋体" w:hAnsi="宋体" w:eastAsia="宋体" w:cs="宋体"/>
                <w:sz w:val="21"/>
                <w:szCs w:val="21"/>
              </w:rPr>
              <w:t>2024</w:t>
            </w:r>
            <w:r>
              <w:rPr>
                <w:rFonts w:hint="eastAsia" w:ascii="宋体" w:hAnsi="宋体" w:eastAsia="宋体" w:cs="宋体"/>
                <w:sz w:val="21"/>
                <w:szCs w:val="21"/>
                <w:lang w:eastAsia="zh-CN"/>
              </w:rPr>
              <w:t>〕</w:t>
            </w:r>
            <w:r>
              <w:rPr>
                <w:rFonts w:hint="eastAsia" w:ascii="宋体" w:hAnsi="宋体" w:eastAsia="宋体" w:cs="宋体"/>
                <w:sz w:val="21"/>
                <w:szCs w:val="21"/>
              </w:rPr>
              <w:t>19号文件要求、北京市经验做法</w:t>
            </w:r>
          </w:p>
        </w:tc>
        <w:tc>
          <w:tcPr>
            <w:tcW w:w="1337" w:type="dxa"/>
            <w:noWrap w:val="0"/>
            <w:vAlign w:val="center"/>
          </w:tcPr>
          <w:p w14:paraId="4DE507F0">
            <w:pPr>
              <w:keepNext w:val="0"/>
              <w:keepLines w:val="0"/>
              <w:pageBreakBefore w:val="0"/>
              <w:widowControl w:val="0"/>
              <w:kinsoku/>
              <w:wordWrap/>
              <w:overflowPunct/>
              <w:topLinePunct w:val="0"/>
              <w:autoSpaceDE/>
              <w:autoSpaceDN/>
              <w:bidi w:val="0"/>
              <w:adjustRightInd/>
              <w:snapToGrid w:val="0"/>
              <w:ind w:left="105" w:leftChars="50" w:right="105" w:rightChars="50"/>
              <w:contextualSpacing/>
              <w:jc w:val="center"/>
              <w:textAlignment w:val="auto"/>
              <w:rPr>
                <w:rFonts w:hint="eastAsia" w:ascii="宋体" w:hAnsi="宋体" w:eastAsia="宋体" w:cs="宋体"/>
                <w:sz w:val="21"/>
                <w:szCs w:val="21"/>
              </w:rPr>
            </w:pPr>
            <w:r>
              <w:rPr>
                <w:rFonts w:hint="eastAsia" w:ascii="宋体" w:hAnsi="宋体" w:eastAsia="宋体" w:cs="宋体"/>
                <w:sz w:val="21"/>
                <w:szCs w:val="21"/>
              </w:rPr>
              <w:t>2024年底前取得阶段性进展并持续推进</w:t>
            </w:r>
          </w:p>
        </w:tc>
      </w:tr>
      <w:tr w14:paraId="51912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879" w:hRule="atLeast"/>
        </w:trPr>
        <w:tc>
          <w:tcPr>
            <w:tcW w:w="2019" w:type="dxa"/>
            <w:noWrap w:val="0"/>
            <w:vAlign w:val="center"/>
          </w:tcPr>
          <w:p w14:paraId="2C1038CE">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（三）集中整治违规违法停放充电问题</w:t>
            </w:r>
          </w:p>
        </w:tc>
        <w:tc>
          <w:tcPr>
            <w:tcW w:w="1486" w:type="dxa"/>
            <w:noWrap w:val="0"/>
            <w:vAlign w:val="center"/>
          </w:tcPr>
          <w:p w14:paraId="70CE2BCB">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rPr>
              <w:t>8.加强自主管理，严查违规停放充电行为</w:t>
            </w:r>
          </w:p>
        </w:tc>
        <w:tc>
          <w:tcPr>
            <w:tcW w:w="4227" w:type="dxa"/>
            <w:noWrap w:val="0"/>
            <w:vAlign w:val="center"/>
          </w:tcPr>
          <w:p w14:paraId="74435281">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r>
              <w:rPr>
                <w:rFonts w:hint="eastAsia" w:ascii="宋体" w:hAnsi="宋体" w:eastAsia="宋体" w:cs="宋体"/>
                <w:sz w:val="21"/>
                <w:szCs w:val="21"/>
              </w:rPr>
              <w:t>将电动自行车规范停放充电管理纳入镇街网格排查事项，督促村（居）委会、物业服务企业、业主委员会、建设管理单位落实管理责任，及时检查、发现、劝阻违法违规停放充电行为；督促电动自行车充电设施建设和运营单位加强安全检测和维护管理。</w:t>
            </w:r>
          </w:p>
        </w:tc>
        <w:tc>
          <w:tcPr>
            <w:tcW w:w="1650" w:type="dxa"/>
            <w:noWrap w:val="0"/>
            <w:vAlign w:val="center"/>
          </w:tcPr>
          <w:p w14:paraId="2A2C72E2">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消防救援</w:t>
            </w:r>
            <w:r>
              <w:rPr>
                <w:rFonts w:hint="eastAsia" w:ascii="宋体" w:hAnsi="宋体" w:eastAsia="宋体" w:cs="宋体"/>
                <w:sz w:val="21"/>
                <w:szCs w:val="21"/>
                <w:lang w:eastAsia="zh-CN"/>
              </w:rPr>
              <w:t>大</w:t>
            </w:r>
            <w:r>
              <w:rPr>
                <w:rFonts w:hint="eastAsia" w:ascii="宋体" w:hAnsi="宋体" w:eastAsia="宋体" w:cs="宋体"/>
                <w:sz w:val="21"/>
                <w:szCs w:val="21"/>
              </w:rPr>
              <w:t>队</w:t>
            </w:r>
          </w:p>
        </w:tc>
        <w:tc>
          <w:tcPr>
            <w:tcW w:w="1650" w:type="dxa"/>
            <w:noWrap w:val="0"/>
            <w:vAlign w:val="center"/>
          </w:tcPr>
          <w:p w14:paraId="3DC472E7">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各镇街</w:t>
            </w:r>
          </w:p>
        </w:tc>
        <w:tc>
          <w:tcPr>
            <w:tcW w:w="1759" w:type="dxa"/>
            <w:noWrap w:val="0"/>
            <w:vAlign w:val="center"/>
          </w:tcPr>
          <w:p w14:paraId="7D8DD1B0">
            <w:pPr>
              <w:keepNext w:val="0"/>
              <w:keepLines w:val="0"/>
              <w:pageBreakBefore w:val="0"/>
              <w:widowControl w:val="0"/>
              <w:kinsoku/>
              <w:wordWrap/>
              <w:overflowPunct/>
              <w:topLinePunct w:val="0"/>
              <w:autoSpaceDE/>
              <w:autoSpaceDN/>
              <w:bidi w:val="0"/>
              <w:adjustRightInd/>
              <w:snapToGrid w:val="0"/>
              <w:ind w:left="105" w:leftChars="50"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rPr>
              <w:t>北京市经验做法及我市网格化工作要求</w:t>
            </w:r>
          </w:p>
        </w:tc>
        <w:tc>
          <w:tcPr>
            <w:tcW w:w="1337" w:type="dxa"/>
            <w:noWrap w:val="0"/>
            <w:vAlign w:val="center"/>
          </w:tcPr>
          <w:p w14:paraId="33A9C59F">
            <w:pPr>
              <w:keepNext w:val="0"/>
              <w:keepLines w:val="0"/>
              <w:pageBreakBefore w:val="0"/>
              <w:widowControl w:val="0"/>
              <w:kinsoku/>
              <w:wordWrap/>
              <w:overflowPunct/>
              <w:topLinePunct w:val="0"/>
              <w:autoSpaceDE/>
              <w:autoSpaceDN/>
              <w:bidi w:val="0"/>
              <w:adjustRightInd/>
              <w:snapToGrid w:val="0"/>
              <w:ind w:left="105" w:leftChars="50" w:right="105" w:rightChars="50"/>
              <w:contextualSpacing/>
              <w:jc w:val="center"/>
              <w:textAlignment w:val="auto"/>
              <w:rPr>
                <w:rFonts w:hint="eastAsia" w:ascii="宋体" w:hAnsi="宋体" w:eastAsia="宋体" w:cs="宋体"/>
                <w:sz w:val="21"/>
                <w:szCs w:val="21"/>
              </w:rPr>
            </w:pPr>
            <w:r>
              <w:rPr>
                <w:rFonts w:hint="eastAsia" w:ascii="宋体" w:hAnsi="宋体" w:eastAsia="宋体" w:cs="宋体"/>
                <w:sz w:val="21"/>
                <w:szCs w:val="21"/>
              </w:rPr>
              <w:t>2024年8月底前完成并持续推进</w:t>
            </w:r>
          </w:p>
        </w:tc>
      </w:tr>
      <w:tr w14:paraId="13121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085" w:hRule="atLeast"/>
        </w:trPr>
        <w:tc>
          <w:tcPr>
            <w:tcW w:w="2019" w:type="dxa"/>
            <w:vMerge w:val="restart"/>
            <w:noWrap w:val="0"/>
            <w:vAlign w:val="center"/>
          </w:tcPr>
          <w:p w14:paraId="0586EF06">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（三）集中整治违规违法停放充电问题</w:t>
            </w:r>
          </w:p>
        </w:tc>
        <w:tc>
          <w:tcPr>
            <w:tcW w:w="1486" w:type="dxa"/>
            <w:vMerge w:val="restart"/>
            <w:noWrap w:val="0"/>
            <w:vAlign w:val="center"/>
          </w:tcPr>
          <w:p w14:paraId="3F14D8B0">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rPr>
              <w:t>8.加强自主管理，严查违规停放充电行为</w:t>
            </w:r>
          </w:p>
        </w:tc>
        <w:tc>
          <w:tcPr>
            <w:tcW w:w="4227" w:type="dxa"/>
            <w:noWrap w:val="0"/>
            <w:vAlign w:val="center"/>
          </w:tcPr>
          <w:p w14:paraId="7B23E2F2">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r>
              <w:rPr>
                <w:rFonts w:hint="eastAsia" w:ascii="宋体" w:hAnsi="宋体" w:eastAsia="宋体" w:cs="宋体"/>
                <w:sz w:val="21"/>
                <w:szCs w:val="21"/>
              </w:rPr>
              <w:t>对辖区村（居）委会、物业服务企业履行防火检查巡查等消防安全职责情况进行监督检查。</w:t>
            </w:r>
          </w:p>
        </w:tc>
        <w:tc>
          <w:tcPr>
            <w:tcW w:w="1650" w:type="dxa"/>
            <w:noWrap w:val="0"/>
            <w:vAlign w:val="center"/>
          </w:tcPr>
          <w:p w14:paraId="35989366">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公安局</w:t>
            </w:r>
          </w:p>
        </w:tc>
        <w:tc>
          <w:tcPr>
            <w:tcW w:w="1650" w:type="dxa"/>
            <w:noWrap w:val="0"/>
            <w:vAlign w:val="center"/>
          </w:tcPr>
          <w:p w14:paraId="0C63F9C6">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各镇街</w:t>
            </w:r>
          </w:p>
        </w:tc>
        <w:tc>
          <w:tcPr>
            <w:tcW w:w="1759" w:type="dxa"/>
            <w:noWrap w:val="0"/>
            <w:vAlign w:val="center"/>
          </w:tcPr>
          <w:p w14:paraId="60324861">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rPr>
              <w:t>《消防法》《消防监督检查规定》等</w:t>
            </w:r>
          </w:p>
        </w:tc>
        <w:tc>
          <w:tcPr>
            <w:tcW w:w="1337" w:type="dxa"/>
            <w:noWrap w:val="0"/>
            <w:vAlign w:val="center"/>
          </w:tcPr>
          <w:p w14:paraId="6AF9E506">
            <w:pPr>
              <w:keepNext w:val="0"/>
              <w:keepLines w:val="0"/>
              <w:pageBreakBefore w:val="0"/>
              <w:widowControl w:val="0"/>
              <w:kinsoku/>
              <w:wordWrap/>
              <w:overflowPunct/>
              <w:topLinePunct w:val="0"/>
              <w:autoSpaceDE/>
              <w:autoSpaceDN/>
              <w:bidi w:val="0"/>
              <w:adjustRightInd/>
              <w:snapToGrid w:val="0"/>
              <w:ind w:left="105" w:leftChars="50" w:right="105" w:rightChars="50"/>
              <w:contextualSpacing/>
              <w:jc w:val="center"/>
              <w:textAlignment w:val="auto"/>
              <w:rPr>
                <w:rFonts w:hint="eastAsia" w:ascii="宋体" w:hAnsi="宋体" w:eastAsia="宋体" w:cs="宋体"/>
                <w:sz w:val="21"/>
                <w:szCs w:val="21"/>
              </w:rPr>
            </w:pPr>
            <w:r>
              <w:rPr>
                <w:rFonts w:hint="eastAsia" w:ascii="宋体" w:hAnsi="宋体" w:eastAsia="宋体" w:cs="宋体"/>
                <w:sz w:val="21"/>
                <w:szCs w:val="21"/>
              </w:rPr>
              <w:t>持续推进</w:t>
            </w:r>
          </w:p>
        </w:tc>
      </w:tr>
      <w:tr w14:paraId="73AEF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085" w:hRule="atLeast"/>
        </w:trPr>
        <w:tc>
          <w:tcPr>
            <w:tcW w:w="2019" w:type="dxa"/>
            <w:vMerge w:val="continue"/>
            <w:noWrap w:val="0"/>
            <w:vAlign w:val="center"/>
          </w:tcPr>
          <w:p w14:paraId="1C73E2B0">
            <w:pPr>
              <w:keepNext w:val="0"/>
              <w:keepLines w:val="0"/>
              <w:pageBreakBefore w:val="0"/>
              <w:widowControl w:val="0"/>
              <w:kinsoku/>
              <w:wordWrap/>
              <w:overflowPunct/>
              <w:topLinePunct w:val="0"/>
              <w:autoSpaceDE/>
              <w:autoSpaceDN/>
              <w:bidi w:val="0"/>
              <w:adjustRightInd/>
              <w:snapToGrid w:val="0"/>
              <w:ind w:left="105" w:leftChars="50" w:right="105" w:rightChars="50"/>
              <w:textAlignment w:val="auto"/>
              <w:rPr>
                <w:rFonts w:hint="eastAsia" w:ascii="宋体" w:hAnsi="宋体" w:eastAsia="宋体" w:cs="宋体"/>
                <w:sz w:val="21"/>
                <w:szCs w:val="21"/>
              </w:rPr>
            </w:pPr>
          </w:p>
        </w:tc>
        <w:tc>
          <w:tcPr>
            <w:tcW w:w="1486" w:type="dxa"/>
            <w:vMerge w:val="continue"/>
            <w:noWrap w:val="0"/>
            <w:vAlign w:val="center"/>
          </w:tcPr>
          <w:p w14:paraId="32E693A9">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4227" w:type="dxa"/>
            <w:noWrap w:val="0"/>
            <w:vAlign w:val="center"/>
          </w:tcPr>
          <w:p w14:paraId="6764E108">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r>
              <w:rPr>
                <w:rFonts w:hint="eastAsia" w:ascii="宋体" w:hAnsi="宋体" w:eastAsia="宋体" w:cs="宋体"/>
                <w:sz w:val="21"/>
                <w:szCs w:val="21"/>
              </w:rPr>
              <w:t>指导物业管理单位建立住宅小区电动自行车管理制度，督促物业服务企业按照合同约定对服务区域内电动自行车堵塞占用疏散通道、安全出口等违规行为，及时履行劝阻、制止和报告职责。</w:t>
            </w:r>
          </w:p>
        </w:tc>
        <w:tc>
          <w:tcPr>
            <w:tcW w:w="1650" w:type="dxa"/>
            <w:noWrap w:val="0"/>
            <w:vAlign w:val="center"/>
          </w:tcPr>
          <w:p w14:paraId="6122CBAF">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住建局</w:t>
            </w:r>
          </w:p>
        </w:tc>
        <w:tc>
          <w:tcPr>
            <w:tcW w:w="1650" w:type="dxa"/>
            <w:noWrap w:val="0"/>
            <w:vAlign w:val="center"/>
          </w:tcPr>
          <w:p w14:paraId="6F22E16A">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公安局</w:t>
            </w:r>
          </w:p>
          <w:p w14:paraId="229AE891">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消防救援</w:t>
            </w:r>
            <w:r>
              <w:rPr>
                <w:rFonts w:hint="eastAsia" w:ascii="宋体" w:hAnsi="宋体" w:eastAsia="宋体" w:cs="宋体"/>
                <w:sz w:val="21"/>
                <w:szCs w:val="21"/>
                <w:lang w:eastAsia="zh-CN"/>
              </w:rPr>
              <w:t>大</w:t>
            </w:r>
            <w:r>
              <w:rPr>
                <w:rFonts w:hint="eastAsia" w:ascii="宋体" w:hAnsi="宋体" w:eastAsia="宋体" w:cs="宋体"/>
                <w:sz w:val="21"/>
                <w:szCs w:val="21"/>
              </w:rPr>
              <w:t>队</w:t>
            </w:r>
          </w:p>
        </w:tc>
        <w:tc>
          <w:tcPr>
            <w:tcW w:w="1759" w:type="dxa"/>
            <w:noWrap w:val="0"/>
            <w:vAlign w:val="center"/>
          </w:tcPr>
          <w:p w14:paraId="3D25973B">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国办发</w:t>
            </w:r>
            <w:r>
              <w:rPr>
                <w:rFonts w:hint="eastAsia" w:ascii="宋体" w:hAnsi="宋体" w:eastAsia="宋体" w:cs="宋体"/>
                <w:sz w:val="21"/>
                <w:szCs w:val="21"/>
                <w:lang w:eastAsia="zh-CN"/>
              </w:rPr>
              <w:t>〔</w:t>
            </w:r>
            <w:r>
              <w:rPr>
                <w:rFonts w:hint="eastAsia" w:ascii="宋体" w:hAnsi="宋体" w:eastAsia="宋体" w:cs="宋体"/>
                <w:sz w:val="21"/>
                <w:szCs w:val="21"/>
              </w:rPr>
              <w:t>2024</w:t>
            </w:r>
            <w:r>
              <w:rPr>
                <w:rFonts w:hint="eastAsia" w:ascii="宋体" w:hAnsi="宋体" w:eastAsia="宋体" w:cs="宋体"/>
                <w:sz w:val="21"/>
                <w:szCs w:val="21"/>
                <w:lang w:eastAsia="zh-CN"/>
              </w:rPr>
              <w:t>〕</w:t>
            </w:r>
            <w:r>
              <w:rPr>
                <w:rFonts w:hint="eastAsia" w:ascii="宋体" w:hAnsi="宋体" w:eastAsia="宋体" w:cs="宋体"/>
                <w:sz w:val="21"/>
                <w:szCs w:val="21"/>
              </w:rPr>
              <w:t>19号文件要求</w:t>
            </w:r>
          </w:p>
        </w:tc>
        <w:tc>
          <w:tcPr>
            <w:tcW w:w="1337" w:type="dxa"/>
            <w:noWrap w:val="0"/>
            <w:vAlign w:val="center"/>
          </w:tcPr>
          <w:p w14:paraId="1FD5BA66">
            <w:pPr>
              <w:keepNext w:val="0"/>
              <w:keepLines w:val="0"/>
              <w:pageBreakBefore w:val="0"/>
              <w:widowControl w:val="0"/>
              <w:kinsoku/>
              <w:wordWrap/>
              <w:overflowPunct/>
              <w:topLinePunct w:val="0"/>
              <w:autoSpaceDE/>
              <w:autoSpaceDN/>
              <w:bidi w:val="0"/>
              <w:adjustRightInd/>
              <w:snapToGrid w:val="0"/>
              <w:ind w:left="105" w:leftChars="50" w:right="105" w:rightChars="50"/>
              <w:contextualSpacing/>
              <w:jc w:val="center"/>
              <w:textAlignment w:val="auto"/>
              <w:rPr>
                <w:rFonts w:hint="eastAsia" w:ascii="宋体" w:hAnsi="宋体" w:eastAsia="宋体" w:cs="宋体"/>
                <w:sz w:val="21"/>
                <w:szCs w:val="21"/>
              </w:rPr>
            </w:pPr>
            <w:r>
              <w:rPr>
                <w:rFonts w:hint="eastAsia" w:ascii="宋体" w:hAnsi="宋体" w:eastAsia="宋体" w:cs="宋体"/>
                <w:sz w:val="21"/>
                <w:szCs w:val="21"/>
              </w:rPr>
              <w:t>持续推进</w:t>
            </w:r>
          </w:p>
        </w:tc>
      </w:tr>
      <w:tr w14:paraId="1BD72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562" w:hRule="atLeast"/>
        </w:trPr>
        <w:tc>
          <w:tcPr>
            <w:tcW w:w="2019" w:type="dxa"/>
            <w:vMerge w:val="continue"/>
            <w:noWrap w:val="0"/>
            <w:vAlign w:val="center"/>
          </w:tcPr>
          <w:p w14:paraId="62BC2A4B">
            <w:pPr>
              <w:keepNext w:val="0"/>
              <w:keepLines w:val="0"/>
              <w:pageBreakBefore w:val="0"/>
              <w:widowControl w:val="0"/>
              <w:kinsoku/>
              <w:wordWrap/>
              <w:overflowPunct/>
              <w:topLinePunct w:val="0"/>
              <w:autoSpaceDE/>
              <w:autoSpaceDN/>
              <w:bidi w:val="0"/>
              <w:adjustRightInd/>
              <w:snapToGrid w:val="0"/>
              <w:ind w:left="105" w:leftChars="50" w:right="105" w:rightChars="50"/>
              <w:textAlignment w:val="auto"/>
              <w:rPr>
                <w:rFonts w:hint="eastAsia" w:ascii="宋体" w:hAnsi="宋体" w:eastAsia="宋体" w:cs="宋体"/>
                <w:sz w:val="21"/>
                <w:szCs w:val="21"/>
              </w:rPr>
            </w:pPr>
          </w:p>
        </w:tc>
        <w:tc>
          <w:tcPr>
            <w:tcW w:w="1486" w:type="dxa"/>
            <w:vMerge w:val="continue"/>
            <w:noWrap w:val="0"/>
            <w:vAlign w:val="center"/>
          </w:tcPr>
          <w:p w14:paraId="13209D49">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4227" w:type="dxa"/>
            <w:noWrap w:val="0"/>
            <w:vAlign w:val="center"/>
          </w:tcPr>
          <w:p w14:paraId="572C7170">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r>
              <w:rPr>
                <w:rFonts w:hint="eastAsia" w:ascii="宋体" w:hAnsi="宋体" w:eastAsia="宋体" w:cs="宋体"/>
                <w:sz w:val="21"/>
                <w:szCs w:val="21"/>
              </w:rPr>
              <w:t>消防、公安等部门及镇街综合执法队伍要加强联合检查，依法对“进楼入户”“飞线充电”等违规停放充电行为开展执法查处、检查劝阻和宣传提示。</w:t>
            </w:r>
          </w:p>
        </w:tc>
        <w:tc>
          <w:tcPr>
            <w:tcW w:w="1650" w:type="dxa"/>
            <w:noWrap w:val="0"/>
            <w:vAlign w:val="center"/>
          </w:tcPr>
          <w:p w14:paraId="35E41478">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消防救援</w:t>
            </w:r>
            <w:r>
              <w:rPr>
                <w:rFonts w:hint="eastAsia" w:ascii="宋体" w:hAnsi="宋体" w:eastAsia="宋体" w:cs="宋体"/>
                <w:sz w:val="21"/>
                <w:szCs w:val="21"/>
                <w:lang w:eastAsia="zh-CN"/>
              </w:rPr>
              <w:t>大</w:t>
            </w:r>
            <w:r>
              <w:rPr>
                <w:rFonts w:hint="eastAsia" w:ascii="宋体" w:hAnsi="宋体" w:eastAsia="宋体" w:cs="宋体"/>
                <w:sz w:val="21"/>
                <w:szCs w:val="21"/>
              </w:rPr>
              <w:t>队</w:t>
            </w:r>
          </w:p>
          <w:p w14:paraId="30D67CEF">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公安局</w:t>
            </w:r>
          </w:p>
        </w:tc>
        <w:tc>
          <w:tcPr>
            <w:tcW w:w="1650" w:type="dxa"/>
            <w:noWrap w:val="0"/>
            <w:vAlign w:val="center"/>
          </w:tcPr>
          <w:p w14:paraId="1D4C3BD2">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p>
        </w:tc>
        <w:tc>
          <w:tcPr>
            <w:tcW w:w="1759" w:type="dxa"/>
            <w:noWrap w:val="0"/>
            <w:vAlign w:val="center"/>
          </w:tcPr>
          <w:p w14:paraId="3F414EA4">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国办发</w:t>
            </w:r>
            <w:r>
              <w:rPr>
                <w:rFonts w:hint="eastAsia" w:ascii="宋体" w:hAnsi="宋体" w:eastAsia="宋体" w:cs="宋体"/>
                <w:sz w:val="21"/>
                <w:szCs w:val="21"/>
                <w:lang w:eastAsia="zh-CN"/>
              </w:rPr>
              <w:t>〔</w:t>
            </w:r>
            <w:r>
              <w:rPr>
                <w:rFonts w:hint="eastAsia" w:ascii="宋体" w:hAnsi="宋体" w:eastAsia="宋体" w:cs="宋体"/>
                <w:sz w:val="21"/>
                <w:szCs w:val="21"/>
              </w:rPr>
              <w:t>2024</w:t>
            </w:r>
            <w:r>
              <w:rPr>
                <w:rFonts w:hint="eastAsia" w:ascii="宋体" w:hAnsi="宋体" w:eastAsia="宋体" w:cs="宋体"/>
                <w:sz w:val="21"/>
                <w:szCs w:val="21"/>
                <w:lang w:eastAsia="zh-CN"/>
              </w:rPr>
              <w:t>〕</w:t>
            </w:r>
            <w:r>
              <w:rPr>
                <w:rFonts w:hint="eastAsia" w:ascii="宋体" w:hAnsi="宋体" w:eastAsia="宋体" w:cs="宋体"/>
                <w:sz w:val="21"/>
                <w:szCs w:val="21"/>
              </w:rPr>
              <w:t>19号文件要求</w:t>
            </w:r>
          </w:p>
        </w:tc>
        <w:tc>
          <w:tcPr>
            <w:tcW w:w="1337" w:type="dxa"/>
            <w:noWrap w:val="0"/>
            <w:vAlign w:val="center"/>
          </w:tcPr>
          <w:p w14:paraId="5DB318D6">
            <w:pPr>
              <w:keepNext w:val="0"/>
              <w:keepLines w:val="0"/>
              <w:pageBreakBefore w:val="0"/>
              <w:widowControl w:val="0"/>
              <w:kinsoku/>
              <w:wordWrap/>
              <w:overflowPunct/>
              <w:topLinePunct w:val="0"/>
              <w:autoSpaceDE/>
              <w:autoSpaceDN/>
              <w:bidi w:val="0"/>
              <w:adjustRightInd/>
              <w:snapToGrid w:val="0"/>
              <w:ind w:left="105" w:leftChars="50" w:right="105" w:rightChars="50"/>
              <w:contextualSpacing/>
              <w:jc w:val="center"/>
              <w:textAlignment w:val="auto"/>
              <w:rPr>
                <w:rFonts w:hint="eastAsia" w:ascii="宋体" w:hAnsi="宋体" w:eastAsia="宋体" w:cs="宋体"/>
                <w:sz w:val="21"/>
                <w:szCs w:val="21"/>
              </w:rPr>
            </w:pPr>
            <w:r>
              <w:rPr>
                <w:rFonts w:hint="eastAsia" w:ascii="宋体" w:hAnsi="宋体" w:eastAsia="宋体" w:cs="宋体"/>
                <w:sz w:val="21"/>
                <w:szCs w:val="21"/>
              </w:rPr>
              <w:t>持续推进</w:t>
            </w:r>
          </w:p>
        </w:tc>
      </w:tr>
      <w:tr w14:paraId="63BE6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085" w:hRule="atLeast"/>
        </w:trPr>
        <w:tc>
          <w:tcPr>
            <w:tcW w:w="2019" w:type="dxa"/>
            <w:vMerge w:val="continue"/>
            <w:noWrap w:val="0"/>
            <w:vAlign w:val="center"/>
          </w:tcPr>
          <w:p w14:paraId="1028ED7A">
            <w:pPr>
              <w:keepNext w:val="0"/>
              <w:keepLines w:val="0"/>
              <w:pageBreakBefore w:val="0"/>
              <w:widowControl w:val="0"/>
              <w:kinsoku/>
              <w:wordWrap/>
              <w:overflowPunct/>
              <w:topLinePunct w:val="0"/>
              <w:autoSpaceDE/>
              <w:autoSpaceDN/>
              <w:bidi w:val="0"/>
              <w:adjustRightInd/>
              <w:snapToGrid w:val="0"/>
              <w:ind w:left="105" w:leftChars="50" w:right="105" w:rightChars="50"/>
              <w:textAlignment w:val="auto"/>
              <w:rPr>
                <w:rFonts w:hint="eastAsia" w:ascii="宋体" w:hAnsi="宋体" w:eastAsia="宋体" w:cs="宋体"/>
                <w:sz w:val="21"/>
                <w:szCs w:val="21"/>
              </w:rPr>
            </w:pPr>
          </w:p>
        </w:tc>
        <w:tc>
          <w:tcPr>
            <w:tcW w:w="1486" w:type="dxa"/>
            <w:vMerge w:val="continue"/>
            <w:noWrap w:val="0"/>
            <w:vAlign w:val="center"/>
          </w:tcPr>
          <w:p w14:paraId="7433873C">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4227" w:type="dxa"/>
            <w:noWrap w:val="0"/>
            <w:vAlign w:val="center"/>
          </w:tcPr>
          <w:p w14:paraId="12D1C434">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r>
              <w:rPr>
                <w:rFonts w:hint="eastAsia" w:ascii="宋体" w:hAnsi="宋体" w:eastAsia="宋体" w:cs="宋体"/>
                <w:sz w:val="21"/>
                <w:szCs w:val="21"/>
              </w:rPr>
              <w:t>将电动自行车停放充电等纳入日常监管，督促、指导本行业、本系统内企事业单位做好安全管理工作。</w:t>
            </w:r>
          </w:p>
        </w:tc>
        <w:tc>
          <w:tcPr>
            <w:tcW w:w="1650" w:type="dxa"/>
            <w:noWrap w:val="0"/>
            <w:vAlign w:val="center"/>
          </w:tcPr>
          <w:p w14:paraId="574F7902">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消安委各有关成员单位</w:t>
            </w:r>
          </w:p>
        </w:tc>
        <w:tc>
          <w:tcPr>
            <w:tcW w:w="1650" w:type="dxa"/>
            <w:noWrap w:val="0"/>
            <w:vAlign w:val="center"/>
          </w:tcPr>
          <w:p w14:paraId="469FDF2D">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1759" w:type="dxa"/>
            <w:noWrap w:val="0"/>
            <w:vAlign w:val="center"/>
          </w:tcPr>
          <w:p w14:paraId="3E8C9960">
            <w:pPr>
              <w:keepNext w:val="0"/>
              <w:keepLines w:val="0"/>
              <w:pageBreakBefore w:val="0"/>
              <w:widowControl w:val="0"/>
              <w:kinsoku/>
              <w:wordWrap/>
              <w:overflowPunct/>
              <w:topLinePunct w:val="0"/>
              <w:autoSpaceDE/>
              <w:autoSpaceDN/>
              <w:bidi w:val="0"/>
              <w:adjustRightInd/>
              <w:snapToGrid w:val="0"/>
              <w:ind w:left="105" w:leftChars="50"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rPr>
              <w:t>北京市经验做法</w:t>
            </w:r>
          </w:p>
        </w:tc>
        <w:tc>
          <w:tcPr>
            <w:tcW w:w="1337" w:type="dxa"/>
            <w:noWrap w:val="0"/>
            <w:vAlign w:val="center"/>
          </w:tcPr>
          <w:p w14:paraId="38D2F5F4">
            <w:pPr>
              <w:keepNext w:val="0"/>
              <w:keepLines w:val="0"/>
              <w:pageBreakBefore w:val="0"/>
              <w:widowControl w:val="0"/>
              <w:kinsoku/>
              <w:wordWrap/>
              <w:overflowPunct/>
              <w:topLinePunct w:val="0"/>
              <w:autoSpaceDE/>
              <w:autoSpaceDN/>
              <w:bidi w:val="0"/>
              <w:adjustRightInd/>
              <w:snapToGrid w:val="0"/>
              <w:ind w:left="105" w:leftChars="50" w:right="105" w:rightChars="50"/>
              <w:contextualSpacing/>
              <w:jc w:val="center"/>
              <w:textAlignment w:val="auto"/>
              <w:rPr>
                <w:rFonts w:hint="eastAsia" w:ascii="宋体" w:hAnsi="宋体" w:eastAsia="宋体" w:cs="宋体"/>
                <w:sz w:val="21"/>
                <w:szCs w:val="21"/>
              </w:rPr>
            </w:pPr>
            <w:r>
              <w:rPr>
                <w:rFonts w:hint="eastAsia" w:ascii="宋体" w:hAnsi="宋体" w:eastAsia="宋体" w:cs="宋体"/>
                <w:sz w:val="21"/>
                <w:szCs w:val="21"/>
              </w:rPr>
              <w:t>持续推进</w:t>
            </w:r>
          </w:p>
        </w:tc>
      </w:tr>
      <w:tr w14:paraId="148C7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085" w:hRule="atLeast"/>
        </w:trPr>
        <w:tc>
          <w:tcPr>
            <w:tcW w:w="2019" w:type="dxa"/>
            <w:vMerge w:val="continue"/>
            <w:noWrap w:val="0"/>
            <w:vAlign w:val="center"/>
          </w:tcPr>
          <w:p w14:paraId="1E2C2A61">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1486" w:type="dxa"/>
            <w:vMerge w:val="restart"/>
            <w:noWrap w:val="0"/>
            <w:vAlign w:val="center"/>
          </w:tcPr>
          <w:p w14:paraId="1F32A6CD">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rPr>
              <w:t>9.强化技防物防措施应用</w:t>
            </w:r>
          </w:p>
        </w:tc>
        <w:tc>
          <w:tcPr>
            <w:tcW w:w="4227" w:type="dxa"/>
            <w:noWrap w:val="0"/>
            <w:vAlign w:val="center"/>
          </w:tcPr>
          <w:p w14:paraId="61D2CE78">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r>
              <w:rPr>
                <w:rFonts w:hint="eastAsia" w:ascii="宋体" w:hAnsi="宋体" w:eastAsia="宋体" w:cs="宋体"/>
                <w:sz w:val="21"/>
                <w:szCs w:val="21"/>
              </w:rPr>
              <w:t>引导充电设施建设运营企业健全内部运营管控、巡检维护、投诉处理等制度，建立数据平台，对充电设施进行实时监控，提升运营水平。</w:t>
            </w:r>
          </w:p>
        </w:tc>
        <w:tc>
          <w:tcPr>
            <w:tcW w:w="1650" w:type="dxa"/>
            <w:vMerge w:val="restart"/>
            <w:noWrap w:val="0"/>
            <w:vAlign w:val="center"/>
          </w:tcPr>
          <w:p w14:paraId="172D2F16">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市场监管局</w:t>
            </w:r>
          </w:p>
          <w:p w14:paraId="11DBFBD8">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消防救援</w:t>
            </w:r>
            <w:r>
              <w:rPr>
                <w:rFonts w:hint="eastAsia" w:ascii="宋体" w:hAnsi="宋体" w:eastAsia="宋体" w:cs="宋体"/>
                <w:sz w:val="21"/>
                <w:szCs w:val="21"/>
                <w:lang w:eastAsia="zh-CN"/>
              </w:rPr>
              <w:t>大</w:t>
            </w:r>
            <w:r>
              <w:rPr>
                <w:rFonts w:hint="eastAsia" w:ascii="宋体" w:hAnsi="宋体" w:eastAsia="宋体" w:cs="宋体"/>
                <w:sz w:val="21"/>
                <w:szCs w:val="21"/>
              </w:rPr>
              <w:t>队</w:t>
            </w:r>
          </w:p>
        </w:tc>
        <w:tc>
          <w:tcPr>
            <w:tcW w:w="1650" w:type="dxa"/>
            <w:vMerge w:val="restart"/>
            <w:noWrap w:val="0"/>
            <w:vAlign w:val="center"/>
          </w:tcPr>
          <w:p w14:paraId="4D92D0A6">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住建局</w:t>
            </w:r>
          </w:p>
        </w:tc>
        <w:tc>
          <w:tcPr>
            <w:tcW w:w="1759" w:type="dxa"/>
            <w:vMerge w:val="restart"/>
            <w:noWrap w:val="0"/>
            <w:vAlign w:val="center"/>
          </w:tcPr>
          <w:p w14:paraId="742F82D9">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国办发</w:t>
            </w:r>
            <w:r>
              <w:rPr>
                <w:rFonts w:hint="eastAsia" w:ascii="宋体" w:hAnsi="宋体" w:eastAsia="宋体" w:cs="宋体"/>
                <w:sz w:val="21"/>
                <w:szCs w:val="21"/>
                <w:lang w:eastAsia="zh-CN"/>
              </w:rPr>
              <w:t>〔</w:t>
            </w:r>
            <w:r>
              <w:rPr>
                <w:rFonts w:hint="eastAsia" w:ascii="宋体" w:hAnsi="宋体" w:eastAsia="宋体" w:cs="宋体"/>
                <w:sz w:val="21"/>
                <w:szCs w:val="21"/>
              </w:rPr>
              <w:t>2024</w:t>
            </w:r>
            <w:r>
              <w:rPr>
                <w:rFonts w:hint="eastAsia" w:ascii="宋体" w:hAnsi="宋体" w:eastAsia="宋体" w:cs="宋体"/>
                <w:sz w:val="21"/>
                <w:szCs w:val="21"/>
                <w:lang w:eastAsia="zh-CN"/>
              </w:rPr>
              <w:t>〕</w:t>
            </w:r>
            <w:r>
              <w:rPr>
                <w:rFonts w:hint="eastAsia" w:ascii="宋体" w:hAnsi="宋体" w:eastAsia="宋体" w:cs="宋体"/>
                <w:sz w:val="21"/>
                <w:szCs w:val="21"/>
              </w:rPr>
              <w:t>19号文件要求</w:t>
            </w:r>
          </w:p>
        </w:tc>
        <w:tc>
          <w:tcPr>
            <w:tcW w:w="1337" w:type="dxa"/>
            <w:noWrap w:val="0"/>
            <w:vAlign w:val="center"/>
          </w:tcPr>
          <w:p w14:paraId="691CD085">
            <w:pPr>
              <w:keepNext w:val="0"/>
              <w:keepLines w:val="0"/>
              <w:pageBreakBefore w:val="0"/>
              <w:widowControl w:val="0"/>
              <w:kinsoku/>
              <w:wordWrap/>
              <w:overflowPunct/>
              <w:topLinePunct w:val="0"/>
              <w:autoSpaceDE/>
              <w:autoSpaceDN/>
              <w:bidi w:val="0"/>
              <w:adjustRightInd/>
              <w:snapToGrid w:val="0"/>
              <w:ind w:left="105" w:leftChars="50" w:right="105" w:rightChars="50"/>
              <w:contextualSpacing/>
              <w:jc w:val="center"/>
              <w:textAlignment w:val="auto"/>
              <w:rPr>
                <w:rFonts w:hint="eastAsia" w:ascii="宋体" w:hAnsi="宋体" w:eastAsia="宋体" w:cs="宋体"/>
                <w:sz w:val="21"/>
                <w:szCs w:val="21"/>
              </w:rPr>
            </w:pPr>
            <w:r>
              <w:rPr>
                <w:rFonts w:hint="eastAsia" w:ascii="宋体" w:hAnsi="宋体" w:eastAsia="宋体" w:cs="宋体"/>
                <w:sz w:val="21"/>
                <w:szCs w:val="21"/>
              </w:rPr>
              <w:t>2025年底前完成</w:t>
            </w:r>
          </w:p>
        </w:tc>
      </w:tr>
      <w:tr w14:paraId="69A5E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79" w:hRule="atLeast"/>
        </w:trPr>
        <w:tc>
          <w:tcPr>
            <w:tcW w:w="2019" w:type="dxa"/>
            <w:vMerge w:val="continue"/>
            <w:noWrap w:val="0"/>
            <w:vAlign w:val="center"/>
          </w:tcPr>
          <w:p w14:paraId="6CD1553F">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1486" w:type="dxa"/>
            <w:vMerge w:val="continue"/>
            <w:noWrap w:val="0"/>
            <w:vAlign w:val="center"/>
          </w:tcPr>
          <w:p w14:paraId="5B5003ED">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4227" w:type="dxa"/>
            <w:noWrap w:val="0"/>
            <w:vAlign w:val="center"/>
          </w:tcPr>
          <w:p w14:paraId="58DE2805">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r>
              <w:rPr>
                <w:rFonts w:hint="eastAsia" w:ascii="宋体" w:hAnsi="宋体" w:eastAsia="宋体" w:cs="宋体"/>
                <w:sz w:val="21"/>
                <w:szCs w:val="21"/>
              </w:rPr>
              <w:t>鼓励充电设施运营单位和即时配送企业推广换电模式，鼓励在楼宇电梯加装智能阻止系统（由各地确定本级年度加装目标），推广“射频信号传输+视频监控”“电力指纹”等技术。</w:t>
            </w:r>
          </w:p>
        </w:tc>
        <w:tc>
          <w:tcPr>
            <w:tcW w:w="1650" w:type="dxa"/>
            <w:vMerge w:val="continue"/>
            <w:noWrap w:val="0"/>
            <w:vAlign w:val="center"/>
          </w:tcPr>
          <w:p w14:paraId="4C20A201">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1650" w:type="dxa"/>
            <w:vMerge w:val="continue"/>
            <w:noWrap w:val="0"/>
            <w:vAlign w:val="center"/>
          </w:tcPr>
          <w:p w14:paraId="408288E8">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1759" w:type="dxa"/>
            <w:vMerge w:val="continue"/>
            <w:noWrap w:val="0"/>
            <w:vAlign w:val="center"/>
          </w:tcPr>
          <w:p w14:paraId="086252AE">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1337" w:type="dxa"/>
            <w:noWrap w:val="0"/>
            <w:vAlign w:val="center"/>
          </w:tcPr>
          <w:p w14:paraId="059F9E7C">
            <w:pPr>
              <w:keepNext w:val="0"/>
              <w:keepLines w:val="0"/>
              <w:pageBreakBefore w:val="0"/>
              <w:widowControl w:val="0"/>
              <w:kinsoku/>
              <w:wordWrap/>
              <w:overflowPunct/>
              <w:topLinePunct w:val="0"/>
              <w:autoSpaceDE/>
              <w:autoSpaceDN/>
              <w:bidi w:val="0"/>
              <w:adjustRightInd/>
              <w:snapToGrid w:val="0"/>
              <w:ind w:left="105" w:leftChars="50" w:right="105" w:rightChars="50"/>
              <w:contextualSpacing/>
              <w:jc w:val="center"/>
              <w:textAlignment w:val="auto"/>
              <w:rPr>
                <w:rFonts w:hint="eastAsia" w:ascii="宋体" w:hAnsi="宋体" w:eastAsia="宋体" w:cs="宋体"/>
                <w:sz w:val="21"/>
                <w:szCs w:val="21"/>
              </w:rPr>
            </w:pPr>
            <w:r>
              <w:rPr>
                <w:rFonts w:hint="eastAsia" w:ascii="宋体" w:hAnsi="宋体" w:eastAsia="宋体" w:cs="宋体"/>
                <w:sz w:val="21"/>
                <w:szCs w:val="21"/>
              </w:rPr>
              <w:t>按年度建设计划推进</w:t>
            </w:r>
          </w:p>
        </w:tc>
      </w:tr>
      <w:tr w14:paraId="69530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085" w:hRule="atLeast"/>
        </w:trPr>
        <w:tc>
          <w:tcPr>
            <w:tcW w:w="2019" w:type="dxa"/>
            <w:noWrap w:val="0"/>
            <w:vAlign w:val="center"/>
          </w:tcPr>
          <w:p w14:paraId="1663B488">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（三）集中整治违规违法停放充电问题</w:t>
            </w:r>
          </w:p>
        </w:tc>
        <w:tc>
          <w:tcPr>
            <w:tcW w:w="1486" w:type="dxa"/>
            <w:noWrap w:val="0"/>
            <w:vAlign w:val="center"/>
          </w:tcPr>
          <w:p w14:paraId="1614BD70">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rPr>
              <w:t>10.加强架空层使用管理</w:t>
            </w:r>
          </w:p>
        </w:tc>
        <w:tc>
          <w:tcPr>
            <w:tcW w:w="4227" w:type="dxa"/>
            <w:noWrap w:val="0"/>
            <w:vAlign w:val="center"/>
          </w:tcPr>
          <w:p w14:paraId="7FB47795">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r>
              <w:rPr>
                <w:rFonts w:hint="eastAsia" w:ascii="宋体" w:hAnsi="宋体" w:eastAsia="宋体" w:cs="宋体"/>
                <w:sz w:val="21"/>
                <w:szCs w:val="21"/>
              </w:rPr>
              <w:t>组织摸排民用建筑架空层电动自行车停放充电风险隐患，对于不具备消防安全条件的，不得作为电动自行车停放充电场所。</w:t>
            </w:r>
          </w:p>
        </w:tc>
        <w:tc>
          <w:tcPr>
            <w:tcW w:w="1650" w:type="dxa"/>
            <w:noWrap w:val="0"/>
            <w:vAlign w:val="center"/>
          </w:tcPr>
          <w:p w14:paraId="35D97CD2">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消防救援</w:t>
            </w:r>
            <w:r>
              <w:rPr>
                <w:rFonts w:hint="eastAsia" w:ascii="宋体" w:hAnsi="宋体" w:eastAsia="宋体" w:cs="宋体"/>
                <w:sz w:val="21"/>
                <w:szCs w:val="21"/>
                <w:lang w:eastAsia="zh-CN"/>
              </w:rPr>
              <w:t>大</w:t>
            </w:r>
            <w:r>
              <w:rPr>
                <w:rFonts w:hint="eastAsia" w:ascii="宋体" w:hAnsi="宋体" w:eastAsia="宋体" w:cs="宋体"/>
                <w:sz w:val="21"/>
                <w:szCs w:val="21"/>
              </w:rPr>
              <w:t>队</w:t>
            </w:r>
          </w:p>
        </w:tc>
        <w:tc>
          <w:tcPr>
            <w:tcW w:w="1650" w:type="dxa"/>
            <w:noWrap w:val="0"/>
            <w:vAlign w:val="center"/>
          </w:tcPr>
          <w:p w14:paraId="38C2025F">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住建局</w:t>
            </w:r>
          </w:p>
          <w:p w14:paraId="4EC45715">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各镇街</w:t>
            </w:r>
          </w:p>
        </w:tc>
        <w:tc>
          <w:tcPr>
            <w:tcW w:w="1759" w:type="dxa"/>
            <w:noWrap w:val="0"/>
            <w:vAlign w:val="center"/>
          </w:tcPr>
          <w:p w14:paraId="1393711F">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国办发</w:t>
            </w:r>
            <w:r>
              <w:rPr>
                <w:rFonts w:hint="eastAsia" w:ascii="宋体" w:hAnsi="宋体" w:eastAsia="宋体" w:cs="宋体"/>
                <w:sz w:val="21"/>
                <w:szCs w:val="21"/>
                <w:lang w:eastAsia="zh-CN"/>
              </w:rPr>
              <w:t>〔</w:t>
            </w:r>
            <w:r>
              <w:rPr>
                <w:rFonts w:hint="eastAsia" w:ascii="宋体" w:hAnsi="宋体" w:eastAsia="宋体" w:cs="宋体"/>
                <w:sz w:val="21"/>
                <w:szCs w:val="21"/>
              </w:rPr>
              <w:t>2024</w:t>
            </w:r>
            <w:r>
              <w:rPr>
                <w:rFonts w:hint="eastAsia" w:ascii="宋体" w:hAnsi="宋体" w:eastAsia="宋体" w:cs="宋体"/>
                <w:sz w:val="21"/>
                <w:szCs w:val="21"/>
                <w:lang w:eastAsia="zh-CN"/>
              </w:rPr>
              <w:t>〕</w:t>
            </w:r>
            <w:r>
              <w:rPr>
                <w:rFonts w:hint="eastAsia" w:ascii="宋体" w:hAnsi="宋体" w:eastAsia="宋体" w:cs="宋体"/>
                <w:sz w:val="21"/>
                <w:szCs w:val="21"/>
              </w:rPr>
              <w:t>19号文件要求</w:t>
            </w:r>
          </w:p>
        </w:tc>
        <w:tc>
          <w:tcPr>
            <w:tcW w:w="1337" w:type="dxa"/>
            <w:noWrap w:val="0"/>
            <w:vAlign w:val="center"/>
          </w:tcPr>
          <w:p w14:paraId="6B771290">
            <w:pPr>
              <w:keepNext w:val="0"/>
              <w:keepLines w:val="0"/>
              <w:pageBreakBefore w:val="0"/>
              <w:widowControl w:val="0"/>
              <w:kinsoku/>
              <w:wordWrap/>
              <w:overflowPunct/>
              <w:topLinePunct w:val="0"/>
              <w:autoSpaceDE/>
              <w:autoSpaceDN/>
              <w:bidi w:val="0"/>
              <w:adjustRightInd/>
              <w:snapToGrid w:val="0"/>
              <w:ind w:left="105" w:leftChars="50" w:right="105" w:rightChars="50"/>
              <w:contextualSpacing/>
              <w:jc w:val="center"/>
              <w:textAlignment w:val="auto"/>
              <w:rPr>
                <w:rFonts w:hint="eastAsia" w:ascii="宋体" w:hAnsi="宋体" w:eastAsia="宋体" w:cs="宋体"/>
                <w:sz w:val="21"/>
                <w:szCs w:val="21"/>
              </w:rPr>
            </w:pPr>
            <w:r>
              <w:rPr>
                <w:rFonts w:hint="eastAsia" w:ascii="宋体" w:hAnsi="宋体" w:eastAsia="宋体" w:cs="宋体"/>
                <w:sz w:val="21"/>
                <w:szCs w:val="21"/>
              </w:rPr>
              <w:t>持续推进</w:t>
            </w:r>
          </w:p>
        </w:tc>
      </w:tr>
      <w:tr w14:paraId="2F69B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881" w:hRule="atLeast"/>
        </w:trPr>
        <w:tc>
          <w:tcPr>
            <w:tcW w:w="2019" w:type="dxa"/>
            <w:vMerge w:val="restart"/>
            <w:noWrap w:val="0"/>
            <w:vAlign w:val="center"/>
          </w:tcPr>
          <w:p w14:paraId="427FE944">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（四）集中整治非法改装屡禁不止问题</w:t>
            </w:r>
          </w:p>
        </w:tc>
        <w:tc>
          <w:tcPr>
            <w:tcW w:w="1486" w:type="dxa"/>
            <w:noWrap w:val="0"/>
            <w:vAlign w:val="center"/>
          </w:tcPr>
          <w:p w14:paraId="6B2A8949">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rPr>
              <w:t>11.严查非法改装</w:t>
            </w:r>
          </w:p>
        </w:tc>
        <w:tc>
          <w:tcPr>
            <w:tcW w:w="4227" w:type="dxa"/>
            <w:noWrap w:val="0"/>
            <w:vAlign w:val="center"/>
          </w:tcPr>
          <w:p w14:paraId="311D959D">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r>
              <w:rPr>
                <w:rFonts w:hint="eastAsia" w:ascii="宋体" w:hAnsi="宋体" w:eastAsia="宋体" w:cs="宋体"/>
                <w:sz w:val="21"/>
                <w:szCs w:val="21"/>
              </w:rPr>
              <w:t>加大对电动自行车经营网点、维修店铺、互联网电动自行车租赁企业的检查频次，依法整治擅自改装、组装等违法违规行为；严厉打击违规回收、二次组装加工蓄电池的黑作坊，对涉嫌犯罪的依法追究刑事责任。</w:t>
            </w:r>
          </w:p>
        </w:tc>
        <w:tc>
          <w:tcPr>
            <w:tcW w:w="1650" w:type="dxa"/>
            <w:noWrap w:val="0"/>
            <w:vAlign w:val="center"/>
          </w:tcPr>
          <w:p w14:paraId="06D6EAD9">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市场监管局</w:t>
            </w:r>
          </w:p>
        </w:tc>
        <w:tc>
          <w:tcPr>
            <w:tcW w:w="1650" w:type="dxa"/>
            <w:noWrap w:val="0"/>
            <w:vAlign w:val="center"/>
          </w:tcPr>
          <w:p w14:paraId="5C64F63C">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公安局</w:t>
            </w:r>
          </w:p>
          <w:p w14:paraId="3450D7EE">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交通局</w:t>
            </w:r>
          </w:p>
        </w:tc>
        <w:tc>
          <w:tcPr>
            <w:tcW w:w="1759" w:type="dxa"/>
            <w:noWrap w:val="0"/>
            <w:vAlign w:val="center"/>
          </w:tcPr>
          <w:p w14:paraId="124895B3">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国办发</w:t>
            </w:r>
            <w:r>
              <w:rPr>
                <w:rFonts w:hint="eastAsia" w:ascii="宋体" w:hAnsi="宋体" w:eastAsia="宋体" w:cs="宋体"/>
                <w:sz w:val="21"/>
                <w:szCs w:val="21"/>
                <w:lang w:eastAsia="zh-CN"/>
              </w:rPr>
              <w:t>〔</w:t>
            </w:r>
            <w:r>
              <w:rPr>
                <w:rFonts w:hint="eastAsia" w:ascii="宋体" w:hAnsi="宋体" w:eastAsia="宋体" w:cs="宋体"/>
                <w:sz w:val="21"/>
                <w:szCs w:val="21"/>
              </w:rPr>
              <w:t>2024</w:t>
            </w:r>
            <w:r>
              <w:rPr>
                <w:rFonts w:hint="eastAsia" w:ascii="宋体" w:hAnsi="宋体" w:eastAsia="宋体" w:cs="宋体"/>
                <w:sz w:val="21"/>
                <w:szCs w:val="21"/>
                <w:lang w:eastAsia="zh-CN"/>
              </w:rPr>
              <w:t>〕</w:t>
            </w:r>
            <w:r>
              <w:rPr>
                <w:rFonts w:hint="eastAsia" w:ascii="宋体" w:hAnsi="宋体" w:eastAsia="宋体" w:cs="宋体"/>
                <w:sz w:val="21"/>
                <w:szCs w:val="21"/>
              </w:rPr>
              <w:t>19号文件要求</w:t>
            </w:r>
          </w:p>
        </w:tc>
        <w:tc>
          <w:tcPr>
            <w:tcW w:w="1337" w:type="dxa"/>
            <w:noWrap w:val="0"/>
            <w:vAlign w:val="center"/>
          </w:tcPr>
          <w:p w14:paraId="1F6BD45A">
            <w:pPr>
              <w:keepNext w:val="0"/>
              <w:keepLines w:val="0"/>
              <w:pageBreakBefore w:val="0"/>
              <w:widowControl w:val="0"/>
              <w:kinsoku/>
              <w:wordWrap/>
              <w:overflowPunct/>
              <w:topLinePunct w:val="0"/>
              <w:autoSpaceDE/>
              <w:autoSpaceDN/>
              <w:bidi w:val="0"/>
              <w:adjustRightInd/>
              <w:snapToGrid w:val="0"/>
              <w:ind w:left="105" w:leftChars="50" w:right="105" w:rightChars="50"/>
              <w:contextualSpacing/>
              <w:jc w:val="center"/>
              <w:textAlignment w:val="auto"/>
              <w:rPr>
                <w:rFonts w:hint="eastAsia" w:ascii="宋体" w:hAnsi="宋体" w:eastAsia="宋体" w:cs="宋体"/>
                <w:sz w:val="21"/>
                <w:szCs w:val="21"/>
              </w:rPr>
            </w:pPr>
            <w:r>
              <w:rPr>
                <w:rFonts w:hint="eastAsia" w:ascii="宋体" w:hAnsi="宋体" w:eastAsia="宋体" w:cs="宋体"/>
                <w:sz w:val="21"/>
                <w:szCs w:val="21"/>
              </w:rPr>
              <w:t>2024年8月底前集中整治一批，形成震慑并持续推进</w:t>
            </w:r>
          </w:p>
        </w:tc>
      </w:tr>
      <w:tr w14:paraId="6049A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26" w:hRule="atLeast"/>
        </w:trPr>
        <w:tc>
          <w:tcPr>
            <w:tcW w:w="2019" w:type="dxa"/>
            <w:vMerge w:val="continue"/>
            <w:noWrap w:val="0"/>
            <w:vAlign w:val="center"/>
          </w:tcPr>
          <w:p w14:paraId="20CB6FEE">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1486" w:type="dxa"/>
            <w:noWrap w:val="0"/>
            <w:vAlign w:val="center"/>
          </w:tcPr>
          <w:p w14:paraId="4D97585C">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2</w:t>
            </w:r>
            <w:r>
              <w:rPr>
                <w:rFonts w:hint="eastAsia" w:ascii="宋体" w:hAnsi="宋体" w:eastAsia="宋体" w:cs="宋体"/>
                <w:sz w:val="21"/>
                <w:szCs w:val="21"/>
              </w:rPr>
              <w:t>.落实即时配送企业安全责任</w:t>
            </w:r>
          </w:p>
        </w:tc>
        <w:tc>
          <w:tcPr>
            <w:tcW w:w="4227" w:type="dxa"/>
            <w:noWrap w:val="0"/>
            <w:vAlign w:val="center"/>
          </w:tcPr>
          <w:p w14:paraId="38A12FC5">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r>
              <w:rPr>
                <w:rFonts w:hint="eastAsia" w:ascii="宋体" w:hAnsi="宋体" w:eastAsia="宋体" w:cs="宋体"/>
                <w:sz w:val="21"/>
                <w:szCs w:val="21"/>
              </w:rPr>
              <w:t>指导即时配送企业完善配送管理制度，加强配送人员使用电动自行车及蓄电池审查备案，强化安全教育培训。督促企业对车辆改装情况开展自查自改，发现改装车辆的落实责令恢复原状、禁止使用、限制接单等措施。</w:t>
            </w:r>
          </w:p>
        </w:tc>
        <w:tc>
          <w:tcPr>
            <w:tcW w:w="1650" w:type="dxa"/>
            <w:noWrap w:val="0"/>
            <w:vAlign w:val="center"/>
          </w:tcPr>
          <w:p w14:paraId="4BEF8317">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市场监管局</w:t>
            </w:r>
          </w:p>
        </w:tc>
        <w:tc>
          <w:tcPr>
            <w:tcW w:w="1650" w:type="dxa"/>
            <w:noWrap w:val="0"/>
            <w:vAlign w:val="center"/>
          </w:tcPr>
          <w:p w14:paraId="60F01B74">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公安局</w:t>
            </w:r>
          </w:p>
          <w:p w14:paraId="24499C7E">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县经贸</w:t>
            </w:r>
            <w:r>
              <w:rPr>
                <w:rFonts w:hint="eastAsia" w:ascii="宋体" w:hAnsi="宋体" w:eastAsia="宋体" w:cs="宋体"/>
                <w:sz w:val="21"/>
                <w:szCs w:val="21"/>
              </w:rPr>
              <w:t>局</w:t>
            </w:r>
          </w:p>
          <w:p w14:paraId="5A97C704">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县</w:t>
            </w:r>
            <w:r>
              <w:rPr>
                <w:rFonts w:hint="eastAsia" w:ascii="宋体" w:hAnsi="宋体" w:eastAsia="宋体" w:cs="宋体"/>
                <w:sz w:val="21"/>
                <w:szCs w:val="21"/>
              </w:rPr>
              <w:t>邮政</w:t>
            </w:r>
            <w:r>
              <w:rPr>
                <w:rFonts w:hint="eastAsia" w:ascii="宋体" w:hAnsi="宋体" w:eastAsia="宋体" w:cs="宋体"/>
                <w:sz w:val="21"/>
                <w:szCs w:val="21"/>
                <w:lang w:eastAsia="zh-CN"/>
              </w:rPr>
              <w:t>公司</w:t>
            </w:r>
          </w:p>
        </w:tc>
        <w:tc>
          <w:tcPr>
            <w:tcW w:w="1759" w:type="dxa"/>
            <w:noWrap w:val="0"/>
            <w:vAlign w:val="center"/>
          </w:tcPr>
          <w:p w14:paraId="4A77A05B">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国办发</w:t>
            </w:r>
            <w:r>
              <w:rPr>
                <w:rFonts w:hint="eastAsia" w:ascii="宋体" w:hAnsi="宋体" w:eastAsia="宋体" w:cs="宋体"/>
                <w:sz w:val="21"/>
                <w:szCs w:val="21"/>
                <w:lang w:eastAsia="zh-CN"/>
              </w:rPr>
              <w:t>〔</w:t>
            </w:r>
            <w:r>
              <w:rPr>
                <w:rFonts w:hint="eastAsia" w:ascii="宋体" w:hAnsi="宋体" w:eastAsia="宋体" w:cs="宋体"/>
                <w:sz w:val="21"/>
                <w:szCs w:val="21"/>
              </w:rPr>
              <w:t>2024</w:t>
            </w:r>
            <w:r>
              <w:rPr>
                <w:rFonts w:hint="eastAsia" w:ascii="宋体" w:hAnsi="宋体" w:eastAsia="宋体" w:cs="宋体"/>
                <w:sz w:val="21"/>
                <w:szCs w:val="21"/>
                <w:lang w:eastAsia="zh-CN"/>
              </w:rPr>
              <w:t>〕</w:t>
            </w:r>
            <w:r>
              <w:rPr>
                <w:rFonts w:hint="eastAsia" w:ascii="宋体" w:hAnsi="宋体" w:eastAsia="宋体" w:cs="宋体"/>
                <w:sz w:val="21"/>
                <w:szCs w:val="21"/>
              </w:rPr>
              <w:t>19号文件要求</w:t>
            </w:r>
          </w:p>
        </w:tc>
        <w:tc>
          <w:tcPr>
            <w:tcW w:w="1337" w:type="dxa"/>
            <w:noWrap w:val="0"/>
            <w:vAlign w:val="center"/>
          </w:tcPr>
          <w:p w14:paraId="49311286">
            <w:pPr>
              <w:keepNext w:val="0"/>
              <w:keepLines w:val="0"/>
              <w:pageBreakBefore w:val="0"/>
              <w:widowControl w:val="0"/>
              <w:kinsoku/>
              <w:wordWrap/>
              <w:overflowPunct/>
              <w:topLinePunct w:val="0"/>
              <w:autoSpaceDE/>
              <w:autoSpaceDN/>
              <w:bidi w:val="0"/>
              <w:adjustRightInd/>
              <w:snapToGrid w:val="0"/>
              <w:ind w:left="105" w:leftChars="50" w:right="105" w:rightChars="50"/>
              <w:contextualSpacing/>
              <w:jc w:val="center"/>
              <w:textAlignment w:val="auto"/>
              <w:rPr>
                <w:rFonts w:hint="eastAsia" w:ascii="宋体" w:hAnsi="宋体" w:eastAsia="宋体" w:cs="宋体"/>
                <w:sz w:val="21"/>
                <w:szCs w:val="21"/>
              </w:rPr>
            </w:pPr>
            <w:r>
              <w:rPr>
                <w:rFonts w:hint="eastAsia" w:ascii="宋体" w:hAnsi="宋体" w:eastAsia="宋体" w:cs="宋体"/>
                <w:sz w:val="21"/>
                <w:szCs w:val="21"/>
              </w:rPr>
              <w:t>2024年8月底前完成</w:t>
            </w:r>
          </w:p>
        </w:tc>
      </w:tr>
      <w:tr w14:paraId="556E6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131" w:hRule="atLeast"/>
        </w:trPr>
        <w:tc>
          <w:tcPr>
            <w:tcW w:w="2019" w:type="dxa"/>
            <w:vMerge w:val="continue"/>
            <w:noWrap w:val="0"/>
            <w:vAlign w:val="center"/>
          </w:tcPr>
          <w:p w14:paraId="789334AB">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1486" w:type="dxa"/>
            <w:noWrap w:val="0"/>
            <w:vAlign w:val="center"/>
          </w:tcPr>
          <w:p w14:paraId="07486850">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rPr>
              <w:t>12.落实即时配送企业安全责任</w:t>
            </w:r>
          </w:p>
        </w:tc>
        <w:tc>
          <w:tcPr>
            <w:tcW w:w="4227" w:type="dxa"/>
            <w:noWrap w:val="0"/>
            <w:vAlign w:val="center"/>
          </w:tcPr>
          <w:p w14:paraId="56934141">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r>
              <w:rPr>
                <w:rFonts w:hint="eastAsia" w:ascii="宋体" w:hAnsi="宋体" w:eastAsia="宋体" w:cs="宋体"/>
                <w:sz w:val="21"/>
                <w:szCs w:val="21"/>
              </w:rPr>
              <w:t>鼓励快递、外卖平台企业为配送员统一配发电动自行车，推行共享换电模式。</w:t>
            </w:r>
          </w:p>
        </w:tc>
        <w:tc>
          <w:tcPr>
            <w:tcW w:w="1650" w:type="dxa"/>
            <w:noWrap w:val="0"/>
            <w:vAlign w:val="center"/>
          </w:tcPr>
          <w:p w14:paraId="3F8C8910">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市场监管局</w:t>
            </w:r>
          </w:p>
        </w:tc>
        <w:tc>
          <w:tcPr>
            <w:tcW w:w="1650" w:type="dxa"/>
            <w:noWrap w:val="0"/>
            <w:vAlign w:val="center"/>
          </w:tcPr>
          <w:p w14:paraId="1AC20597">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县经贸</w:t>
            </w:r>
            <w:r>
              <w:rPr>
                <w:rFonts w:hint="eastAsia" w:ascii="宋体" w:hAnsi="宋体" w:eastAsia="宋体" w:cs="宋体"/>
                <w:sz w:val="21"/>
                <w:szCs w:val="21"/>
              </w:rPr>
              <w:t>局</w:t>
            </w:r>
          </w:p>
          <w:p w14:paraId="5734961E">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邮政</w:t>
            </w:r>
            <w:r>
              <w:rPr>
                <w:rFonts w:hint="eastAsia" w:ascii="宋体" w:hAnsi="宋体" w:eastAsia="宋体" w:cs="宋体"/>
                <w:sz w:val="21"/>
                <w:szCs w:val="21"/>
                <w:lang w:eastAsia="zh-CN"/>
              </w:rPr>
              <w:t>公司</w:t>
            </w:r>
          </w:p>
        </w:tc>
        <w:tc>
          <w:tcPr>
            <w:tcW w:w="1759" w:type="dxa"/>
            <w:noWrap w:val="0"/>
            <w:vAlign w:val="center"/>
          </w:tcPr>
          <w:p w14:paraId="2C8CF0AF">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国办发</w:t>
            </w:r>
            <w:r>
              <w:rPr>
                <w:rFonts w:hint="eastAsia" w:ascii="宋体" w:hAnsi="宋体" w:eastAsia="宋体" w:cs="宋体"/>
                <w:sz w:val="21"/>
                <w:szCs w:val="21"/>
                <w:lang w:eastAsia="zh-CN"/>
              </w:rPr>
              <w:t>〔</w:t>
            </w:r>
            <w:r>
              <w:rPr>
                <w:rFonts w:hint="eastAsia" w:ascii="宋体" w:hAnsi="宋体" w:eastAsia="宋体" w:cs="宋体"/>
                <w:sz w:val="21"/>
                <w:szCs w:val="21"/>
              </w:rPr>
              <w:t>2024</w:t>
            </w:r>
            <w:r>
              <w:rPr>
                <w:rFonts w:hint="eastAsia" w:ascii="宋体" w:hAnsi="宋体" w:eastAsia="宋体" w:cs="宋体"/>
                <w:sz w:val="21"/>
                <w:szCs w:val="21"/>
                <w:lang w:eastAsia="zh-CN"/>
              </w:rPr>
              <w:t>〕</w:t>
            </w:r>
            <w:r>
              <w:rPr>
                <w:rFonts w:hint="eastAsia" w:ascii="宋体" w:hAnsi="宋体" w:eastAsia="宋体" w:cs="宋体"/>
                <w:sz w:val="21"/>
                <w:szCs w:val="21"/>
              </w:rPr>
              <w:t>19号文件要求</w:t>
            </w:r>
          </w:p>
        </w:tc>
        <w:tc>
          <w:tcPr>
            <w:tcW w:w="1337" w:type="dxa"/>
            <w:noWrap w:val="0"/>
            <w:vAlign w:val="center"/>
          </w:tcPr>
          <w:p w14:paraId="09B53D75">
            <w:pPr>
              <w:keepNext w:val="0"/>
              <w:keepLines w:val="0"/>
              <w:pageBreakBefore w:val="0"/>
              <w:widowControl w:val="0"/>
              <w:kinsoku/>
              <w:wordWrap/>
              <w:overflowPunct/>
              <w:topLinePunct w:val="0"/>
              <w:autoSpaceDE/>
              <w:autoSpaceDN/>
              <w:bidi w:val="0"/>
              <w:adjustRightInd/>
              <w:snapToGrid w:val="0"/>
              <w:ind w:left="105" w:leftChars="50" w:right="105" w:rightChars="50"/>
              <w:contextualSpacing/>
              <w:jc w:val="center"/>
              <w:textAlignment w:val="auto"/>
              <w:rPr>
                <w:rFonts w:hint="eastAsia" w:ascii="宋体" w:hAnsi="宋体" w:eastAsia="宋体" w:cs="宋体"/>
                <w:sz w:val="21"/>
                <w:szCs w:val="21"/>
              </w:rPr>
            </w:pPr>
            <w:r>
              <w:rPr>
                <w:rFonts w:hint="eastAsia" w:ascii="宋体" w:hAnsi="宋体" w:eastAsia="宋体" w:cs="宋体"/>
                <w:sz w:val="21"/>
                <w:szCs w:val="21"/>
              </w:rPr>
              <w:t>持续推进</w:t>
            </w:r>
          </w:p>
        </w:tc>
      </w:tr>
      <w:tr w14:paraId="5EC5C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89" w:hRule="atLeast"/>
        </w:trPr>
        <w:tc>
          <w:tcPr>
            <w:tcW w:w="2019" w:type="dxa"/>
            <w:vMerge w:val="restart"/>
            <w:noWrap w:val="0"/>
            <w:vAlign w:val="center"/>
          </w:tcPr>
          <w:p w14:paraId="5B90A3A2">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（五）集中整治道路行驶方面安全问题</w:t>
            </w:r>
          </w:p>
        </w:tc>
        <w:tc>
          <w:tcPr>
            <w:tcW w:w="1486" w:type="dxa"/>
            <w:noWrap w:val="0"/>
            <w:vAlign w:val="center"/>
          </w:tcPr>
          <w:p w14:paraId="76396CFB">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rPr>
              <w:t>13.严格登记上牌管理</w:t>
            </w:r>
          </w:p>
        </w:tc>
        <w:tc>
          <w:tcPr>
            <w:tcW w:w="4227" w:type="dxa"/>
            <w:noWrap w:val="0"/>
            <w:vAlign w:val="center"/>
          </w:tcPr>
          <w:p w14:paraId="6DB8252A">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r>
              <w:rPr>
                <w:rFonts w:hint="eastAsia" w:ascii="宋体" w:hAnsi="宋体" w:eastAsia="宋体" w:cs="宋体"/>
                <w:sz w:val="21"/>
                <w:szCs w:val="21"/>
              </w:rPr>
              <w:t>全面实施电动自行车登记上牌管理，将车主信息、车架号及蓄电池识别代码纳入登记事项。对目前在用但不符合国家标准的电动自行车，稳妥落实过渡期管理政策。</w:t>
            </w:r>
          </w:p>
        </w:tc>
        <w:tc>
          <w:tcPr>
            <w:tcW w:w="1650" w:type="dxa"/>
            <w:noWrap w:val="0"/>
            <w:vAlign w:val="center"/>
          </w:tcPr>
          <w:p w14:paraId="7A48E609">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公安局</w:t>
            </w:r>
          </w:p>
        </w:tc>
        <w:tc>
          <w:tcPr>
            <w:tcW w:w="1650" w:type="dxa"/>
            <w:noWrap w:val="0"/>
            <w:vAlign w:val="center"/>
          </w:tcPr>
          <w:p w14:paraId="4B587E1C">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1759" w:type="dxa"/>
            <w:noWrap w:val="0"/>
            <w:vAlign w:val="center"/>
          </w:tcPr>
          <w:p w14:paraId="3A18E0B2">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国办发</w:t>
            </w:r>
            <w:r>
              <w:rPr>
                <w:rFonts w:hint="eastAsia" w:ascii="宋体" w:hAnsi="宋体" w:eastAsia="宋体" w:cs="宋体"/>
                <w:sz w:val="21"/>
                <w:szCs w:val="21"/>
                <w:lang w:eastAsia="zh-CN"/>
              </w:rPr>
              <w:t>〔</w:t>
            </w:r>
            <w:r>
              <w:rPr>
                <w:rFonts w:hint="eastAsia" w:ascii="宋体" w:hAnsi="宋体" w:eastAsia="宋体" w:cs="宋体"/>
                <w:sz w:val="21"/>
                <w:szCs w:val="21"/>
              </w:rPr>
              <w:t>2024</w:t>
            </w:r>
            <w:r>
              <w:rPr>
                <w:rFonts w:hint="eastAsia" w:ascii="宋体" w:hAnsi="宋体" w:eastAsia="宋体" w:cs="宋体"/>
                <w:sz w:val="21"/>
                <w:szCs w:val="21"/>
                <w:lang w:eastAsia="zh-CN"/>
              </w:rPr>
              <w:t>〕</w:t>
            </w:r>
            <w:r>
              <w:rPr>
                <w:rFonts w:hint="eastAsia" w:ascii="宋体" w:hAnsi="宋体" w:eastAsia="宋体" w:cs="宋体"/>
                <w:sz w:val="21"/>
                <w:szCs w:val="21"/>
              </w:rPr>
              <w:t>19号文件要求</w:t>
            </w:r>
          </w:p>
        </w:tc>
        <w:tc>
          <w:tcPr>
            <w:tcW w:w="1337" w:type="dxa"/>
            <w:noWrap w:val="0"/>
            <w:vAlign w:val="center"/>
          </w:tcPr>
          <w:p w14:paraId="4CA8480B">
            <w:pPr>
              <w:keepNext w:val="0"/>
              <w:keepLines w:val="0"/>
              <w:pageBreakBefore w:val="0"/>
              <w:widowControl w:val="0"/>
              <w:kinsoku/>
              <w:wordWrap/>
              <w:overflowPunct/>
              <w:topLinePunct w:val="0"/>
              <w:autoSpaceDE/>
              <w:autoSpaceDN/>
              <w:bidi w:val="0"/>
              <w:adjustRightInd/>
              <w:snapToGrid w:val="0"/>
              <w:ind w:left="105" w:leftChars="50" w:right="105" w:rightChars="50"/>
              <w:contextualSpacing/>
              <w:jc w:val="center"/>
              <w:textAlignment w:val="auto"/>
              <w:rPr>
                <w:rFonts w:hint="eastAsia" w:ascii="宋体" w:hAnsi="宋体" w:eastAsia="宋体" w:cs="宋体"/>
                <w:sz w:val="21"/>
                <w:szCs w:val="21"/>
              </w:rPr>
            </w:pPr>
            <w:r>
              <w:rPr>
                <w:rFonts w:hint="eastAsia" w:ascii="宋体" w:hAnsi="宋体" w:eastAsia="宋体" w:cs="宋体"/>
                <w:sz w:val="21"/>
                <w:szCs w:val="21"/>
              </w:rPr>
              <w:t>2024年底前完成并持续推进</w:t>
            </w:r>
          </w:p>
        </w:tc>
      </w:tr>
      <w:tr w14:paraId="49FE0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538" w:hRule="atLeast"/>
        </w:trPr>
        <w:tc>
          <w:tcPr>
            <w:tcW w:w="2019" w:type="dxa"/>
            <w:vMerge w:val="continue"/>
            <w:noWrap w:val="0"/>
            <w:vAlign w:val="center"/>
          </w:tcPr>
          <w:p w14:paraId="038E35E4">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1486" w:type="dxa"/>
            <w:noWrap w:val="0"/>
            <w:vAlign w:val="center"/>
          </w:tcPr>
          <w:p w14:paraId="18697C7F">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rPr>
              <w:t>14.加大路面执法力度</w:t>
            </w:r>
          </w:p>
        </w:tc>
        <w:tc>
          <w:tcPr>
            <w:tcW w:w="4227" w:type="dxa"/>
            <w:noWrap w:val="0"/>
            <w:vAlign w:val="center"/>
          </w:tcPr>
          <w:p w14:paraId="4DCA7162">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r>
              <w:rPr>
                <w:rFonts w:hint="eastAsia" w:ascii="宋体" w:hAnsi="宋体" w:eastAsia="宋体" w:cs="宋体"/>
                <w:sz w:val="21"/>
                <w:szCs w:val="21"/>
              </w:rPr>
              <w:t>依法查处电动自行车未按规定登记上牌上路行驶、闯红灯、逆行等违法违规行为；对道路执法、事故查处、电动自行车注册登记办理的违法线索，及时移送市场监管、</w:t>
            </w:r>
            <w:r>
              <w:rPr>
                <w:rFonts w:hint="eastAsia" w:ascii="宋体" w:hAnsi="宋体" w:eastAsia="宋体" w:cs="宋体"/>
                <w:sz w:val="21"/>
                <w:szCs w:val="21"/>
                <w:lang w:eastAsia="zh-CN"/>
              </w:rPr>
              <w:t>经贸</w:t>
            </w:r>
            <w:r>
              <w:rPr>
                <w:rFonts w:hint="eastAsia" w:ascii="宋体" w:hAnsi="宋体" w:eastAsia="宋体" w:cs="宋体"/>
                <w:sz w:val="21"/>
                <w:szCs w:val="21"/>
              </w:rPr>
              <w:t>部门依法查处。</w:t>
            </w:r>
          </w:p>
        </w:tc>
        <w:tc>
          <w:tcPr>
            <w:tcW w:w="1650" w:type="dxa"/>
            <w:noWrap w:val="0"/>
            <w:vAlign w:val="center"/>
          </w:tcPr>
          <w:p w14:paraId="26F412C3">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公安局</w:t>
            </w:r>
          </w:p>
        </w:tc>
        <w:tc>
          <w:tcPr>
            <w:tcW w:w="1650" w:type="dxa"/>
            <w:noWrap w:val="0"/>
            <w:vAlign w:val="center"/>
          </w:tcPr>
          <w:p w14:paraId="643E43CF">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市场监管局</w:t>
            </w:r>
            <w:r>
              <w:rPr>
                <w:rFonts w:hint="eastAsia" w:ascii="宋体" w:hAnsi="宋体" w:eastAsia="宋体" w:cs="宋体"/>
                <w:sz w:val="21"/>
                <w:szCs w:val="21"/>
                <w:lang w:eastAsia="zh-CN"/>
              </w:rPr>
              <w:t>县经贸</w:t>
            </w:r>
            <w:r>
              <w:rPr>
                <w:rFonts w:hint="eastAsia" w:ascii="宋体" w:hAnsi="宋体" w:eastAsia="宋体" w:cs="宋体"/>
                <w:sz w:val="21"/>
                <w:szCs w:val="21"/>
              </w:rPr>
              <w:t>局</w:t>
            </w:r>
          </w:p>
        </w:tc>
        <w:tc>
          <w:tcPr>
            <w:tcW w:w="1759" w:type="dxa"/>
            <w:noWrap w:val="0"/>
            <w:vAlign w:val="center"/>
          </w:tcPr>
          <w:p w14:paraId="57FBA60E">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国办发</w:t>
            </w:r>
            <w:r>
              <w:rPr>
                <w:rFonts w:hint="eastAsia" w:ascii="宋体" w:hAnsi="宋体" w:eastAsia="宋体" w:cs="宋体"/>
                <w:sz w:val="21"/>
                <w:szCs w:val="21"/>
                <w:lang w:eastAsia="zh-CN"/>
              </w:rPr>
              <w:t>〔</w:t>
            </w:r>
            <w:r>
              <w:rPr>
                <w:rFonts w:hint="eastAsia" w:ascii="宋体" w:hAnsi="宋体" w:eastAsia="宋体" w:cs="宋体"/>
                <w:sz w:val="21"/>
                <w:szCs w:val="21"/>
              </w:rPr>
              <w:t>2024</w:t>
            </w:r>
            <w:r>
              <w:rPr>
                <w:rFonts w:hint="eastAsia" w:ascii="宋体" w:hAnsi="宋体" w:eastAsia="宋体" w:cs="宋体"/>
                <w:sz w:val="21"/>
                <w:szCs w:val="21"/>
                <w:lang w:eastAsia="zh-CN"/>
              </w:rPr>
              <w:t>〕</w:t>
            </w:r>
            <w:r>
              <w:rPr>
                <w:rFonts w:hint="eastAsia" w:ascii="宋体" w:hAnsi="宋体" w:eastAsia="宋体" w:cs="宋体"/>
                <w:sz w:val="21"/>
                <w:szCs w:val="21"/>
              </w:rPr>
              <w:t>19号文件要求</w:t>
            </w:r>
          </w:p>
        </w:tc>
        <w:tc>
          <w:tcPr>
            <w:tcW w:w="1337" w:type="dxa"/>
            <w:noWrap w:val="0"/>
            <w:vAlign w:val="center"/>
          </w:tcPr>
          <w:p w14:paraId="67F18C3A">
            <w:pPr>
              <w:keepNext w:val="0"/>
              <w:keepLines w:val="0"/>
              <w:pageBreakBefore w:val="0"/>
              <w:widowControl w:val="0"/>
              <w:kinsoku/>
              <w:wordWrap/>
              <w:overflowPunct/>
              <w:topLinePunct w:val="0"/>
              <w:autoSpaceDE/>
              <w:autoSpaceDN/>
              <w:bidi w:val="0"/>
              <w:adjustRightInd/>
              <w:snapToGrid w:val="0"/>
              <w:ind w:left="105" w:leftChars="50" w:right="105" w:rightChars="50"/>
              <w:contextualSpacing/>
              <w:jc w:val="center"/>
              <w:textAlignment w:val="auto"/>
              <w:rPr>
                <w:rFonts w:hint="eastAsia" w:ascii="宋体" w:hAnsi="宋体" w:eastAsia="宋体" w:cs="宋体"/>
                <w:sz w:val="21"/>
                <w:szCs w:val="21"/>
              </w:rPr>
            </w:pPr>
            <w:r>
              <w:rPr>
                <w:rFonts w:hint="eastAsia" w:ascii="宋体" w:hAnsi="宋体" w:eastAsia="宋体" w:cs="宋体"/>
                <w:sz w:val="21"/>
                <w:szCs w:val="21"/>
              </w:rPr>
              <w:t>持续推进</w:t>
            </w:r>
          </w:p>
        </w:tc>
      </w:tr>
      <w:tr w14:paraId="1F9DD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65" w:hRule="atLeast"/>
        </w:trPr>
        <w:tc>
          <w:tcPr>
            <w:tcW w:w="2019" w:type="dxa"/>
            <w:vMerge w:val="restart"/>
            <w:noWrap w:val="0"/>
            <w:vAlign w:val="center"/>
          </w:tcPr>
          <w:p w14:paraId="3B7CDAF9">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rPr>
              <w:t>（六）集中整治老旧蓄电池报废回收问题</w:t>
            </w:r>
          </w:p>
        </w:tc>
        <w:tc>
          <w:tcPr>
            <w:tcW w:w="1486" w:type="dxa"/>
            <w:vMerge w:val="restart"/>
            <w:noWrap w:val="0"/>
            <w:vAlign w:val="center"/>
          </w:tcPr>
          <w:p w14:paraId="717E28FD">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rPr>
              <w:t>15.推动以旧换新</w:t>
            </w:r>
          </w:p>
        </w:tc>
        <w:tc>
          <w:tcPr>
            <w:tcW w:w="4227" w:type="dxa"/>
            <w:noWrap w:val="0"/>
            <w:vAlign w:val="center"/>
          </w:tcPr>
          <w:p w14:paraId="3CCCDC95">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color w:val="000000"/>
                <w:sz w:val="21"/>
                <w:szCs w:val="21"/>
              </w:rPr>
            </w:pPr>
            <w:r>
              <w:rPr>
                <w:rFonts w:hint="eastAsia" w:ascii="宋体" w:hAnsi="宋体" w:eastAsia="宋体" w:cs="宋体"/>
                <w:sz w:val="21"/>
                <w:szCs w:val="21"/>
              </w:rPr>
              <w:t>结合上级部署，推动制定电动自行车领域以旧换新工作计划。</w:t>
            </w:r>
          </w:p>
        </w:tc>
        <w:tc>
          <w:tcPr>
            <w:tcW w:w="1650" w:type="dxa"/>
            <w:vMerge w:val="restart"/>
            <w:noWrap w:val="0"/>
            <w:vAlign w:val="center"/>
          </w:tcPr>
          <w:p w14:paraId="0232CB0A">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县经贸</w:t>
            </w:r>
            <w:r>
              <w:rPr>
                <w:rFonts w:hint="eastAsia" w:ascii="宋体" w:hAnsi="宋体" w:eastAsia="宋体" w:cs="宋体"/>
                <w:sz w:val="21"/>
                <w:szCs w:val="21"/>
              </w:rPr>
              <w:t>局</w:t>
            </w:r>
          </w:p>
        </w:tc>
        <w:tc>
          <w:tcPr>
            <w:tcW w:w="1650" w:type="dxa"/>
            <w:vMerge w:val="restart"/>
            <w:noWrap w:val="0"/>
            <w:vAlign w:val="center"/>
          </w:tcPr>
          <w:p w14:paraId="3BDD5554">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市场监管局</w:t>
            </w:r>
          </w:p>
          <w:p w14:paraId="09F64C72">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各镇街</w:t>
            </w:r>
          </w:p>
        </w:tc>
        <w:tc>
          <w:tcPr>
            <w:tcW w:w="1759" w:type="dxa"/>
            <w:vMerge w:val="restart"/>
            <w:noWrap w:val="0"/>
            <w:vAlign w:val="center"/>
          </w:tcPr>
          <w:p w14:paraId="5A2D2518">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国办发</w:t>
            </w:r>
            <w:r>
              <w:rPr>
                <w:rFonts w:hint="eastAsia" w:ascii="宋体" w:hAnsi="宋体" w:eastAsia="宋体" w:cs="宋体"/>
                <w:sz w:val="21"/>
                <w:szCs w:val="21"/>
                <w:lang w:eastAsia="zh-CN"/>
              </w:rPr>
              <w:t>〔</w:t>
            </w:r>
            <w:r>
              <w:rPr>
                <w:rFonts w:hint="eastAsia" w:ascii="宋体" w:hAnsi="宋体" w:eastAsia="宋体" w:cs="宋体"/>
                <w:sz w:val="21"/>
                <w:szCs w:val="21"/>
              </w:rPr>
              <w:t>2024</w:t>
            </w:r>
            <w:r>
              <w:rPr>
                <w:rFonts w:hint="eastAsia" w:ascii="宋体" w:hAnsi="宋体" w:eastAsia="宋体" w:cs="宋体"/>
                <w:sz w:val="21"/>
                <w:szCs w:val="21"/>
                <w:lang w:eastAsia="zh-CN"/>
              </w:rPr>
              <w:t>〕</w:t>
            </w:r>
            <w:r>
              <w:rPr>
                <w:rFonts w:hint="eastAsia" w:ascii="宋体" w:hAnsi="宋体" w:eastAsia="宋体" w:cs="宋体"/>
                <w:sz w:val="21"/>
                <w:szCs w:val="21"/>
              </w:rPr>
              <w:t>19号文件要求</w:t>
            </w:r>
          </w:p>
        </w:tc>
        <w:tc>
          <w:tcPr>
            <w:tcW w:w="1337" w:type="dxa"/>
            <w:noWrap w:val="0"/>
            <w:vAlign w:val="center"/>
          </w:tcPr>
          <w:p w14:paraId="34579BF9">
            <w:pPr>
              <w:keepNext w:val="0"/>
              <w:keepLines w:val="0"/>
              <w:pageBreakBefore w:val="0"/>
              <w:widowControl w:val="0"/>
              <w:kinsoku/>
              <w:wordWrap/>
              <w:overflowPunct/>
              <w:topLinePunct w:val="0"/>
              <w:autoSpaceDE/>
              <w:autoSpaceDN/>
              <w:bidi w:val="0"/>
              <w:adjustRightInd/>
              <w:snapToGrid w:val="0"/>
              <w:ind w:left="105" w:leftChars="50" w:right="105" w:rightChars="50"/>
              <w:contextualSpacing/>
              <w:jc w:val="center"/>
              <w:textAlignment w:val="auto"/>
              <w:rPr>
                <w:rFonts w:hint="eastAsia" w:ascii="宋体" w:hAnsi="宋体" w:eastAsia="宋体" w:cs="宋体"/>
                <w:sz w:val="21"/>
                <w:szCs w:val="21"/>
              </w:rPr>
            </w:pPr>
            <w:r>
              <w:rPr>
                <w:rFonts w:hint="eastAsia" w:ascii="宋体" w:hAnsi="宋体" w:eastAsia="宋体" w:cs="宋体"/>
                <w:sz w:val="21"/>
                <w:szCs w:val="21"/>
              </w:rPr>
              <w:t>2024年9月底前完成</w:t>
            </w:r>
          </w:p>
        </w:tc>
      </w:tr>
      <w:tr w14:paraId="5F7B8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820" w:hRule="atLeast"/>
        </w:trPr>
        <w:tc>
          <w:tcPr>
            <w:tcW w:w="2019" w:type="dxa"/>
            <w:vMerge w:val="continue"/>
            <w:noWrap w:val="0"/>
            <w:vAlign w:val="center"/>
          </w:tcPr>
          <w:p w14:paraId="0F7981B7">
            <w:pPr>
              <w:keepNext w:val="0"/>
              <w:keepLines w:val="0"/>
              <w:pageBreakBefore w:val="0"/>
              <w:widowControl w:val="0"/>
              <w:kinsoku/>
              <w:wordWrap/>
              <w:overflowPunct/>
              <w:topLinePunct w:val="0"/>
              <w:autoSpaceDE/>
              <w:autoSpaceDN/>
              <w:bidi w:val="0"/>
              <w:adjustRightInd/>
              <w:snapToGrid w:val="0"/>
              <w:ind w:left="105" w:leftChars="50" w:right="105" w:rightChars="50"/>
              <w:textAlignment w:val="auto"/>
              <w:rPr>
                <w:rFonts w:hint="eastAsia" w:ascii="宋体" w:hAnsi="宋体" w:eastAsia="宋体" w:cs="宋体"/>
                <w:sz w:val="21"/>
                <w:szCs w:val="21"/>
              </w:rPr>
            </w:pPr>
          </w:p>
        </w:tc>
        <w:tc>
          <w:tcPr>
            <w:tcW w:w="1486" w:type="dxa"/>
            <w:vMerge w:val="continue"/>
            <w:noWrap w:val="0"/>
            <w:vAlign w:val="center"/>
          </w:tcPr>
          <w:p w14:paraId="18FEB439">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p>
        </w:tc>
        <w:tc>
          <w:tcPr>
            <w:tcW w:w="4227" w:type="dxa"/>
            <w:noWrap w:val="0"/>
            <w:vAlign w:val="center"/>
          </w:tcPr>
          <w:p w14:paraId="0E8AC627">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r>
              <w:rPr>
                <w:rFonts w:hint="eastAsia" w:ascii="宋体" w:hAnsi="宋体" w:eastAsia="宋体" w:cs="宋体"/>
                <w:sz w:val="21"/>
                <w:szCs w:val="21"/>
              </w:rPr>
              <w:t>整合上下游资源，开设线上、线下电动自行车以旧换新专区。</w:t>
            </w:r>
          </w:p>
        </w:tc>
        <w:tc>
          <w:tcPr>
            <w:tcW w:w="1650" w:type="dxa"/>
            <w:vMerge w:val="continue"/>
            <w:noWrap w:val="0"/>
            <w:vAlign w:val="center"/>
          </w:tcPr>
          <w:p w14:paraId="7A197183">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1650" w:type="dxa"/>
            <w:vMerge w:val="continue"/>
            <w:noWrap w:val="0"/>
            <w:vAlign w:val="center"/>
          </w:tcPr>
          <w:p w14:paraId="7363E2EB">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1759" w:type="dxa"/>
            <w:vMerge w:val="continue"/>
            <w:noWrap w:val="0"/>
            <w:vAlign w:val="center"/>
          </w:tcPr>
          <w:p w14:paraId="05BE8100">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1337" w:type="dxa"/>
            <w:noWrap w:val="0"/>
            <w:vAlign w:val="center"/>
          </w:tcPr>
          <w:p w14:paraId="0ADFF501">
            <w:pPr>
              <w:keepNext w:val="0"/>
              <w:keepLines w:val="0"/>
              <w:pageBreakBefore w:val="0"/>
              <w:widowControl w:val="0"/>
              <w:kinsoku/>
              <w:wordWrap/>
              <w:overflowPunct/>
              <w:topLinePunct w:val="0"/>
              <w:autoSpaceDE/>
              <w:autoSpaceDN/>
              <w:bidi w:val="0"/>
              <w:adjustRightInd/>
              <w:snapToGrid w:val="0"/>
              <w:ind w:left="105" w:leftChars="50" w:right="105" w:rightChars="50"/>
              <w:contextualSpacing/>
              <w:jc w:val="center"/>
              <w:textAlignment w:val="auto"/>
              <w:rPr>
                <w:rFonts w:hint="eastAsia" w:ascii="宋体" w:hAnsi="宋体" w:eastAsia="宋体" w:cs="宋体"/>
                <w:sz w:val="21"/>
                <w:szCs w:val="21"/>
              </w:rPr>
            </w:pPr>
            <w:r>
              <w:rPr>
                <w:rFonts w:hint="eastAsia" w:ascii="宋体" w:hAnsi="宋体" w:eastAsia="宋体" w:cs="宋体"/>
                <w:sz w:val="21"/>
                <w:szCs w:val="21"/>
              </w:rPr>
              <w:t>持续推进</w:t>
            </w:r>
          </w:p>
        </w:tc>
      </w:tr>
      <w:tr w14:paraId="2227A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705" w:hRule="atLeast"/>
        </w:trPr>
        <w:tc>
          <w:tcPr>
            <w:tcW w:w="2019" w:type="dxa"/>
            <w:vMerge w:val="continue"/>
            <w:noWrap w:val="0"/>
            <w:vAlign w:val="center"/>
          </w:tcPr>
          <w:p w14:paraId="7A78BFD9">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1486" w:type="dxa"/>
            <w:vMerge w:val="restart"/>
            <w:noWrap w:val="0"/>
            <w:vAlign w:val="center"/>
          </w:tcPr>
          <w:p w14:paraId="0D242E9F">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rPr>
              <w:t>16.完善老旧蓄电池报废回收处理体系</w:t>
            </w:r>
          </w:p>
        </w:tc>
        <w:tc>
          <w:tcPr>
            <w:tcW w:w="4227" w:type="dxa"/>
            <w:noWrap w:val="0"/>
            <w:vAlign w:val="center"/>
          </w:tcPr>
          <w:p w14:paraId="4A5E11F4">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r>
              <w:rPr>
                <w:rFonts w:hint="eastAsia" w:ascii="宋体" w:hAnsi="宋体" w:eastAsia="宋体" w:cs="宋体"/>
                <w:sz w:val="21"/>
                <w:szCs w:val="21"/>
              </w:rPr>
              <w:t>优化服务机构站点布局，提升蓄电池检测等技术服务能力，提供便捷快速评估技术服务，鼓励用户主动送检，及时淘汰更换；对超过生产日期5年的蓄电池开展全面强制安全性评估，对达到报废条件的一律强制报废。</w:t>
            </w:r>
          </w:p>
        </w:tc>
        <w:tc>
          <w:tcPr>
            <w:tcW w:w="1650" w:type="dxa"/>
            <w:vMerge w:val="restart"/>
            <w:noWrap w:val="0"/>
            <w:vAlign w:val="center"/>
          </w:tcPr>
          <w:p w14:paraId="7308DB8C">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县经贸</w:t>
            </w:r>
            <w:r>
              <w:rPr>
                <w:rFonts w:hint="eastAsia" w:ascii="宋体" w:hAnsi="宋体" w:eastAsia="宋体" w:cs="宋体"/>
                <w:sz w:val="21"/>
                <w:szCs w:val="21"/>
              </w:rPr>
              <w:t>局牵头负责锂离子蓄电池部分，</w:t>
            </w:r>
            <w:r>
              <w:rPr>
                <w:rFonts w:hint="eastAsia" w:ascii="宋体" w:hAnsi="宋体" w:eastAsia="宋体" w:cs="宋体"/>
                <w:sz w:val="21"/>
                <w:szCs w:val="21"/>
                <w:lang w:eastAsia="zh-CN"/>
              </w:rPr>
              <w:t>县</w:t>
            </w:r>
            <w:r>
              <w:rPr>
                <w:rFonts w:hint="eastAsia" w:ascii="宋体" w:hAnsi="宋体" w:eastAsia="宋体" w:cs="宋体"/>
                <w:sz w:val="21"/>
                <w:szCs w:val="21"/>
              </w:rPr>
              <w:t>生态环境局牵头负责铅酸蓄电池部分</w:t>
            </w:r>
          </w:p>
        </w:tc>
        <w:tc>
          <w:tcPr>
            <w:tcW w:w="1650" w:type="dxa"/>
            <w:vMerge w:val="restart"/>
            <w:noWrap w:val="0"/>
            <w:vAlign w:val="center"/>
          </w:tcPr>
          <w:p w14:paraId="27037FF0">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市场监管局</w:t>
            </w:r>
            <w:r>
              <w:rPr>
                <w:rFonts w:hint="eastAsia" w:ascii="宋体" w:hAnsi="宋体" w:eastAsia="宋体" w:cs="宋体"/>
                <w:sz w:val="21"/>
                <w:szCs w:val="21"/>
                <w:lang w:eastAsia="zh-CN"/>
              </w:rPr>
              <w:t>县</w:t>
            </w:r>
            <w:r>
              <w:rPr>
                <w:rFonts w:hint="eastAsia" w:ascii="宋体" w:hAnsi="宋体" w:eastAsia="宋体" w:cs="宋体"/>
                <w:sz w:val="21"/>
                <w:szCs w:val="21"/>
              </w:rPr>
              <w:t>发改委</w:t>
            </w:r>
          </w:p>
          <w:p w14:paraId="6F14098B">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各镇街</w:t>
            </w:r>
          </w:p>
        </w:tc>
        <w:tc>
          <w:tcPr>
            <w:tcW w:w="1759" w:type="dxa"/>
            <w:vMerge w:val="restart"/>
            <w:noWrap w:val="0"/>
            <w:vAlign w:val="center"/>
          </w:tcPr>
          <w:p w14:paraId="3F52EDAB">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国办发</w:t>
            </w:r>
            <w:r>
              <w:rPr>
                <w:rFonts w:hint="eastAsia" w:ascii="宋体" w:hAnsi="宋体" w:eastAsia="宋体" w:cs="宋体"/>
                <w:sz w:val="21"/>
                <w:szCs w:val="21"/>
                <w:lang w:eastAsia="zh-CN"/>
              </w:rPr>
              <w:t>〔</w:t>
            </w:r>
            <w:r>
              <w:rPr>
                <w:rFonts w:hint="eastAsia" w:ascii="宋体" w:hAnsi="宋体" w:eastAsia="宋体" w:cs="宋体"/>
                <w:sz w:val="21"/>
                <w:szCs w:val="21"/>
              </w:rPr>
              <w:t>2024</w:t>
            </w:r>
            <w:r>
              <w:rPr>
                <w:rFonts w:hint="eastAsia" w:ascii="宋体" w:hAnsi="宋体" w:eastAsia="宋体" w:cs="宋体"/>
                <w:sz w:val="21"/>
                <w:szCs w:val="21"/>
                <w:lang w:eastAsia="zh-CN"/>
              </w:rPr>
              <w:t>〕</w:t>
            </w:r>
            <w:r>
              <w:rPr>
                <w:rFonts w:hint="eastAsia" w:ascii="宋体" w:hAnsi="宋体" w:eastAsia="宋体" w:cs="宋体"/>
                <w:sz w:val="21"/>
                <w:szCs w:val="21"/>
              </w:rPr>
              <w:t>19号文件要求</w:t>
            </w:r>
          </w:p>
        </w:tc>
        <w:tc>
          <w:tcPr>
            <w:tcW w:w="1337" w:type="dxa"/>
            <w:noWrap w:val="0"/>
            <w:vAlign w:val="center"/>
          </w:tcPr>
          <w:p w14:paraId="64ADB9DA">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2025年5月底前取得阶段性成效并持续推进</w:t>
            </w:r>
          </w:p>
        </w:tc>
      </w:tr>
      <w:tr w14:paraId="5E261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202" w:hRule="atLeast"/>
        </w:trPr>
        <w:tc>
          <w:tcPr>
            <w:tcW w:w="2019" w:type="dxa"/>
            <w:vMerge w:val="continue"/>
            <w:noWrap w:val="0"/>
            <w:vAlign w:val="center"/>
          </w:tcPr>
          <w:p w14:paraId="7E6F1ECE">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1486" w:type="dxa"/>
            <w:vMerge w:val="continue"/>
            <w:noWrap w:val="0"/>
            <w:vAlign w:val="center"/>
          </w:tcPr>
          <w:p w14:paraId="5E1C98A6">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4227" w:type="dxa"/>
            <w:noWrap w:val="0"/>
            <w:vAlign w:val="center"/>
          </w:tcPr>
          <w:p w14:paraId="620670E1">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r>
              <w:rPr>
                <w:rFonts w:hint="eastAsia" w:ascii="宋体" w:hAnsi="宋体" w:eastAsia="宋体" w:cs="宋体"/>
                <w:sz w:val="21"/>
                <w:szCs w:val="21"/>
              </w:rPr>
              <w:t>加强对回收和处置拆解企业的政策支持，积极引进、发展锂离子电池回收产业，鼓励研发推广更加安全的新型蓄电池。</w:t>
            </w:r>
          </w:p>
        </w:tc>
        <w:tc>
          <w:tcPr>
            <w:tcW w:w="1650" w:type="dxa"/>
            <w:vMerge w:val="continue"/>
            <w:noWrap w:val="0"/>
            <w:vAlign w:val="center"/>
          </w:tcPr>
          <w:p w14:paraId="216C0256">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1650" w:type="dxa"/>
            <w:vMerge w:val="continue"/>
            <w:noWrap w:val="0"/>
            <w:vAlign w:val="center"/>
          </w:tcPr>
          <w:p w14:paraId="7A0EDC94">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1759" w:type="dxa"/>
            <w:vMerge w:val="continue"/>
            <w:noWrap w:val="0"/>
            <w:vAlign w:val="center"/>
          </w:tcPr>
          <w:p w14:paraId="58BB6E6F">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1337" w:type="dxa"/>
            <w:noWrap w:val="0"/>
            <w:vAlign w:val="center"/>
          </w:tcPr>
          <w:p w14:paraId="02AD6050">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2025年底前完成</w:t>
            </w:r>
          </w:p>
        </w:tc>
      </w:tr>
      <w:tr w14:paraId="4AE7C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045" w:hRule="atLeast"/>
        </w:trPr>
        <w:tc>
          <w:tcPr>
            <w:tcW w:w="2019" w:type="dxa"/>
            <w:vMerge w:val="restart"/>
            <w:noWrap w:val="0"/>
            <w:vAlign w:val="center"/>
          </w:tcPr>
          <w:p w14:paraId="19EF3A3E">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（七）集中整治溯源追责力度不够问题</w:t>
            </w:r>
          </w:p>
        </w:tc>
        <w:tc>
          <w:tcPr>
            <w:tcW w:w="1486" w:type="dxa"/>
            <w:noWrap w:val="0"/>
            <w:vAlign w:val="center"/>
          </w:tcPr>
          <w:p w14:paraId="5283E713">
            <w:pPr>
              <w:keepNext w:val="0"/>
              <w:keepLines w:val="0"/>
              <w:pageBreakBefore w:val="0"/>
              <w:widowControl w:val="0"/>
              <w:kinsoku/>
              <w:wordWrap/>
              <w:overflowPunct/>
              <w:topLinePunct w:val="0"/>
              <w:autoSpaceDE/>
              <w:autoSpaceDN/>
              <w:bidi w:val="0"/>
              <w:adjustRightInd/>
              <w:snapToGrid w:val="0"/>
              <w:ind w:left="105" w:leftChars="50"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rPr>
              <w:t>17.严格事故全链条溯源追责</w:t>
            </w:r>
          </w:p>
        </w:tc>
        <w:tc>
          <w:tcPr>
            <w:tcW w:w="4227" w:type="dxa"/>
            <w:noWrap w:val="0"/>
            <w:vAlign w:val="center"/>
          </w:tcPr>
          <w:p w14:paraId="3812ADA4">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r>
              <w:rPr>
                <w:rFonts w:hint="eastAsia" w:ascii="宋体" w:hAnsi="宋体" w:eastAsia="宋体" w:cs="宋体"/>
                <w:sz w:val="21"/>
                <w:szCs w:val="21"/>
              </w:rPr>
              <w:t>建立健全电动自行车火灾亡人事故责任倒查机制，对造成重大影响的依法追责。整治期间发生室内电动自行车火灾的，逐起开展延伸调查；对发生电动自行车亡人火灾事故的，提级调查、严肃追责。</w:t>
            </w:r>
          </w:p>
        </w:tc>
        <w:tc>
          <w:tcPr>
            <w:tcW w:w="1650" w:type="dxa"/>
            <w:noWrap w:val="0"/>
            <w:vAlign w:val="center"/>
          </w:tcPr>
          <w:p w14:paraId="77C9B4DA">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消防救援</w:t>
            </w:r>
            <w:r>
              <w:rPr>
                <w:rFonts w:hint="eastAsia" w:ascii="宋体" w:hAnsi="宋体" w:eastAsia="宋体" w:cs="宋体"/>
                <w:sz w:val="21"/>
                <w:szCs w:val="21"/>
                <w:lang w:eastAsia="zh-CN"/>
              </w:rPr>
              <w:t>大</w:t>
            </w:r>
            <w:r>
              <w:rPr>
                <w:rFonts w:hint="eastAsia" w:ascii="宋体" w:hAnsi="宋体" w:eastAsia="宋体" w:cs="宋体"/>
                <w:sz w:val="21"/>
                <w:szCs w:val="21"/>
              </w:rPr>
              <w:t>队</w:t>
            </w:r>
          </w:p>
          <w:p w14:paraId="0B7430EA">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公安局</w:t>
            </w:r>
          </w:p>
          <w:p w14:paraId="4438E1BC">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rPr>
              <w:t>按职责分工牵头</w:t>
            </w:r>
          </w:p>
        </w:tc>
        <w:tc>
          <w:tcPr>
            <w:tcW w:w="1650" w:type="dxa"/>
            <w:noWrap w:val="0"/>
            <w:vAlign w:val="center"/>
          </w:tcPr>
          <w:p w14:paraId="71E6A0F4">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市场监管局</w:t>
            </w:r>
            <w:r>
              <w:rPr>
                <w:rFonts w:hint="eastAsia" w:ascii="宋体" w:hAnsi="宋体" w:eastAsia="宋体" w:cs="宋体"/>
                <w:sz w:val="21"/>
                <w:szCs w:val="21"/>
                <w:lang w:eastAsia="zh-CN"/>
              </w:rPr>
              <w:t>县经贸</w:t>
            </w:r>
            <w:r>
              <w:rPr>
                <w:rFonts w:hint="eastAsia" w:ascii="宋体" w:hAnsi="宋体" w:eastAsia="宋体" w:cs="宋体"/>
                <w:sz w:val="21"/>
                <w:szCs w:val="21"/>
              </w:rPr>
              <w:t>局</w:t>
            </w:r>
          </w:p>
          <w:p w14:paraId="1EB12D49">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各镇街</w:t>
            </w:r>
          </w:p>
        </w:tc>
        <w:tc>
          <w:tcPr>
            <w:tcW w:w="1759" w:type="dxa"/>
            <w:noWrap w:val="0"/>
            <w:vAlign w:val="center"/>
          </w:tcPr>
          <w:p w14:paraId="6C8BED9B">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国办发</w:t>
            </w:r>
            <w:r>
              <w:rPr>
                <w:rFonts w:hint="eastAsia" w:ascii="宋体" w:hAnsi="宋体" w:eastAsia="宋体" w:cs="宋体"/>
                <w:sz w:val="21"/>
                <w:szCs w:val="21"/>
                <w:lang w:eastAsia="zh-CN"/>
              </w:rPr>
              <w:t>〔</w:t>
            </w:r>
            <w:r>
              <w:rPr>
                <w:rFonts w:hint="eastAsia" w:ascii="宋体" w:hAnsi="宋体" w:eastAsia="宋体" w:cs="宋体"/>
                <w:sz w:val="21"/>
                <w:szCs w:val="21"/>
              </w:rPr>
              <w:t>2024</w:t>
            </w:r>
            <w:r>
              <w:rPr>
                <w:rFonts w:hint="eastAsia" w:ascii="宋体" w:hAnsi="宋体" w:eastAsia="宋体" w:cs="宋体"/>
                <w:sz w:val="21"/>
                <w:szCs w:val="21"/>
                <w:lang w:eastAsia="zh-CN"/>
              </w:rPr>
              <w:t>〕</w:t>
            </w:r>
            <w:r>
              <w:rPr>
                <w:rFonts w:hint="eastAsia" w:ascii="宋体" w:hAnsi="宋体" w:eastAsia="宋体" w:cs="宋体"/>
                <w:sz w:val="21"/>
                <w:szCs w:val="21"/>
              </w:rPr>
              <w:t>19号文件要求</w:t>
            </w:r>
          </w:p>
        </w:tc>
        <w:tc>
          <w:tcPr>
            <w:tcW w:w="1337" w:type="dxa"/>
            <w:noWrap w:val="0"/>
            <w:vAlign w:val="center"/>
          </w:tcPr>
          <w:p w14:paraId="4BB38C94">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2024年底前取得阶段性成效并持续推进</w:t>
            </w:r>
          </w:p>
          <w:p w14:paraId="7E8ED859">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r>
      <w:tr w14:paraId="338AE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404" w:hRule="atLeast"/>
        </w:trPr>
        <w:tc>
          <w:tcPr>
            <w:tcW w:w="2019" w:type="dxa"/>
            <w:vMerge w:val="continue"/>
            <w:noWrap w:val="0"/>
            <w:vAlign w:val="center"/>
          </w:tcPr>
          <w:p w14:paraId="4812D448">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1486" w:type="dxa"/>
            <w:noWrap w:val="0"/>
            <w:vAlign w:val="center"/>
          </w:tcPr>
          <w:p w14:paraId="278854AC">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rPr>
              <w:t>18.实施违法行为联合惩戒</w:t>
            </w:r>
          </w:p>
        </w:tc>
        <w:tc>
          <w:tcPr>
            <w:tcW w:w="4227" w:type="dxa"/>
            <w:noWrap w:val="0"/>
            <w:vAlign w:val="center"/>
          </w:tcPr>
          <w:p w14:paraId="39F9D0DC">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r>
              <w:rPr>
                <w:rFonts w:hint="eastAsia" w:ascii="宋体" w:hAnsi="宋体" w:eastAsia="宋体" w:cs="宋体"/>
                <w:sz w:val="21"/>
                <w:szCs w:val="21"/>
              </w:rPr>
              <w:t>对违法违规生产销售电动自行车及蓄电池的企业，违规回收、二次组装加工蓄电池的企业，违规提供改装服务及部件的企业按照规定曝光；对引发火灾事故的电动自行车、蓄电池品牌及型号按照规定曝光。对严重违法企业单位和责任人员依法列入严重失信主体名单。</w:t>
            </w:r>
          </w:p>
        </w:tc>
        <w:tc>
          <w:tcPr>
            <w:tcW w:w="1650" w:type="dxa"/>
            <w:noWrap w:val="0"/>
            <w:vAlign w:val="center"/>
          </w:tcPr>
          <w:p w14:paraId="3CBE1AC1">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市场监管局</w:t>
            </w:r>
          </w:p>
        </w:tc>
        <w:tc>
          <w:tcPr>
            <w:tcW w:w="1650" w:type="dxa"/>
            <w:noWrap w:val="0"/>
            <w:vAlign w:val="center"/>
          </w:tcPr>
          <w:p w14:paraId="2F35DB81">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县经贸</w:t>
            </w:r>
            <w:r>
              <w:rPr>
                <w:rFonts w:hint="eastAsia" w:ascii="宋体" w:hAnsi="宋体" w:eastAsia="宋体" w:cs="宋体"/>
                <w:sz w:val="21"/>
                <w:szCs w:val="21"/>
              </w:rPr>
              <w:t>局</w:t>
            </w:r>
          </w:p>
          <w:p w14:paraId="0EC01A77">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公安局</w:t>
            </w:r>
          </w:p>
          <w:p w14:paraId="59AFB169">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消防救援</w:t>
            </w:r>
            <w:r>
              <w:rPr>
                <w:rFonts w:hint="eastAsia" w:ascii="宋体" w:hAnsi="宋体" w:eastAsia="宋体" w:cs="宋体"/>
                <w:sz w:val="21"/>
                <w:szCs w:val="21"/>
                <w:lang w:eastAsia="zh-CN"/>
              </w:rPr>
              <w:t>大</w:t>
            </w:r>
            <w:r>
              <w:rPr>
                <w:rFonts w:hint="eastAsia" w:ascii="宋体" w:hAnsi="宋体" w:eastAsia="宋体" w:cs="宋体"/>
                <w:sz w:val="21"/>
                <w:szCs w:val="21"/>
              </w:rPr>
              <w:t>队</w:t>
            </w:r>
          </w:p>
          <w:p w14:paraId="41875B7C">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各镇街</w:t>
            </w:r>
          </w:p>
        </w:tc>
        <w:tc>
          <w:tcPr>
            <w:tcW w:w="1759" w:type="dxa"/>
            <w:noWrap w:val="0"/>
            <w:vAlign w:val="center"/>
          </w:tcPr>
          <w:p w14:paraId="142DBE5A">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国办发</w:t>
            </w:r>
            <w:r>
              <w:rPr>
                <w:rFonts w:hint="eastAsia" w:ascii="宋体" w:hAnsi="宋体" w:eastAsia="宋体" w:cs="宋体"/>
                <w:sz w:val="21"/>
                <w:szCs w:val="21"/>
                <w:lang w:eastAsia="zh-CN"/>
              </w:rPr>
              <w:t>〔</w:t>
            </w:r>
            <w:r>
              <w:rPr>
                <w:rFonts w:hint="eastAsia" w:ascii="宋体" w:hAnsi="宋体" w:eastAsia="宋体" w:cs="宋体"/>
                <w:sz w:val="21"/>
                <w:szCs w:val="21"/>
              </w:rPr>
              <w:t>2024</w:t>
            </w:r>
            <w:r>
              <w:rPr>
                <w:rFonts w:hint="eastAsia" w:ascii="宋体" w:hAnsi="宋体" w:eastAsia="宋体" w:cs="宋体"/>
                <w:sz w:val="21"/>
                <w:szCs w:val="21"/>
                <w:lang w:eastAsia="zh-CN"/>
              </w:rPr>
              <w:t>〕</w:t>
            </w:r>
            <w:r>
              <w:rPr>
                <w:rFonts w:hint="eastAsia" w:ascii="宋体" w:hAnsi="宋体" w:eastAsia="宋体" w:cs="宋体"/>
                <w:sz w:val="21"/>
                <w:szCs w:val="21"/>
              </w:rPr>
              <w:t>19号文件要求</w:t>
            </w:r>
          </w:p>
        </w:tc>
        <w:tc>
          <w:tcPr>
            <w:tcW w:w="1337" w:type="dxa"/>
            <w:noWrap w:val="0"/>
            <w:vAlign w:val="center"/>
          </w:tcPr>
          <w:p w14:paraId="7F5CC0E3">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持续推进</w:t>
            </w:r>
          </w:p>
        </w:tc>
      </w:tr>
      <w:tr w14:paraId="037F5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522" w:hRule="atLeast"/>
        </w:trPr>
        <w:tc>
          <w:tcPr>
            <w:tcW w:w="2019" w:type="dxa"/>
            <w:noWrap w:val="0"/>
            <w:vAlign w:val="center"/>
          </w:tcPr>
          <w:p w14:paraId="6C2A61C5">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eastAsia="zh-CN"/>
              </w:rPr>
              <w:t>八</w:t>
            </w:r>
            <w:r>
              <w:rPr>
                <w:rFonts w:hint="eastAsia" w:ascii="宋体" w:hAnsi="宋体" w:eastAsia="宋体" w:cs="宋体"/>
                <w:sz w:val="21"/>
                <w:szCs w:val="21"/>
              </w:rPr>
              <w:t>）着力提升群众风险防范意识和自防自救能力</w:t>
            </w:r>
          </w:p>
        </w:tc>
        <w:tc>
          <w:tcPr>
            <w:tcW w:w="1486" w:type="dxa"/>
            <w:noWrap w:val="0"/>
            <w:vAlign w:val="center"/>
          </w:tcPr>
          <w:p w14:paraId="3E4417C8">
            <w:pPr>
              <w:keepNext w:val="0"/>
              <w:keepLines w:val="0"/>
              <w:pageBreakBefore w:val="0"/>
              <w:widowControl w:val="0"/>
              <w:kinsoku/>
              <w:wordWrap/>
              <w:overflowPunct/>
              <w:topLinePunct w:val="0"/>
              <w:autoSpaceDE/>
              <w:autoSpaceDN/>
              <w:bidi w:val="0"/>
              <w:adjustRightInd/>
              <w:snapToGrid w:val="0"/>
              <w:ind w:left="105" w:leftChars="50"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19</w:t>
            </w:r>
            <w:r>
              <w:rPr>
                <w:rFonts w:hint="eastAsia" w:ascii="宋体" w:hAnsi="宋体" w:eastAsia="宋体" w:cs="宋体"/>
                <w:sz w:val="21"/>
                <w:szCs w:val="21"/>
              </w:rPr>
              <w:t>.加强警示曝光和安全教育</w:t>
            </w:r>
          </w:p>
        </w:tc>
        <w:tc>
          <w:tcPr>
            <w:tcW w:w="4227" w:type="dxa"/>
            <w:noWrap w:val="0"/>
            <w:vAlign w:val="center"/>
          </w:tcPr>
          <w:p w14:paraId="0FC8DF29">
            <w:pPr>
              <w:keepNext w:val="0"/>
              <w:keepLines w:val="0"/>
              <w:pageBreakBefore w:val="0"/>
              <w:widowControl w:val="0"/>
              <w:kinsoku/>
              <w:wordWrap/>
              <w:overflowPunct/>
              <w:topLinePunct w:val="0"/>
              <w:autoSpaceDE/>
              <w:autoSpaceDN/>
              <w:bidi w:val="0"/>
              <w:adjustRightInd/>
              <w:snapToGrid w:val="0"/>
              <w:ind w:left="105" w:leftChars="50" w:right="105" w:rightChars="50"/>
              <w:jc w:val="left"/>
              <w:textAlignment w:val="auto"/>
              <w:rPr>
                <w:rFonts w:hint="eastAsia" w:ascii="宋体" w:hAnsi="宋体" w:eastAsia="宋体" w:cs="宋体"/>
                <w:sz w:val="21"/>
                <w:szCs w:val="21"/>
              </w:rPr>
            </w:pPr>
            <w:r>
              <w:rPr>
                <w:rFonts w:hint="eastAsia" w:ascii="宋体" w:hAnsi="宋体" w:eastAsia="宋体" w:cs="宋体"/>
                <w:sz w:val="21"/>
                <w:szCs w:val="21"/>
              </w:rPr>
              <w:t>集中曝光电动自行车典型违法案例和火灾警示案例，开展“小手拉大手”宣传活动，提升全民消防安全素质。组织开展行业领域消防安全教育培训，督促开展灭火疏散逃生演练，提高自防自救能力。</w:t>
            </w:r>
          </w:p>
        </w:tc>
        <w:tc>
          <w:tcPr>
            <w:tcW w:w="1650" w:type="dxa"/>
            <w:noWrap w:val="0"/>
            <w:vAlign w:val="center"/>
          </w:tcPr>
          <w:p w14:paraId="5B629F2D">
            <w:pPr>
              <w:keepNext w:val="0"/>
              <w:keepLines w:val="0"/>
              <w:pageBreakBefore w:val="0"/>
              <w:widowControl w:val="0"/>
              <w:kinsoku/>
              <w:wordWrap/>
              <w:overflowPunct/>
              <w:topLinePunct w:val="0"/>
              <w:autoSpaceDE/>
              <w:autoSpaceDN/>
              <w:bidi w:val="0"/>
              <w:adjustRightInd/>
              <w:snapToGrid w:val="0"/>
              <w:ind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lang w:eastAsia="zh-CN"/>
              </w:rPr>
              <w:t>县</w:t>
            </w:r>
            <w:r>
              <w:rPr>
                <w:rFonts w:hint="eastAsia" w:ascii="宋体" w:hAnsi="宋体" w:eastAsia="宋体" w:cs="宋体"/>
                <w:sz w:val="21"/>
                <w:szCs w:val="21"/>
              </w:rPr>
              <w:t>消安委各成员单位，各</w:t>
            </w:r>
            <w:r>
              <w:rPr>
                <w:rFonts w:hint="eastAsia" w:ascii="宋体" w:hAnsi="宋体" w:eastAsia="宋体" w:cs="宋体"/>
                <w:sz w:val="21"/>
                <w:szCs w:val="21"/>
                <w:lang w:eastAsia="zh-CN"/>
              </w:rPr>
              <w:t>镇街</w:t>
            </w:r>
            <w:r>
              <w:rPr>
                <w:rFonts w:hint="eastAsia" w:ascii="宋体" w:hAnsi="宋体" w:eastAsia="宋体" w:cs="宋体"/>
                <w:sz w:val="21"/>
                <w:szCs w:val="21"/>
              </w:rPr>
              <w:t>按职责分工落实</w:t>
            </w:r>
          </w:p>
        </w:tc>
        <w:tc>
          <w:tcPr>
            <w:tcW w:w="1650" w:type="dxa"/>
            <w:noWrap w:val="0"/>
            <w:vAlign w:val="center"/>
          </w:tcPr>
          <w:p w14:paraId="661A4141">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p>
        </w:tc>
        <w:tc>
          <w:tcPr>
            <w:tcW w:w="1759" w:type="dxa"/>
            <w:noWrap w:val="0"/>
            <w:vAlign w:val="center"/>
          </w:tcPr>
          <w:p w14:paraId="581F47B4">
            <w:pPr>
              <w:keepNext w:val="0"/>
              <w:keepLines w:val="0"/>
              <w:pageBreakBefore w:val="0"/>
              <w:widowControl w:val="0"/>
              <w:kinsoku/>
              <w:wordWrap/>
              <w:overflowPunct/>
              <w:topLinePunct w:val="0"/>
              <w:autoSpaceDE/>
              <w:autoSpaceDN/>
              <w:bidi w:val="0"/>
              <w:adjustRightInd/>
              <w:snapToGrid w:val="0"/>
              <w:ind w:left="105" w:leftChars="50" w:right="105" w:rightChars="50"/>
              <w:jc w:val="both"/>
              <w:textAlignment w:val="auto"/>
              <w:rPr>
                <w:rFonts w:hint="eastAsia" w:ascii="宋体" w:hAnsi="宋体" w:eastAsia="宋体" w:cs="宋体"/>
                <w:sz w:val="21"/>
                <w:szCs w:val="21"/>
              </w:rPr>
            </w:pPr>
            <w:r>
              <w:rPr>
                <w:rFonts w:hint="eastAsia" w:ascii="宋体" w:hAnsi="宋体" w:eastAsia="宋体" w:cs="宋体"/>
                <w:sz w:val="21"/>
                <w:szCs w:val="21"/>
              </w:rPr>
              <w:t>上级工作要求</w:t>
            </w:r>
          </w:p>
        </w:tc>
        <w:tc>
          <w:tcPr>
            <w:tcW w:w="1337" w:type="dxa"/>
            <w:noWrap w:val="0"/>
            <w:vAlign w:val="center"/>
          </w:tcPr>
          <w:p w14:paraId="75348D6D">
            <w:pPr>
              <w:keepNext w:val="0"/>
              <w:keepLines w:val="0"/>
              <w:pageBreakBefore w:val="0"/>
              <w:widowControl w:val="0"/>
              <w:kinsoku/>
              <w:wordWrap/>
              <w:overflowPunct/>
              <w:topLinePunct w:val="0"/>
              <w:autoSpaceDE/>
              <w:autoSpaceDN/>
              <w:bidi w:val="0"/>
              <w:adjustRightInd/>
              <w:snapToGrid w:val="0"/>
              <w:ind w:left="105" w:leftChars="50" w:right="105" w:rightChars="50"/>
              <w:jc w:val="center"/>
              <w:textAlignment w:val="auto"/>
              <w:rPr>
                <w:rFonts w:hint="eastAsia" w:ascii="宋体" w:hAnsi="宋体" w:eastAsia="宋体" w:cs="宋体"/>
                <w:sz w:val="21"/>
                <w:szCs w:val="21"/>
              </w:rPr>
            </w:pPr>
            <w:r>
              <w:rPr>
                <w:rFonts w:hint="eastAsia" w:ascii="宋体" w:hAnsi="宋体" w:eastAsia="宋体" w:cs="宋体"/>
                <w:sz w:val="21"/>
                <w:szCs w:val="21"/>
              </w:rPr>
              <w:t>2024年底前完成并持续推进</w:t>
            </w:r>
          </w:p>
        </w:tc>
      </w:tr>
    </w:tbl>
    <w:p w14:paraId="09843203">
      <w:pPr>
        <w:tabs>
          <w:tab w:val="left" w:pos="3347"/>
        </w:tabs>
        <w:bidi w:val="0"/>
        <w:jc w:val="left"/>
        <w:rPr>
          <w:rFonts w:hint="eastAsia" w:eastAsiaTheme="minorEastAsia"/>
          <w:lang w:eastAsia="zh-CN"/>
        </w:rPr>
      </w:pPr>
    </w:p>
    <w:p w14:paraId="099DE1F6">
      <w:pPr>
        <w:tabs>
          <w:tab w:val="left" w:pos="3347"/>
        </w:tabs>
        <w:bidi w:val="0"/>
        <w:jc w:val="left"/>
        <w:rPr>
          <w:rFonts w:hint="eastAsia" w:eastAsiaTheme="minorEastAsia"/>
          <w:lang w:eastAsia="zh-CN"/>
        </w:rPr>
      </w:pPr>
    </w:p>
    <w:p w14:paraId="559708EA">
      <w:pPr>
        <w:tabs>
          <w:tab w:val="left" w:pos="3347"/>
        </w:tabs>
        <w:bidi w:val="0"/>
        <w:jc w:val="left"/>
        <w:rPr>
          <w:rFonts w:hint="eastAsia" w:eastAsiaTheme="minorEastAsia"/>
          <w:lang w:eastAsia="zh-CN"/>
        </w:rPr>
      </w:pPr>
    </w:p>
    <w:p w14:paraId="2DB5D9AE">
      <w:pPr>
        <w:tabs>
          <w:tab w:val="left" w:pos="3347"/>
        </w:tabs>
        <w:bidi w:val="0"/>
        <w:jc w:val="left"/>
        <w:rPr>
          <w:rFonts w:hint="eastAsia" w:eastAsiaTheme="minorEastAsia"/>
          <w:lang w:eastAsia="zh-CN"/>
        </w:rPr>
      </w:pPr>
      <w:bookmarkStart w:id="0" w:name="_GoBack"/>
      <w:bookmarkEnd w:id="0"/>
    </w:p>
    <w:sectPr>
      <w:footerReference r:id="rId4" w:type="default"/>
      <w:pgSz w:w="16838" w:h="11906" w:orient="landscape"/>
      <w:pgMar w:top="1474" w:right="1440" w:bottom="1474"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93C54F">
    <w:pPr>
      <w:pStyle w:val="5"/>
    </w:pPr>
    <w:r>
      <w:rPr>
        <w:sz w:val="18"/>
      </w:rPr>
      <mc:AlternateContent>
        <mc:Choice Requires="wps">
          <w:drawing>
            <wp:anchor distT="0" distB="0" distL="114300" distR="114300" simplePos="0" relativeHeight="251659264" behindDoc="0" locked="0" layoutInCell="1" allowOverlap="1">
              <wp:simplePos x="0" y="0"/>
              <wp:positionH relativeFrom="margin">
                <wp:posOffset>5193030</wp:posOffset>
              </wp:positionH>
              <wp:positionV relativeFrom="paragraph">
                <wp:posOffset>-381000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68C514">
                          <w:pPr>
                            <w:pStyle w:val="5"/>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408.9pt;margin-top:-30pt;height:144pt;width:144pt;mso-position-horizontal-relative:margin;mso-wrap-style:none;z-index:251659264;mso-width-relative:page;mso-height-relative:page;" filled="f" stroked="f" coordsize="21600,21600" o:gfxdata="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Z/8yAtgAAAAMAQAADwAAAAAAAAABACAAAAAiAAAAZHJzL2Rvd25yZXYueG1s&#10;UEsBAhQAFAAAAAgAh07iQCSCRrQxAgAAYQQAAA4AAAAAAAAAAQAgAAAAJwEAAGRycy9lMm9Eb2Mu&#10;eG1sUEsFBgAAAAAGAAYAWQEAAMoFAAAAAA==&#10;">
              <v:fill on="f" focussize="0,0"/>
              <v:stroke on="f" weight="0.5pt"/>
              <v:imagedata o:title=""/>
              <o:lock v:ext="edit" aspectratio="f"/>
              <v:textbox inset="0mm,0mm,0mm,0mm" style="mso-fit-shape-to-text:t;">
                <w:txbxContent>
                  <w:p w14:paraId="6E68C514">
                    <w:pPr>
                      <w:pStyle w:val="5"/>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FC8719">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JlYjhkM2E2OTkyOWZhYjU4NmFhNjkxNjgyYWQ0ZmYifQ=="/>
  </w:docVars>
  <w:rsids>
    <w:rsidRoot w:val="450930E2"/>
    <w:rsid w:val="01EF3980"/>
    <w:rsid w:val="032064E7"/>
    <w:rsid w:val="049C1B9D"/>
    <w:rsid w:val="04F419D9"/>
    <w:rsid w:val="0B160B45"/>
    <w:rsid w:val="0DBF4B4E"/>
    <w:rsid w:val="119500A0"/>
    <w:rsid w:val="119E50D6"/>
    <w:rsid w:val="12860C36"/>
    <w:rsid w:val="13547F36"/>
    <w:rsid w:val="13FC2D3B"/>
    <w:rsid w:val="158E72E0"/>
    <w:rsid w:val="16343651"/>
    <w:rsid w:val="163C6D3C"/>
    <w:rsid w:val="16842491"/>
    <w:rsid w:val="17742506"/>
    <w:rsid w:val="194B373A"/>
    <w:rsid w:val="1977008B"/>
    <w:rsid w:val="198B310C"/>
    <w:rsid w:val="1CCE26B8"/>
    <w:rsid w:val="1F9A7049"/>
    <w:rsid w:val="22DF1DC6"/>
    <w:rsid w:val="24CA63DD"/>
    <w:rsid w:val="27B80284"/>
    <w:rsid w:val="289406A2"/>
    <w:rsid w:val="2AF94DA4"/>
    <w:rsid w:val="2BEB20E8"/>
    <w:rsid w:val="2F8B61E7"/>
    <w:rsid w:val="311B481E"/>
    <w:rsid w:val="32445536"/>
    <w:rsid w:val="33616C57"/>
    <w:rsid w:val="37A91900"/>
    <w:rsid w:val="3A186529"/>
    <w:rsid w:val="3A23599A"/>
    <w:rsid w:val="3A8E265E"/>
    <w:rsid w:val="3B707CFC"/>
    <w:rsid w:val="3CEB4989"/>
    <w:rsid w:val="3DB66945"/>
    <w:rsid w:val="3DEF4B04"/>
    <w:rsid w:val="3EA11583"/>
    <w:rsid w:val="3EA41DF0"/>
    <w:rsid w:val="3EAB5C6F"/>
    <w:rsid w:val="41214BFD"/>
    <w:rsid w:val="41493C4B"/>
    <w:rsid w:val="42091919"/>
    <w:rsid w:val="4253528A"/>
    <w:rsid w:val="4283020A"/>
    <w:rsid w:val="42B67DD9"/>
    <w:rsid w:val="42DA2269"/>
    <w:rsid w:val="448654A3"/>
    <w:rsid w:val="4494346C"/>
    <w:rsid w:val="450930E2"/>
    <w:rsid w:val="4544085F"/>
    <w:rsid w:val="456027C6"/>
    <w:rsid w:val="45F956B2"/>
    <w:rsid w:val="488D124D"/>
    <w:rsid w:val="48D62B90"/>
    <w:rsid w:val="49156DF5"/>
    <w:rsid w:val="49474F7F"/>
    <w:rsid w:val="4B3043BA"/>
    <w:rsid w:val="4E703C3C"/>
    <w:rsid w:val="4EC07803"/>
    <w:rsid w:val="4F3F175C"/>
    <w:rsid w:val="4FA07A97"/>
    <w:rsid w:val="50F9756B"/>
    <w:rsid w:val="529B5985"/>
    <w:rsid w:val="52A405CE"/>
    <w:rsid w:val="593812A3"/>
    <w:rsid w:val="5A3C1FE1"/>
    <w:rsid w:val="5CBE6F12"/>
    <w:rsid w:val="5EBF1885"/>
    <w:rsid w:val="5EFE3AD0"/>
    <w:rsid w:val="5F6108EC"/>
    <w:rsid w:val="609E6566"/>
    <w:rsid w:val="62945FB0"/>
    <w:rsid w:val="62E72C43"/>
    <w:rsid w:val="643F631D"/>
    <w:rsid w:val="654061CE"/>
    <w:rsid w:val="672158C0"/>
    <w:rsid w:val="68343B2C"/>
    <w:rsid w:val="697119CE"/>
    <w:rsid w:val="69807E63"/>
    <w:rsid w:val="69B46199"/>
    <w:rsid w:val="72211276"/>
    <w:rsid w:val="756E6F73"/>
    <w:rsid w:val="778D7C56"/>
    <w:rsid w:val="77F75794"/>
    <w:rsid w:val="7B91228E"/>
    <w:rsid w:val="7BF53AF3"/>
    <w:rsid w:val="7F7311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qFormat/>
    <w:uiPriority w:val="0"/>
    <w:pPr>
      <w:keepNext/>
      <w:keepLines/>
      <w:outlineLvl w:val="3"/>
    </w:pPr>
    <w:rPr>
      <w:rFonts w:hint="eastAsia" w:eastAsia="宋体" w:cs="Times New Roman"/>
      <w:b/>
      <w:sz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widowControl w:val="0"/>
      <w:spacing w:after="120" w:line="360" w:lineRule="auto"/>
      <w:jc w:val="both"/>
    </w:pPr>
    <w:rPr>
      <w:rFonts w:ascii="Calibri" w:hAnsi="Calibri" w:eastAsia="黑体" w:cs="黑体"/>
      <w:kern w:val="2"/>
      <w:sz w:val="21"/>
      <w:szCs w:val="24"/>
      <w:lang w:val="en-US" w:eastAsia="zh-CN" w:bidi="ar-SA"/>
    </w:rPr>
  </w:style>
  <w:style w:type="paragraph" w:styleId="4">
    <w:name w:val="Body Text Indent 2"/>
    <w:basedOn w:val="1"/>
    <w:qFormat/>
    <w:uiPriority w:val="0"/>
    <w:pPr>
      <w:spacing w:after="120" w:line="480" w:lineRule="auto"/>
      <w:ind w:left="420" w:leftChars="200"/>
    </w:pPr>
    <w:rPr>
      <w:rFonts w:eastAsia="宋体"/>
      <w:sz w:val="21"/>
      <w:szCs w:val="24"/>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unhideWhenUsed/>
    <w:qFormat/>
    <w:uiPriority w:val="99"/>
    <w:pPr>
      <w:kinsoku/>
      <w:autoSpaceDE/>
      <w:autoSpaceDN/>
      <w:adjustRightInd/>
      <w:snapToGrid/>
      <w:spacing w:before="100" w:beforeAutospacing="1" w:after="100" w:afterAutospacing="1"/>
      <w:textAlignment w:val="auto"/>
    </w:pPr>
    <w:rPr>
      <w:rFonts w:ascii="宋体" w:hAnsi="宋体" w:eastAsia="宋体" w:cs="宋体"/>
      <w:snapToGrid/>
      <w:color w:val="auto"/>
      <w:sz w:val="24"/>
      <w:szCs w:val="24"/>
    </w:rPr>
  </w:style>
  <w:style w:type="paragraph" w:customStyle="1" w:styleId="10">
    <w:name w:val="Default"/>
    <w:basedOn w:val="1"/>
    <w:next w:val="1"/>
    <w:qFormat/>
    <w:uiPriority w:val="0"/>
    <w:pPr>
      <w:autoSpaceDE w:val="0"/>
      <w:autoSpaceDN w:val="0"/>
      <w:adjustRightInd w:val="0"/>
      <w:jc w:val="left"/>
    </w:pPr>
    <w:rPr>
      <w:rFonts w:ascii="Calibri" w:hAnsi="Calibri" w:eastAsia="宋体"/>
      <w:color w:val="000000"/>
      <w:kern w:val="0"/>
      <w:sz w:val="24"/>
      <w:szCs w:val="20"/>
    </w:rPr>
  </w:style>
  <w:style w:type="paragraph" w:customStyle="1" w:styleId="11">
    <w:name w:val="UserStyle_0"/>
    <w:basedOn w:val="1"/>
    <w:qFormat/>
    <w:uiPriority w:val="0"/>
    <w:pPr>
      <w:ind w:firstLine="200" w:firstLineChars="200"/>
      <w:jc w:val="both"/>
    </w:pPr>
    <w:rPr>
      <w:rFonts w:ascii="Calibri" w:hAnsi="Calibri" w:eastAsia="宋体"/>
      <w:kern w:val="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3358</Words>
  <Characters>3478</Characters>
  <Lines>0</Lines>
  <Paragraphs>0</Paragraphs>
  <TotalTime>31</TotalTime>
  <ScaleCrop>false</ScaleCrop>
  <LinksUpToDate>false</LinksUpToDate>
  <CharactersWithSpaces>3478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2023-06-30T06:31:00Z</dcterms:created>
  <dc:creator>Administrator</dc:creator>
  <cp:lastModifiedBy>Administrator</cp:lastModifiedBy>
  <cp:lastPrinted>2024-08-27T09:32:00Z</cp:lastPrinted>
  <dcterms:modified xsi:type="dcterms:W3CDTF">2024-10-22T04:01:28Z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278B77112BCF4A0C993B3A4399A3AE97_13</vt:lpwstr>
  </property>
</Properties>
</file>