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17FA43">
      <w:pPr>
        <w:pStyle w:val="5"/>
        <w:widowControl/>
        <w:shd w:val="clear" w:color="auto" w:fill="FFFFFF"/>
        <w:jc w:val="center"/>
        <w:rPr>
          <w:rFonts w:ascii="宋体" w:hAnsi="宋体" w:eastAsia="宋体" w:cs="宋体"/>
          <w:b/>
          <w:bCs/>
          <w:color w:val="3D3D3C"/>
          <w:sz w:val="36"/>
          <w:szCs w:val="36"/>
          <w:shd w:val="clear" w:color="auto" w:fill="FFFFFF"/>
        </w:rPr>
      </w:pPr>
      <w:bookmarkStart w:id="0" w:name="_GoBack"/>
      <w:bookmarkEnd w:id="0"/>
      <w:r>
        <w:rPr>
          <w:rFonts w:hint="eastAsia" w:ascii="宋体" w:hAnsi="宋体" w:eastAsia="宋体" w:cs="宋体"/>
          <w:b/>
          <w:bCs/>
          <w:color w:val="3D3D3C"/>
          <w:sz w:val="36"/>
          <w:szCs w:val="36"/>
          <w:shd w:val="clear" w:color="auto" w:fill="FFFFFF"/>
        </w:rPr>
        <w:t>蓝田县发展和改革委员会</w:t>
      </w:r>
    </w:p>
    <w:p w14:paraId="2EECD0EF">
      <w:pPr>
        <w:pBdr>
          <w:bottom w:val="single" w:color="FFFFFF" w:sz="4" w:space="31"/>
        </w:pBdr>
        <w:tabs>
          <w:tab w:val="left" w:pos="7380"/>
        </w:tabs>
        <w:autoSpaceDE w:val="0"/>
        <w:autoSpaceDN w:val="0"/>
        <w:adjustRightInd w:val="0"/>
        <w:snapToGrid w:val="0"/>
        <w:spacing w:line="360" w:lineRule="auto"/>
        <w:jc w:val="center"/>
        <w:rPr>
          <w:rFonts w:ascii="宋体" w:hAnsi="宋体" w:eastAsia="宋体" w:cs="宋体"/>
          <w:b/>
          <w:bCs/>
          <w:color w:val="3D3D3C"/>
          <w:sz w:val="36"/>
          <w:szCs w:val="36"/>
          <w:shd w:val="clear" w:color="auto" w:fill="FFFFFF"/>
        </w:rPr>
      </w:pPr>
      <w:r>
        <w:rPr>
          <w:rFonts w:hint="eastAsia" w:ascii="宋体" w:hAnsi="宋体" w:eastAsia="宋体" w:cs="宋体"/>
          <w:b/>
          <w:bCs/>
          <w:color w:val="3D3D3C"/>
          <w:sz w:val="36"/>
          <w:szCs w:val="36"/>
          <w:shd w:val="clear" w:color="auto" w:fill="FFFFFF"/>
        </w:rPr>
        <w:t>2019年部门综合预算说明</w:t>
      </w:r>
    </w:p>
    <w:p w14:paraId="6A5C10F5">
      <w:pPr>
        <w:pStyle w:val="5"/>
        <w:widowControl/>
        <w:spacing w:before="300" w:line="360" w:lineRule="auto"/>
        <w:ind w:firstLine="420"/>
        <w:rPr>
          <w:rFonts w:hint="eastAsia"/>
          <w:sz w:val="32"/>
          <w:szCs w:val="32"/>
        </w:rPr>
      </w:pPr>
      <w:r>
        <w:rPr>
          <w:color w:val="3D3D3C"/>
          <w:sz w:val="32"/>
          <w:szCs w:val="32"/>
          <w:shd w:val="clear" w:color="auto" w:fill="FFFFFF"/>
        </w:rPr>
        <w:t>一、</w:t>
      </w:r>
      <w:r>
        <w:rPr>
          <w:rFonts w:hint="eastAsia" w:ascii="宋体" w:hAnsi="宋体" w:eastAsia="宋体" w:cs="宋体"/>
          <w:color w:val="3D3D3C"/>
          <w:sz w:val="32"/>
          <w:szCs w:val="32"/>
          <w:shd w:val="clear" w:color="auto" w:fill="FFFFFF"/>
        </w:rPr>
        <w:t>部门主要职责及机构设置</w:t>
      </w:r>
    </w:p>
    <w:p w14:paraId="3876AC56">
      <w:pPr>
        <w:pStyle w:val="5"/>
        <w:widowControl/>
        <w:spacing w:before="300" w:line="360" w:lineRule="auto"/>
        <w:ind w:firstLine="420"/>
        <w:rPr>
          <w:rFonts w:hint="eastAsia"/>
          <w:sz w:val="32"/>
          <w:szCs w:val="32"/>
        </w:rPr>
      </w:pPr>
      <w:r>
        <w:rPr>
          <w:color w:val="3D3D3C"/>
          <w:sz w:val="32"/>
          <w:szCs w:val="32"/>
          <w:shd w:val="clear" w:color="auto" w:fill="FFFFFF"/>
        </w:rPr>
        <w:t>（一）主要职责</w:t>
      </w:r>
    </w:p>
    <w:p w14:paraId="454B82DC">
      <w:pPr>
        <w:pStyle w:val="5"/>
        <w:widowControl/>
        <w:spacing w:before="300" w:line="360" w:lineRule="auto"/>
        <w:ind w:firstLine="420"/>
        <w:rPr>
          <w:rFonts w:hint="eastAsia"/>
          <w:sz w:val="32"/>
          <w:szCs w:val="32"/>
        </w:rPr>
      </w:pPr>
      <w:r>
        <w:rPr>
          <w:color w:val="3D3D3C"/>
          <w:sz w:val="32"/>
          <w:szCs w:val="32"/>
          <w:shd w:val="clear" w:color="auto" w:fill="FFFFFF"/>
        </w:rPr>
        <w:t>1、拟订全县国民经济和社会发展战略、中长期规划和年度计划并组织实施；统筹协调经济社会发展，提出国民经济发展和优化重大经济结构的目标、政策，提出综合运用各种经济手段和政策建议；受县政府委托向县人大提交国民经济和社会发展计划的报告。</w:t>
      </w:r>
    </w:p>
    <w:p w14:paraId="6F286CE0">
      <w:pPr>
        <w:pStyle w:val="5"/>
        <w:widowControl/>
        <w:spacing w:before="300" w:line="360" w:lineRule="auto"/>
        <w:ind w:firstLine="420"/>
        <w:rPr>
          <w:rFonts w:hint="eastAsia"/>
          <w:sz w:val="32"/>
          <w:szCs w:val="32"/>
        </w:rPr>
      </w:pPr>
      <w:r>
        <w:rPr>
          <w:color w:val="3D3D3C"/>
          <w:sz w:val="32"/>
          <w:szCs w:val="32"/>
          <w:shd w:val="clear" w:color="auto" w:fill="FFFFFF"/>
        </w:rPr>
        <w:t>2、贯彻落实中央、省、市关于西部大开发的战略、规划和政策，研究提出我县西部大开发战略纲要、发展规划，协调有关重大问题。</w:t>
      </w:r>
    </w:p>
    <w:p w14:paraId="06037A65">
      <w:pPr>
        <w:pStyle w:val="5"/>
        <w:widowControl/>
        <w:spacing w:before="300" w:line="360" w:lineRule="auto"/>
        <w:ind w:firstLine="420"/>
        <w:rPr>
          <w:rFonts w:hint="eastAsia"/>
          <w:sz w:val="32"/>
          <w:szCs w:val="32"/>
        </w:rPr>
      </w:pPr>
      <w:r>
        <w:rPr>
          <w:color w:val="3D3D3C"/>
          <w:sz w:val="32"/>
          <w:szCs w:val="32"/>
          <w:shd w:val="clear" w:color="auto" w:fill="FFFFFF"/>
        </w:rPr>
        <w:t>3、贯彻落实中央、省、市关于丝绸之路经济带建设战略目标和部署，研究拟订我县丝绸之路经济带建设中长期发展规划和工作计划。</w:t>
      </w:r>
    </w:p>
    <w:p w14:paraId="5BABBE9E">
      <w:pPr>
        <w:pStyle w:val="5"/>
        <w:widowControl/>
        <w:spacing w:before="300" w:line="360" w:lineRule="auto"/>
        <w:ind w:firstLine="420"/>
        <w:rPr>
          <w:rFonts w:hint="eastAsia"/>
          <w:sz w:val="32"/>
          <w:szCs w:val="32"/>
        </w:rPr>
      </w:pPr>
      <w:r>
        <w:rPr>
          <w:color w:val="3D3D3C"/>
          <w:sz w:val="32"/>
          <w:szCs w:val="32"/>
          <w:shd w:val="clear" w:color="auto" w:fill="FFFFFF"/>
        </w:rPr>
        <w:t>4、负责监测全县宏观经济和社会发展态势，承担预测预警和信息引导的责任；研究宏观经济运行、总量平衡、经济安全和总体产业安全等重要问题并提出宏观调控政策建议；负责调节经济运行，协调解决经济运行中的重大问题；负责组织重要物资的紧急调度。</w:t>
      </w:r>
    </w:p>
    <w:p w14:paraId="784BBE8C">
      <w:pPr>
        <w:pStyle w:val="5"/>
        <w:widowControl/>
        <w:spacing w:before="300" w:line="360" w:lineRule="auto"/>
        <w:ind w:firstLine="420"/>
        <w:rPr>
          <w:rFonts w:hint="eastAsia"/>
          <w:sz w:val="32"/>
          <w:szCs w:val="32"/>
        </w:rPr>
      </w:pPr>
      <w:r>
        <w:rPr>
          <w:color w:val="3D3D3C"/>
          <w:sz w:val="32"/>
          <w:szCs w:val="32"/>
          <w:shd w:val="clear" w:color="auto" w:fill="FFFFFF"/>
        </w:rPr>
        <w:t>5、研究经济体制改革和对外开放的重大问题；组织拟订综合性经济体制改革方案，会同有关部门做好重要专项经济体制改革之间的衔接，指导经济体制改革试点工作。</w:t>
      </w:r>
    </w:p>
    <w:p w14:paraId="723A8D14">
      <w:pPr>
        <w:pStyle w:val="5"/>
        <w:widowControl/>
        <w:spacing w:before="300" w:line="360" w:lineRule="auto"/>
        <w:ind w:firstLine="420"/>
        <w:rPr>
          <w:rFonts w:hint="eastAsia"/>
          <w:sz w:val="32"/>
          <w:szCs w:val="32"/>
        </w:rPr>
      </w:pPr>
      <w:r>
        <w:rPr>
          <w:color w:val="3D3D3C"/>
          <w:sz w:val="32"/>
          <w:szCs w:val="32"/>
          <w:shd w:val="clear" w:color="auto" w:fill="FFFFFF"/>
        </w:rPr>
        <w:t>6、承担规划全县重大建设项目和生产力布局的责任。拟订全县社会固定资产投资总规模和投资结构的调控目标、政策及措施；会同有关部门规划生产力和重大项目布局；衔接平衡需要安排政府投资和涉及重大建设项目的专项规划；安排县财政性建设资金；按规定权限，负责重大建设项目、外商投资项目和重大内、外资项目的审批、核准、备案；提出深化投资体制改革和修订投资核准目录的建议；参与编制下达城市维护建设项目投资计划和有关行业发展规划；指导和监督固定资产投资贷款、外国政府贷款、国际金融组织贷款建设项目和资金的使用；组织开展特重大自然灾害恢复重建规划编制，协调有关重大问题；组织开展重大建设项目稽察；指导工程咨询业发展；指导和协调全县招投标工作。</w:t>
      </w:r>
    </w:p>
    <w:p w14:paraId="4DFF5898">
      <w:pPr>
        <w:pStyle w:val="5"/>
        <w:widowControl/>
        <w:spacing w:before="300" w:line="360" w:lineRule="auto"/>
        <w:ind w:firstLine="420"/>
        <w:rPr>
          <w:rFonts w:hint="eastAsia"/>
          <w:sz w:val="32"/>
          <w:szCs w:val="32"/>
        </w:rPr>
      </w:pPr>
      <w:r>
        <w:rPr>
          <w:color w:val="3D3D3C"/>
          <w:sz w:val="32"/>
          <w:szCs w:val="32"/>
          <w:shd w:val="clear" w:color="auto" w:fill="FFFFFF"/>
        </w:rPr>
        <w:t>7、推进经济结构战略性调整。组织拟订综合性产业政策，协调第一、二、三产业发展的重大问题并衔接平衡相关发展规划和重大政策，做好与国民经济和社会发展规划、计划的衔接平衡；</w:t>
      </w:r>
    </w:p>
    <w:p w14:paraId="2120BC17">
      <w:pPr>
        <w:pStyle w:val="5"/>
        <w:widowControl/>
        <w:spacing w:before="300" w:line="360" w:lineRule="auto"/>
        <w:ind w:firstLine="420"/>
        <w:rPr>
          <w:rFonts w:hint="eastAsia"/>
          <w:sz w:val="32"/>
          <w:szCs w:val="32"/>
        </w:rPr>
      </w:pPr>
      <w:r>
        <w:rPr>
          <w:color w:val="3D3D3C"/>
          <w:sz w:val="32"/>
          <w:szCs w:val="32"/>
          <w:shd w:val="clear" w:color="auto" w:fill="FFFFFF"/>
        </w:rPr>
        <w:t>8、承担组织编制全县主体功能区规划、协调实施和监测评估的责任。拟订区域协调发展的战略、规划和重大政策，编制主体功能区规划、城镇化规划；综合协调开发区的规划和发展工作。</w:t>
      </w:r>
    </w:p>
    <w:p w14:paraId="3B5CD7F1">
      <w:pPr>
        <w:pStyle w:val="5"/>
        <w:widowControl/>
        <w:spacing w:before="300" w:line="360" w:lineRule="auto"/>
        <w:ind w:firstLine="420"/>
        <w:rPr>
          <w:rFonts w:hint="eastAsia"/>
          <w:sz w:val="32"/>
          <w:szCs w:val="32"/>
        </w:rPr>
      </w:pPr>
      <w:r>
        <w:rPr>
          <w:color w:val="3D3D3C"/>
          <w:sz w:val="32"/>
          <w:szCs w:val="32"/>
          <w:shd w:val="clear" w:color="auto" w:fill="FFFFFF"/>
        </w:rPr>
        <w:t>9、负责现代物流业统筹发展，拟订现代物流业发展战略、规划和产业政策，协调物流业发展的重大问题；参与提出促进商贸领域发展的政策建议；执行国家战略物资储备规划，会同有关部门管理粮食、化肥和蔬菜等仓储设施建设，制定储备方案；提出直接融资的发展战略和政策建议；牵头推进全县产业投资基金和创业投资的发展及制度建设。</w:t>
      </w:r>
    </w:p>
    <w:p w14:paraId="2397E682">
      <w:pPr>
        <w:pStyle w:val="5"/>
        <w:widowControl/>
        <w:spacing w:before="300" w:line="360" w:lineRule="auto"/>
        <w:ind w:firstLine="420"/>
        <w:rPr>
          <w:rFonts w:hint="eastAsia"/>
          <w:sz w:val="32"/>
          <w:szCs w:val="32"/>
        </w:rPr>
      </w:pPr>
      <w:r>
        <w:rPr>
          <w:color w:val="3D3D3C"/>
          <w:sz w:val="32"/>
          <w:szCs w:val="32"/>
          <w:shd w:val="clear" w:color="auto" w:fill="FFFFFF"/>
        </w:rPr>
        <w:t>10、负责社会发展与国民经济发展的政策衔接，组织拟订社会发展战略、总体规划和年度计划；研究拟订人口发展战略、规划及人口政策，负责城区人口迁入的协调监督工作；参与拟订科学技术、教育、文化、卫生、民政等发展政策，推进社会事业建设；统筹推进基本公共服务体系建设，研究提出促进就业、调整收入分配、完善社会保障与经济协调发展的政策建议，协调社会事业发展和改革中的重大问题及政策。</w:t>
      </w:r>
    </w:p>
    <w:p w14:paraId="3A75A012">
      <w:pPr>
        <w:pStyle w:val="5"/>
        <w:widowControl/>
        <w:spacing w:before="300" w:line="360" w:lineRule="auto"/>
        <w:ind w:firstLine="420"/>
        <w:rPr>
          <w:rFonts w:hint="eastAsia"/>
          <w:sz w:val="32"/>
          <w:szCs w:val="32"/>
        </w:rPr>
      </w:pPr>
      <w:r>
        <w:rPr>
          <w:color w:val="3D3D3C"/>
          <w:sz w:val="32"/>
          <w:szCs w:val="32"/>
          <w:shd w:val="clear" w:color="auto" w:fill="FFFFFF"/>
        </w:rPr>
        <w:t>11、负责节能减排的综合协调工作，推进可持续发展战略，组织拟订发展循环经济、节能减排规划及政策措施并协调实施；参与编制生态建设、环境保护规划，协调生态建设、能源综合利用的重大问题，综合协调环保产业和清洁生产促进有关工作。</w:t>
      </w:r>
    </w:p>
    <w:p w14:paraId="62C8F72D">
      <w:pPr>
        <w:pStyle w:val="5"/>
        <w:widowControl/>
        <w:spacing w:before="300" w:line="360" w:lineRule="auto"/>
        <w:ind w:firstLine="420"/>
        <w:rPr>
          <w:rFonts w:hint="eastAsia"/>
          <w:sz w:val="32"/>
          <w:szCs w:val="32"/>
        </w:rPr>
      </w:pPr>
      <w:r>
        <w:rPr>
          <w:color w:val="3D3D3C"/>
          <w:sz w:val="32"/>
          <w:szCs w:val="32"/>
          <w:shd w:val="clear" w:color="auto" w:fill="FFFFFF"/>
        </w:rPr>
        <w:t>12、负责全县能源行业管理工作。组织实施国家应对气候变化重大战略、规划和政策，拟订应对气候变化重大战略、规划和政策；研究能源开发利用，提出能源发展战略和政策建议，拟定能源行业发展规划和计划；加强能源监督管理，监测和分析能源行业、能源安全的发展状况，规划重大项目布局；推进能源市场建设，维护能源市场秩序；承担电力行业管理和电力行政执法监察责任。</w:t>
      </w:r>
    </w:p>
    <w:p w14:paraId="4FE6E676">
      <w:pPr>
        <w:pStyle w:val="5"/>
        <w:widowControl/>
        <w:spacing w:before="300" w:line="360" w:lineRule="auto"/>
        <w:ind w:firstLine="420"/>
        <w:rPr>
          <w:rFonts w:hint="eastAsia"/>
          <w:sz w:val="32"/>
          <w:szCs w:val="32"/>
        </w:rPr>
      </w:pPr>
      <w:r>
        <w:rPr>
          <w:color w:val="3D3D3C"/>
          <w:sz w:val="32"/>
          <w:szCs w:val="32"/>
          <w:shd w:val="clear" w:color="auto" w:fill="FFFFFF"/>
        </w:rPr>
        <w:t>13、推进经济建设与国防建设协调发展的战略和规划，组织编制国民经济动员规划、计划，协调相关重大问题；组织开展国民经济动员有关工作。</w:t>
      </w:r>
    </w:p>
    <w:p w14:paraId="25C6EC48">
      <w:pPr>
        <w:pStyle w:val="5"/>
        <w:widowControl/>
        <w:spacing w:before="300" w:line="360" w:lineRule="auto"/>
        <w:ind w:firstLine="420"/>
        <w:rPr>
          <w:rFonts w:hint="eastAsia"/>
          <w:sz w:val="32"/>
          <w:szCs w:val="32"/>
        </w:rPr>
      </w:pPr>
      <w:r>
        <w:rPr>
          <w:color w:val="3D3D3C"/>
          <w:sz w:val="32"/>
          <w:szCs w:val="32"/>
          <w:shd w:val="clear" w:color="auto" w:fill="FFFFFF"/>
        </w:rPr>
        <w:t>14、承担本县行政区域石油天然气管道（城镇燃气管道除外）保护责任。协调处理石油天然气管道（城镇燃气管道除外）保护的重大问题，指导、监督有关单位履行石油天然气管道（城镇燃气管道除外）保护义务，依法查处危害石油天然气管道（城镇燃气管道除外）安全的违法行为。</w:t>
      </w:r>
    </w:p>
    <w:p w14:paraId="622DBA15">
      <w:pPr>
        <w:pStyle w:val="5"/>
        <w:widowControl/>
        <w:spacing w:before="300" w:line="360" w:lineRule="auto"/>
        <w:ind w:firstLine="420"/>
        <w:rPr>
          <w:rFonts w:hint="eastAsia"/>
          <w:color w:val="3D3D3C"/>
          <w:sz w:val="32"/>
          <w:szCs w:val="32"/>
          <w:shd w:val="clear" w:color="auto" w:fill="FFFFFF"/>
        </w:rPr>
      </w:pPr>
      <w:r>
        <w:rPr>
          <w:color w:val="3D3D3C"/>
          <w:sz w:val="32"/>
          <w:szCs w:val="32"/>
          <w:shd w:val="clear" w:color="auto" w:fill="FFFFFF"/>
        </w:rPr>
        <w:t>15、承办县政府交办的其他事项。</w:t>
      </w:r>
    </w:p>
    <w:p w14:paraId="3F6B38AA">
      <w:pPr>
        <w:pStyle w:val="5"/>
        <w:widowControl/>
        <w:spacing w:before="300" w:line="360" w:lineRule="auto"/>
        <w:ind w:firstLine="420"/>
        <w:rPr>
          <w:rFonts w:hint="eastAsia"/>
          <w:color w:val="3D3D3C"/>
          <w:sz w:val="32"/>
          <w:szCs w:val="32"/>
          <w:shd w:val="clear" w:color="auto" w:fill="FFFFFF"/>
        </w:rPr>
      </w:pPr>
      <w:r>
        <w:rPr>
          <w:rFonts w:hint="eastAsia" w:ascii="宋体" w:hAnsi="宋体" w:eastAsia="宋体" w:cs="宋体"/>
          <w:color w:val="3D3D3C"/>
          <w:sz w:val="32"/>
          <w:szCs w:val="32"/>
          <w:shd w:val="clear" w:color="auto" w:fill="FFFFFF"/>
        </w:rPr>
        <w:t>（</w:t>
      </w:r>
      <w:r>
        <w:rPr>
          <w:rFonts w:hint="eastAsia"/>
          <w:color w:val="3D3D3C"/>
          <w:sz w:val="32"/>
          <w:szCs w:val="32"/>
          <w:shd w:val="clear" w:color="auto" w:fill="FFFFFF"/>
        </w:rPr>
        <w:t>二）、机构设置</w:t>
      </w:r>
    </w:p>
    <w:p w14:paraId="5C46CFE5">
      <w:pPr>
        <w:pBdr>
          <w:bottom w:val="single" w:color="FFFFFF" w:sz="4" w:space="31"/>
        </w:pBdr>
        <w:tabs>
          <w:tab w:val="left" w:pos="7380"/>
        </w:tabs>
        <w:autoSpaceDE w:val="0"/>
        <w:autoSpaceDN w:val="0"/>
        <w:adjustRightInd w:val="0"/>
        <w:snapToGrid w:val="0"/>
        <w:spacing w:line="360" w:lineRule="auto"/>
        <w:ind w:firstLine="640" w:firstLineChars="200"/>
        <w:rPr>
          <w:rFonts w:hint="eastAsia" w:cs="Times New Roman"/>
          <w:color w:val="3D3D3C"/>
          <w:kern w:val="0"/>
          <w:sz w:val="32"/>
          <w:szCs w:val="32"/>
          <w:shd w:val="clear" w:color="auto" w:fill="FFFFFF"/>
        </w:rPr>
      </w:pPr>
      <w:r>
        <w:rPr>
          <w:rFonts w:hint="eastAsia" w:cs="Times New Roman"/>
          <w:color w:val="3D3D3C"/>
          <w:kern w:val="0"/>
          <w:sz w:val="32"/>
          <w:szCs w:val="32"/>
          <w:shd w:val="clear" w:color="auto" w:fill="FFFFFF"/>
        </w:rPr>
        <w:t>1、本单位下设五个科室，分别为：办公室、综合计划科、社会事务科、项目科、体改科。</w:t>
      </w:r>
    </w:p>
    <w:p w14:paraId="735B123F">
      <w:pPr>
        <w:pBdr>
          <w:bottom w:val="single" w:color="FFFFFF" w:sz="4" w:space="31"/>
        </w:pBdr>
        <w:tabs>
          <w:tab w:val="left" w:pos="7380"/>
        </w:tabs>
        <w:autoSpaceDE w:val="0"/>
        <w:autoSpaceDN w:val="0"/>
        <w:adjustRightInd w:val="0"/>
        <w:snapToGrid w:val="0"/>
        <w:spacing w:line="360" w:lineRule="auto"/>
        <w:ind w:firstLine="640" w:firstLineChars="200"/>
        <w:rPr>
          <w:rFonts w:hint="eastAsia" w:cs="Times New Roman"/>
          <w:color w:val="3D3D3C"/>
          <w:kern w:val="0"/>
          <w:sz w:val="32"/>
          <w:szCs w:val="32"/>
          <w:shd w:val="clear" w:color="auto" w:fill="FFFFFF"/>
        </w:rPr>
      </w:pPr>
      <w:r>
        <w:rPr>
          <w:rFonts w:hint="eastAsia" w:cs="Times New Roman"/>
          <w:color w:val="3D3D3C"/>
          <w:kern w:val="0"/>
          <w:sz w:val="32"/>
          <w:szCs w:val="32"/>
          <w:shd w:val="clear" w:color="auto" w:fill="FFFFFF"/>
        </w:rPr>
        <w:t xml:space="preserve"> 2、蓝田县节能监察监测中心为县发改委下属事业单位。</w:t>
      </w:r>
    </w:p>
    <w:p w14:paraId="069B876D">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sz w:val="32"/>
          <w:szCs w:val="32"/>
          <w:shd w:val="clear" w:color="auto" w:fill="FFFFFF"/>
        </w:rPr>
      </w:pPr>
      <w:r>
        <w:rPr>
          <w:color w:val="3D3D3C"/>
          <w:sz w:val="32"/>
          <w:szCs w:val="32"/>
          <w:shd w:val="clear" w:color="auto" w:fill="FFFFFF"/>
        </w:rPr>
        <w:t>二</w:t>
      </w:r>
      <w:r>
        <w:rPr>
          <w:rFonts w:hint="eastAsia"/>
          <w:color w:val="3D3D3C"/>
          <w:sz w:val="32"/>
          <w:szCs w:val="32"/>
          <w:shd w:val="clear" w:color="auto" w:fill="FFFFFF"/>
        </w:rPr>
        <w:t>、</w:t>
      </w:r>
      <w:r>
        <w:rPr>
          <w:color w:val="3D3D3C"/>
          <w:sz w:val="32"/>
          <w:szCs w:val="32"/>
          <w:shd w:val="clear" w:color="auto" w:fill="FFFFFF"/>
        </w:rPr>
        <w:t>201</w:t>
      </w:r>
      <w:r>
        <w:rPr>
          <w:rFonts w:hint="eastAsia"/>
          <w:color w:val="3D3D3C"/>
          <w:sz w:val="32"/>
          <w:szCs w:val="32"/>
          <w:shd w:val="clear" w:color="auto" w:fill="FFFFFF"/>
        </w:rPr>
        <w:t>9</w:t>
      </w:r>
      <w:r>
        <w:rPr>
          <w:color w:val="3D3D3C"/>
          <w:sz w:val="32"/>
          <w:szCs w:val="32"/>
          <w:shd w:val="clear" w:color="auto" w:fill="FFFFFF"/>
        </w:rPr>
        <w:t>年工作思路及目标</w:t>
      </w:r>
    </w:p>
    <w:p w14:paraId="4E2FE1B7">
      <w:pPr>
        <w:pBdr>
          <w:bottom w:val="single" w:color="FFFFFF" w:sz="4" w:space="31"/>
        </w:pBdr>
        <w:tabs>
          <w:tab w:val="left" w:pos="7380"/>
        </w:tabs>
        <w:autoSpaceDE w:val="0"/>
        <w:autoSpaceDN w:val="0"/>
        <w:adjustRightInd w:val="0"/>
        <w:snapToGrid w:val="0"/>
        <w:spacing w:line="360" w:lineRule="auto"/>
        <w:ind w:firstLine="640" w:firstLineChars="200"/>
        <w:rPr>
          <w:rFonts w:hint="eastAsia" w:cs="Times New Roman"/>
          <w:color w:val="3D3D3C"/>
          <w:kern w:val="0"/>
          <w:sz w:val="32"/>
          <w:szCs w:val="32"/>
          <w:shd w:val="clear" w:color="auto" w:fill="FFFFFF"/>
        </w:rPr>
      </w:pPr>
      <w:r>
        <w:rPr>
          <w:rFonts w:hint="eastAsia"/>
          <w:color w:val="3D3D3C"/>
          <w:sz w:val="32"/>
          <w:szCs w:val="32"/>
          <w:shd w:val="clear" w:color="auto" w:fill="FFFFFF"/>
        </w:rPr>
        <w:t>坚持以习近平新时代中国特色社会主义思想为指导，全面贯彻党的十九大和十九届二中、三中全会及习近平总书记对西安系列</w:t>
      </w:r>
      <w:r>
        <w:rPr>
          <w:rFonts w:hint="eastAsia"/>
          <w:color w:val="3D3D3C"/>
          <w:sz w:val="32"/>
          <w:szCs w:val="32"/>
          <w:shd w:val="clear" w:color="auto" w:fill="FFFFFF"/>
          <w:lang w:eastAsia="zh-CN"/>
        </w:rPr>
        <w:t>重要指示批示精神</w:t>
      </w:r>
      <w:r>
        <w:rPr>
          <w:rFonts w:hint="eastAsia"/>
          <w:color w:val="3D3D3C"/>
          <w:sz w:val="32"/>
          <w:szCs w:val="32"/>
          <w:shd w:val="clear" w:color="auto" w:fill="FFFFFF"/>
        </w:rPr>
        <w:t>，坚持稳中求进工作总基调，坚持新发展理念，坚持推动高质量发展，紧扣“追赶超越”定位和“五个扎实”要求，围绕“五新战略”和“聚焦‘三六九’，振兴大西安”部署，立足生态立县、旅游兴县、工业强县、民宿富县，坚定不移走“绿水青山就是金山银山”的绿色生态发展之路，扬起“两带双核四板块”龙头，积极实施“六大”行动，培育壮大文旅康养、先进智造、商贸物流、特色民宿主导产业，做足做好秦岭保护、乡村振兴、全域旅游“三篇文章”，统筹推进稳投资、促改革、调结构、惠民生、防风险各项工作，努力打造乡村振兴示范县、文化旅游旗帜县、生态发展样板县、民宿发展第一县，不断开创蓝田追赶超越新局面。</w:t>
      </w:r>
    </w:p>
    <w:p w14:paraId="75E1002C">
      <w:pPr>
        <w:pStyle w:val="5"/>
        <w:widowControl/>
        <w:spacing w:before="300" w:line="360" w:lineRule="auto"/>
        <w:ind w:firstLine="420"/>
        <w:rPr>
          <w:rFonts w:hint="eastAsia"/>
          <w:color w:val="3D3D3C"/>
          <w:sz w:val="32"/>
          <w:szCs w:val="32"/>
          <w:shd w:val="clear" w:color="auto" w:fill="FFFFFF"/>
        </w:rPr>
      </w:pPr>
      <w:r>
        <w:rPr>
          <w:color w:val="3D3D3C"/>
          <w:sz w:val="32"/>
          <w:szCs w:val="32"/>
          <w:shd w:val="clear" w:color="auto" w:fill="FFFFFF"/>
        </w:rPr>
        <w:t>主要预期目标是：</w:t>
      </w:r>
    </w:p>
    <w:p w14:paraId="345D5B73">
      <w:pPr>
        <w:pStyle w:val="5"/>
        <w:widowControl/>
        <w:spacing w:before="300" w:line="360" w:lineRule="auto"/>
        <w:ind w:firstLine="420"/>
        <w:rPr>
          <w:rFonts w:hint="eastAsia"/>
          <w:color w:val="3D3D3C"/>
          <w:sz w:val="32"/>
          <w:szCs w:val="32"/>
          <w:shd w:val="clear" w:color="auto" w:fill="FFFFFF"/>
        </w:rPr>
      </w:pPr>
      <w:r>
        <w:rPr>
          <w:color w:val="3D3D3C"/>
          <w:sz w:val="32"/>
          <w:szCs w:val="32"/>
          <w:shd w:val="clear" w:color="auto" w:fill="FFFFFF"/>
        </w:rPr>
        <w:t>1、</w:t>
      </w:r>
      <w:r>
        <w:rPr>
          <w:rFonts w:hint="eastAsia"/>
          <w:color w:val="3D3D3C"/>
          <w:sz w:val="32"/>
          <w:szCs w:val="32"/>
          <w:shd w:val="clear" w:color="auto" w:fill="FFFFFF"/>
        </w:rPr>
        <w:t>生产总值增长10%左右。</w:t>
      </w:r>
    </w:p>
    <w:p w14:paraId="21414E88">
      <w:pPr>
        <w:pStyle w:val="5"/>
        <w:widowControl/>
        <w:spacing w:before="300" w:line="360" w:lineRule="auto"/>
        <w:ind w:firstLine="420"/>
        <w:rPr>
          <w:rFonts w:hint="eastAsia"/>
          <w:color w:val="3D3D3C"/>
          <w:sz w:val="32"/>
          <w:szCs w:val="32"/>
          <w:shd w:val="clear" w:color="auto" w:fill="FFFFFF"/>
        </w:rPr>
      </w:pPr>
      <w:r>
        <w:rPr>
          <w:color w:val="3D3D3C"/>
          <w:sz w:val="32"/>
          <w:szCs w:val="32"/>
          <w:shd w:val="clear" w:color="auto" w:fill="FFFFFF"/>
        </w:rPr>
        <w:t>2、</w:t>
      </w:r>
      <w:r>
        <w:rPr>
          <w:rFonts w:hint="eastAsia"/>
          <w:color w:val="3D3D3C"/>
          <w:sz w:val="32"/>
          <w:szCs w:val="32"/>
          <w:shd w:val="clear" w:color="auto" w:fill="FFFFFF"/>
        </w:rPr>
        <w:t>全社会固定资产投资增长12%以上</w:t>
      </w:r>
      <w:r>
        <w:rPr>
          <w:color w:val="3D3D3C"/>
          <w:sz w:val="32"/>
          <w:szCs w:val="32"/>
          <w:shd w:val="clear" w:color="auto" w:fill="FFFFFF"/>
        </w:rPr>
        <w:t>。</w:t>
      </w:r>
    </w:p>
    <w:p w14:paraId="3DE16695">
      <w:pPr>
        <w:pStyle w:val="5"/>
        <w:widowControl/>
        <w:spacing w:before="300" w:line="360" w:lineRule="auto"/>
        <w:ind w:firstLine="420"/>
        <w:rPr>
          <w:rFonts w:hint="eastAsia"/>
          <w:color w:val="3D3D3C"/>
          <w:sz w:val="32"/>
          <w:szCs w:val="32"/>
          <w:shd w:val="clear" w:color="auto" w:fill="FFFFFF"/>
        </w:rPr>
      </w:pPr>
      <w:r>
        <w:rPr>
          <w:color w:val="3D3D3C"/>
          <w:sz w:val="32"/>
          <w:szCs w:val="32"/>
          <w:shd w:val="clear" w:color="auto" w:fill="FFFFFF"/>
        </w:rPr>
        <w:t>3、</w:t>
      </w:r>
      <w:r>
        <w:rPr>
          <w:rFonts w:hint="eastAsia"/>
          <w:color w:val="3D3D3C"/>
          <w:sz w:val="32"/>
          <w:szCs w:val="32"/>
          <w:shd w:val="clear" w:color="auto" w:fill="FFFFFF"/>
        </w:rPr>
        <w:t>城镇常住居民人均可支配收入增长8%以上</w:t>
      </w:r>
      <w:r>
        <w:rPr>
          <w:color w:val="3D3D3C"/>
          <w:sz w:val="32"/>
          <w:szCs w:val="32"/>
          <w:shd w:val="clear" w:color="auto" w:fill="FFFFFF"/>
        </w:rPr>
        <w:t>。</w:t>
      </w:r>
    </w:p>
    <w:p w14:paraId="11E9A760">
      <w:pPr>
        <w:pStyle w:val="5"/>
        <w:widowControl/>
        <w:spacing w:before="300" w:line="360" w:lineRule="auto"/>
        <w:ind w:firstLine="420"/>
        <w:rPr>
          <w:rFonts w:hint="eastAsia"/>
          <w:color w:val="3D3D3C"/>
          <w:sz w:val="32"/>
          <w:szCs w:val="32"/>
          <w:shd w:val="clear" w:color="auto" w:fill="FFFFFF"/>
        </w:rPr>
      </w:pPr>
      <w:r>
        <w:rPr>
          <w:color w:val="3D3D3C"/>
          <w:sz w:val="32"/>
          <w:szCs w:val="32"/>
          <w:shd w:val="clear" w:color="auto" w:fill="FFFFFF"/>
        </w:rPr>
        <w:t>4、</w:t>
      </w:r>
      <w:r>
        <w:rPr>
          <w:rFonts w:hint="eastAsia"/>
          <w:color w:val="3D3D3C"/>
          <w:sz w:val="32"/>
          <w:szCs w:val="32"/>
          <w:shd w:val="clear" w:color="auto" w:fill="FFFFFF"/>
        </w:rPr>
        <w:t>万元GDP能耗降低3.3%</w:t>
      </w:r>
      <w:r>
        <w:rPr>
          <w:color w:val="3D3D3C"/>
          <w:sz w:val="32"/>
          <w:szCs w:val="32"/>
          <w:shd w:val="clear" w:color="auto" w:fill="FFFFFF"/>
        </w:rPr>
        <w:t>。</w:t>
      </w:r>
    </w:p>
    <w:p w14:paraId="656C4E20">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kern w:val="0"/>
          <w:sz w:val="32"/>
          <w:szCs w:val="32"/>
          <w:shd w:val="clear" w:color="auto" w:fill="FFFFFF"/>
        </w:rPr>
      </w:pPr>
      <w:r>
        <w:rPr>
          <w:rFonts w:hint="eastAsia"/>
          <w:color w:val="3D3D3C"/>
          <w:kern w:val="0"/>
          <w:sz w:val="32"/>
          <w:szCs w:val="32"/>
          <w:shd w:val="clear" w:color="auto" w:fill="FFFFFF"/>
        </w:rPr>
        <w:t>三、部门预算单位构成</w:t>
      </w:r>
    </w:p>
    <w:p w14:paraId="248D9845">
      <w:pPr>
        <w:pBdr>
          <w:bottom w:val="single" w:color="FFFFFF" w:sz="4" w:space="31"/>
        </w:pBdr>
        <w:tabs>
          <w:tab w:val="left" w:pos="7380"/>
        </w:tabs>
        <w:autoSpaceDE w:val="0"/>
        <w:autoSpaceDN w:val="0"/>
        <w:adjustRightInd w:val="0"/>
        <w:snapToGrid w:val="0"/>
        <w:spacing w:line="360" w:lineRule="auto"/>
        <w:ind w:firstLine="640" w:firstLineChars="200"/>
        <w:rPr>
          <w:rFonts w:hint="eastAsia" w:cs="Times New Roman"/>
          <w:color w:val="3D3D3C"/>
          <w:kern w:val="0"/>
          <w:sz w:val="32"/>
          <w:szCs w:val="32"/>
          <w:shd w:val="clear" w:color="auto" w:fill="FFFFFF"/>
        </w:rPr>
      </w:pPr>
      <w:r>
        <w:rPr>
          <w:rFonts w:hint="eastAsia" w:cs="Times New Roman"/>
          <w:color w:val="3D3D3C"/>
          <w:kern w:val="0"/>
          <w:sz w:val="32"/>
          <w:szCs w:val="32"/>
          <w:shd w:val="clear" w:color="auto" w:fill="FFFFFF"/>
        </w:rPr>
        <w:t>从预算单位构成看，本单位的预算只包括部门本级预算。下属事业单位蓝田县节能监察监测中心没有独立核算。</w:t>
      </w:r>
    </w:p>
    <w:p w14:paraId="228A165B">
      <w:pPr>
        <w:numPr>
          <w:ilvl w:val="0"/>
          <w:numId w:val="1"/>
        </w:num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sz w:val="32"/>
          <w:szCs w:val="32"/>
          <w:shd w:val="clear" w:color="auto" w:fill="FFFFFF"/>
        </w:rPr>
      </w:pPr>
      <w:r>
        <w:rPr>
          <w:rFonts w:hint="eastAsia"/>
          <w:color w:val="3D3D3C"/>
          <w:kern w:val="0"/>
          <w:sz w:val="32"/>
          <w:szCs w:val="32"/>
          <w:shd w:val="clear" w:color="auto" w:fill="FFFFFF"/>
        </w:rPr>
        <w:t>部门人员情况说明</w:t>
      </w:r>
    </w:p>
    <w:p w14:paraId="0C8B185D">
      <w:pPr>
        <w:pBdr>
          <w:bottom w:val="single" w:color="FFFFFF" w:sz="4" w:space="31"/>
        </w:pBdr>
        <w:tabs>
          <w:tab w:val="left" w:pos="7380"/>
        </w:tabs>
        <w:autoSpaceDE w:val="0"/>
        <w:autoSpaceDN w:val="0"/>
        <w:adjustRightInd w:val="0"/>
        <w:snapToGrid w:val="0"/>
        <w:spacing w:line="360" w:lineRule="auto"/>
        <w:ind w:firstLine="800" w:firstLineChars="250"/>
        <w:rPr>
          <w:rFonts w:hint="eastAsia"/>
          <w:color w:val="3D3D3C"/>
          <w:sz w:val="32"/>
          <w:szCs w:val="32"/>
          <w:shd w:val="clear" w:color="auto" w:fill="FFFFFF"/>
        </w:rPr>
      </w:pPr>
      <w:r>
        <w:rPr>
          <w:color w:val="3D3D3C"/>
          <w:kern w:val="0"/>
          <w:sz w:val="32"/>
          <w:szCs w:val="32"/>
          <w:shd w:val="clear" w:color="auto" w:fill="FFFFFF"/>
        </w:rPr>
        <w:t>本单位人员编制25人，其中行政编制15人、事业编制10人；实有人员18人，其中行政13人、事业5人</w:t>
      </w:r>
      <w:r>
        <w:rPr>
          <w:rFonts w:hint="eastAsia"/>
          <w:color w:val="3D3D3C"/>
          <w:kern w:val="0"/>
          <w:sz w:val="32"/>
          <w:szCs w:val="32"/>
          <w:shd w:val="clear" w:color="auto" w:fill="FFFFFF"/>
        </w:rPr>
        <w:t>，</w:t>
      </w:r>
      <w:r>
        <w:rPr>
          <w:color w:val="3D3D3C"/>
          <w:kern w:val="0"/>
          <w:sz w:val="32"/>
          <w:szCs w:val="32"/>
          <w:shd w:val="clear" w:color="auto" w:fill="FFFFFF"/>
        </w:rPr>
        <w:t>遗属</w:t>
      </w:r>
      <w:r>
        <w:rPr>
          <w:rFonts w:hint="eastAsia"/>
          <w:color w:val="3D3D3C"/>
          <w:kern w:val="0"/>
          <w:sz w:val="32"/>
          <w:szCs w:val="32"/>
          <w:shd w:val="clear" w:color="auto" w:fill="FFFFFF"/>
        </w:rPr>
        <w:t xml:space="preserve"> 2人</w:t>
      </w:r>
      <w:r>
        <w:rPr>
          <w:color w:val="3D3D3C"/>
          <w:kern w:val="0"/>
          <w:sz w:val="32"/>
          <w:szCs w:val="32"/>
          <w:shd w:val="clear" w:color="auto" w:fill="FFFFFF"/>
        </w:rPr>
        <w:t>。单位管理的离退休人员15人</w:t>
      </w:r>
      <w:r>
        <w:rPr>
          <w:rFonts w:hint="eastAsia"/>
          <w:color w:val="3D3D3C"/>
          <w:kern w:val="0"/>
          <w:sz w:val="32"/>
          <w:szCs w:val="32"/>
          <w:shd w:val="clear" w:color="auto" w:fill="FFFFFF"/>
        </w:rPr>
        <w:t>。</w:t>
      </w:r>
    </w:p>
    <w:p w14:paraId="54E13A35">
      <w:pPr>
        <w:pBdr>
          <w:bottom w:val="single" w:color="FFFFFF" w:sz="4" w:space="31"/>
        </w:pBdr>
        <w:tabs>
          <w:tab w:val="left" w:pos="7380"/>
        </w:tabs>
        <w:autoSpaceDE w:val="0"/>
        <w:autoSpaceDN w:val="0"/>
        <w:adjustRightInd w:val="0"/>
        <w:snapToGrid w:val="0"/>
        <w:spacing w:line="360" w:lineRule="auto"/>
        <w:ind w:left="561" w:leftChars="267" w:firstLine="480" w:firstLineChars="150"/>
        <w:rPr>
          <w:rFonts w:hint="eastAsia"/>
          <w:color w:val="3D3D3C"/>
          <w:sz w:val="32"/>
          <w:szCs w:val="32"/>
          <w:shd w:val="clear" w:color="auto" w:fill="FFFFFF"/>
        </w:rPr>
      </w:pPr>
      <w:r>
        <w:rPr>
          <w:color w:val="3D3D3C"/>
          <w:sz w:val="32"/>
          <w:szCs w:val="32"/>
          <w:shd w:val="clear" w:color="auto" w:fill="FFFFFF"/>
        </w:rPr>
        <w:drawing>
          <wp:inline distT="0" distB="0" distL="0" distR="0">
            <wp:extent cx="4572000" cy="2743200"/>
            <wp:effectExtent l="19050" t="0" r="19050" b="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5F431088">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kern w:val="0"/>
          <w:sz w:val="32"/>
          <w:szCs w:val="32"/>
          <w:shd w:val="clear" w:color="auto" w:fill="FFFFFF"/>
        </w:rPr>
      </w:pPr>
      <w:r>
        <w:rPr>
          <w:rFonts w:hint="eastAsia"/>
          <w:color w:val="3D3D3C"/>
          <w:kern w:val="0"/>
          <w:sz w:val="32"/>
          <w:szCs w:val="32"/>
          <w:shd w:val="clear" w:color="auto" w:fill="FFFFFF"/>
        </w:rPr>
        <w:t>五、部门国有资产占有使用及资产购置情况说明</w:t>
      </w:r>
    </w:p>
    <w:p w14:paraId="10B9B337">
      <w:pPr>
        <w:pBdr>
          <w:bottom w:val="single" w:color="FFFFFF" w:sz="4" w:space="31"/>
        </w:pBdr>
        <w:tabs>
          <w:tab w:val="left" w:pos="7380"/>
        </w:tabs>
        <w:autoSpaceDE w:val="0"/>
        <w:autoSpaceDN w:val="0"/>
        <w:adjustRightInd w:val="0"/>
        <w:snapToGrid w:val="0"/>
        <w:spacing w:line="360" w:lineRule="auto"/>
        <w:ind w:firstLine="1280" w:firstLineChars="400"/>
        <w:rPr>
          <w:rFonts w:hint="eastAsia"/>
          <w:color w:val="3D3D3C"/>
          <w:kern w:val="0"/>
          <w:sz w:val="32"/>
          <w:szCs w:val="32"/>
          <w:shd w:val="clear" w:color="auto" w:fill="FFFFFF"/>
        </w:rPr>
      </w:pPr>
      <w:r>
        <w:rPr>
          <w:rFonts w:hint="eastAsia" w:ascii="宋体" w:hAnsi="宋体"/>
          <w:sz w:val="32"/>
          <w:szCs w:val="32"/>
        </w:rPr>
        <w:t>截止2018年底，本部门所属预算单位共有车辆0辆，单价20万元以上的设备0台（套）。</w:t>
      </w:r>
    </w:p>
    <w:p w14:paraId="28ED295E">
      <w:pPr>
        <w:pBdr>
          <w:bottom w:val="single" w:color="FFFFFF" w:sz="4" w:space="31"/>
        </w:pBdr>
        <w:tabs>
          <w:tab w:val="left" w:pos="7380"/>
        </w:tabs>
        <w:autoSpaceDE w:val="0"/>
        <w:autoSpaceDN w:val="0"/>
        <w:adjustRightInd w:val="0"/>
        <w:snapToGrid w:val="0"/>
        <w:spacing w:line="360" w:lineRule="auto"/>
        <w:ind w:firstLine="1280" w:firstLineChars="400"/>
        <w:rPr>
          <w:rFonts w:hint="eastAsia"/>
          <w:color w:val="3D3D3C"/>
          <w:kern w:val="0"/>
          <w:sz w:val="32"/>
          <w:szCs w:val="32"/>
          <w:shd w:val="clear" w:color="auto" w:fill="FFFFFF"/>
        </w:rPr>
      </w:pPr>
      <w:r>
        <w:rPr>
          <w:rFonts w:hint="eastAsia"/>
          <w:color w:val="3D3D3C"/>
          <w:kern w:val="0"/>
          <w:sz w:val="32"/>
          <w:szCs w:val="32"/>
          <w:shd w:val="clear" w:color="auto" w:fill="FFFFFF"/>
        </w:rPr>
        <w:t>2019年部门预算安排购置车辆0辆；安排购置单价20万元以上的设备0台（套）。</w:t>
      </w:r>
    </w:p>
    <w:p w14:paraId="7C1190DE">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kern w:val="0"/>
          <w:sz w:val="32"/>
          <w:szCs w:val="32"/>
          <w:shd w:val="clear" w:color="auto" w:fill="FFFFFF"/>
        </w:rPr>
      </w:pPr>
      <w:r>
        <w:rPr>
          <w:rFonts w:hint="eastAsia"/>
          <w:color w:val="3D3D3C"/>
          <w:kern w:val="0"/>
          <w:sz w:val="32"/>
          <w:szCs w:val="32"/>
          <w:shd w:val="clear" w:color="auto" w:fill="FFFFFF"/>
        </w:rPr>
        <w:t>六、部门预算绩效目标说明</w:t>
      </w:r>
    </w:p>
    <w:p w14:paraId="4B9B3E74">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kern w:val="0"/>
          <w:sz w:val="32"/>
          <w:szCs w:val="32"/>
          <w:shd w:val="clear" w:color="auto" w:fill="FFFFFF"/>
        </w:rPr>
      </w:pPr>
      <w:r>
        <w:rPr>
          <w:rFonts w:hint="eastAsia"/>
          <w:color w:val="3D3D3C"/>
          <w:kern w:val="0"/>
          <w:sz w:val="32"/>
          <w:szCs w:val="32"/>
          <w:shd w:val="clear" w:color="auto" w:fill="FFFFFF"/>
        </w:rPr>
        <w:t>2019年本部门实现了绩效目标管理全覆盖，涉及一般公共预算当年拨款144.75万元,无政府性基金预算当年拨款。</w:t>
      </w:r>
    </w:p>
    <w:p w14:paraId="4B580AD0">
      <w:pPr>
        <w:pBdr>
          <w:bottom w:val="single" w:color="FFFFFF" w:sz="4" w:space="31"/>
        </w:pBdr>
        <w:tabs>
          <w:tab w:val="left" w:pos="7380"/>
        </w:tabs>
        <w:autoSpaceDE w:val="0"/>
        <w:autoSpaceDN w:val="0"/>
        <w:adjustRightInd w:val="0"/>
        <w:snapToGrid w:val="0"/>
        <w:spacing w:line="360" w:lineRule="auto"/>
        <w:ind w:firstLine="1280" w:firstLineChars="400"/>
        <w:rPr>
          <w:rFonts w:hint="eastAsia"/>
          <w:color w:val="3D3D3C"/>
          <w:kern w:val="0"/>
          <w:sz w:val="32"/>
          <w:szCs w:val="32"/>
          <w:shd w:val="clear" w:color="auto" w:fill="FFFFFF"/>
        </w:rPr>
      </w:pPr>
      <w:r>
        <w:rPr>
          <w:rFonts w:hint="eastAsia"/>
          <w:color w:val="3D3D3C"/>
          <w:kern w:val="0"/>
          <w:sz w:val="32"/>
          <w:szCs w:val="32"/>
          <w:shd w:val="clear" w:color="auto" w:fill="FFFFFF"/>
        </w:rPr>
        <w:t>无涉及扶贫项目的预算。</w:t>
      </w:r>
    </w:p>
    <w:p w14:paraId="1E86AE3B">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kern w:val="0"/>
          <w:sz w:val="32"/>
          <w:szCs w:val="32"/>
          <w:shd w:val="clear" w:color="auto" w:fill="FFFFFF"/>
        </w:rPr>
      </w:pPr>
      <w:r>
        <w:rPr>
          <w:rFonts w:hint="eastAsia"/>
          <w:color w:val="3D3D3C"/>
          <w:kern w:val="0"/>
          <w:sz w:val="32"/>
          <w:szCs w:val="32"/>
          <w:shd w:val="clear" w:color="auto" w:fill="FFFFFF"/>
        </w:rPr>
        <w:t>七、2019年部门预算收支说明</w:t>
      </w:r>
    </w:p>
    <w:p w14:paraId="30B06DD4">
      <w:pPr>
        <w:numPr>
          <w:ilvl w:val="0"/>
          <w:numId w:val="2"/>
        </w:num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收支预算总体情况：</w:t>
      </w:r>
    </w:p>
    <w:p w14:paraId="49F437E9">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kern w:val="0"/>
          <w:sz w:val="32"/>
          <w:szCs w:val="32"/>
          <w:shd w:val="clear" w:color="auto" w:fill="FFFFFF"/>
        </w:rPr>
      </w:pPr>
      <w:r>
        <w:rPr>
          <w:rFonts w:hint="eastAsia"/>
          <w:color w:val="3D3D3C"/>
          <w:kern w:val="0"/>
          <w:sz w:val="32"/>
          <w:szCs w:val="32"/>
          <w:shd w:val="clear" w:color="auto" w:fill="FFFFFF"/>
        </w:rPr>
        <w:t>2019年本部门预算收入144.75万元，其中一般公共预算拨款收入144.75万元，政府性基金拨款收入0万元。2019年本部门预算收入较上年增加34.74万元，主要是原因：</w:t>
      </w:r>
      <w:r>
        <w:rPr>
          <w:rFonts w:hint="eastAsia" w:ascii="宋体" w:hAnsi="宋体"/>
          <w:sz w:val="32"/>
          <w:szCs w:val="32"/>
        </w:rPr>
        <w:t>1是工资基数上调，工资福利支出增加，2是本部门新增下属事业单位</w:t>
      </w:r>
      <w:r>
        <w:rPr>
          <w:rFonts w:hint="eastAsia" w:cs="Times New Roman"/>
          <w:color w:val="3D3D3C"/>
          <w:kern w:val="0"/>
          <w:sz w:val="32"/>
          <w:szCs w:val="32"/>
          <w:shd w:val="clear" w:color="auto" w:fill="FFFFFF"/>
        </w:rPr>
        <w:t>蓝田县节能监察监测中心，新增</w:t>
      </w:r>
      <w:r>
        <w:rPr>
          <w:rFonts w:hint="eastAsia" w:ascii="宋体" w:hAnsi="宋体"/>
          <w:sz w:val="32"/>
          <w:szCs w:val="32"/>
        </w:rPr>
        <w:t>5名事业干部和一名公务员，3是基本养老保险单位缴费部分纳入部门预算</w:t>
      </w:r>
      <w:r>
        <w:rPr>
          <w:rFonts w:hint="eastAsia"/>
          <w:color w:val="3D3D3C"/>
          <w:kern w:val="0"/>
          <w:sz w:val="32"/>
          <w:szCs w:val="32"/>
          <w:shd w:val="clear" w:color="auto" w:fill="FFFFFF"/>
        </w:rPr>
        <w:t>；</w:t>
      </w:r>
    </w:p>
    <w:p w14:paraId="1E1485C0">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kern w:val="0"/>
          <w:sz w:val="32"/>
          <w:szCs w:val="32"/>
          <w:shd w:val="clear" w:color="auto" w:fill="FFFFFF"/>
        </w:rPr>
      </w:pPr>
      <w:r>
        <w:rPr>
          <w:rFonts w:hint="eastAsia"/>
          <w:color w:val="3D3D3C"/>
          <w:kern w:val="0"/>
          <w:sz w:val="32"/>
          <w:szCs w:val="32"/>
          <w:shd w:val="clear" w:color="auto" w:fill="FFFFFF"/>
        </w:rPr>
        <w:t>2019年本部门预算支出144.75万元，其中一般公共预算拨款支出144.75万元，政府性基金拨款支出0万元。2019年本部门预算支出较上年增加34.74万元，主要是原因：</w:t>
      </w:r>
      <w:r>
        <w:rPr>
          <w:rFonts w:hint="eastAsia" w:ascii="宋体" w:hAnsi="宋体"/>
          <w:sz w:val="32"/>
          <w:szCs w:val="32"/>
        </w:rPr>
        <w:t>1是工资基数上调，工资福利支出增加，2是本部门新增下属事业单位</w:t>
      </w:r>
      <w:r>
        <w:rPr>
          <w:rFonts w:hint="eastAsia" w:cs="Times New Roman"/>
          <w:color w:val="3D3D3C"/>
          <w:kern w:val="0"/>
          <w:sz w:val="32"/>
          <w:szCs w:val="32"/>
          <w:shd w:val="clear" w:color="auto" w:fill="FFFFFF"/>
        </w:rPr>
        <w:t>蓝田县节能监察监测中心，新增</w:t>
      </w:r>
      <w:r>
        <w:rPr>
          <w:rFonts w:hint="eastAsia" w:ascii="宋体" w:hAnsi="宋体"/>
          <w:sz w:val="32"/>
          <w:szCs w:val="32"/>
        </w:rPr>
        <w:t>5名事业干部和一名公务员，3是基本养老保险单位缴费部分纳入部门预算</w:t>
      </w:r>
      <w:r>
        <w:rPr>
          <w:rFonts w:hint="eastAsia"/>
          <w:color w:val="3D3D3C"/>
          <w:kern w:val="0"/>
          <w:sz w:val="32"/>
          <w:szCs w:val="32"/>
          <w:shd w:val="clear" w:color="auto" w:fill="FFFFFF"/>
        </w:rPr>
        <w:t>。</w:t>
      </w:r>
    </w:p>
    <w:p w14:paraId="38DBB48C">
      <w:pPr>
        <w:pBdr>
          <w:bottom w:val="single" w:color="FFFFFF" w:sz="4" w:space="31"/>
        </w:pBdr>
        <w:tabs>
          <w:tab w:val="left" w:pos="7380"/>
        </w:tabs>
        <w:autoSpaceDE w:val="0"/>
        <w:autoSpaceDN w:val="0"/>
        <w:adjustRightInd w:val="0"/>
        <w:snapToGrid w:val="0"/>
        <w:spacing w:line="360" w:lineRule="auto"/>
        <w:ind w:firstLine="320" w:firstLineChars="100"/>
        <w:rPr>
          <w:rFonts w:hint="eastAsia"/>
          <w:color w:val="3D3D3C"/>
          <w:kern w:val="0"/>
          <w:sz w:val="32"/>
          <w:szCs w:val="32"/>
          <w:highlight w:val="green"/>
          <w:shd w:val="clear" w:color="auto" w:fill="FFFFFF"/>
        </w:rPr>
      </w:pPr>
      <w:r>
        <w:rPr>
          <w:rFonts w:hint="eastAsia"/>
          <w:color w:val="3D3D3C"/>
          <w:kern w:val="0"/>
          <w:sz w:val="32"/>
          <w:szCs w:val="32"/>
          <w:shd w:val="clear" w:color="auto" w:fill="FFFFFF"/>
        </w:rPr>
        <w:t>（二）财政拨款收支情况：</w:t>
      </w:r>
    </w:p>
    <w:p w14:paraId="24124FA1">
      <w:pPr>
        <w:pBdr>
          <w:bottom w:val="single" w:color="FFFFFF" w:sz="4" w:space="31"/>
        </w:pBdr>
        <w:tabs>
          <w:tab w:val="left" w:pos="7380"/>
        </w:tabs>
        <w:autoSpaceDE w:val="0"/>
        <w:autoSpaceDN w:val="0"/>
        <w:adjustRightInd w:val="0"/>
        <w:snapToGrid w:val="0"/>
        <w:spacing w:line="360" w:lineRule="auto"/>
        <w:ind w:firstLine="960" w:firstLineChars="300"/>
        <w:rPr>
          <w:rFonts w:ascii="宋体" w:hAnsi="宋体"/>
          <w:sz w:val="32"/>
          <w:szCs w:val="32"/>
          <w:highlight w:val="green"/>
        </w:rPr>
      </w:pPr>
      <w:r>
        <w:rPr>
          <w:rFonts w:hint="eastAsia" w:ascii="宋体" w:hAnsi="宋体"/>
          <w:sz w:val="32"/>
          <w:szCs w:val="32"/>
        </w:rPr>
        <w:t>2019年本部门财政拨款收入14</w:t>
      </w:r>
      <w:r>
        <w:rPr>
          <w:rFonts w:hint="eastAsia"/>
          <w:color w:val="3D3D3C"/>
          <w:kern w:val="0"/>
          <w:sz w:val="32"/>
          <w:szCs w:val="32"/>
          <w:shd w:val="clear" w:color="auto" w:fill="FFFFFF"/>
        </w:rPr>
        <w:t>4.75万</w:t>
      </w:r>
      <w:r>
        <w:rPr>
          <w:rFonts w:hint="eastAsia" w:ascii="宋体" w:hAnsi="宋体"/>
          <w:sz w:val="32"/>
          <w:szCs w:val="32"/>
        </w:rPr>
        <w:t>元，其中一般公共预算拨款收入</w:t>
      </w:r>
      <w:r>
        <w:rPr>
          <w:rFonts w:hint="eastAsia"/>
          <w:color w:val="3D3D3C"/>
          <w:kern w:val="0"/>
          <w:sz w:val="32"/>
          <w:szCs w:val="32"/>
          <w:shd w:val="clear" w:color="auto" w:fill="FFFFFF"/>
        </w:rPr>
        <w:t>144.75万</w:t>
      </w:r>
      <w:r>
        <w:rPr>
          <w:rFonts w:hint="eastAsia" w:ascii="宋体" w:hAnsi="宋体"/>
          <w:sz w:val="32"/>
          <w:szCs w:val="32"/>
        </w:rPr>
        <w:t>元、政府性基金拨款收入0万元，2019年本部门财政拨款收入较上年增加34.74万元，主要原因:1是工资基数上调，工资福利支出增加，2是本部门新增下属事业单位</w:t>
      </w:r>
      <w:r>
        <w:rPr>
          <w:rFonts w:hint="eastAsia" w:cs="Times New Roman"/>
          <w:color w:val="3D3D3C"/>
          <w:kern w:val="0"/>
          <w:sz w:val="32"/>
          <w:szCs w:val="32"/>
          <w:shd w:val="clear" w:color="auto" w:fill="FFFFFF"/>
        </w:rPr>
        <w:t>蓝田县节能监察监测中心，新增</w:t>
      </w:r>
      <w:r>
        <w:rPr>
          <w:rFonts w:hint="eastAsia" w:ascii="宋体" w:hAnsi="宋体"/>
          <w:sz w:val="32"/>
          <w:szCs w:val="32"/>
        </w:rPr>
        <w:t>5名事业干部和一名公务员，3是基本养老保险单位缴费部分纳入部门预算。</w:t>
      </w:r>
    </w:p>
    <w:p w14:paraId="7C4BEB95">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ascii="宋体" w:hAnsi="宋体"/>
          <w:sz w:val="32"/>
          <w:szCs w:val="32"/>
        </w:rPr>
        <w:t>2019年本部门财政拨款支出14</w:t>
      </w:r>
      <w:r>
        <w:rPr>
          <w:rFonts w:hint="eastAsia"/>
          <w:color w:val="3D3D3C"/>
          <w:kern w:val="0"/>
          <w:sz w:val="32"/>
          <w:szCs w:val="32"/>
          <w:shd w:val="clear" w:color="auto" w:fill="FFFFFF"/>
        </w:rPr>
        <w:t>4.75万</w:t>
      </w:r>
      <w:r>
        <w:rPr>
          <w:rFonts w:hint="eastAsia" w:ascii="宋体" w:hAnsi="宋体"/>
          <w:sz w:val="32"/>
          <w:szCs w:val="32"/>
        </w:rPr>
        <w:t>元，其中一般公共预算拨款支出</w:t>
      </w:r>
      <w:r>
        <w:rPr>
          <w:rFonts w:hint="eastAsia"/>
          <w:color w:val="3D3D3C"/>
          <w:kern w:val="0"/>
          <w:sz w:val="32"/>
          <w:szCs w:val="32"/>
          <w:shd w:val="clear" w:color="auto" w:fill="FFFFFF"/>
        </w:rPr>
        <w:t>144.75万</w:t>
      </w:r>
      <w:r>
        <w:rPr>
          <w:rFonts w:hint="eastAsia" w:ascii="宋体" w:hAnsi="宋体"/>
          <w:sz w:val="32"/>
          <w:szCs w:val="32"/>
        </w:rPr>
        <w:t>元、政府性基金拨款支出0万元，2019年本部门财政拨款支出较上年增加34.74万元，主要原因: 1是工资基数上调，工资福利支出增加，2是本部门新增下属事业单位</w:t>
      </w:r>
      <w:r>
        <w:rPr>
          <w:rFonts w:hint="eastAsia" w:cs="Times New Roman"/>
          <w:color w:val="3D3D3C"/>
          <w:kern w:val="0"/>
          <w:sz w:val="32"/>
          <w:szCs w:val="32"/>
          <w:shd w:val="clear" w:color="auto" w:fill="FFFFFF"/>
        </w:rPr>
        <w:t>蓝田县节能监察监测中心，新增</w:t>
      </w:r>
      <w:r>
        <w:rPr>
          <w:rFonts w:hint="eastAsia" w:ascii="宋体" w:hAnsi="宋体"/>
          <w:sz w:val="32"/>
          <w:szCs w:val="32"/>
        </w:rPr>
        <w:t>5名事业干部和一名公务员， 3是基本养老保险单位缴费部分纳入部门预算。</w:t>
      </w:r>
    </w:p>
    <w:p w14:paraId="175146F1">
      <w:pPr>
        <w:pBdr>
          <w:bottom w:val="single" w:color="FFFFFF" w:sz="4" w:space="31"/>
        </w:pBdr>
        <w:tabs>
          <w:tab w:val="left" w:pos="7380"/>
        </w:tabs>
        <w:autoSpaceDE w:val="0"/>
        <w:autoSpaceDN w:val="0"/>
        <w:adjustRightInd w:val="0"/>
        <w:snapToGrid w:val="0"/>
        <w:spacing w:line="360" w:lineRule="auto"/>
        <w:ind w:firstLine="320" w:firstLineChars="100"/>
        <w:rPr>
          <w:rFonts w:hint="eastAsia"/>
          <w:color w:val="3D3D3C"/>
          <w:kern w:val="0"/>
          <w:sz w:val="32"/>
          <w:szCs w:val="32"/>
          <w:highlight w:val="yellow"/>
          <w:shd w:val="clear" w:color="auto" w:fill="FFFFFF"/>
        </w:rPr>
      </w:pPr>
      <w:r>
        <w:rPr>
          <w:rFonts w:hint="eastAsia"/>
          <w:color w:val="3D3D3C"/>
          <w:kern w:val="0"/>
          <w:sz w:val="32"/>
          <w:szCs w:val="32"/>
          <w:shd w:val="clear" w:color="auto" w:fill="FFFFFF"/>
        </w:rPr>
        <w:t>（三）一般公共预算拨款支出明细情况</w:t>
      </w:r>
    </w:p>
    <w:p w14:paraId="438E94CF">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highlight w:val="green"/>
          <w:shd w:val="clear" w:color="auto" w:fill="FFFFFF"/>
        </w:rPr>
      </w:pPr>
      <w:r>
        <w:rPr>
          <w:rFonts w:hint="eastAsia"/>
          <w:color w:val="3D3D3C"/>
          <w:kern w:val="0"/>
          <w:sz w:val="32"/>
          <w:szCs w:val="32"/>
          <w:shd w:val="clear" w:color="auto" w:fill="FFFFFF"/>
        </w:rPr>
        <w:t>1、一般公共预算当年拨款规模变化情况</w:t>
      </w:r>
    </w:p>
    <w:p w14:paraId="729FB906">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2019年本部门一般公共预算拨款支出144.75万元，较上年增加34.74万元，增加了31.6%；增加主要原因为：（1）往年社保单位缴纳部分由社保部门预算，2019年纳入部门单位预算；（2）单位新增5名事业干部和1名公务员；（3）人员工资调整。</w:t>
      </w:r>
    </w:p>
    <w:p w14:paraId="7B6B46E1">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2、支出按功能科目分类的明细情况</w:t>
      </w:r>
    </w:p>
    <w:p w14:paraId="195EAF34">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本部门2019年一般公共预算支出144.75万元</w:t>
      </w:r>
    </w:p>
    <w:p w14:paraId="171D53BF">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行政运行（2010401）2019年120.40万元，2018年110.01万元，比上年增加了9%，主要原因为工资调整。</w:t>
      </w:r>
    </w:p>
    <w:p w14:paraId="75B752BD">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机关事业单位基本养老保险缴费支出（2080505）18.41万元，比上年增加18.41万元，原因是：往年社保单位缴纳部分由社保部门预算，2019年纳入部门单位预算。</w:t>
      </w:r>
    </w:p>
    <w:p w14:paraId="29C487F5">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机关事业单位职业年金缴费支出（2080506）5.11万元，比上年增加5.11万元，原因为：往年社保单位缴纳部分由社保部门预算，2019年纳入部门单位预算。</w:t>
      </w:r>
    </w:p>
    <w:p w14:paraId="131BD0BE">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kern w:val="0"/>
          <w:sz w:val="32"/>
          <w:szCs w:val="32"/>
          <w:shd w:val="clear" w:color="auto" w:fill="FFFFFF"/>
        </w:rPr>
      </w:pPr>
      <w:r>
        <w:rPr>
          <w:rFonts w:hint="eastAsia"/>
          <w:color w:val="3D3D3C"/>
          <w:kern w:val="0"/>
          <w:sz w:val="32"/>
          <w:szCs w:val="32"/>
          <w:shd w:val="clear" w:color="auto" w:fill="FFFFFF"/>
        </w:rPr>
        <w:t>3、支出按经济科目分类的明细情况</w:t>
      </w:r>
    </w:p>
    <w:p w14:paraId="150F8877">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kern w:val="0"/>
          <w:sz w:val="32"/>
          <w:szCs w:val="32"/>
          <w:shd w:val="clear" w:color="auto" w:fill="FFFFFF"/>
        </w:rPr>
      </w:pPr>
      <w:r>
        <w:rPr>
          <w:rFonts w:hint="eastAsia"/>
          <w:color w:val="3D3D3C"/>
          <w:kern w:val="0"/>
          <w:sz w:val="32"/>
          <w:szCs w:val="32"/>
          <w:shd w:val="clear" w:color="auto" w:fill="FFFFFF"/>
        </w:rPr>
        <w:t>（1）</w:t>
      </w:r>
      <w:r>
        <w:rPr>
          <w:rFonts w:hint="eastAsia" w:ascii="宋体" w:hAnsi="宋体"/>
          <w:sz w:val="32"/>
          <w:szCs w:val="32"/>
        </w:rPr>
        <w:t>按照部门预算支出经济分类的类级科目说明</w:t>
      </w:r>
    </w:p>
    <w:p w14:paraId="60BEE179">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2019年本部门一般公共预算支出144.75万元，其中：</w:t>
      </w:r>
    </w:p>
    <w:p w14:paraId="7628C3D1">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工资福利支出: 2019年工资福利支出107.00万元，2018年工资福利支出97.00万元，比上年增加了10%。增加原因主要是2019年人员增加及工资普调。往年社保单位缴纳部分由社保部门预算，2019年纳入部门单位预算。</w:t>
      </w:r>
    </w:p>
    <w:p w14:paraId="622667A2">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商品服务支出：2019年商品服务支出13.40万元,2018年商品服务支出12.60万元，比上年增加了6%。增加原因主要是人员增加。</w:t>
      </w:r>
    </w:p>
    <w:p w14:paraId="58652919">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对个人和家庭补助支出：2019年对个人和家庭补助支出0.84万元，2018年对个人和家庭补助支出0.42万元，同比增加了0.42万元，增加原因为：本年新增遗属一名。</w:t>
      </w:r>
    </w:p>
    <w:p w14:paraId="3D8A182F">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kern w:val="0"/>
          <w:sz w:val="32"/>
          <w:szCs w:val="32"/>
          <w:shd w:val="clear" w:color="auto" w:fill="FFFFFF"/>
        </w:rPr>
      </w:pPr>
      <w:r>
        <w:rPr>
          <w:rFonts w:hint="eastAsia"/>
          <w:color w:val="3D3D3C"/>
          <w:kern w:val="0"/>
          <w:sz w:val="32"/>
          <w:szCs w:val="32"/>
          <w:shd w:val="clear" w:color="auto" w:fill="FFFFFF"/>
        </w:rPr>
        <w:t>（2）按照政府预算支出经济分类的类级科目分</w:t>
      </w:r>
    </w:p>
    <w:p w14:paraId="63542FE5">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2019年本部门一般公共预算支出144.75万元，其中：</w:t>
      </w:r>
    </w:p>
    <w:p w14:paraId="13D4C84B">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机关工资福利支出2019年107.00万元，较上年增加了10万元。增加原因主要是人员增加及工资普调。</w:t>
      </w:r>
    </w:p>
    <w:p w14:paraId="39A7F0C3">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机关商品和服务支出13.40万元，较上年增加了0.8万元</w:t>
      </w:r>
      <w:r>
        <w:rPr>
          <w:rFonts w:hint="eastAsia" w:ascii="宋体" w:hAnsi="宋体" w:eastAsia="宋体" w:cs="宋体"/>
          <w:kern w:val="0"/>
          <w:sz w:val="32"/>
          <w:szCs w:val="32"/>
        </w:rPr>
        <w:t>。</w:t>
      </w:r>
      <w:r>
        <w:rPr>
          <w:rFonts w:hint="eastAsia"/>
          <w:color w:val="3D3D3C"/>
          <w:kern w:val="0"/>
          <w:sz w:val="32"/>
          <w:szCs w:val="32"/>
          <w:shd w:val="clear" w:color="auto" w:fill="FFFFFF"/>
        </w:rPr>
        <w:t>增加原因主要人员增加，公用经费相应增加。</w:t>
      </w:r>
    </w:p>
    <w:p w14:paraId="74152496">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社会保障支出：23.51万元，比上年增加了23.51万元，增加的原因是：往年社保单位缴纳部分由社保部门预算，2019年纳入部门单位预算。</w:t>
      </w:r>
    </w:p>
    <w:p w14:paraId="060AAC8C">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u w:val="single"/>
          <w:shd w:val="clear" w:color="auto" w:fill="FFFFFF"/>
        </w:rPr>
      </w:pPr>
      <w:r>
        <w:rPr>
          <w:rFonts w:hint="eastAsia"/>
          <w:color w:val="3D3D3C"/>
          <w:kern w:val="0"/>
          <w:sz w:val="32"/>
          <w:szCs w:val="32"/>
          <w:shd w:val="clear" w:color="auto" w:fill="FFFFFF"/>
        </w:rPr>
        <w:t>社会福利和救助：0.84万元，较上年增加了0.42万元，增加了50%，原因是新增遗属一名。</w:t>
      </w:r>
    </w:p>
    <w:p w14:paraId="6E633381">
      <w:pPr>
        <w:pBdr>
          <w:bottom w:val="single" w:color="FFFFFF" w:sz="4" w:space="31"/>
        </w:pBdr>
        <w:tabs>
          <w:tab w:val="left" w:pos="7380"/>
        </w:tabs>
        <w:autoSpaceDE w:val="0"/>
        <w:autoSpaceDN w:val="0"/>
        <w:adjustRightInd w:val="0"/>
        <w:snapToGrid w:val="0"/>
        <w:spacing w:line="360" w:lineRule="auto"/>
        <w:ind w:firstLine="960" w:firstLineChars="300"/>
        <w:rPr>
          <w:rFonts w:ascii="宋体" w:hAnsi="宋体"/>
          <w:sz w:val="32"/>
          <w:szCs w:val="32"/>
        </w:rPr>
      </w:pPr>
      <w:r>
        <w:rPr>
          <w:rFonts w:hint="eastAsia"/>
          <w:color w:val="3D3D3C"/>
          <w:kern w:val="0"/>
          <w:sz w:val="32"/>
          <w:szCs w:val="32"/>
          <w:shd w:val="clear" w:color="auto" w:fill="FFFFFF"/>
        </w:rPr>
        <w:t>（四）</w:t>
      </w:r>
      <w:r>
        <w:rPr>
          <w:rFonts w:hint="eastAsia" w:ascii="宋体" w:hAnsi="宋体"/>
          <w:sz w:val="32"/>
          <w:szCs w:val="32"/>
        </w:rPr>
        <w:t>政府性基金预算支出情况。</w:t>
      </w:r>
    </w:p>
    <w:p w14:paraId="0AF7E650">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本部门无政府性基金预算收支，并已公开空表。</w:t>
      </w:r>
    </w:p>
    <w:p w14:paraId="2E4F25C2">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（五）</w:t>
      </w:r>
      <w:r>
        <w:rPr>
          <w:rFonts w:hint="eastAsia" w:ascii="宋体" w:hAnsi="宋体"/>
          <w:sz w:val="32"/>
          <w:szCs w:val="32"/>
        </w:rPr>
        <w:t>国有资本经营预算拨款收支情况</w:t>
      </w:r>
      <w:r>
        <w:rPr>
          <w:rFonts w:hint="eastAsia"/>
          <w:color w:val="3D3D3C"/>
          <w:kern w:val="0"/>
          <w:sz w:val="32"/>
          <w:szCs w:val="32"/>
          <w:shd w:val="clear" w:color="auto" w:fill="FFFFFF"/>
        </w:rPr>
        <w:t>。</w:t>
      </w:r>
    </w:p>
    <w:p w14:paraId="69BB2327">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ascii="宋体" w:hAnsi="宋体"/>
          <w:sz w:val="32"/>
          <w:szCs w:val="32"/>
        </w:rPr>
        <w:t>本部门无国有资本经营预算拨款收支。</w:t>
      </w:r>
    </w:p>
    <w:p w14:paraId="3956C2FE">
      <w:pPr>
        <w:pBdr>
          <w:bottom w:val="single" w:color="FFFFFF" w:sz="4" w:space="31"/>
        </w:pBdr>
        <w:tabs>
          <w:tab w:val="left" w:pos="7380"/>
        </w:tabs>
        <w:autoSpaceDE w:val="0"/>
        <w:autoSpaceDN w:val="0"/>
        <w:adjustRightInd w:val="0"/>
        <w:snapToGrid w:val="0"/>
        <w:spacing w:line="360" w:lineRule="auto"/>
        <w:ind w:firstLine="960" w:firstLineChars="300"/>
        <w:rPr>
          <w:rFonts w:ascii="宋体" w:hAnsi="宋体"/>
          <w:sz w:val="32"/>
          <w:szCs w:val="32"/>
        </w:rPr>
      </w:pPr>
      <w:r>
        <w:rPr>
          <w:rFonts w:hint="eastAsia" w:ascii="宋体" w:hAnsi="宋体"/>
          <w:sz w:val="32"/>
          <w:szCs w:val="32"/>
        </w:rPr>
        <w:t>（六）“三公”经费等预算情况。</w:t>
      </w:r>
    </w:p>
    <w:p w14:paraId="764A053B">
      <w:pPr>
        <w:pBdr>
          <w:bottom w:val="single" w:color="FFFFFF" w:sz="4" w:space="31"/>
        </w:pBdr>
        <w:tabs>
          <w:tab w:val="left" w:pos="7380"/>
        </w:tabs>
        <w:autoSpaceDE w:val="0"/>
        <w:autoSpaceDN w:val="0"/>
        <w:adjustRightInd w:val="0"/>
        <w:snapToGrid w:val="0"/>
        <w:spacing w:line="360" w:lineRule="auto"/>
        <w:ind w:firstLine="960" w:firstLineChars="300"/>
        <w:rPr>
          <w:rFonts w:ascii="宋体" w:hAnsi="宋体"/>
          <w:sz w:val="32"/>
          <w:szCs w:val="32"/>
        </w:rPr>
      </w:pPr>
      <w:r>
        <w:rPr>
          <w:rFonts w:hint="eastAsia" w:ascii="宋体" w:hAnsi="宋体"/>
          <w:sz w:val="32"/>
          <w:szCs w:val="32"/>
        </w:rPr>
        <w:t>2019年本部门一般公共预算“三公”经费预算支出2.68万元，比上年增加1.88万元。主要是来我县考察项目投资的活动增加，同时项目投资、治污减霾、散煤消减、光伏发电等工作需协调检查指导，公务接待费和公务用车运行维护费都相应增加。</w:t>
      </w:r>
    </w:p>
    <w:p w14:paraId="0B93DA8A">
      <w:pPr>
        <w:pBdr>
          <w:bottom w:val="single" w:color="FFFFFF" w:sz="4" w:space="31"/>
        </w:pBdr>
        <w:tabs>
          <w:tab w:val="left" w:pos="7380"/>
        </w:tabs>
        <w:autoSpaceDE w:val="0"/>
        <w:autoSpaceDN w:val="0"/>
        <w:adjustRightInd w:val="0"/>
        <w:snapToGrid w:val="0"/>
        <w:spacing w:line="360" w:lineRule="auto"/>
        <w:ind w:firstLine="960" w:firstLineChars="300"/>
        <w:rPr>
          <w:rFonts w:ascii="宋体" w:hAnsi="宋体"/>
          <w:sz w:val="32"/>
          <w:szCs w:val="32"/>
        </w:rPr>
      </w:pPr>
      <w:r>
        <w:rPr>
          <w:rFonts w:hint="eastAsia" w:ascii="宋体" w:hAnsi="宋体"/>
          <w:sz w:val="32"/>
          <w:szCs w:val="32"/>
        </w:rPr>
        <w:t>其中公务接待费0.9万元，比上年增加0.4万元，主要是来我县考察项目投资的活动增加；</w:t>
      </w:r>
    </w:p>
    <w:p w14:paraId="66BFFF79">
      <w:pPr>
        <w:pBdr>
          <w:bottom w:val="single" w:color="FFFFFF" w:sz="4" w:space="31"/>
        </w:pBdr>
        <w:tabs>
          <w:tab w:val="left" w:pos="7380"/>
        </w:tabs>
        <w:autoSpaceDE w:val="0"/>
        <w:autoSpaceDN w:val="0"/>
        <w:adjustRightInd w:val="0"/>
        <w:snapToGrid w:val="0"/>
        <w:spacing w:line="360" w:lineRule="auto"/>
        <w:ind w:firstLine="960" w:firstLineChars="300"/>
        <w:rPr>
          <w:rFonts w:ascii="宋体" w:hAnsi="宋体"/>
          <w:sz w:val="32"/>
          <w:szCs w:val="32"/>
        </w:rPr>
      </w:pPr>
      <w:r>
        <w:rPr>
          <w:rFonts w:hint="eastAsia" w:ascii="宋体" w:hAnsi="宋体"/>
          <w:sz w:val="32"/>
          <w:szCs w:val="32"/>
        </w:rPr>
        <w:t>公务用车运行维护费1.78万元，比上年增加1.48万元，主要是项目投资、治污减霾散煤消减、光伏发电等工作需协调检查指导。</w:t>
      </w:r>
    </w:p>
    <w:p w14:paraId="6D217DCA">
      <w:pPr>
        <w:pBdr>
          <w:bottom w:val="single" w:color="FFFFFF" w:sz="4" w:space="31"/>
        </w:pBdr>
        <w:tabs>
          <w:tab w:val="left" w:pos="7380"/>
        </w:tabs>
        <w:autoSpaceDE w:val="0"/>
        <w:autoSpaceDN w:val="0"/>
        <w:adjustRightInd w:val="0"/>
        <w:snapToGrid w:val="0"/>
        <w:spacing w:line="360" w:lineRule="auto"/>
        <w:ind w:firstLine="960" w:firstLineChars="300"/>
        <w:rPr>
          <w:rFonts w:ascii="宋体" w:hAnsi="宋体"/>
          <w:sz w:val="32"/>
          <w:szCs w:val="32"/>
        </w:rPr>
      </w:pPr>
      <w:r>
        <w:rPr>
          <w:rFonts w:hint="eastAsia" w:ascii="宋体" w:hAnsi="宋体"/>
          <w:sz w:val="32"/>
          <w:szCs w:val="32"/>
        </w:rPr>
        <w:t>2018年和2019年本部门无因公出国（境）费和公务用车购置费。</w:t>
      </w:r>
    </w:p>
    <w:p w14:paraId="7C2FCE65">
      <w:pPr>
        <w:pBdr>
          <w:bottom w:val="single" w:color="FFFFFF" w:sz="4" w:space="31"/>
        </w:pBdr>
        <w:tabs>
          <w:tab w:val="left" w:pos="7380"/>
        </w:tabs>
        <w:autoSpaceDE w:val="0"/>
        <w:autoSpaceDN w:val="0"/>
        <w:adjustRightInd w:val="0"/>
        <w:snapToGrid w:val="0"/>
        <w:spacing w:line="360" w:lineRule="auto"/>
        <w:ind w:firstLine="960" w:firstLineChars="300"/>
        <w:rPr>
          <w:rFonts w:ascii="宋体" w:hAnsi="宋体"/>
          <w:sz w:val="32"/>
          <w:szCs w:val="32"/>
        </w:rPr>
      </w:pPr>
      <w:r>
        <w:rPr>
          <w:rFonts w:hint="eastAsia" w:ascii="宋体" w:hAnsi="宋体"/>
          <w:sz w:val="32"/>
          <w:szCs w:val="32"/>
        </w:rPr>
        <w:t>2019年会议费预算支出1.05万元，比上年增加0.75万元。增加原因是我县的项目投资活动增加。</w:t>
      </w:r>
    </w:p>
    <w:p w14:paraId="469110D7">
      <w:pPr>
        <w:pBdr>
          <w:bottom w:val="single" w:color="FFFFFF" w:sz="4" w:space="31"/>
        </w:pBdr>
        <w:tabs>
          <w:tab w:val="left" w:pos="7380"/>
        </w:tabs>
        <w:autoSpaceDE w:val="0"/>
        <w:autoSpaceDN w:val="0"/>
        <w:adjustRightInd w:val="0"/>
        <w:snapToGrid w:val="0"/>
        <w:spacing w:line="360" w:lineRule="auto"/>
        <w:ind w:firstLine="960" w:firstLineChars="300"/>
        <w:rPr>
          <w:rFonts w:ascii="宋体" w:hAnsi="宋体"/>
          <w:sz w:val="32"/>
          <w:szCs w:val="32"/>
        </w:rPr>
      </w:pPr>
      <w:r>
        <w:rPr>
          <w:rFonts w:hint="eastAsia" w:ascii="宋体" w:hAnsi="宋体"/>
          <w:sz w:val="32"/>
          <w:szCs w:val="32"/>
        </w:rPr>
        <w:t>2019年培训费预算支出0.1万元，比上年减少0.2万元，主要是加大网络培训力度，节约培训费支出。</w:t>
      </w:r>
    </w:p>
    <w:p w14:paraId="186745EE">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kern w:val="0"/>
          <w:sz w:val="32"/>
          <w:szCs w:val="32"/>
          <w:shd w:val="clear" w:color="auto" w:fill="FFFFFF"/>
        </w:rPr>
      </w:pPr>
      <w:r>
        <w:rPr>
          <w:rFonts w:hint="eastAsia"/>
          <w:color w:val="3D3D3C"/>
          <w:kern w:val="0"/>
          <w:sz w:val="32"/>
          <w:szCs w:val="32"/>
          <w:shd w:val="clear" w:color="auto" w:fill="FFFFFF"/>
        </w:rPr>
        <w:t>（七）机关运行经费安排情况</w:t>
      </w:r>
    </w:p>
    <w:p w14:paraId="59217DDE">
      <w:pPr>
        <w:pBdr>
          <w:bottom w:val="single" w:color="FFFFFF" w:sz="4" w:space="31"/>
        </w:pBdr>
        <w:tabs>
          <w:tab w:val="left" w:pos="7380"/>
        </w:tabs>
        <w:autoSpaceDE w:val="0"/>
        <w:autoSpaceDN w:val="0"/>
        <w:adjustRightInd w:val="0"/>
        <w:snapToGrid w:val="0"/>
        <w:spacing w:line="360" w:lineRule="auto"/>
        <w:ind w:firstLine="800" w:firstLineChars="250"/>
        <w:rPr>
          <w:rFonts w:hint="eastAsia"/>
          <w:color w:val="3D3D3C"/>
          <w:kern w:val="0"/>
          <w:sz w:val="32"/>
          <w:szCs w:val="32"/>
          <w:shd w:val="clear" w:color="auto" w:fill="FFFFFF"/>
        </w:rPr>
      </w:pPr>
      <w:r>
        <w:rPr>
          <w:rFonts w:hint="eastAsia"/>
          <w:color w:val="3D3D3C"/>
          <w:kern w:val="0"/>
          <w:sz w:val="32"/>
          <w:szCs w:val="32"/>
          <w:shd w:val="clear" w:color="auto" w:fill="FFFFFF"/>
        </w:rPr>
        <w:t>本部门2019年机关运行经费预算安排1.34万元，比上年增加了0.8万元，增加原因主要是2019年人员增加，人员经费相应增加。</w:t>
      </w:r>
    </w:p>
    <w:p w14:paraId="1F7C8EEC">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（八）政府采购情况。</w:t>
      </w:r>
    </w:p>
    <w:p w14:paraId="162FAECB">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本部门2019年无政府采购预算，并已公开空表。</w:t>
      </w:r>
    </w:p>
    <w:p w14:paraId="613041F7">
      <w:pPr>
        <w:pBdr>
          <w:bottom w:val="single" w:color="FFFFFF" w:sz="4" w:space="31"/>
        </w:pBdr>
        <w:tabs>
          <w:tab w:val="left" w:pos="7380"/>
        </w:tabs>
        <w:autoSpaceDE w:val="0"/>
        <w:autoSpaceDN w:val="0"/>
        <w:adjustRightInd w:val="0"/>
        <w:snapToGrid w:val="0"/>
        <w:spacing w:line="360" w:lineRule="auto"/>
        <w:ind w:firstLine="960" w:firstLineChars="300"/>
        <w:rPr>
          <w:rFonts w:hint="eastAsia"/>
          <w:color w:val="3D3D3C"/>
          <w:kern w:val="0"/>
          <w:sz w:val="32"/>
          <w:szCs w:val="32"/>
          <w:shd w:val="clear" w:color="auto" w:fill="FFFFFF"/>
        </w:rPr>
      </w:pPr>
      <w:r>
        <w:rPr>
          <w:rFonts w:hint="eastAsia"/>
          <w:color w:val="3D3D3C"/>
          <w:kern w:val="0"/>
          <w:sz w:val="32"/>
          <w:szCs w:val="32"/>
          <w:shd w:val="clear" w:color="auto" w:fill="FFFFFF"/>
        </w:rPr>
        <w:t>八、专业名词解释</w:t>
      </w:r>
    </w:p>
    <w:p w14:paraId="296DCF16">
      <w:pPr>
        <w:pBdr>
          <w:bottom w:val="single" w:color="FFFFFF" w:sz="4" w:space="31"/>
        </w:pBdr>
        <w:tabs>
          <w:tab w:val="left" w:pos="7380"/>
        </w:tabs>
        <w:autoSpaceDE w:val="0"/>
        <w:autoSpaceDN w:val="0"/>
        <w:adjustRightInd w:val="0"/>
        <w:snapToGrid w:val="0"/>
        <w:spacing w:line="360" w:lineRule="auto"/>
        <w:ind w:firstLine="1600" w:firstLineChars="500"/>
        <w:rPr>
          <w:rFonts w:hint="eastAsia"/>
          <w:color w:val="3D3D3C"/>
          <w:kern w:val="0"/>
          <w:sz w:val="32"/>
          <w:szCs w:val="32"/>
          <w:shd w:val="clear" w:color="auto" w:fill="FFFFFF"/>
        </w:rPr>
      </w:pPr>
      <w:r>
        <w:rPr>
          <w:rFonts w:hint="eastAsia"/>
          <w:color w:val="3D3D3C"/>
          <w:kern w:val="0"/>
          <w:sz w:val="32"/>
          <w:szCs w:val="32"/>
          <w:shd w:val="clear" w:color="auto" w:fill="FFFFFF"/>
        </w:rPr>
        <w:t>1、机关运行经费：指各部门的公用经费，包括办公及印刷费、邮电费、差旅费、会议费、福利费、日常维修费、专用材料及一般设备购置费、办公用房水电费、办公用房取暖费、办公用房物业管理费、公务用车运行维护费以及其他费用。</w:t>
      </w:r>
    </w:p>
    <w:p w14:paraId="3B7902E4">
      <w:pPr>
        <w:pBdr>
          <w:bottom w:val="single" w:color="FFFFFF" w:sz="4" w:space="31"/>
        </w:pBdr>
        <w:tabs>
          <w:tab w:val="left" w:pos="7380"/>
        </w:tabs>
        <w:autoSpaceDE w:val="0"/>
        <w:autoSpaceDN w:val="0"/>
        <w:adjustRightInd w:val="0"/>
        <w:snapToGrid w:val="0"/>
        <w:spacing w:line="360" w:lineRule="auto"/>
        <w:ind w:firstLine="1280" w:firstLineChars="400"/>
        <w:rPr>
          <w:rFonts w:hint="eastAsia"/>
          <w:color w:val="3D3D3C"/>
          <w:kern w:val="0"/>
          <w:sz w:val="32"/>
          <w:szCs w:val="32"/>
          <w:shd w:val="clear" w:color="auto" w:fill="FFFFFF"/>
        </w:rPr>
      </w:pPr>
      <w:r>
        <w:rPr>
          <w:rFonts w:hint="eastAsia"/>
          <w:color w:val="3D3D3C"/>
          <w:kern w:val="0"/>
          <w:sz w:val="32"/>
          <w:szCs w:val="32"/>
          <w:shd w:val="clear" w:color="auto" w:fill="FFFFFF"/>
        </w:rPr>
        <w:t>2、基本支出：指为保障机构正常运转、完成日常工作任务而发生的各项支出。</w:t>
      </w:r>
    </w:p>
    <w:p w14:paraId="133DBB96">
      <w:pPr>
        <w:pBdr>
          <w:bottom w:val="single" w:color="FFFFFF" w:sz="4" w:space="31"/>
        </w:pBdr>
        <w:tabs>
          <w:tab w:val="left" w:pos="7380"/>
        </w:tabs>
        <w:autoSpaceDE w:val="0"/>
        <w:autoSpaceDN w:val="0"/>
        <w:adjustRightInd w:val="0"/>
        <w:snapToGrid w:val="0"/>
        <w:spacing w:line="360" w:lineRule="auto"/>
        <w:ind w:firstLine="1280" w:firstLineChars="400"/>
        <w:rPr>
          <w:rFonts w:hint="eastAsia"/>
          <w:color w:val="3D3D3C"/>
          <w:kern w:val="0"/>
          <w:sz w:val="32"/>
          <w:szCs w:val="32"/>
          <w:shd w:val="clear" w:color="auto" w:fill="FFFFFF"/>
        </w:rPr>
      </w:pPr>
      <w:r>
        <w:rPr>
          <w:rFonts w:hint="eastAsia"/>
          <w:color w:val="3D3D3C"/>
          <w:kern w:val="0"/>
          <w:sz w:val="32"/>
          <w:szCs w:val="32"/>
          <w:shd w:val="clear" w:color="auto" w:fill="FFFFFF"/>
        </w:rPr>
        <w:t>3、项目支出：指单位为完成特定的行政工作任务或事业发展目标所发生的各项支出。</w:t>
      </w:r>
    </w:p>
    <w:p w14:paraId="0538B4F2">
      <w:pPr>
        <w:pBdr>
          <w:bottom w:val="single" w:color="FFFFFF" w:sz="4" w:space="31"/>
        </w:pBdr>
        <w:tabs>
          <w:tab w:val="left" w:pos="7380"/>
        </w:tabs>
        <w:autoSpaceDE w:val="0"/>
        <w:autoSpaceDN w:val="0"/>
        <w:adjustRightInd w:val="0"/>
        <w:snapToGrid w:val="0"/>
        <w:spacing w:line="360" w:lineRule="auto"/>
        <w:ind w:firstLine="1280" w:firstLineChars="400"/>
        <w:rPr>
          <w:rFonts w:hint="eastAsia"/>
          <w:color w:val="3D3D3C"/>
          <w:kern w:val="0"/>
          <w:sz w:val="32"/>
          <w:szCs w:val="32"/>
          <w:shd w:val="clear" w:color="auto" w:fill="FFFFFF"/>
        </w:rPr>
      </w:pPr>
      <w:r>
        <w:rPr>
          <w:rFonts w:hint="eastAsia"/>
          <w:color w:val="3D3D3C"/>
          <w:kern w:val="0"/>
          <w:sz w:val="32"/>
          <w:szCs w:val="32"/>
          <w:shd w:val="clear" w:color="auto" w:fill="FFFFFF"/>
        </w:rPr>
        <w:t>4、“三公”经费：指部门使用一般公共预算财政拨款安排的因公出国（境）费、公务用车购置及运行费和公务接待费支出。</w:t>
      </w:r>
    </w:p>
    <w:p w14:paraId="7EFEFD36">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kern w:val="0"/>
          <w:sz w:val="32"/>
          <w:szCs w:val="32"/>
          <w:shd w:val="clear" w:color="auto" w:fill="FFFFFF"/>
        </w:rPr>
      </w:pPr>
      <w:r>
        <w:rPr>
          <w:rFonts w:hint="eastAsia"/>
          <w:color w:val="3D3D3C"/>
          <w:kern w:val="0"/>
          <w:sz w:val="32"/>
          <w:szCs w:val="32"/>
          <w:shd w:val="clear" w:color="auto" w:fill="FFFFFF"/>
        </w:rPr>
        <w:t>部门预算表</w:t>
      </w:r>
    </w:p>
    <w:p w14:paraId="27A0C9E6">
      <w:pPr>
        <w:pBdr>
          <w:bottom w:val="single" w:color="FFFFFF" w:sz="4" w:space="31"/>
        </w:pBdr>
        <w:tabs>
          <w:tab w:val="left" w:pos="7380"/>
        </w:tabs>
        <w:autoSpaceDE w:val="0"/>
        <w:autoSpaceDN w:val="0"/>
        <w:adjustRightInd w:val="0"/>
        <w:snapToGrid w:val="0"/>
        <w:spacing w:line="360" w:lineRule="auto"/>
        <w:ind w:firstLine="640" w:firstLineChars="200"/>
        <w:rPr>
          <w:rFonts w:hint="eastAsia"/>
          <w:color w:val="3D3D3C"/>
          <w:kern w:val="0"/>
          <w:sz w:val="32"/>
          <w:szCs w:val="32"/>
          <w:shd w:val="clear" w:color="auto" w:fill="FFFFFF"/>
        </w:rPr>
      </w:pPr>
      <w:r>
        <w:rPr>
          <w:rFonts w:hint="eastAsia"/>
          <w:color w:val="3D3D3C"/>
          <w:kern w:val="0"/>
          <w:sz w:val="32"/>
          <w:szCs w:val="32"/>
          <w:shd w:val="clear" w:color="auto" w:fill="FFFFFF"/>
        </w:rPr>
        <w:t>附：蓝田县发改委2019年预算公开表。</w:t>
      </w:r>
    </w:p>
    <w:p w14:paraId="214A959B">
      <w:pPr>
        <w:pBdr>
          <w:bottom w:val="single" w:color="FFFFFF" w:sz="4" w:space="31"/>
        </w:pBdr>
        <w:tabs>
          <w:tab w:val="left" w:pos="7380"/>
        </w:tabs>
        <w:autoSpaceDE w:val="0"/>
        <w:autoSpaceDN w:val="0"/>
        <w:adjustRightInd w:val="0"/>
        <w:snapToGrid w:val="0"/>
        <w:spacing w:line="360" w:lineRule="auto"/>
        <w:ind w:firstLine="5600" w:firstLineChars="1750"/>
        <w:rPr>
          <w:rFonts w:hint="eastAsia"/>
          <w:color w:val="3D3D3C"/>
          <w:kern w:val="0"/>
          <w:sz w:val="32"/>
          <w:szCs w:val="32"/>
          <w:shd w:val="clear" w:color="auto" w:fill="FFFFFF"/>
        </w:rPr>
      </w:pPr>
      <w:r>
        <w:rPr>
          <w:rFonts w:hint="eastAsia"/>
          <w:color w:val="3D3D3C"/>
          <w:kern w:val="0"/>
          <w:sz w:val="32"/>
          <w:szCs w:val="32"/>
          <w:shd w:val="clear" w:color="auto" w:fill="FFFFFF"/>
        </w:rPr>
        <w:t>蓝田县发改委</w:t>
      </w:r>
    </w:p>
    <w:p w14:paraId="295A6244">
      <w:pPr>
        <w:pBdr>
          <w:bottom w:val="single" w:color="FFFFFF" w:sz="4" w:space="31"/>
        </w:pBdr>
        <w:tabs>
          <w:tab w:val="left" w:pos="7380"/>
        </w:tabs>
        <w:autoSpaceDE w:val="0"/>
        <w:autoSpaceDN w:val="0"/>
        <w:adjustRightInd w:val="0"/>
        <w:snapToGrid w:val="0"/>
        <w:spacing w:line="360" w:lineRule="auto"/>
        <w:ind w:firstLine="5440" w:firstLineChars="1700"/>
        <w:rPr>
          <w:rFonts w:hint="eastAsia"/>
          <w:color w:val="3D3D3C"/>
          <w:kern w:val="0"/>
          <w:sz w:val="32"/>
          <w:szCs w:val="32"/>
          <w:shd w:val="clear" w:color="auto" w:fill="FFFFFF"/>
        </w:rPr>
      </w:pPr>
      <w:r>
        <w:rPr>
          <w:rFonts w:hint="eastAsia"/>
          <w:color w:val="3D3D3C"/>
          <w:kern w:val="0"/>
          <w:sz w:val="32"/>
          <w:szCs w:val="32"/>
          <w:shd w:val="clear" w:color="auto" w:fill="FFFFFF"/>
        </w:rPr>
        <w:t>2019年2月15日</w:t>
      </w:r>
    </w:p>
    <w:p w14:paraId="51F5DFFC">
      <w:pPr>
        <w:pBdr>
          <w:bottom w:val="single" w:color="FFFFFF" w:sz="4" w:space="31"/>
        </w:pBdr>
        <w:tabs>
          <w:tab w:val="left" w:pos="7380"/>
        </w:tabs>
        <w:autoSpaceDE w:val="0"/>
        <w:autoSpaceDN w:val="0"/>
        <w:adjustRightInd w:val="0"/>
        <w:snapToGrid w:val="0"/>
        <w:spacing w:line="360" w:lineRule="auto"/>
        <w:rPr>
          <w:rFonts w:hint="eastAsia"/>
          <w:color w:val="3D3D3C"/>
          <w:kern w:val="0"/>
          <w:sz w:val="32"/>
          <w:szCs w:val="32"/>
          <w:highlight w:val="green"/>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EDC355"/>
    <w:multiLevelType w:val="singleLevel"/>
    <w:tmpl w:val="66EDC355"/>
    <w:lvl w:ilvl="0" w:tentative="0">
      <w:start w:val="1"/>
      <w:numFmt w:val="chineseCounting"/>
      <w:suff w:val="nothing"/>
      <w:lvlText w:val="（%1）"/>
      <w:lvlJc w:val="left"/>
      <w:rPr>
        <w:rFonts w:hint="eastAsia"/>
      </w:rPr>
    </w:lvl>
  </w:abstractNum>
  <w:abstractNum w:abstractNumId="1">
    <w:nsid w:val="6C9D50E1"/>
    <w:multiLevelType w:val="singleLevel"/>
    <w:tmpl w:val="6C9D50E1"/>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WJlYjhkM2E2OTkyOWZhYjU4NmFhNjkxNjgyYWQ0ZmYifQ=="/>
  </w:docVars>
  <w:rsids>
    <w:rsidRoot w:val="60606F6C"/>
    <w:rsid w:val="00002FA2"/>
    <w:rsid w:val="00015F1E"/>
    <w:rsid w:val="0003268C"/>
    <w:rsid w:val="000E72D7"/>
    <w:rsid w:val="0013798F"/>
    <w:rsid w:val="00154343"/>
    <w:rsid w:val="00155951"/>
    <w:rsid w:val="001D2C73"/>
    <w:rsid w:val="001E47EC"/>
    <w:rsid w:val="002448C8"/>
    <w:rsid w:val="002A7715"/>
    <w:rsid w:val="002B7895"/>
    <w:rsid w:val="002F669B"/>
    <w:rsid w:val="0030149E"/>
    <w:rsid w:val="00301DF0"/>
    <w:rsid w:val="00302C12"/>
    <w:rsid w:val="003062DA"/>
    <w:rsid w:val="00307933"/>
    <w:rsid w:val="003959CB"/>
    <w:rsid w:val="003D7396"/>
    <w:rsid w:val="00490FEC"/>
    <w:rsid w:val="004B2B85"/>
    <w:rsid w:val="004F2967"/>
    <w:rsid w:val="004F7AB0"/>
    <w:rsid w:val="00502181"/>
    <w:rsid w:val="00592174"/>
    <w:rsid w:val="005A1EC6"/>
    <w:rsid w:val="006111ED"/>
    <w:rsid w:val="00632ACB"/>
    <w:rsid w:val="00686DEC"/>
    <w:rsid w:val="006C2A1C"/>
    <w:rsid w:val="006E6431"/>
    <w:rsid w:val="007602A9"/>
    <w:rsid w:val="00796337"/>
    <w:rsid w:val="00797D39"/>
    <w:rsid w:val="007C11A6"/>
    <w:rsid w:val="007D4107"/>
    <w:rsid w:val="007E7393"/>
    <w:rsid w:val="007F1623"/>
    <w:rsid w:val="00843D22"/>
    <w:rsid w:val="00867EF4"/>
    <w:rsid w:val="008771A5"/>
    <w:rsid w:val="00893446"/>
    <w:rsid w:val="008D797E"/>
    <w:rsid w:val="008F0661"/>
    <w:rsid w:val="008F30F6"/>
    <w:rsid w:val="00934E38"/>
    <w:rsid w:val="00944C14"/>
    <w:rsid w:val="00974041"/>
    <w:rsid w:val="00981925"/>
    <w:rsid w:val="009D4B2F"/>
    <w:rsid w:val="00A2460B"/>
    <w:rsid w:val="00A447D3"/>
    <w:rsid w:val="00B078BD"/>
    <w:rsid w:val="00B10270"/>
    <w:rsid w:val="00B33132"/>
    <w:rsid w:val="00B332F4"/>
    <w:rsid w:val="00B64F35"/>
    <w:rsid w:val="00B724EF"/>
    <w:rsid w:val="00BA3325"/>
    <w:rsid w:val="00BA6C4C"/>
    <w:rsid w:val="00BC17FB"/>
    <w:rsid w:val="00BE101F"/>
    <w:rsid w:val="00C37EB6"/>
    <w:rsid w:val="00C42EB8"/>
    <w:rsid w:val="00CC4CED"/>
    <w:rsid w:val="00CD232E"/>
    <w:rsid w:val="00CD7E2C"/>
    <w:rsid w:val="00D32E61"/>
    <w:rsid w:val="00D5052D"/>
    <w:rsid w:val="00D70C80"/>
    <w:rsid w:val="00D807A5"/>
    <w:rsid w:val="00D93ADF"/>
    <w:rsid w:val="00D93B03"/>
    <w:rsid w:val="00DF1478"/>
    <w:rsid w:val="00E30666"/>
    <w:rsid w:val="00E43AAF"/>
    <w:rsid w:val="00E73D5A"/>
    <w:rsid w:val="00E76079"/>
    <w:rsid w:val="00E821D2"/>
    <w:rsid w:val="00EA69C5"/>
    <w:rsid w:val="00EA7235"/>
    <w:rsid w:val="00EB5FBF"/>
    <w:rsid w:val="00EE20EF"/>
    <w:rsid w:val="00F425CF"/>
    <w:rsid w:val="00F708E4"/>
    <w:rsid w:val="00F9033A"/>
    <w:rsid w:val="00FE7550"/>
    <w:rsid w:val="0B9507B5"/>
    <w:rsid w:val="1A006E25"/>
    <w:rsid w:val="211676BE"/>
    <w:rsid w:val="26DD2626"/>
    <w:rsid w:val="28BD47B6"/>
    <w:rsid w:val="339303F5"/>
    <w:rsid w:val="459946F3"/>
    <w:rsid w:val="471C257F"/>
    <w:rsid w:val="50C94570"/>
    <w:rsid w:val="516B25F0"/>
    <w:rsid w:val="60606F6C"/>
    <w:rsid w:val="6123776A"/>
    <w:rsid w:val="6A3C0205"/>
    <w:rsid w:val="6E2D3FC5"/>
    <w:rsid w:val="6F257852"/>
    <w:rsid w:val="79E251DF"/>
    <w:rsid w:val="7D0328F2"/>
    <w:rsid w:val="7E817D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7"/>
    <w:qFormat/>
    <w:uiPriority w:val="0"/>
    <w:rPr>
      <w:sz w:val="18"/>
      <w:szCs w:val="18"/>
    </w:rPr>
  </w:style>
  <w:style w:type="paragraph" w:styleId="3">
    <w:name w:val="footer"/>
    <w:basedOn w:val="1"/>
    <w:link w:val="15"/>
    <w:qFormat/>
    <w:uiPriority w:val="0"/>
    <w:pPr>
      <w:tabs>
        <w:tab w:val="center" w:pos="4153"/>
        <w:tab w:val="right" w:pos="8306"/>
      </w:tabs>
      <w:snapToGrid w:val="0"/>
      <w:jc w:val="left"/>
    </w:pPr>
    <w:rPr>
      <w:sz w:val="18"/>
    </w:rPr>
  </w:style>
  <w:style w:type="paragraph" w:styleId="4">
    <w:name w:val="header"/>
    <w:basedOn w:val="1"/>
    <w:link w:val="1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jc w:val="left"/>
    </w:pPr>
    <w:rPr>
      <w:rFonts w:cs="Times New Roman"/>
      <w:kern w:val="0"/>
      <w:sz w:val="24"/>
    </w:rPr>
  </w:style>
  <w:style w:type="character" w:styleId="8">
    <w:name w:val="FollowedHyperlink"/>
    <w:basedOn w:val="7"/>
    <w:qFormat/>
    <w:uiPriority w:val="0"/>
    <w:rPr>
      <w:color w:val="6F6F6F"/>
      <w:u w:val="none"/>
    </w:rPr>
  </w:style>
  <w:style w:type="character" w:styleId="9">
    <w:name w:val="Emphasis"/>
    <w:basedOn w:val="7"/>
    <w:qFormat/>
    <w:uiPriority w:val="0"/>
  </w:style>
  <w:style w:type="character" w:styleId="10">
    <w:name w:val="Hyperlink"/>
    <w:basedOn w:val="7"/>
    <w:qFormat/>
    <w:uiPriority w:val="0"/>
    <w:rPr>
      <w:color w:val="6F6F6F"/>
      <w:u w:val="none"/>
    </w:rPr>
  </w:style>
  <w:style w:type="character" w:styleId="11">
    <w:name w:val="HTML Code"/>
    <w:basedOn w:val="7"/>
    <w:qFormat/>
    <w:uiPriority w:val="0"/>
    <w:rPr>
      <w:rFonts w:ascii="Courier New" w:hAnsi="Courier New"/>
      <w:sz w:val="20"/>
    </w:rPr>
  </w:style>
  <w:style w:type="character" w:styleId="12">
    <w:name w:val="HTML Cite"/>
    <w:basedOn w:val="7"/>
    <w:qFormat/>
    <w:uiPriority w:val="0"/>
  </w:style>
  <w:style w:type="paragraph" w:customStyle="1" w:styleId="13">
    <w:name w:val="_Style 11"/>
    <w:basedOn w:val="1"/>
    <w:next w:val="1"/>
    <w:qFormat/>
    <w:uiPriority w:val="0"/>
    <w:pPr>
      <w:pBdr>
        <w:bottom w:val="single" w:color="auto" w:sz="6" w:space="1"/>
      </w:pBdr>
      <w:jc w:val="center"/>
    </w:pPr>
    <w:rPr>
      <w:rFonts w:ascii="Arial" w:eastAsia="宋体"/>
      <w:vanish/>
      <w:sz w:val="16"/>
    </w:rPr>
  </w:style>
  <w:style w:type="paragraph" w:customStyle="1" w:styleId="14">
    <w:name w:val="_Style 12"/>
    <w:basedOn w:val="1"/>
    <w:next w:val="1"/>
    <w:qFormat/>
    <w:uiPriority w:val="0"/>
    <w:pPr>
      <w:pBdr>
        <w:top w:val="single" w:color="auto" w:sz="6" w:space="1"/>
      </w:pBdr>
      <w:jc w:val="center"/>
    </w:pPr>
    <w:rPr>
      <w:rFonts w:ascii="Arial" w:eastAsia="宋体"/>
      <w:vanish/>
      <w:sz w:val="16"/>
    </w:rPr>
  </w:style>
  <w:style w:type="character" w:customStyle="1" w:styleId="15">
    <w:name w:val="页脚 Char"/>
    <w:basedOn w:val="7"/>
    <w:link w:val="3"/>
    <w:qFormat/>
    <w:uiPriority w:val="0"/>
    <w:rPr>
      <w:kern w:val="2"/>
      <w:sz w:val="18"/>
      <w:szCs w:val="18"/>
    </w:rPr>
  </w:style>
  <w:style w:type="character" w:customStyle="1" w:styleId="16">
    <w:name w:val="页眉 Char"/>
    <w:basedOn w:val="7"/>
    <w:link w:val="4"/>
    <w:qFormat/>
    <w:uiPriority w:val="0"/>
    <w:rPr>
      <w:kern w:val="2"/>
      <w:sz w:val="18"/>
      <w:szCs w:val="18"/>
    </w:rPr>
  </w:style>
  <w:style w:type="character" w:customStyle="1" w:styleId="17">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1457;&#25913;&#22996;&#39044;&#31639;&#20844;&#24320;%20-%20&#21103;&#26412;.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1816929133858"/>
          <c:y val="0.0768401866433363"/>
          <c:w val="0.878183070866142"/>
          <c:h val="0.649001166520854"/>
        </c:manualLayout>
      </c:layout>
      <c:barChart>
        <c:barDir val="col"/>
        <c:grouping val="clustered"/>
        <c:varyColors val="0"/>
        <c:ser>
          <c:idx val="0"/>
          <c:order val="0"/>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multiLvlStrRef>
              <c:f>Sheet1!$E$10:$F$13</c:f>
              <c:multiLvlStrCache>
                <c:ptCount val="4"/>
                <c:lvl>
                  <c:pt idx="0">
                    <c:v>行政编制</c:v>
                  </c:pt>
                  <c:pt idx="1">
                    <c:v>行政实有</c:v>
                  </c:pt>
                  <c:pt idx="2">
                    <c:v>事业编制</c:v>
                  </c:pt>
                  <c:pt idx="3">
                    <c:v>事业实有</c:v>
                  </c:pt>
                </c:lvl>
                <c:lvl>
                  <c:pt idx="0">
                    <c:v>单位人员情况</c:v>
                  </c:pt>
                </c:lvl>
              </c:multiLvlStrCache>
            </c:multiLvlStrRef>
          </c:cat>
          <c:val>
            <c:numRef>
              <c:f>Sheet1!$G$10:$G$13</c:f>
              <c:numCache>
                <c:formatCode>General</c:formatCode>
                <c:ptCount val="4"/>
                <c:pt idx="0">
                  <c:v>15</c:v>
                </c:pt>
                <c:pt idx="1">
                  <c:v>13</c:v>
                </c:pt>
                <c:pt idx="2">
                  <c:v>10</c:v>
                </c:pt>
                <c:pt idx="3">
                  <c:v>5</c:v>
                </c:pt>
              </c:numCache>
            </c:numRef>
          </c:val>
        </c:ser>
        <c:dLbls>
          <c:showLegendKey val="0"/>
          <c:showVal val="1"/>
          <c:showCatName val="0"/>
          <c:showSerName val="0"/>
          <c:showPercent val="0"/>
          <c:showBubbleSize val="0"/>
        </c:dLbls>
        <c:gapWidth val="150"/>
        <c:axId val="106187008"/>
        <c:axId val="123067008"/>
      </c:barChart>
      <c:catAx>
        <c:axId val="106187008"/>
        <c:scaling>
          <c:orientation val="minMax"/>
        </c:scaling>
        <c:delete val="0"/>
        <c:axPos val="b"/>
        <c:majorGridlines/>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23067008"/>
        <c:crosses val="autoZero"/>
        <c:auto val="1"/>
        <c:lblAlgn val="ctr"/>
        <c:lblOffset val="100"/>
        <c:noMultiLvlLbl val="0"/>
      </c:catAx>
      <c:valAx>
        <c:axId val="12306700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06187008"/>
        <c:crosses val="autoZero"/>
        <c:crossBetween val="between"/>
      </c:valAx>
      <c:spPr>
        <a:solidFill>
          <a:schemeClr val="bg1"/>
        </a:solidFill>
        <a:ln>
          <a:noFill/>
        </a:ln>
        <a:effectLst/>
      </c:spPr>
    </c:plotArea>
    <c:plotVisOnly val="1"/>
    <c:dispBlanksAs val="gap"/>
    <c:showDLblsOverMax val="0"/>
    <c:extLst>
      <c:ext uri="{0b15fc19-7d7d-44ad-8c2d-2c3a37ce22c3}">
        <chartProps xmlns="https://web.wps.cn/et/2018/main" chartId="{4c41ebeb-c445-413a-9e13-c1a42329924b}"/>
      </c:ext>
    </c:extLst>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79A67E-F855-47D4-B7C5-ADB717EF35F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388</Words>
  <Characters>391</Characters>
  <Lines>37</Lines>
  <Paragraphs>10</Paragraphs>
  <TotalTime>62</TotalTime>
  <ScaleCrop>false</ScaleCrop>
  <LinksUpToDate>false</LinksUpToDate>
  <CharactersWithSpaces>391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2019-05-07T00:38:00Z</dcterms:created>
  <dc:creator>李帅</dc:creator>
  <cp:lastModifiedBy>Administrator</cp:lastModifiedBy>
  <dcterms:modified xsi:type="dcterms:W3CDTF">2024-11-15T09:20:07Z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C652DD9F2E3C4660863E525F4FF99CE8_12</vt:lpwstr>
  </property>
</Properties>
</file>