
<file path=[Content_Types].xml><?xml version="1.0" encoding="utf-8"?>
<Types xmlns="http://schemas.openxmlformats.org/package/2006/content-types">
  <Default Extension="xls" ContentType="application/vnd.ms-excel"/>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5F7A5B">
      <w:pPr>
        <w:spacing w:line="360" w:lineRule="auto"/>
        <w:jc w:val="center"/>
        <w:rPr>
          <w:rFonts w:ascii="黑体" w:hAnsi="黑体" w:eastAsia="黑体" w:cs="黑体"/>
          <w:sz w:val="32"/>
          <w:szCs w:val="32"/>
        </w:rPr>
      </w:pPr>
      <w:r>
        <w:rPr>
          <w:rFonts w:hint="eastAsia" w:ascii="黑体" w:hAnsi="黑体" w:eastAsia="黑体" w:cs="黑体"/>
          <w:sz w:val="32"/>
          <w:szCs w:val="32"/>
        </w:rPr>
        <w:t>中共蓝田县委巡察工作领导小组办公室</w:t>
      </w:r>
    </w:p>
    <w:p w14:paraId="58A5CA78">
      <w:pPr>
        <w:spacing w:line="360" w:lineRule="auto"/>
        <w:ind w:firstLine="640"/>
        <w:jc w:val="center"/>
        <w:rPr>
          <w:rFonts w:hint="eastAsia" w:ascii="黑体" w:hAnsi="黑体" w:eastAsia="黑体" w:cs="黑体"/>
          <w:sz w:val="32"/>
          <w:szCs w:val="32"/>
        </w:rPr>
      </w:pPr>
      <w:r>
        <w:rPr>
          <w:rFonts w:hint="eastAsia" w:ascii="黑体" w:hAnsi="黑体" w:eastAsia="黑体" w:cs="黑体"/>
          <w:sz w:val="32"/>
          <w:szCs w:val="32"/>
        </w:rPr>
        <w:t>2020年部门综合预算说明</w:t>
      </w:r>
    </w:p>
    <w:p w14:paraId="2FFC4C62">
      <w:pPr>
        <w:spacing w:line="360" w:lineRule="auto"/>
        <w:ind w:firstLine="643"/>
        <w:jc w:val="center"/>
        <w:rPr>
          <w:rFonts w:hint="eastAsia" w:ascii="仿宋" w:hAnsi="仿宋" w:eastAsia="仿宋" w:cs="仿宋"/>
          <w:b/>
          <w:bCs/>
          <w:sz w:val="32"/>
          <w:szCs w:val="32"/>
        </w:rPr>
      </w:pPr>
    </w:p>
    <w:p w14:paraId="2E9F805C">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目  录</w:t>
      </w:r>
    </w:p>
    <w:p w14:paraId="33BC10CF">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第一部分   部门概况</w:t>
      </w:r>
    </w:p>
    <w:p w14:paraId="4CF95035">
      <w:pPr>
        <w:spacing w:line="360" w:lineRule="auto"/>
        <w:ind w:firstLine="640"/>
        <w:rPr>
          <w:rFonts w:ascii="仿宋" w:hAnsi="仿宋" w:eastAsia="仿宋" w:cs="仿宋"/>
          <w:sz w:val="32"/>
          <w:szCs w:val="32"/>
        </w:rPr>
      </w:pPr>
      <w:r>
        <w:rPr>
          <w:rFonts w:hint="eastAsia" w:ascii="仿宋" w:hAnsi="仿宋" w:eastAsia="仿宋" w:cs="仿宋"/>
          <w:sz w:val="32"/>
          <w:szCs w:val="32"/>
        </w:rPr>
        <w:t>一、部门主要职责及机构设置</w:t>
      </w:r>
    </w:p>
    <w:p w14:paraId="0BB86936">
      <w:pPr>
        <w:spacing w:line="360" w:lineRule="auto"/>
        <w:ind w:firstLine="640"/>
        <w:rPr>
          <w:rFonts w:ascii="仿宋" w:hAnsi="仿宋" w:eastAsia="仿宋" w:cs="仿宋"/>
          <w:sz w:val="32"/>
          <w:szCs w:val="32"/>
        </w:rPr>
      </w:pPr>
      <w:r>
        <w:rPr>
          <w:rFonts w:hint="eastAsia" w:ascii="仿宋" w:hAnsi="仿宋" w:eastAsia="仿宋" w:cs="仿宋"/>
          <w:sz w:val="32"/>
          <w:szCs w:val="32"/>
        </w:rPr>
        <w:t>二、2020年年度部门工作任务</w:t>
      </w:r>
    </w:p>
    <w:p w14:paraId="41095B68">
      <w:pPr>
        <w:spacing w:line="360" w:lineRule="auto"/>
        <w:ind w:firstLine="640"/>
        <w:rPr>
          <w:rFonts w:ascii="仿宋" w:hAnsi="仿宋" w:eastAsia="仿宋" w:cs="仿宋"/>
          <w:sz w:val="32"/>
          <w:szCs w:val="32"/>
        </w:rPr>
      </w:pPr>
      <w:r>
        <w:rPr>
          <w:rFonts w:hint="eastAsia" w:ascii="仿宋" w:hAnsi="仿宋" w:eastAsia="仿宋" w:cs="仿宋"/>
          <w:sz w:val="32"/>
          <w:szCs w:val="32"/>
        </w:rPr>
        <w:t>三、部门预算单位构成</w:t>
      </w:r>
    </w:p>
    <w:p w14:paraId="7300C877">
      <w:pPr>
        <w:spacing w:line="360" w:lineRule="auto"/>
        <w:ind w:firstLine="640"/>
        <w:rPr>
          <w:rFonts w:ascii="仿宋" w:hAnsi="仿宋" w:eastAsia="仿宋" w:cs="仿宋"/>
          <w:sz w:val="32"/>
          <w:szCs w:val="32"/>
        </w:rPr>
      </w:pPr>
      <w:r>
        <w:rPr>
          <w:rFonts w:hint="eastAsia" w:ascii="仿宋" w:hAnsi="仿宋" w:eastAsia="仿宋" w:cs="仿宋"/>
          <w:sz w:val="32"/>
          <w:szCs w:val="32"/>
        </w:rPr>
        <w:t>四、部门人员情况说明</w:t>
      </w:r>
    </w:p>
    <w:p w14:paraId="7DD267F5">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14:paraId="07F863A2">
      <w:pPr>
        <w:spacing w:line="360" w:lineRule="auto"/>
        <w:ind w:firstLine="640"/>
        <w:rPr>
          <w:rFonts w:ascii="仿宋" w:hAnsi="仿宋" w:eastAsia="仿宋" w:cs="仿宋"/>
          <w:sz w:val="32"/>
          <w:szCs w:val="32"/>
        </w:rPr>
      </w:pPr>
      <w:r>
        <w:rPr>
          <w:rFonts w:hint="eastAsia" w:ascii="仿宋" w:hAnsi="仿宋" w:eastAsia="仿宋" w:cs="仿宋"/>
          <w:sz w:val="32"/>
          <w:szCs w:val="32"/>
        </w:rPr>
        <w:t>五、2020年部门预算收支说明</w:t>
      </w:r>
    </w:p>
    <w:p w14:paraId="553C0A80">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14:paraId="39A5062F">
      <w:pPr>
        <w:spacing w:line="360" w:lineRule="auto"/>
        <w:ind w:firstLine="640"/>
        <w:rPr>
          <w:rFonts w:ascii="仿宋" w:hAnsi="仿宋" w:eastAsia="仿宋" w:cs="仿宋"/>
          <w:sz w:val="32"/>
          <w:szCs w:val="32"/>
        </w:rPr>
      </w:pPr>
      <w:r>
        <w:rPr>
          <w:rFonts w:hint="eastAsia" w:ascii="仿宋" w:hAnsi="仿宋" w:eastAsia="仿宋" w:cs="仿宋"/>
          <w:sz w:val="32"/>
          <w:szCs w:val="32"/>
        </w:rPr>
        <w:t>六、部门预算“三公”经费等情况说明</w:t>
      </w:r>
    </w:p>
    <w:p w14:paraId="0A23C876">
      <w:pPr>
        <w:spacing w:line="360" w:lineRule="auto"/>
        <w:ind w:firstLine="640"/>
        <w:rPr>
          <w:rFonts w:ascii="仿宋" w:hAnsi="仿宋" w:eastAsia="仿宋" w:cs="仿宋"/>
          <w:sz w:val="32"/>
          <w:szCs w:val="32"/>
        </w:rPr>
      </w:pPr>
      <w:r>
        <w:rPr>
          <w:rFonts w:hint="eastAsia" w:ascii="仿宋" w:hAnsi="仿宋" w:eastAsia="仿宋" w:cs="仿宋"/>
          <w:sz w:val="32"/>
          <w:szCs w:val="32"/>
        </w:rPr>
        <w:t>七、部门国有资产占有使用及资产购置情况说明</w:t>
      </w:r>
    </w:p>
    <w:p w14:paraId="5F7C5875">
      <w:pPr>
        <w:spacing w:line="360" w:lineRule="auto"/>
        <w:ind w:firstLine="640"/>
        <w:rPr>
          <w:rFonts w:ascii="仿宋" w:hAnsi="仿宋" w:eastAsia="仿宋" w:cs="仿宋"/>
          <w:sz w:val="32"/>
          <w:szCs w:val="32"/>
        </w:rPr>
      </w:pPr>
      <w:r>
        <w:rPr>
          <w:rFonts w:hint="eastAsia" w:ascii="仿宋" w:hAnsi="仿宋" w:eastAsia="仿宋" w:cs="仿宋"/>
          <w:sz w:val="32"/>
          <w:szCs w:val="32"/>
        </w:rPr>
        <w:t>八、部门政府采购情况说明</w:t>
      </w:r>
    </w:p>
    <w:p w14:paraId="531C4411">
      <w:pPr>
        <w:spacing w:line="360" w:lineRule="auto"/>
        <w:ind w:firstLine="640"/>
        <w:rPr>
          <w:rFonts w:ascii="仿宋" w:hAnsi="仿宋" w:eastAsia="仿宋" w:cs="仿宋"/>
          <w:sz w:val="32"/>
          <w:szCs w:val="32"/>
        </w:rPr>
      </w:pPr>
      <w:r>
        <w:rPr>
          <w:rFonts w:hint="eastAsia" w:ascii="仿宋" w:hAnsi="仿宋" w:eastAsia="仿宋" w:cs="仿宋"/>
          <w:sz w:val="32"/>
          <w:szCs w:val="32"/>
        </w:rPr>
        <w:t>九、部门预算绩效目标说明</w:t>
      </w:r>
    </w:p>
    <w:p w14:paraId="5C19D9DA">
      <w:pPr>
        <w:spacing w:line="360" w:lineRule="auto"/>
        <w:ind w:firstLine="640"/>
        <w:rPr>
          <w:rFonts w:ascii="仿宋" w:hAnsi="仿宋" w:eastAsia="仿宋" w:cs="仿宋"/>
          <w:sz w:val="32"/>
          <w:szCs w:val="32"/>
        </w:rPr>
      </w:pPr>
      <w:r>
        <w:rPr>
          <w:rFonts w:hint="eastAsia" w:ascii="仿宋" w:hAnsi="仿宋" w:eastAsia="仿宋" w:cs="仿宋"/>
          <w:sz w:val="32"/>
          <w:szCs w:val="32"/>
        </w:rPr>
        <w:t>十、机关运行经费安排说明</w:t>
      </w:r>
    </w:p>
    <w:p w14:paraId="5D48FB41">
      <w:pPr>
        <w:spacing w:line="360" w:lineRule="auto"/>
        <w:ind w:firstLine="640"/>
        <w:rPr>
          <w:rFonts w:ascii="仿宋" w:hAnsi="仿宋" w:eastAsia="仿宋" w:cs="仿宋"/>
          <w:sz w:val="32"/>
          <w:szCs w:val="32"/>
        </w:rPr>
      </w:pPr>
      <w:r>
        <w:rPr>
          <w:rFonts w:hint="eastAsia" w:ascii="仿宋" w:hAnsi="仿宋" w:eastAsia="仿宋" w:cs="仿宋"/>
          <w:sz w:val="32"/>
          <w:szCs w:val="32"/>
        </w:rPr>
        <w:t>十一、专业名词解释</w:t>
      </w:r>
    </w:p>
    <w:p w14:paraId="67EEA89C">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第四部分   公开报表</w:t>
      </w:r>
    </w:p>
    <w:p w14:paraId="354E0A71">
      <w:pPr>
        <w:spacing w:line="360" w:lineRule="auto"/>
        <w:ind w:firstLine="640"/>
        <w:rPr>
          <w:rFonts w:ascii="仿宋" w:hAnsi="仿宋" w:eastAsia="仿宋" w:cs="仿宋"/>
          <w:sz w:val="32"/>
          <w:szCs w:val="32"/>
        </w:rPr>
      </w:pPr>
      <w:r>
        <w:rPr>
          <w:rFonts w:hint="eastAsia" w:ascii="仿宋" w:hAnsi="仿宋" w:eastAsia="仿宋" w:cs="仿宋"/>
          <w:sz w:val="32"/>
          <w:szCs w:val="32"/>
        </w:rPr>
        <w:t>（具体部门预算公开报表）</w:t>
      </w:r>
    </w:p>
    <w:p w14:paraId="15EF7F6E">
      <w:pPr>
        <w:spacing w:line="360" w:lineRule="auto"/>
        <w:ind w:firstLine="643"/>
        <w:jc w:val="center"/>
        <w:rPr>
          <w:rFonts w:hint="eastAsia" w:ascii="仿宋" w:hAnsi="仿宋" w:eastAsia="仿宋" w:cs="仿宋"/>
          <w:b/>
          <w:bCs/>
          <w:sz w:val="32"/>
          <w:szCs w:val="32"/>
        </w:rPr>
      </w:pPr>
    </w:p>
    <w:p w14:paraId="168B1426">
      <w:pPr>
        <w:spacing w:line="360" w:lineRule="auto"/>
        <w:ind w:firstLine="643"/>
        <w:jc w:val="center"/>
        <w:rPr>
          <w:rFonts w:hint="eastAsia" w:ascii="仿宋" w:hAnsi="仿宋" w:eastAsia="仿宋" w:cs="仿宋"/>
          <w:b/>
          <w:bCs/>
          <w:sz w:val="32"/>
          <w:szCs w:val="32"/>
        </w:rPr>
      </w:pPr>
    </w:p>
    <w:p w14:paraId="01BD5CFF">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第一部分  部门概况</w:t>
      </w:r>
    </w:p>
    <w:p w14:paraId="5C5404F5">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一、部门主要职责及机构设置</w:t>
      </w:r>
    </w:p>
    <w:p w14:paraId="3C79EC15">
      <w:pPr>
        <w:adjustRightInd w:val="0"/>
        <w:snapToGrid w:val="0"/>
        <w:spacing w:line="360" w:lineRule="auto"/>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（一）部门主要职责</w:t>
      </w:r>
    </w:p>
    <w:p w14:paraId="6CF2DF05">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1、向巡察工作领导小组报告工作情况，传达贯彻落实巡察工作领导小组的决策和部署；</w:t>
      </w:r>
    </w:p>
    <w:p w14:paraId="23AF3AF2">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2、统筹、协调、指导巡察组开展工作；</w:t>
      </w:r>
    </w:p>
    <w:p w14:paraId="402F746B">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3、承担政策研究、制度建设等工作；</w:t>
      </w:r>
    </w:p>
    <w:p w14:paraId="1E800400">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4、落实县委和巡察工作领导小组决定的事项；</w:t>
      </w:r>
    </w:p>
    <w:p w14:paraId="7805E4A4">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5、对巡察整改落实情况及巡察移交事项进行督查、督办；</w:t>
      </w:r>
    </w:p>
    <w:p w14:paraId="46ABECDB">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6、协调纪检监察机关、政法机关和组织、审计、信访、网信等部门及其他单位向巡察组通报情况、提供协助支持、抓好成果运用等；</w:t>
      </w:r>
    </w:p>
    <w:p w14:paraId="32F0A13F">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7、按照干部管理权限和巡察工作的需要，做好巡察工作人员的培训、考核、监督和管理；</w:t>
      </w:r>
    </w:p>
    <w:p w14:paraId="656D88A7">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8、为巡察组开展工作提供保障；</w:t>
      </w:r>
    </w:p>
    <w:p w14:paraId="15A183B6">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9、向市委巡视工作领导小组报送工作规划、工作总结和工作信息等，配合做好省市巡视工作；</w:t>
      </w:r>
    </w:p>
    <w:p w14:paraId="1561DDE9">
      <w:pPr>
        <w:pStyle w:val="9"/>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10、办理巡察工作领导小组和上级机关交办的其他事项。</w:t>
      </w:r>
    </w:p>
    <w:p w14:paraId="6844AF22">
      <w:pPr>
        <w:pStyle w:val="9"/>
        <w:widowControl/>
        <w:shd w:val="clear" w:color="auto" w:fill="FFFFFF"/>
        <w:spacing w:before="0" w:beforeAutospacing="0" w:after="0" w:afterAutospacing="0"/>
        <w:ind w:firstLine="640" w:firstLineChars="200"/>
        <w:rPr>
          <w:rFonts w:hint="eastAsia" w:ascii="仿宋_GB2312" w:eastAsia="仿宋_GB2312"/>
          <w:sz w:val="32"/>
          <w:szCs w:val="32"/>
        </w:rPr>
      </w:pPr>
      <w:r>
        <w:rPr>
          <w:rFonts w:hint="eastAsia" w:ascii="仿宋_GB2312" w:hAnsi="仿宋_GB2312" w:eastAsia="仿宋_GB2312" w:cs="仿宋_GB2312"/>
          <w:color w:val="3D3D3C"/>
          <w:sz w:val="32"/>
          <w:szCs w:val="32"/>
          <w:shd w:val="clear" w:color="auto" w:fill="FFFFFF"/>
        </w:rPr>
        <w:t>（二）</w:t>
      </w:r>
      <w:r>
        <w:rPr>
          <w:rFonts w:hint="eastAsia" w:ascii="仿宋_GB2312" w:eastAsia="仿宋_GB2312"/>
          <w:sz w:val="32"/>
          <w:szCs w:val="32"/>
        </w:rPr>
        <w:t>机构设置</w:t>
      </w:r>
    </w:p>
    <w:p w14:paraId="2EE01C8D">
      <w:pPr>
        <w:pStyle w:val="9"/>
        <w:widowControl/>
        <w:shd w:val="clear" w:color="auto" w:fill="FFFFFF"/>
        <w:spacing w:before="0" w:beforeAutospacing="0" w:after="0" w:afterAutospacing="0"/>
        <w:ind w:firstLine="640" w:firstLineChars="200"/>
        <w:rPr>
          <w:rFonts w:ascii="仿宋_GB2312" w:eastAsia="仿宋_GB2312"/>
          <w:sz w:val="32"/>
          <w:szCs w:val="32"/>
        </w:rPr>
      </w:pPr>
      <w:r>
        <w:rPr>
          <w:rFonts w:hint="eastAsia" w:ascii="仿宋_GB2312" w:eastAsia="仿宋_GB2312"/>
          <w:sz w:val="32"/>
          <w:szCs w:val="32"/>
        </w:rPr>
        <w:t>本单位内设综合科、巡察指导科、整改监督科三个科室。</w:t>
      </w:r>
    </w:p>
    <w:p w14:paraId="67AD3F0D">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二、2020年度部门工作任务</w:t>
      </w:r>
    </w:p>
    <w:p w14:paraId="2F066748">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2020年是落实巡察工作全覆盖的决胜之年，县委巡察工作以习近平新时代中国特色社会主义思想为指导，以党章为根本遵循，进一步牢固树立“四个意识”，坚定“四个自信”，坚决做到“两个维护”，落实中央、省、市巡视巡察工作新要求，持续深化政治巡察，聚焦“六个围绕一个加强”，认真贯彻“发现问题、形成震慑，推动改革、促进发展”的巡视巡察工作方针，使全面从严治党向基层延伸，把管党治党政治责任落到实处，以巡察工作的实际成效促进追赶超越。</w:t>
      </w:r>
    </w:p>
    <w:p w14:paraId="62019EF1">
      <w:pPr>
        <w:ind w:firstLine="643" w:firstLineChars="200"/>
        <w:rPr>
          <w:rFonts w:ascii="楷体_GB2312" w:eastAsia="楷体_GB2312"/>
          <w:b/>
          <w:sz w:val="32"/>
          <w:szCs w:val="32"/>
        </w:rPr>
      </w:pPr>
      <w:r>
        <w:rPr>
          <w:rFonts w:hint="eastAsia" w:ascii="仿宋_GB2312" w:hAnsi="仿宋_GB2312" w:eastAsia="仿宋_GB2312" w:cs="仿宋_GB2312"/>
          <w:b/>
          <w:sz w:val="32"/>
          <w:szCs w:val="32"/>
        </w:rPr>
        <w:t>（一）坚持学习，创新工作方法</w:t>
      </w:r>
    </w:p>
    <w:p w14:paraId="5256C9F6">
      <w:pPr>
        <w:ind w:firstLine="640" w:firstLineChars="200"/>
        <w:rPr>
          <w:rFonts w:ascii="仿宋_GB2312" w:eastAsia="仿宋_GB2312"/>
          <w:sz w:val="32"/>
          <w:szCs w:val="32"/>
        </w:rPr>
      </w:pPr>
      <w:r>
        <w:rPr>
          <w:rFonts w:hint="eastAsia" w:ascii="仿宋_GB2312" w:eastAsia="仿宋_GB2312"/>
          <w:sz w:val="32"/>
          <w:szCs w:val="32"/>
        </w:rPr>
        <w:t>把习近平新时代中国特色社会主义思想作为首要学习任务，继续加强政治和业务学习，重点学习党章党规</w:t>
      </w:r>
      <w:bookmarkStart w:id="0" w:name="_GoBack"/>
      <w:bookmarkEnd w:id="0"/>
      <w:r>
        <w:rPr>
          <w:rFonts w:hint="eastAsia" w:ascii="仿宋_GB2312" w:eastAsia="仿宋_GB2312"/>
          <w:sz w:val="32"/>
          <w:szCs w:val="32"/>
        </w:rPr>
        <w:t>党纪等党的各项方针政策。将集体学习和自学相结合，使学习经常化、系统化，不断更新知识结构，为巡察工作提供坚实的理论基础。根据工作需要，开展多种形式的培训，采取走出去和请进来相结合的方式加强培训，进一步提高巡察人员的业务素质，做到边巡边学，以巡促学。同时认真总结巡察工作经验，积极探索创新工作方法，力争多出亮点。</w:t>
      </w:r>
    </w:p>
    <w:p w14:paraId="7369ED3F">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（二）积极推进，扎实开展巡察</w:t>
      </w:r>
    </w:p>
    <w:p w14:paraId="78C690D9">
      <w:pPr>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早动手、早谋划，开展常规巡察，分两轮</w:t>
      </w:r>
      <w:r>
        <w:rPr>
          <w:rFonts w:hint="eastAsia" w:ascii="仿宋_GB2312" w:hAnsi="仿宋_GB2312" w:eastAsia="仿宋_GB2312" w:cs="仿宋_GB2312"/>
          <w:sz w:val="32"/>
          <w:szCs w:val="32"/>
        </w:rPr>
        <w:t>对24家单位党组织进行巡察，保证按期完成全覆盖任务。同时，按照县委的安排做好</w:t>
      </w:r>
      <w:r>
        <w:rPr>
          <w:rFonts w:hint="eastAsia" w:ascii="仿宋_GB2312" w:eastAsia="仿宋_GB2312"/>
          <w:sz w:val="32"/>
          <w:szCs w:val="32"/>
        </w:rPr>
        <w:t>专项巡察、“回头看”巡察，不断深化政治巡察内涵、进一步提高巡察质量，总结工作经验，把巡察向村（居）延伸</w:t>
      </w:r>
      <w:r>
        <w:rPr>
          <w:rFonts w:hint="eastAsia" w:ascii="仿宋_GB2312" w:hAnsi="仿宋_GB2312" w:eastAsia="仿宋_GB2312" w:cs="仿宋_GB2312"/>
          <w:sz w:val="32"/>
          <w:szCs w:val="32"/>
        </w:rPr>
        <w:t>引向深入。</w:t>
      </w:r>
    </w:p>
    <w:p w14:paraId="56BDB78B">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（三）紧盯问题，压实整改落实</w:t>
      </w:r>
    </w:p>
    <w:p w14:paraId="4D5C4F3F">
      <w:pPr>
        <w:ind w:firstLine="640" w:firstLineChars="200"/>
        <w:rPr>
          <w:rFonts w:hint="eastAsia" w:ascii="仿宋_GB2312" w:eastAsia="仿宋_GB2312"/>
          <w:sz w:val="32"/>
          <w:szCs w:val="32"/>
        </w:rPr>
      </w:pPr>
      <w:r>
        <w:rPr>
          <w:rFonts w:hint="eastAsia" w:ascii="仿宋_GB2312" w:eastAsia="仿宋_GB2312"/>
          <w:sz w:val="32"/>
          <w:szCs w:val="32"/>
        </w:rPr>
        <w:t>巡察整改是巡察的关键，巡察不整改比不巡察的影响还要坏，我们将整改落实作为重点工作来抓，严格按照整改工作相关要求，督促被巡察单位落实整改主体责任和书记第一责任人的责任，建立问题台账，实行销号制度，明确责任领导，联合县纪委、组织部对反馈问题整改情况进行督促检查，经常深入被巡察单位，了解整改情况，督促问题办理，确保巡察的问题件件有着落，事事有回音，切实发挥巡察的震慑作用。</w:t>
      </w:r>
    </w:p>
    <w:p w14:paraId="75F55798">
      <w:pPr>
        <w:ind w:firstLine="643" w:firstLineChars="200"/>
        <w:rPr>
          <w:rFonts w:hint="eastAsia" w:ascii="仿宋_GB2312" w:eastAsia="仿宋_GB2312"/>
          <w:b/>
          <w:bCs/>
          <w:sz w:val="32"/>
          <w:szCs w:val="32"/>
        </w:rPr>
      </w:pPr>
      <w:r>
        <w:rPr>
          <w:rFonts w:hint="eastAsia" w:ascii="仿宋_GB2312" w:eastAsia="仿宋_GB2312"/>
          <w:b/>
          <w:bCs/>
          <w:sz w:val="32"/>
          <w:szCs w:val="32"/>
        </w:rPr>
        <w:t>（四）充实力量，加强队伍建设</w:t>
      </w:r>
    </w:p>
    <w:p w14:paraId="303EE1A3">
      <w:pPr>
        <w:pStyle w:val="4"/>
        <w:ind w:firstLine="645"/>
        <w:rPr>
          <w:rFonts w:ascii="仿宋_GB2312" w:eastAsia="仿宋_GB2312"/>
          <w:sz w:val="32"/>
          <w:szCs w:val="32"/>
        </w:rPr>
      </w:pPr>
      <w:r>
        <w:rPr>
          <w:rFonts w:hint="eastAsia" w:ascii="仿宋_GB2312" w:eastAsia="仿宋_GB2312"/>
          <w:sz w:val="32"/>
          <w:szCs w:val="32"/>
        </w:rPr>
        <w:t>2020年我们将充实组办巡察力量作为重要工作来抓，一方面通过招录公务员方式充实力量，另一方面积极协调县委组织部在全县公务员中选调一批政治素质高，业务能力强，具有斗争精神的优秀年轻干部充实到巡察队伍中来，选优配强巡察力量，为巡察工作高质量推进提供基本保障。不断加强人才库建设，更新巡察人才库，将年富力强，具有一定专业理论知识和工作经验的同志充实到人才库，</w:t>
      </w:r>
      <w:r>
        <w:rPr>
          <w:rFonts w:hint="eastAsia" w:ascii="仿宋" w:hAnsi="仿宋" w:eastAsia="仿宋" w:cs="宋体"/>
          <w:sz w:val="32"/>
          <w:szCs w:val="32"/>
        </w:rPr>
        <w:t>提高巡察干部的业务水平和工作能力，打造一支稳定的专业化巡察队伍。</w:t>
      </w:r>
    </w:p>
    <w:p w14:paraId="6EAC3A56">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（五）开展调研，促进巡察工作</w:t>
      </w:r>
    </w:p>
    <w:p w14:paraId="403B44A8">
      <w:pPr>
        <w:spacing w:line="360" w:lineRule="auto"/>
        <w:ind w:firstLine="643"/>
        <w:rPr>
          <w:rFonts w:hint="eastAsia" w:ascii="仿宋_GB2312" w:eastAsia="仿宋_GB2312"/>
          <w:sz w:val="32"/>
          <w:szCs w:val="32"/>
        </w:rPr>
      </w:pPr>
      <w:r>
        <w:rPr>
          <w:rFonts w:hint="eastAsia" w:ascii="仿宋_GB2312" w:eastAsia="仿宋_GB2312"/>
          <w:sz w:val="32"/>
          <w:szCs w:val="32"/>
        </w:rPr>
        <w:t>深入基层积极开展调查研究，通过走访座谈等方式，倾听群众声音，总结巡察工作经验，及时解决工作中存在的问题，形成高质量的调研报告，促进巡察工作高质量、全覆盖。</w:t>
      </w:r>
    </w:p>
    <w:p w14:paraId="2DBFEC83">
      <w:pPr>
        <w:spacing w:line="360" w:lineRule="auto"/>
        <w:ind w:firstLine="643"/>
        <w:rPr>
          <w:rFonts w:ascii="仿宋" w:hAnsi="仿宋" w:eastAsia="仿宋" w:cs="仿宋"/>
          <w:sz w:val="32"/>
          <w:szCs w:val="32"/>
        </w:rPr>
      </w:pPr>
      <w:r>
        <w:rPr>
          <w:rFonts w:hint="eastAsia" w:ascii="仿宋" w:hAnsi="仿宋" w:eastAsia="仿宋" w:cs="仿宋"/>
          <w:b/>
          <w:bCs/>
          <w:sz w:val="32"/>
          <w:szCs w:val="32"/>
        </w:rPr>
        <w:t>三、部门预算单位构成</w:t>
      </w:r>
    </w:p>
    <w:p w14:paraId="5965369A">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从预算单位构成看，本部门的部门预算包括部门本级（机关）预算，无二级预算单位。</w:t>
      </w:r>
    </w:p>
    <w:p w14:paraId="3876740F">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四、部门人员情况说明</w:t>
      </w:r>
    </w:p>
    <w:p w14:paraId="289009B6">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截止2019年底，本部门人员编制18人，其中行政编制18人；实有人员9人，其中行政9人。</w:t>
      </w:r>
    </w:p>
    <w:p w14:paraId="3B325CB2">
      <w:pPr>
        <w:spacing w:line="360" w:lineRule="auto"/>
        <w:ind w:firstLine="640"/>
        <w:rPr>
          <w:rFonts w:hint="eastAsia" w:ascii="仿宋" w:hAnsi="仿宋" w:eastAsia="仿宋" w:cs="仿宋"/>
          <w:b/>
          <w:bCs/>
          <w:sz w:val="32"/>
          <w:szCs w:val="32"/>
        </w:rPr>
      </w:pPr>
      <w:r>
        <w:rPr>
          <w:rFonts w:hint="eastAsia" w:ascii="仿宋" w:hAnsi="仿宋" w:eastAsia="仿宋" w:cs="仿宋"/>
          <w:sz w:val="32"/>
          <w:szCs w:val="32"/>
        </w:rPr>
        <w:object>
          <v:shape id="_x0000_i1025" o:spt="75" type="#_x0000_t75" style="height:194.25pt;width:354pt;" o:ole="t" filled="f" o:preferrelative="t" stroked="f" coordsize="21600,21600">
            <v:path/>
            <v:fill on="f" focussize="0,0"/>
            <v:stroke on="f" joinstyle="miter"/>
            <v:imagedata r:id="rId8" o:title=""/>
            <o:lock v:ext="edit" aspectratio="t"/>
            <w10:wrap type="none"/>
            <w10:anchorlock/>
          </v:shape>
          <o:OLEObject Type="Embed" ProgID="Excel.Chart.8" ShapeID="_x0000_i1025" DrawAspect="Content" ObjectID="_1468075725" r:id="rId7">
            <o:LockedField>false</o:LockedField>
          </o:OLEObject>
        </w:object>
      </w:r>
    </w:p>
    <w:p w14:paraId="405D7EFA">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14:paraId="200D9B7B">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五、2020年部门预算收支说明</w:t>
      </w:r>
    </w:p>
    <w:p w14:paraId="651953F4">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（一）收支预算总体情况。</w:t>
      </w:r>
    </w:p>
    <w:p w14:paraId="00DF57C6">
      <w:pPr>
        <w:spacing w:line="360" w:lineRule="auto"/>
        <w:ind w:firstLine="643"/>
        <w:rPr>
          <w:rFonts w:ascii="仿宋" w:hAnsi="仿宋" w:eastAsia="仿宋" w:cs="宋体"/>
          <w:color w:val="000000"/>
          <w:kern w:val="0"/>
          <w:sz w:val="32"/>
          <w:szCs w:val="32"/>
        </w:rPr>
      </w:pPr>
      <w:r>
        <w:rPr>
          <w:rFonts w:hint="eastAsia" w:ascii="仿宋" w:hAnsi="仿宋" w:eastAsia="仿宋" w:cs="宋体"/>
          <w:color w:val="000000"/>
          <w:kern w:val="0"/>
          <w:sz w:val="32"/>
          <w:szCs w:val="32"/>
        </w:rPr>
        <w:t>按照综合预算的原则，本部门所有收入和支出均纳入部门预算管理。</w:t>
      </w:r>
      <w:r>
        <w:rPr>
          <w:rFonts w:ascii="仿宋" w:hAnsi="仿宋" w:eastAsia="仿宋" w:cs="宋体"/>
          <w:color w:val="000000"/>
          <w:kern w:val="0"/>
          <w:sz w:val="32"/>
          <w:szCs w:val="32"/>
        </w:rPr>
        <w:t>20</w:t>
      </w:r>
      <w:r>
        <w:rPr>
          <w:rFonts w:hint="eastAsia" w:ascii="仿宋" w:hAnsi="仿宋" w:eastAsia="仿宋" w:cs="宋体"/>
          <w:color w:val="000000"/>
          <w:kern w:val="0"/>
          <w:sz w:val="32"/>
          <w:szCs w:val="32"/>
        </w:rPr>
        <w:t>20年部门预算收入99.74万元，其中一般公共预算拨款收入99.74万元，政府性基金拨款收入0万元，2020年本部门预算收入较上年64.27万元，增加了35.47万元，增加了35.62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。主要原因是：调入3名工作人员，工资增加，社保缴费增加，人员经费增加；</w:t>
      </w:r>
      <w:r>
        <w:rPr>
          <w:rFonts w:ascii="仿宋" w:hAnsi="仿宋" w:eastAsia="仿宋" w:cs="宋体"/>
          <w:color w:val="000000"/>
          <w:kern w:val="0"/>
          <w:sz w:val="32"/>
          <w:szCs w:val="32"/>
        </w:rPr>
        <w:t>20</w:t>
      </w:r>
      <w:r>
        <w:rPr>
          <w:rFonts w:hint="eastAsia" w:ascii="仿宋" w:hAnsi="仿宋" w:eastAsia="仿宋" w:cs="宋体"/>
          <w:color w:val="000000"/>
          <w:kern w:val="0"/>
          <w:sz w:val="32"/>
          <w:szCs w:val="32"/>
        </w:rPr>
        <w:t>20年本部门预算支出99.74万元，其中一般公共预算拨款支出99.74万元、政府性基金拨款支出0万元，2020年本部门预算支出较上年增加了35.47万元，增加了35.62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。主要原因是：调入3名工作人员，工资增加，社保缴费增加，人员经费增加。</w:t>
      </w:r>
    </w:p>
    <w:p w14:paraId="24B22A05">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（二）财政拨款收支情况。</w:t>
      </w:r>
    </w:p>
    <w:p w14:paraId="1E00210A">
      <w:pPr>
        <w:spacing w:line="360" w:lineRule="auto"/>
        <w:ind w:firstLine="643"/>
        <w:rPr>
          <w:rFonts w:hint="eastAsia" w:ascii="仿宋" w:hAnsi="仿宋" w:eastAsia="仿宋" w:cs="仿宋"/>
          <w:sz w:val="32"/>
          <w:szCs w:val="32"/>
        </w:rPr>
      </w:pPr>
      <w:r>
        <w:rPr>
          <w:rFonts w:hint="eastAsia" w:ascii="仿宋" w:hAnsi="仿宋" w:eastAsia="仿宋" w:cs="仿宋"/>
          <w:sz w:val="32"/>
          <w:szCs w:val="32"/>
        </w:rPr>
        <w:t>2020年本部门预算收入</w:t>
      </w:r>
      <w:r>
        <w:rPr>
          <w:rFonts w:hint="eastAsia" w:ascii="仿宋" w:hAnsi="仿宋" w:eastAsia="仿宋" w:cs="宋体"/>
          <w:color w:val="000000"/>
          <w:kern w:val="0"/>
          <w:sz w:val="32"/>
          <w:szCs w:val="32"/>
        </w:rPr>
        <w:t>99.74</w:t>
      </w:r>
      <w:r>
        <w:rPr>
          <w:rFonts w:hint="eastAsia" w:ascii="仿宋" w:hAnsi="仿宋" w:eastAsia="仿宋" w:cs="仿宋"/>
          <w:sz w:val="32"/>
          <w:szCs w:val="32"/>
        </w:rPr>
        <w:t>万元，其中一般公共预算拨款收入</w:t>
      </w:r>
      <w:r>
        <w:rPr>
          <w:rFonts w:hint="eastAsia" w:ascii="仿宋" w:hAnsi="仿宋" w:eastAsia="仿宋" w:cs="宋体"/>
          <w:color w:val="000000"/>
          <w:kern w:val="0"/>
          <w:sz w:val="32"/>
          <w:szCs w:val="32"/>
        </w:rPr>
        <w:t>99.74</w:t>
      </w:r>
      <w:r>
        <w:rPr>
          <w:rFonts w:hint="eastAsia" w:ascii="仿宋" w:hAnsi="仿宋" w:eastAsia="仿宋" w:cs="仿宋"/>
          <w:sz w:val="32"/>
          <w:szCs w:val="32"/>
        </w:rPr>
        <w:t>万元，政府性基金拨款收入0万元；2020年本部门财政拨款收入较上年</w:t>
      </w:r>
      <w:r>
        <w:rPr>
          <w:rFonts w:hint="eastAsia" w:ascii="仿宋" w:hAnsi="仿宋" w:eastAsia="仿宋" w:cs="宋体"/>
          <w:color w:val="000000"/>
          <w:kern w:val="0"/>
          <w:sz w:val="32"/>
          <w:szCs w:val="32"/>
        </w:rPr>
        <w:t>增加了35.47万元，增加了35.62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。主要原因是：调入3名工作人员，工资增加，社保缴费增加，人员经费增加</w:t>
      </w:r>
      <w:r>
        <w:rPr>
          <w:rFonts w:hint="eastAsia" w:ascii="仿宋" w:hAnsi="仿宋" w:eastAsia="仿宋" w:cs="仿宋"/>
          <w:sz w:val="32"/>
          <w:szCs w:val="32"/>
        </w:rPr>
        <w:t>；2020年本部门预算支出</w:t>
      </w:r>
      <w:r>
        <w:rPr>
          <w:rFonts w:hint="eastAsia" w:ascii="仿宋" w:hAnsi="仿宋" w:eastAsia="仿宋" w:cs="宋体"/>
          <w:color w:val="000000"/>
          <w:kern w:val="0"/>
          <w:sz w:val="32"/>
          <w:szCs w:val="32"/>
        </w:rPr>
        <w:t>99.74</w:t>
      </w:r>
      <w:r>
        <w:rPr>
          <w:rFonts w:hint="eastAsia" w:ascii="仿宋" w:hAnsi="仿宋" w:eastAsia="仿宋" w:cs="仿宋"/>
          <w:sz w:val="32"/>
          <w:szCs w:val="32"/>
        </w:rPr>
        <w:t>万元，其中一般公共预算拨款支出</w:t>
      </w:r>
      <w:r>
        <w:rPr>
          <w:rFonts w:hint="eastAsia" w:ascii="仿宋" w:hAnsi="仿宋" w:eastAsia="仿宋" w:cs="宋体"/>
          <w:color w:val="000000"/>
          <w:kern w:val="0"/>
          <w:sz w:val="32"/>
          <w:szCs w:val="32"/>
        </w:rPr>
        <w:t>99.74</w:t>
      </w:r>
      <w:r>
        <w:rPr>
          <w:rFonts w:hint="eastAsia" w:ascii="仿宋" w:hAnsi="仿宋" w:eastAsia="仿宋" w:cs="仿宋"/>
          <w:sz w:val="32"/>
          <w:szCs w:val="32"/>
        </w:rPr>
        <w:t>万元，政府性基金拨款支出0万元；2020年本部门财政拨款支出较上年</w:t>
      </w:r>
      <w:r>
        <w:rPr>
          <w:rFonts w:hint="eastAsia" w:ascii="仿宋" w:hAnsi="仿宋" w:eastAsia="仿宋" w:cs="宋体"/>
          <w:color w:val="000000"/>
          <w:kern w:val="0"/>
          <w:sz w:val="32"/>
          <w:szCs w:val="32"/>
        </w:rPr>
        <w:t>增加了35.47万元，增加了35.62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w:t>
      </w:r>
      <w:r>
        <w:rPr>
          <w:rFonts w:hint="eastAsia" w:ascii="仿宋" w:hAnsi="仿宋" w:eastAsia="仿宋" w:cs="仿宋"/>
          <w:sz w:val="32"/>
          <w:szCs w:val="32"/>
        </w:rPr>
        <w:t>主要原因是：</w:t>
      </w:r>
      <w:r>
        <w:rPr>
          <w:rFonts w:hint="eastAsia" w:ascii="仿宋" w:hAnsi="仿宋" w:eastAsia="仿宋" w:cs="宋体"/>
          <w:color w:val="000000"/>
          <w:kern w:val="0"/>
          <w:sz w:val="32"/>
          <w:szCs w:val="32"/>
        </w:rPr>
        <w:t>调入3名工作人员，工资增加，社保缴费增加，人员经费增加。</w:t>
      </w:r>
    </w:p>
    <w:p w14:paraId="20B81288">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（三）一般公共预算拨款支出明细情况。</w:t>
      </w:r>
    </w:p>
    <w:p w14:paraId="302493D4">
      <w:pPr>
        <w:spacing w:line="360" w:lineRule="auto"/>
        <w:ind w:firstLine="643"/>
        <w:rPr>
          <w:rFonts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一般公共预算当年拨款规模变化情况。</w:t>
      </w:r>
    </w:p>
    <w:p w14:paraId="4CFC36C2">
      <w:pPr>
        <w:spacing w:line="360" w:lineRule="auto"/>
        <w:ind w:firstLine="643"/>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2020年本部门当年一般公共预算拨款支出99.74万元，</w:t>
      </w:r>
      <w:r>
        <w:rPr>
          <w:rFonts w:ascii="仿宋" w:hAnsi="仿宋" w:eastAsia="仿宋" w:cs="宋体"/>
          <w:color w:val="000000"/>
          <w:kern w:val="0"/>
          <w:sz w:val="32"/>
          <w:szCs w:val="32"/>
        </w:rPr>
        <w:t>201</w:t>
      </w:r>
      <w:r>
        <w:rPr>
          <w:rFonts w:hint="eastAsia" w:ascii="仿宋" w:hAnsi="仿宋" w:eastAsia="仿宋" w:cs="宋体"/>
          <w:color w:val="000000"/>
          <w:kern w:val="0"/>
          <w:sz w:val="32"/>
          <w:szCs w:val="32"/>
        </w:rPr>
        <w:t>9年一般公共预算拨款支出64.27万元，增加了35.47万元，增加了35.62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。主要原因是：调入3名工作人员，工资增加，社保缴费增加，人员经费增加。</w:t>
      </w:r>
    </w:p>
    <w:p w14:paraId="77898390">
      <w:pPr>
        <w:spacing w:line="360" w:lineRule="auto"/>
        <w:ind w:firstLine="643"/>
        <w:rPr>
          <w:rFonts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支出按功能科目分类的明细情况。</w:t>
      </w:r>
    </w:p>
    <w:p w14:paraId="157A4705">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本部门2020年当年一般公共预算支出99.74万元，其中：</w:t>
      </w:r>
    </w:p>
    <w:p w14:paraId="674F3300">
      <w:pPr>
        <w:spacing w:line="360" w:lineRule="auto"/>
        <w:ind w:firstLine="640"/>
        <w:rPr>
          <w:rFonts w:ascii="仿宋" w:hAnsi="仿宋" w:eastAsia="仿宋" w:cs="仿宋"/>
          <w:sz w:val="32"/>
          <w:szCs w:val="32"/>
        </w:rPr>
      </w:pPr>
      <w:r>
        <w:rPr>
          <w:rFonts w:hint="eastAsia" w:ascii="仿宋" w:hAnsi="仿宋" w:eastAsia="仿宋" w:cs="仿宋"/>
          <w:sz w:val="32"/>
          <w:szCs w:val="32"/>
        </w:rPr>
        <w:t>（1）行政运行（2011101）80.37万元，较上年增加16.1万元，增加了20%，原因是</w:t>
      </w:r>
      <w:r>
        <w:rPr>
          <w:rFonts w:hint="eastAsia" w:ascii="仿宋_GB2312" w:eastAsia="仿宋_GB2312"/>
          <w:sz w:val="32"/>
          <w:szCs w:val="32"/>
        </w:rPr>
        <w:t>人员增加，引起工资和公用经费增加</w:t>
      </w:r>
      <w:r>
        <w:rPr>
          <w:rFonts w:hint="eastAsia" w:ascii="仿宋" w:hAnsi="仿宋" w:eastAsia="仿宋" w:cs="仿宋"/>
          <w:sz w:val="32"/>
          <w:szCs w:val="32"/>
        </w:rPr>
        <w:t>；</w:t>
      </w:r>
    </w:p>
    <w:p w14:paraId="041DC535">
      <w:pPr>
        <w:spacing w:line="360" w:lineRule="auto"/>
        <w:ind w:firstLine="640"/>
        <w:rPr>
          <w:rFonts w:ascii="仿宋" w:hAnsi="仿宋" w:eastAsia="仿宋" w:cs="仿宋"/>
          <w:sz w:val="32"/>
          <w:szCs w:val="32"/>
        </w:rPr>
      </w:pPr>
      <w:r>
        <w:rPr>
          <w:rFonts w:hint="eastAsia" w:ascii="仿宋" w:hAnsi="仿宋" w:eastAsia="仿宋" w:cs="仿宋"/>
          <w:sz w:val="32"/>
          <w:szCs w:val="32"/>
        </w:rPr>
        <w:t>（2）机关单位基本养老保险缴费支出（2080505）14.59万元，较上年增加5.98万元，原因是</w:t>
      </w:r>
      <w:r>
        <w:rPr>
          <w:rFonts w:hint="eastAsia" w:ascii="仿宋_GB2312" w:eastAsia="仿宋_GB2312"/>
          <w:sz w:val="32"/>
          <w:szCs w:val="32"/>
        </w:rPr>
        <w:t>人员增加，引起</w:t>
      </w:r>
      <w:r>
        <w:rPr>
          <w:rFonts w:hint="eastAsia" w:ascii="仿宋" w:hAnsi="仿宋" w:eastAsia="仿宋" w:cs="仿宋"/>
          <w:sz w:val="32"/>
          <w:szCs w:val="32"/>
        </w:rPr>
        <w:t>基本养老保险缴费支出</w:t>
      </w:r>
      <w:r>
        <w:rPr>
          <w:rFonts w:hint="eastAsia" w:ascii="仿宋_GB2312" w:eastAsia="仿宋_GB2312"/>
          <w:sz w:val="32"/>
          <w:szCs w:val="32"/>
        </w:rPr>
        <w:t>增加</w:t>
      </w:r>
      <w:r>
        <w:rPr>
          <w:rFonts w:hint="eastAsia" w:ascii="仿宋" w:hAnsi="仿宋" w:eastAsia="仿宋" w:cs="仿宋"/>
          <w:sz w:val="32"/>
          <w:szCs w:val="32"/>
        </w:rPr>
        <w:t>；</w:t>
      </w:r>
    </w:p>
    <w:p w14:paraId="6C39CEF2">
      <w:pPr>
        <w:spacing w:line="360" w:lineRule="auto"/>
        <w:ind w:firstLine="640"/>
        <w:rPr>
          <w:rFonts w:ascii="仿宋" w:hAnsi="仿宋" w:eastAsia="仿宋" w:cs="仿宋"/>
          <w:sz w:val="32"/>
          <w:szCs w:val="32"/>
        </w:rPr>
      </w:pPr>
      <w:r>
        <w:rPr>
          <w:rFonts w:hint="eastAsia" w:ascii="仿宋" w:hAnsi="仿宋" w:eastAsia="仿宋" w:cs="仿宋"/>
          <w:sz w:val="32"/>
          <w:szCs w:val="32"/>
        </w:rPr>
        <w:t>（3）行政单位医疗（2101101）4.3万元，较上年增加4.3万元，原因是2020年部门预算增加基本医疗保险支出；</w:t>
      </w:r>
    </w:p>
    <w:p w14:paraId="7E6D5EAF">
      <w:pPr>
        <w:spacing w:line="360" w:lineRule="auto"/>
        <w:ind w:firstLine="640"/>
        <w:rPr>
          <w:rFonts w:ascii="仿宋" w:hAnsi="仿宋" w:eastAsia="仿宋" w:cs="仿宋"/>
          <w:sz w:val="32"/>
          <w:szCs w:val="32"/>
        </w:rPr>
      </w:pPr>
      <w:r>
        <w:rPr>
          <w:rFonts w:hint="eastAsia" w:ascii="仿宋" w:hAnsi="仿宋" w:eastAsia="仿宋" w:cs="仿宋"/>
          <w:sz w:val="32"/>
          <w:szCs w:val="32"/>
        </w:rPr>
        <w:t>（4）公务员医疗补助（2101103）0.086万元，较上年增加0.086万元，原因是2020年部门预算增加大额医疗保险补助支出；</w:t>
      </w:r>
    </w:p>
    <w:p w14:paraId="11E5C5DD">
      <w:pPr>
        <w:spacing w:line="360" w:lineRule="auto"/>
        <w:ind w:firstLine="640"/>
        <w:rPr>
          <w:rFonts w:ascii="仿宋" w:hAnsi="仿宋" w:eastAsia="仿宋" w:cs="仿宋"/>
          <w:sz w:val="32"/>
          <w:szCs w:val="32"/>
        </w:rPr>
      </w:pPr>
      <w:r>
        <w:rPr>
          <w:rFonts w:hint="eastAsia" w:ascii="仿宋" w:hAnsi="仿宋" w:eastAsia="仿宋" w:cs="仿宋"/>
          <w:sz w:val="32"/>
          <w:szCs w:val="32"/>
        </w:rPr>
        <w:t>（5）其他卫生健康支出（2109901）0.4万元，较上年增加0.4万元，原因是2020年部门预算增加工伤保险和生育保险支出。</w:t>
      </w:r>
    </w:p>
    <w:p w14:paraId="70015113">
      <w:pPr>
        <w:spacing w:line="360" w:lineRule="auto"/>
        <w:ind w:firstLine="643"/>
        <w:rPr>
          <w:rFonts w:ascii="仿宋" w:hAnsi="仿宋" w:eastAsia="仿宋" w:cs="仿宋"/>
          <w:sz w:val="32"/>
          <w:szCs w:val="32"/>
        </w:rPr>
      </w:pPr>
      <w:r>
        <w:rPr>
          <w:rFonts w:hint="eastAsia" w:ascii="仿宋" w:hAnsi="仿宋" w:eastAsia="仿宋" w:cs="仿宋"/>
          <w:b/>
          <w:bCs/>
          <w:sz w:val="32"/>
          <w:szCs w:val="32"/>
        </w:rPr>
        <w:t>3、</w:t>
      </w:r>
      <w:r>
        <w:rPr>
          <w:rFonts w:hint="eastAsia" w:ascii="仿宋" w:hAnsi="仿宋" w:eastAsia="仿宋" w:cs="仿宋"/>
          <w:sz w:val="32"/>
          <w:szCs w:val="32"/>
        </w:rPr>
        <w:t>支出按经济科目分类的明细情况。</w:t>
      </w:r>
    </w:p>
    <w:p w14:paraId="72C4009D">
      <w:pPr>
        <w:spacing w:line="360" w:lineRule="auto"/>
        <w:ind w:firstLine="640"/>
        <w:rPr>
          <w:rFonts w:ascii="仿宋" w:hAnsi="仿宋" w:eastAsia="仿宋" w:cs="仿宋"/>
          <w:sz w:val="32"/>
          <w:szCs w:val="32"/>
        </w:rPr>
      </w:pPr>
      <w:r>
        <w:rPr>
          <w:rFonts w:hint="eastAsia" w:ascii="仿宋" w:hAnsi="仿宋" w:eastAsia="仿宋" w:cs="仿宋"/>
          <w:sz w:val="32"/>
          <w:szCs w:val="32"/>
        </w:rPr>
        <w:t>（1）按照部门预算支出经济分类的类级科目说明。</w:t>
      </w:r>
    </w:p>
    <w:p w14:paraId="7AF79172">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2020年本部门当年一般公共预算支出99.74万元，其中：</w:t>
      </w:r>
    </w:p>
    <w:p w14:paraId="0A93B359">
      <w:pPr>
        <w:spacing w:line="360" w:lineRule="auto"/>
        <w:ind w:firstLine="640"/>
        <w:rPr>
          <w:rFonts w:ascii="仿宋" w:hAnsi="仿宋" w:eastAsia="仿宋" w:cs="仿宋"/>
          <w:sz w:val="32"/>
          <w:szCs w:val="32"/>
        </w:rPr>
      </w:pPr>
      <w:r>
        <w:rPr>
          <w:rFonts w:hint="eastAsia" w:ascii="仿宋" w:hAnsi="仿宋" w:eastAsia="仿宋" w:cs="仿宋"/>
          <w:sz w:val="32"/>
          <w:szCs w:val="32"/>
        </w:rPr>
        <w:t>工资福利支出（301）89.23万元，较上年增加32.59万元，原因是</w:t>
      </w:r>
      <w:r>
        <w:rPr>
          <w:rFonts w:hint="eastAsia" w:ascii="仿宋_GB2312" w:eastAsia="仿宋_GB2312"/>
          <w:sz w:val="32"/>
          <w:szCs w:val="32"/>
        </w:rPr>
        <w:t>人员增加和医疗保险缴费支出纳入部门预算</w:t>
      </w:r>
      <w:r>
        <w:rPr>
          <w:rFonts w:hint="eastAsia" w:ascii="仿宋" w:hAnsi="仿宋" w:eastAsia="仿宋" w:cs="仿宋"/>
          <w:sz w:val="32"/>
          <w:szCs w:val="32"/>
        </w:rPr>
        <w:t>；</w:t>
      </w:r>
    </w:p>
    <w:p w14:paraId="565908AF">
      <w:pPr>
        <w:spacing w:line="360" w:lineRule="auto"/>
        <w:ind w:firstLine="640"/>
        <w:rPr>
          <w:rFonts w:ascii="仿宋" w:hAnsi="仿宋" w:eastAsia="仿宋" w:cs="仿宋"/>
          <w:sz w:val="32"/>
          <w:szCs w:val="32"/>
        </w:rPr>
      </w:pPr>
      <w:r>
        <w:rPr>
          <w:rFonts w:hint="eastAsia" w:ascii="仿宋" w:hAnsi="仿宋" w:eastAsia="仿宋" w:cs="仿宋"/>
          <w:sz w:val="32"/>
          <w:szCs w:val="32"/>
        </w:rPr>
        <w:t>商品和服务支出（302）10.51万元，较上年增加2.89万元，原因是人员增加，引起公用经费增加；</w:t>
      </w:r>
    </w:p>
    <w:p w14:paraId="0B9B0344">
      <w:pPr>
        <w:spacing w:line="360" w:lineRule="auto"/>
        <w:ind w:firstLine="640"/>
        <w:rPr>
          <w:rFonts w:ascii="仿宋" w:hAnsi="仿宋" w:eastAsia="仿宋" w:cs="仿宋"/>
          <w:sz w:val="32"/>
          <w:szCs w:val="32"/>
        </w:rPr>
      </w:pPr>
      <w:r>
        <w:rPr>
          <w:rFonts w:hint="eastAsia" w:ascii="仿宋" w:hAnsi="仿宋" w:eastAsia="仿宋" w:cs="仿宋"/>
          <w:sz w:val="32"/>
          <w:szCs w:val="32"/>
        </w:rPr>
        <w:t>（2）按照政府预算支出经济分类的类级科目说明。</w:t>
      </w:r>
    </w:p>
    <w:p w14:paraId="3B965F92">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2020年本部门当年一般公共预算支出99.74万元，其中：</w:t>
      </w:r>
    </w:p>
    <w:p w14:paraId="281FFB10">
      <w:pPr>
        <w:spacing w:line="360" w:lineRule="auto"/>
        <w:ind w:firstLine="640"/>
        <w:rPr>
          <w:rFonts w:ascii="仿宋" w:hAnsi="仿宋" w:eastAsia="仿宋" w:cs="仿宋"/>
          <w:sz w:val="32"/>
          <w:szCs w:val="32"/>
        </w:rPr>
      </w:pPr>
      <w:r>
        <w:rPr>
          <w:rFonts w:hint="eastAsia" w:ascii="仿宋" w:hAnsi="仿宋" w:eastAsia="仿宋" w:cs="仿宋"/>
          <w:sz w:val="32"/>
          <w:szCs w:val="32"/>
        </w:rPr>
        <w:t>机关工资福利支出（501）89.23万元，较上年增加32.59万元，原因是</w:t>
      </w:r>
      <w:r>
        <w:rPr>
          <w:rFonts w:hint="eastAsia" w:ascii="仿宋_GB2312" w:eastAsia="仿宋_GB2312"/>
          <w:sz w:val="32"/>
          <w:szCs w:val="32"/>
        </w:rPr>
        <w:t>行政人员增加和医疗保险缴费支出纳入部门预算</w:t>
      </w:r>
      <w:r>
        <w:rPr>
          <w:rFonts w:hint="eastAsia" w:ascii="仿宋" w:hAnsi="仿宋" w:eastAsia="仿宋" w:cs="仿宋"/>
          <w:sz w:val="32"/>
          <w:szCs w:val="32"/>
        </w:rPr>
        <w:t>；</w:t>
      </w:r>
    </w:p>
    <w:p w14:paraId="07DAF86D">
      <w:pPr>
        <w:spacing w:line="360" w:lineRule="auto"/>
        <w:ind w:firstLine="640"/>
        <w:rPr>
          <w:rFonts w:ascii="仿宋" w:hAnsi="仿宋" w:eastAsia="仿宋" w:cs="仿宋"/>
          <w:sz w:val="32"/>
          <w:szCs w:val="32"/>
        </w:rPr>
      </w:pPr>
      <w:r>
        <w:rPr>
          <w:rFonts w:hint="eastAsia" w:ascii="仿宋" w:hAnsi="仿宋" w:eastAsia="仿宋" w:cs="仿宋"/>
          <w:sz w:val="32"/>
          <w:szCs w:val="32"/>
        </w:rPr>
        <w:t>机关商品和服务支出（502）10.51万元，较上年增加2.89万元，原因是人员增加，引起公用经费增加；</w:t>
      </w:r>
    </w:p>
    <w:p w14:paraId="65E8FE5E">
      <w:pPr>
        <w:spacing w:line="360" w:lineRule="auto"/>
        <w:ind w:firstLine="643"/>
        <w:rPr>
          <w:rFonts w:ascii="仿宋" w:hAnsi="仿宋" w:eastAsia="仿宋" w:cs="仿宋"/>
          <w:sz w:val="32"/>
          <w:szCs w:val="32"/>
        </w:rPr>
      </w:pPr>
      <w:r>
        <w:rPr>
          <w:rFonts w:hint="eastAsia" w:ascii="仿宋" w:hAnsi="仿宋" w:eastAsia="仿宋" w:cs="仿宋"/>
          <w:b/>
          <w:bCs/>
          <w:sz w:val="32"/>
          <w:szCs w:val="32"/>
        </w:rPr>
        <w:t>4、</w:t>
      </w:r>
      <w:r>
        <w:rPr>
          <w:rFonts w:hint="eastAsia" w:ascii="仿宋" w:hAnsi="仿宋" w:eastAsia="仿宋" w:cs="仿宋"/>
          <w:sz w:val="32"/>
          <w:szCs w:val="32"/>
        </w:rPr>
        <w:t>2019年结转财政资金一般公共预算拨款支出情况。</w:t>
      </w:r>
    </w:p>
    <w:p w14:paraId="20B77ABC">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本部门无2019年结转的一般公共预算拨款资金支出。</w:t>
      </w:r>
    </w:p>
    <w:p w14:paraId="32DB6E32">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（四）政府性基金预算支出情况。</w:t>
      </w:r>
    </w:p>
    <w:p w14:paraId="134FA8D0">
      <w:pPr>
        <w:spacing w:line="360" w:lineRule="auto"/>
        <w:ind w:firstLine="643"/>
        <w:rPr>
          <w:rFonts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当年政府性基金预算支出情况。</w:t>
      </w:r>
    </w:p>
    <w:p w14:paraId="69B68B4E">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本部门无当年政府性基金预算收支，并已公开空表。</w:t>
      </w:r>
    </w:p>
    <w:p w14:paraId="3E5B091E">
      <w:pPr>
        <w:spacing w:line="360" w:lineRule="auto"/>
        <w:ind w:firstLine="643"/>
        <w:rPr>
          <w:rFonts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上年结转政府性基金预算支出情况。</w:t>
      </w:r>
    </w:p>
    <w:p w14:paraId="058E72BD">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本部门无2019年结转的政府性基金预算拨款支出。</w:t>
      </w:r>
    </w:p>
    <w:p w14:paraId="5A2B3E9E">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（五）国有资本经营预算拨款收支情况。</w:t>
      </w:r>
    </w:p>
    <w:p w14:paraId="7374AF7C">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本部门无当年国有资本经营预算拨款收支，并在财政拨款收支总体情况表中列示。</w:t>
      </w:r>
    </w:p>
    <w:p w14:paraId="155A28A0">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本部门无2019年结转的国有资本经营预算拨款支出。</w:t>
      </w:r>
    </w:p>
    <w:p w14:paraId="2C610DB8">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14:paraId="012E938D">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六、部门预算“三公”经费等预算情况说明</w:t>
      </w:r>
    </w:p>
    <w:p w14:paraId="7DD8AD9B">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三公”经费预算支出0万元，和上年0万元相等。其中：公务接待费0万元，较上年0万元相等；公务用车运行费0万元，较上年0万元相等。2019年和2020年未安排因公出国（境）经费和公务用车购置费。</w:t>
      </w:r>
    </w:p>
    <w:p w14:paraId="723F67D9">
      <w:pPr>
        <w:spacing w:line="360" w:lineRule="auto"/>
        <w:ind w:firstLine="643"/>
        <w:rPr>
          <w:rFonts w:hint="eastAsia" w:ascii="仿宋" w:hAnsi="仿宋" w:eastAsia="仿宋" w:cs="仿宋"/>
          <w:sz w:val="32"/>
          <w:szCs w:val="32"/>
        </w:rPr>
      </w:pPr>
      <w:r>
        <w:rPr>
          <w:rFonts w:hint="eastAsia" w:ascii="仿宋" w:hAnsi="仿宋" w:eastAsia="仿宋" w:cs="仿宋"/>
          <w:sz w:val="32"/>
          <w:szCs w:val="32"/>
        </w:rPr>
        <w:t>本部门无2019年结转的财政拨款‘三公’经费支出。</w:t>
      </w:r>
    </w:p>
    <w:p w14:paraId="1725374C">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七、部门国有资产占有使用及资产购置情况说明</w:t>
      </w:r>
    </w:p>
    <w:p w14:paraId="135CB543">
      <w:pPr>
        <w:spacing w:line="360" w:lineRule="auto"/>
        <w:ind w:firstLine="640"/>
        <w:rPr>
          <w:rFonts w:ascii="仿宋" w:hAnsi="仿宋" w:eastAsia="仿宋" w:cs="仿宋"/>
          <w:sz w:val="32"/>
          <w:szCs w:val="32"/>
        </w:rPr>
      </w:pPr>
      <w:r>
        <w:rPr>
          <w:rFonts w:hint="eastAsia" w:ascii="仿宋" w:hAnsi="仿宋" w:eastAsia="仿宋" w:cs="仿宋"/>
          <w:sz w:val="32"/>
          <w:szCs w:val="32"/>
        </w:rPr>
        <w:t>截止2019年底，本部门所属预算单位无执法执勤车辆，单价20万元以上的设备0台（套）。2020年当年部门预算未安排车辆购置支出和单价20万元以上的设备购置支出。</w:t>
      </w:r>
    </w:p>
    <w:p w14:paraId="06CA9981">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本部门无2019年结转的财政拨款支出资产购置。</w:t>
      </w:r>
    </w:p>
    <w:p w14:paraId="037D4805">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八、部门政府采购情况说明</w:t>
      </w:r>
    </w:p>
    <w:p w14:paraId="0ADB3D33">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本部门2020年无政府采购预算，并已公开空表。</w:t>
      </w:r>
    </w:p>
    <w:p w14:paraId="33FB4F76">
      <w:pPr>
        <w:spacing w:line="360" w:lineRule="auto"/>
        <w:ind w:firstLine="643"/>
        <w:rPr>
          <w:rFonts w:hint="eastAsia" w:ascii="仿宋" w:hAnsi="仿宋" w:eastAsia="仿宋" w:cs="仿宋"/>
          <w:sz w:val="32"/>
          <w:szCs w:val="32"/>
        </w:rPr>
      </w:pPr>
      <w:r>
        <w:rPr>
          <w:rFonts w:hint="eastAsia" w:ascii="仿宋" w:hAnsi="仿宋" w:eastAsia="仿宋" w:cs="仿宋"/>
          <w:sz w:val="32"/>
          <w:szCs w:val="32"/>
        </w:rPr>
        <w:t>本部门无2019年结转的政府采购资金支出</w:t>
      </w:r>
    </w:p>
    <w:p w14:paraId="1D9254BA">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九、部门预算绩效目标说明</w:t>
      </w:r>
    </w:p>
    <w:p w14:paraId="59E7AEEB">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2020年本部门绩效目标管理全覆盖，涉及当年一般公共预算拨款99.74万元,当年政府性基金预算拨款0万元，当年国有资本经营预算拨款0万元（详见公开报表中的绩效目标表）。</w:t>
      </w:r>
    </w:p>
    <w:p w14:paraId="4EF1A5F3">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本部门无2019年结转的财政拨款支出涉及的绩效目标管理。</w:t>
      </w:r>
    </w:p>
    <w:p w14:paraId="5ED60E20">
      <w:pPr>
        <w:spacing w:line="360" w:lineRule="auto"/>
        <w:ind w:firstLine="643"/>
        <w:rPr>
          <w:rFonts w:ascii="仿宋" w:hAnsi="仿宋" w:eastAsia="仿宋" w:cs="仿宋"/>
          <w:sz w:val="32"/>
          <w:szCs w:val="32"/>
        </w:rPr>
      </w:pPr>
      <w:r>
        <w:rPr>
          <w:rFonts w:hint="eastAsia" w:ascii="仿宋" w:hAnsi="仿宋" w:eastAsia="仿宋" w:cs="仿宋"/>
          <w:b/>
          <w:bCs/>
          <w:sz w:val="32"/>
          <w:szCs w:val="32"/>
        </w:rPr>
        <w:t>十、机关运行经费安排说明</w:t>
      </w:r>
    </w:p>
    <w:p w14:paraId="290E3EEF">
      <w:pPr>
        <w:spacing w:line="360" w:lineRule="auto"/>
        <w:ind w:firstLine="640"/>
        <w:rPr>
          <w:rFonts w:ascii="仿宋" w:hAnsi="仿宋" w:eastAsia="仿宋" w:cs="仿宋"/>
          <w:sz w:val="32"/>
          <w:szCs w:val="32"/>
        </w:rPr>
      </w:pPr>
      <w:r>
        <w:rPr>
          <w:rFonts w:hint="eastAsia" w:ascii="仿宋" w:hAnsi="仿宋" w:eastAsia="仿宋" w:cs="仿宋"/>
          <w:sz w:val="32"/>
          <w:szCs w:val="32"/>
        </w:rPr>
        <w:t>本部门当年机关运行经费预算安排10.51万元，较上年增加2.89万元，主要原因是人员增加3人，引起公用经费增加。</w:t>
      </w:r>
    </w:p>
    <w:p w14:paraId="25415BD2">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本部门无2019年结转的财政拨款机关运行经费支出。</w:t>
      </w:r>
    </w:p>
    <w:p w14:paraId="3D53BEE3">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十一、专业名词解释</w:t>
      </w:r>
    </w:p>
    <w:p w14:paraId="7619AE41">
      <w:pPr>
        <w:spacing w:line="360" w:lineRule="auto"/>
        <w:ind w:firstLine="640"/>
        <w:rPr>
          <w:rFonts w:ascii="仿宋" w:hAnsi="仿宋" w:eastAsia="仿宋" w:cs="仿宋"/>
          <w:sz w:val="32"/>
          <w:szCs w:val="32"/>
        </w:rPr>
      </w:pPr>
      <w:r>
        <w:rPr>
          <w:rFonts w:hint="eastAsia" w:ascii="仿宋" w:hAnsi="仿宋" w:eastAsia="仿宋" w:cs="仿宋"/>
          <w:sz w:val="32"/>
          <w:szCs w:val="32"/>
        </w:rPr>
        <w:t>文字说明，机关运行经费为必须解释的专业名词，其他专业名词解释可由部门根据业务内容等自行选择。</w:t>
      </w:r>
    </w:p>
    <w:p w14:paraId="6298EADB">
      <w:pPr>
        <w:spacing w:line="360" w:lineRule="auto"/>
        <w:ind w:firstLine="640"/>
        <w:rPr>
          <w:rFonts w:ascii="仿宋" w:hAnsi="仿宋" w:eastAsia="仿宋" w:cs="仿宋"/>
          <w:sz w:val="32"/>
          <w:szCs w:val="32"/>
        </w:rPr>
      </w:pPr>
      <w:r>
        <w:rPr>
          <w:rFonts w:hint="eastAsia" w:ascii="仿宋" w:hAnsi="仿宋" w:eastAsia="仿宋" w:cs="仿宋"/>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14:paraId="35444801">
      <w:pPr>
        <w:spacing w:line="620" w:lineRule="exact"/>
        <w:ind w:firstLine="640"/>
        <w:rPr>
          <w:rFonts w:ascii="仿宋_GB2312" w:hAnsi="仿宋" w:eastAsia="仿宋_GB2312"/>
          <w:sz w:val="32"/>
          <w:szCs w:val="32"/>
        </w:rPr>
      </w:pPr>
      <w:r>
        <w:rPr>
          <w:rFonts w:hint="eastAsia" w:ascii="仿宋_GB2312" w:hAnsi="仿宋" w:eastAsia="仿宋_GB2312"/>
          <w:sz w:val="32"/>
          <w:szCs w:val="32"/>
        </w:rPr>
        <w:t>2、基本支出：指为保障机构正常运转、完成日常工作任务而发生的各项支出。</w:t>
      </w:r>
    </w:p>
    <w:p w14:paraId="074750B6">
      <w:pPr>
        <w:spacing w:line="620" w:lineRule="exact"/>
        <w:ind w:firstLine="640"/>
        <w:rPr>
          <w:rFonts w:ascii="仿宋_GB2312" w:hAnsi="仿宋" w:eastAsia="仿宋_GB2312"/>
          <w:sz w:val="32"/>
          <w:szCs w:val="32"/>
        </w:rPr>
      </w:pPr>
      <w:r>
        <w:rPr>
          <w:rFonts w:hint="eastAsia" w:ascii="仿宋_GB2312" w:hAnsi="仿宋" w:eastAsia="仿宋_GB2312"/>
          <w:sz w:val="32"/>
          <w:szCs w:val="32"/>
        </w:rPr>
        <w:t>3、项目支出：指单位为完成特定的行政工作任务或事业发展目标所发生的各项支出。</w:t>
      </w:r>
    </w:p>
    <w:p w14:paraId="448D045C">
      <w:pPr>
        <w:spacing w:line="620" w:lineRule="exact"/>
        <w:ind w:firstLine="640"/>
        <w:rPr>
          <w:rFonts w:ascii="仿宋_GB2312" w:hAnsi="仿宋" w:eastAsia="仿宋_GB2312"/>
          <w:sz w:val="32"/>
          <w:szCs w:val="32"/>
        </w:rPr>
      </w:pPr>
      <w:r>
        <w:rPr>
          <w:rFonts w:hint="eastAsia" w:ascii="仿宋_GB2312" w:hAnsi="仿宋" w:eastAsia="仿宋_GB2312"/>
          <w:sz w:val="32"/>
          <w:szCs w:val="32"/>
        </w:rPr>
        <w:t>4、“三公”经费：指部门使用一般公共预算财政拨款安排的因公出国（境）费、公务用车购置及运行费和公务接待费支出。</w:t>
      </w:r>
    </w:p>
    <w:p w14:paraId="6DAA3158">
      <w:pPr>
        <w:spacing w:line="360" w:lineRule="auto"/>
        <w:ind w:firstLine="640"/>
        <w:rPr>
          <w:rFonts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ab/>
      </w:r>
    </w:p>
    <w:p w14:paraId="24A7B782">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第四部分  公开报表</w:t>
      </w:r>
    </w:p>
    <w:p w14:paraId="1256B8BD">
      <w:pPr>
        <w:spacing w:line="360" w:lineRule="auto"/>
        <w:ind w:firstLine="640"/>
        <w:rPr>
          <w:rFonts w:ascii="仿宋" w:hAnsi="仿宋" w:eastAsia="仿宋" w:cs="仿宋"/>
          <w:sz w:val="32"/>
          <w:szCs w:val="32"/>
        </w:rPr>
      </w:pPr>
      <w:r>
        <w:rPr>
          <w:rFonts w:hint="eastAsia" w:ascii="仿宋" w:hAnsi="仿宋" w:eastAsia="仿宋" w:cs="仿宋"/>
          <w:sz w:val="32"/>
          <w:szCs w:val="32"/>
        </w:rPr>
        <w:t>（详见部门预算公开报表）</w:t>
      </w:r>
      <w:r>
        <w:rPr>
          <w:rFonts w:hint="eastAsia" w:ascii="仿宋" w:hAnsi="仿宋" w:eastAsia="仿宋" w:cs="仿宋"/>
          <w:sz w:val="32"/>
          <w:szCs w:val="32"/>
        </w:rPr>
        <w:tab/>
      </w:r>
    </w:p>
    <w:p w14:paraId="0A81CD71">
      <w:pPr>
        <w:spacing w:line="360" w:lineRule="auto"/>
        <w:jc w:val="center"/>
        <w:rPr>
          <w:rFonts w:hint="eastAsia" w:ascii="仿宋_GB2312" w:eastAsia="仿宋_GB2312"/>
          <w:sz w:val="32"/>
        </w:rPr>
      </w:pPr>
    </w:p>
    <w:sectPr>
      <w:headerReference r:id="rId3" w:type="default"/>
      <w:footerReference r:id="rId4" w:type="default"/>
      <w:footerReference r:id="rId5" w:type="even"/>
      <w:pgSz w:w="11906" w:h="16838"/>
      <w:pgMar w:top="1440" w:right="1588" w:bottom="1440"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仿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737578">
    <w:pPr>
      <w:pStyle w:val="7"/>
      <w:framePr w:wrap="around" w:vAnchor="text" w:hAnchor="margin" w:xAlign="right" w:y="1"/>
      <w:rPr>
        <w:rStyle w:val="12"/>
        <w:sz w:val="28"/>
        <w:szCs w:val="28"/>
      </w:rPr>
    </w:pP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- 1 -</w:t>
    </w:r>
    <w:r>
      <w:rPr>
        <w:sz w:val="28"/>
        <w:szCs w:val="28"/>
      </w:rPr>
      <w:fldChar w:fldCharType="end"/>
    </w:r>
  </w:p>
  <w:p w14:paraId="11A4A45E">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0CFB3">
    <w:pPr>
      <w:pStyle w:val="7"/>
      <w:framePr w:wrap="around" w:vAnchor="text" w:hAnchor="margin" w:xAlign="right" w:y="1"/>
      <w:rPr>
        <w:rStyle w:val="12"/>
      </w:rPr>
    </w:pPr>
    <w:r>
      <w:fldChar w:fldCharType="begin"/>
    </w:r>
    <w:r>
      <w:rPr>
        <w:rStyle w:val="12"/>
      </w:rPr>
      <w:instrText xml:space="preserve">PAGE  </w:instrText>
    </w:r>
    <w:r>
      <w:fldChar w:fldCharType="end"/>
    </w:r>
  </w:p>
  <w:p w14:paraId="504D7029">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87B74">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56F07"/>
    <w:rsid w:val="000279FD"/>
    <w:rsid w:val="00031FBC"/>
    <w:rsid w:val="00032AAC"/>
    <w:rsid w:val="000335CB"/>
    <w:rsid w:val="00054DF8"/>
    <w:rsid w:val="00056F07"/>
    <w:rsid w:val="00075E65"/>
    <w:rsid w:val="0009104F"/>
    <w:rsid w:val="00094B09"/>
    <w:rsid w:val="000B04B7"/>
    <w:rsid w:val="000C1ABA"/>
    <w:rsid w:val="000C3402"/>
    <w:rsid w:val="000D0F0D"/>
    <w:rsid w:val="000D3689"/>
    <w:rsid w:val="000D4803"/>
    <w:rsid w:val="000D75BF"/>
    <w:rsid w:val="000F053C"/>
    <w:rsid w:val="000F69BF"/>
    <w:rsid w:val="00127870"/>
    <w:rsid w:val="001309D5"/>
    <w:rsid w:val="00142F7E"/>
    <w:rsid w:val="00143279"/>
    <w:rsid w:val="00151927"/>
    <w:rsid w:val="001519F3"/>
    <w:rsid w:val="001537B9"/>
    <w:rsid w:val="00156BE5"/>
    <w:rsid w:val="00160170"/>
    <w:rsid w:val="00161B64"/>
    <w:rsid w:val="001626B8"/>
    <w:rsid w:val="0016613F"/>
    <w:rsid w:val="00185EB0"/>
    <w:rsid w:val="00187DBC"/>
    <w:rsid w:val="00196931"/>
    <w:rsid w:val="00196F56"/>
    <w:rsid w:val="001A1D0E"/>
    <w:rsid w:val="001A47B7"/>
    <w:rsid w:val="001A6842"/>
    <w:rsid w:val="001A7652"/>
    <w:rsid w:val="001B2146"/>
    <w:rsid w:val="001B3586"/>
    <w:rsid w:val="001C23F1"/>
    <w:rsid w:val="001D1EA2"/>
    <w:rsid w:val="001F3FCC"/>
    <w:rsid w:val="0021063C"/>
    <w:rsid w:val="00216D70"/>
    <w:rsid w:val="002251E2"/>
    <w:rsid w:val="00230E93"/>
    <w:rsid w:val="00232064"/>
    <w:rsid w:val="0023632D"/>
    <w:rsid w:val="002365E6"/>
    <w:rsid w:val="00245899"/>
    <w:rsid w:val="002519A3"/>
    <w:rsid w:val="002537A6"/>
    <w:rsid w:val="00270C53"/>
    <w:rsid w:val="00277E0A"/>
    <w:rsid w:val="0028559D"/>
    <w:rsid w:val="00297860"/>
    <w:rsid w:val="002A0806"/>
    <w:rsid w:val="002A78CA"/>
    <w:rsid w:val="002B4141"/>
    <w:rsid w:val="002C7B51"/>
    <w:rsid w:val="002D4270"/>
    <w:rsid w:val="002E16E9"/>
    <w:rsid w:val="00306FA4"/>
    <w:rsid w:val="0031205D"/>
    <w:rsid w:val="00314565"/>
    <w:rsid w:val="00315662"/>
    <w:rsid w:val="00316B8B"/>
    <w:rsid w:val="00316DCC"/>
    <w:rsid w:val="00324145"/>
    <w:rsid w:val="00357C8E"/>
    <w:rsid w:val="00364FC7"/>
    <w:rsid w:val="003765FD"/>
    <w:rsid w:val="00377E4C"/>
    <w:rsid w:val="00385D7E"/>
    <w:rsid w:val="003977B1"/>
    <w:rsid w:val="003A040A"/>
    <w:rsid w:val="003A1252"/>
    <w:rsid w:val="003A5ED6"/>
    <w:rsid w:val="003C37CF"/>
    <w:rsid w:val="003C7E0C"/>
    <w:rsid w:val="003D0581"/>
    <w:rsid w:val="003E25D1"/>
    <w:rsid w:val="003E425D"/>
    <w:rsid w:val="003F68FD"/>
    <w:rsid w:val="004037D4"/>
    <w:rsid w:val="004044F7"/>
    <w:rsid w:val="00420D69"/>
    <w:rsid w:val="00423228"/>
    <w:rsid w:val="004621F7"/>
    <w:rsid w:val="00462D7E"/>
    <w:rsid w:val="0046367F"/>
    <w:rsid w:val="0046555A"/>
    <w:rsid w:val="00467776"/>
    <w:rsid w:val="004739BF"/>
    <w:rsid w:val="004807EB"/>
    <w:rsid w:val="00483610"/>
    <w:rsid w:val="00483F0E"/>
    <w:rsid w:val="004B14E3"/>
    <w:rsid w:val="004B1894"/>
    <w:rsid w:val="004B3ECC"/>
    <w:rsid w:val="004C5700"/>
    <w:rsid w:val="004D4620"/>
    <w:rsid w:val="004D4B30"/>
    <w:rsid w:val="004D6AFA"/>
    <w:rsid w:val="004E6EBF"/>
    <w:rsid w:val="004F28E5"/>
    <w:rsid w:val="00501F70"/>
    <w:rsid w:val="0050384E"/>
    <w:rsid w:val="00523166"/>
    <w:rsid w:val="00532700"/>
    <w:rsid w:val="00550250"/>
    <w:rsid w:val="00554FCC"/>
    <w:rsid w:val="0056042E"/>
    <w:rsid w:val="0056649E"/>
    <w:rsid w:val="00592A7E"/>
    <w:rsid w:val="00597A51"/>
    <w:rsid w:val="005A05C2"/>
    <w:rsid w:val="005A6BEF"/>
    <w:rsid w:val="00621ABB"/>
    <w:rsid w:val="00622D02"/>
    <w:rsid w:val="006243EB"/>
    <w:rsid w:val="00624513"/>
    <w:rsid w:val="00641C94"/>
    <w:rsid w:val="00651EA7"/>
    <w:rsid w:val="006530F8"/>
    <w:rsid w:val="006641B2"/>
    <w:rsid w:val="0066462F"/>
    <w:rsid w:val="006769FB"/>
    <w:rsid w:val="006865BE"/>
    <w:rsid w:val="006A4AD1"/>
    <w:rsid w:val="006B4CAC"/>
    <w:rsid w:val="006D2D63"/>
    <w:rsid w:val="00703D05"/>
    <w:rsid w:val="00707D1F"/>
    <w:rsid w:val="00710CD4"/>
    <w:rsid w:val="007218B1"/>
    <w:rsid w:val="00724AAB"/>
    <w:rsid w:val="00727EE1"/>
    <w:rsid w:val="00733D6F"/>
    <w:rsid w:val="007468A6"/>
    <w:rsid w:val="00757645"/>
    <w:rsid w:val="007854FF"/>
    <w:rsid w:val="00786F31"/>
    <w:rsid w:val="00791516"/>
    <w:rsid w:val="007B0D88"/>
    <w:rsid w:val="007B421D"/>
    <w:rsid w:val="007C608F"/>
    <w:rsid w:val="007E141F"/>
    <w:rsid w:val="007E345A"/>
    <w:rsid w:val="00803025"/>
    <w:rsid w:val="00815646"/>
    <w:rsid w:val="00816B6D"/>
    <w:rsid w:val="00821C07"/>
    <w:rsid w:val="008244B4"/>
    <w:rsid w:val="00846BE9"/>
    <w:rsid w:val="00852614"/>
    <w:rsid w:val="00860DDA"/>
    <w:rsid w:val="008617AC"/>
    <w:rsid w:val="00864C4C"/>
    <w:rsid w:val="00883414"/>
    <w:rsid w:val="008C121A"/>
    <w:rsid w:val="008C16E7"/>
    <w:rsid w:val="008E4372"/>
    <w:rsid w:val="008F3258"/>
    <w:rsid w:val="008F3E4E"/>
    <w:rsid w:val="008F46C1"/>
    <w:rsid w:val="008F5966"/>
    <w:rsid w:val="00902815"/>
    <w:rsid w:val="009035DC"/>
    <w:rsid w:val="00907C7D"/>
    <w:rsid w:val="009273CD"/>
    <w:rsid w:val="0093016B"/>
    <w:rsid w:val="00930633"/>
    <w:rsid w:val="00934BEF"/>
    <w:rsid w:val="00934F12"/>
    <w:rsid w:val="009448F0"/>
    <w:rsid w:val="009513AB"/>
    <w:rsid w:val="00984E6B"/>
    <w:rsid w:val="009942F8"/>
    <w:rsid w:val="00995B03"/>
    <w:rsid w:val="009A13CF"/>
    <w:rsid w:val="009B14B7"/>
    <w:rsid w:val="009D24B7"/>
    <w:rsid w:val="009E1782"/>
    <w:rsid w:val="009E1D37"/>
    <w:rsid w:val="009E4AAF"/>
    <w:rsid w:val="009E7D19"/>
    <w:rsid w:val="00A0302B"/>
    <w:rsid w:val="00A10300"/>
    <w:rsid w:val="00A27FBF"/>
    <w:rsid w:val="00A3790D"/>
    <w:rsid w:val="00A45BC7"/>
    <w:rsid w:val="00A471DB"/>
    <w:rsid w:val="00A5001C"/>
    <w:rsid w:val="00A51070"/>
    <w:rsid w:val="00A520AE"/>
    <w:rsid w:val="00A91886"/>
    <w:rsid w:val="00AB1099"/>
    <w:rsid w:val="00AB53DA"/>
    <w:rsid w:val="00AB6203"/>
    <w:rsid w:val="00AC2E7B"/>
    <w:rsid w:val="00AC3661"/>
    <w:rsid w:val="00AE05EA"/>
    <w:rsid w:val="00AE0AFE"/>
    <w:rsid w:val="00AE76DA"/>
    <w:rsid w:val="00AF1182"/>
    <w:rsid w:val="00AF1BCA"/>
    <w:rsid w:val="00AF1C03"/>
    <w:rsid w:val="00AF7FD6"/>
    <w:rsid w:val="00B03201"/>
    <w:rsid w:val="00B04298"/>
    <w:rsid w:val="00B15170"/>
    <w:rsid w:val="00B237E5"/>
    <w:rsid w:val="00B45150"/>
    <w:rsid w:val="00B55F14"/>
    <w:rsid w:val="00B6186D"/>
    <w:rsid w:val="00B7272E"/>
    <w:rsid w:val="00B72823"/>
    <w:rsid w:val="00B736B3"/>
    <w:rsid w:val="00BA0044"/>
    <w:rsid w:val="00BA5D4C"/>
    <w:rsid w:val="00BC0F22"/>
    <w:rsid w:val="00BC1983"/>
    <w:rsid w:val="00BC6204"/>
    <w:rsid w:val="00BD1514"/>
    <w:rsid w:val="00BF1B72"/>
    <w:rsid w:val="00BF2A9B"/>
    <w:rsid w:val="00BF5D1F"/>
    <w:rsid w:val="00C03E64"/>
    <w:rsid w:val="00C172ED"/>
    <w:rsid w:val="00C21D08"/>
    <w:rsid w:val="00C235D3"/>
    <w:rsid w:val="00C2444C"/>
    <w:rsid w:val="00C249BC"/>
    <w:rsid w:val="00C32A3E"/>
    <w:rsid w:val="00C33219"/>
    <w:rsid w:val="00C414FF"/>
    <w:rsid w:val="00C47075"/>
    <w:rsid w:val="00C83500"/>
    <w:rsid w:val="00C87B0D"/>
    <w:rsid w:val="00CA65F4"/>
    <w:rsid w:val="00CB5D3C"/>
    <w:rsid w:val="00CC01EA"/>
    <w:rsid w:val="00CC3103"/>
    <w:rsid w:val="00CC66F8"/>
    <w:rsid w:val="00CD09EF"/>
    <w:rsid w:val="00CD5CED"/>
    <w:rsid w:val="00CE5661"/>
    <w:rsid w:val="00CE5A1A"/>
    <w:rsid w:val="00CF73E8"/>
    <w:rsid w:val="00D10433"/>
    <w:rsid w:val="00D25A4A"/>
    <w:rsid w:val="00D31469"/>
    <w:rsid w:val="00D32217"/>
    <w:rsid w:val="00D347D7"/>
    <w:rsid w:val="00D83E1C"/>
    <w:rsid w:val="00D92B24"/>
    <w:rsid w:val="00DB0B9F"/>
    <w:rsid w:val="00DB42B3"/>
    <w:rsid w:val="00DC23B5"/>
    <w:rsid w:val="00DC2D6F"/>
    <w:rsid w:val="00DD4A11"/>
    <w:rsid w:val="00DD5C16"/>
    <w:rsid w:val="00DD6416"/>
    <w:rsid w:val="00DE32B6"/>
    <w:rsid w:val="00DF205A"/>
    <w:rsid w:val="00DF731D"/>
    <w:rsid w:val="00DF7BAF"/>
    <w:rsid w:val="00E00411"/>
    <w:rsid w:val="00E12217"/>
    <w:rsid w:val="00E244C9"/>
    <w:rsid w:val="00E40FCB"/>
    <w:rsid w:val="00E51439"/>
    <w:rsid w:val="00E55580"/>
    <w:rsid w:val="00E56F98"/>
    <w:rsid w:val="00E6177F"/>
    <w:rsid w:val="00E6507B"/>
    <w:rsid w:val="00E67A3B"/>
    <w:rsid w:val="00E72485"/>
    <w:rsid w:val="00E7308E"/>
    <w:rsid w:val="00E734A3"/>
    <w:rsid w:val="00E73C29"/>
    <w:rsid w:val="00E82A52"/>
    <w:rsid w:val="00E86175"/>
    <w:rsid w:val="00E90D20"/>
    <w:rsid w:val="00EB3ABB"/>
    <w:rsid w:val="00ED7397"/>
    <w:rsid w:val="00F00ADC"/>
    <w:rsid w:val="00F03D52"/>
    <w:rsid w:val="00F0673E"/>
    <w:rsid w:val="00F20E70"/>
    <w:rsid w:val="00F65756"/>
    <w:rsid w:val="00F66C84"/>
    <w:rsid w:val="00F722C4"/>
    <w:rsid w:val="00F7507A"/>
    <w:rsid w:val="00F777C1"/>
    <w:rsid w:val="00F81D6C"/>
    <w:rsid w:val="00F831FA"/>
    <w:rsid w:val="00F943DE"/>
    <w:rsid w:val="00FB6841"/>
    <w:rsid w:val="00FC12EA"/>
    <w:rsid w:val="00FC6B80"/>
    <w:rsid w:val="00FE1B1E"/>
    <w:rsid w:val="00FE2351"/>
    <w:rsid w:val="00FE491F"/>
    <w:rsid w:val="00FE6910"/>
    <w:rsid w:val="05756BA1"/>
    <w:rsid w:val="0C35268C"/>
    <w:rsid w:val="1310727A"/>
    <w:rsid w:val="153204C2"/>
    <w:rsid w:val="1A203B07"/>
    <w:rsid w:val="1B801468"/>
    <w:rsid w:val="1C95065C"/>
    <w:rsid w:val="32783B35"/>
    <w:rsid w:val="38A36FD9"/>
    <w:rsid w:val="3DE56BAD"/>
    <w:rsid w:val="45F053AF"/>
    <w:rsid w:val="4B397D41"/>
    <w:rsid w:val="4DF06E6C"/>
    <w:rsid w:val="4F60321D"/>
    <w:rsid w:val="524007F8"/>
    <w:rsid w:val="5C4A5172"/>
    <w:rsid w:val="5D3121C3"/>
    <w:rsid w:val="5D617B13"/>
    <w:rsid w:val="60AF4465"/>
    <w:rsid w:val="63A60359"/>
    <w:rsid w:val="654210AC"/>
    <w:rsid w:val="77E4529F"/>
    <w:rsid w:val="7D976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Indent"/>
    <w:basedOn w:val="1"/>
    <w:qFormat/>
    <w:uiPriority w:val="0"/>
    <w:pPr>
      <w:ind w:firstLine="624" w:firstLineChars="200"/>
    </w:pPr>
    <w:rPr>
      <w:rFonts w:ascii="方正仿宋简体" w:eastAsia="方正仿宋简体"/>
      <w:spacing w:val="30"/>
      <w:w w:val="80"/>
      <w:sz w:val="32"/>
      <w:szCs w:val="20"/>
    </w:rPr>
  </w:style>
  <w:style w:type="paragraph" w:styleId="4">
    <w:name w:val="Plain Text"/>
    <w:basedOn w:val="1"/>
    <w:qFormat/>
    <w:uiPriority w:val="0"/>
    <w:rPr>
      <w:rFonts w:ascii="宋体" w:hAnsi="Courier New" w:cs="Courier New"/>
      <w:szCs w:val="21"/>
    </w:rPr>
  </w:style>
  <w:style w:type="paragraph" w:styleId="5">
    <w:name w:val="Body Text Indent 2"/>
    <w:basedOn w:val="1"/>
    <w:uiPriority w:val="0"/>
    <w:pPr>
      <w:ind w:firstLine="659" w:firstLineChars="206"/>
    </w:pPr>
    <w:rPr>
      <w:rFonts w:ascii="仿宋_GB2312" w:hAnsi="宋体" w:eastAsia="仿宋_GB2312"/>
      <w:bCs/>
      <w:sz w:val="32"/>
    </w:rPr>
  </w:style>
  <w:style w:type="paragraph" w:styleId="6">
    <w:name w:val="Balloon Text"/>
    <w:basedOn w:val="1"/>
    <w:semiHidden/>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iPriority w:val="0"/>
    <w:pPr>
      <w:spacing w:before="100" w:beforeAutospacing="1" w:after="100" w:afterAutospacing="1"/>
      <w:jc w:val="left"/>
    </w:pPr>
    <w:rPr>
      <w:kern w:val="0"/>
      <w:sz w:val="24"/>
    </w:rPr>
  </w:style>
  <w:style w:type="character" w:styleId="12">
    <w:name w:val="page number"/>
    <w:basedOn w:val="11"/>
    <w:uiPriority w:val="0"/>
  </w:style>
  <w:style w:type="paragraph" w:customStyle="1" w:styleId="13">
    <w:name w:val="Char Char Char Char"/>
    <w:basedOn w:val="2"/>
    <w:uiPriority w:val="0"/>
    <w:pPr>
      <w:adjustRightInd w:val="0"/>
      <w:snapToGrid w:val="0"/>
      <w:spacing w:line="360" w:lineRule="auto"/>
    </w:pPr>
    <w:rPr>
      <w:rFonts w:ascii="Tahoma" w:hAnsi="Tahoma"/>
      <w:sz w:val="24"/>
    </w:rPr>
  </w:style>
  <w:style w:type="paragraph" w:customStyle="1" w:styleId="14">
    <w:name w:val=" Char Char Char Char Char Char Char"/>
    <w:basedOn w:val="1"/>
    <w:uiPriority w:val="0"/>
    <w:rPr>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emf"/><Relationship Id="rId7" Type="http://schemas.openxmlformats.org/officeDocument/2006/relationships/oleObject" Target="embeddings/Workbook1.xls"/><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CA</Company>
  <Pages>10</Pages>
  <Words>522</Words>
  <Characters>531</Characters>
  <Lines>31</Lines>
  <Paragraphs>8</Paragraphs>
  <TotalTime>0</TotalTime>
  <ScaleCrop>false</ScaleCrop>
  <LinksUpToDate>false</LinksUpToDate>
  <CharactersWithSpaces>547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2022-03-10T07:43:00Z</dcterms:created>
  <dc:creator>ningna</dc:creator>
  <cp:lastModifiedBy>Administrator</cp:lastModifiedBy>
  <cp:lastPrinted>2020-02-01T03:32:00Z</cp:lastPrinted>
  <dcterms:modified xsi:type="dcterms:W3CDTF">2025-08-14T08:59:42Z</dcterms:modified>
  <dc:title>关于表彰2006年度先进集体、先进全人的</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eyJoZGlkIjoiZWJlYjhkM2E2OTkyOWZhYjU4NmFhNjkxNjgyYWQ0ZmYifQ==</vt:lpwstr>
  </property>
  <property fmtid="{D5CDD505-2E9C-101B-9397-08002B2CF9AE}" pid="4" name="ICV">
    <vt:lpwstr>3534FB46467B41C6BD5183D63736C5CF_12</vt:lpwstr>
  </property>
</Properties>
</file>