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6DEC" w:rsidRDefault="00926DEC"/>
    <w:p w:rsidR="00926DEC" w:rsidRPr="00F11EB9" w:rsidRDefault="00803916">
      <w:pPr>
        <w:rPr>
          <w:rFonts w:ascii="宋体" w:eastAsia="宋体" w:hAnsi="宋体"/>
          <w:szCs w:val="32"/>
        </w:rPr>
      </w:pPr>
      <w:r w:rsidRPr="00F11EB9">
        <w:rPr>
          <w:rFonts w:ascii="宋体" w:eastAsia="宋体" w:hAnsi="宋体" w:hint="eastAsia"/>
          <w:szCs w:val="32"/>
        </w:rPr>
        <w:t>附件</w:t>
      </w:r>
    </w:p>
    <w:p w:rsidR="00926DEC" w:rsidRPr="00F11EB9" w:rsidRDefault="00926DEC">
      <w:pPr>
        <w:jc w:val="center"/>
        <w:rPr>
          <w:rFonts w:ascii="宋体" w:eastAsia="宋体" w:hAnsi="宋体" w:cs="宋体"/>
          <w:b/>
          <w:bCs/>
          <w:sz w:val="44"/>
          <w:szCs w:val="44"/>
        </w:rPr>
      </w:pPr>
    </w:p>
    <w:p w:rsidR="00926DEC" w:rsidRPr="00F11EB9" w:rsidRDefault="00926DEC">
      <w:pPr>
        <w:spacing w:line="440" w:lineRule="exact"/>
        <w:jc w:val="center"/>
        <w:rPr>
          <w:rFonts w:ascii="宋体" w:eastAsia="宋体" w:hAnsi="宋体" w:cs="宋体"/>
          <w:b/>
          <w:bCs/>
          <w:sz w:val="44"/>
          <w:szCs w:val="44"/>
        </w:rPr>
      </w:pPr>
    </w:p>
    <w:p w:rsidR="00926DEC" w:rsidRPr="00F11EB9" w:rsidRDefault="00F11EB9">
      <w:pPr>
        <w:spacing w:line="560" w:lineRule="exact"/>
        <w:jc w:val="center"/>
        <w:rPr>
          <w:rFonts w:ascii="宋体" w:eastAsia="宋体" w:hAnsi="宋体" w:cstheme="majorEastAsia"/>
          <w:b/>
          <w:bCs/>
          <w:sz w:val="48"/>
          <w:szCs w:val="48"/>
        </w:rPr>
      </w:pPr>
      <w:r>
        <w:rPr>
          <w:rFonts w:ascii="宋体" w:eastAsia="宋体" w:hAnsi="宋体" w:cstheme="majorEastAsia" w:hint="eastAsia"/>
          <w:b/>
          <w:bCs/>
          <w:sz w:val="48"/>
          <w:szCs w:val="48"/>
        </w:rPr>
        <w:t>蓝田县</w:t>
      </w:r>
      <w:r w:rsidR="00B27939">
        <w:rPr>
          <w:rFonts w:ascii="宋体" w:eastAsia="宋体" w:hAnsi="宋体" w:cstheme="majorEastAsia" w:hint="eastAsia"/>
          <w:b/>
          <w:bCs/>
          <w:sz w:val="48"/>
          <w:szCs w:val="48"/>
        </w:rPr>
        <w:t>融媒体中心</w:t>
      </w:r>
    </w:p>
    <w:p w:rsidR="00926DEC" w:rsidRPr="00F11EB9" w:rsidRDefault="00803916">
      <w:pPr>
        <w:spacing w:line="560" w:lineRule="exact"/>
        <w:jc w:val="center"/>
        <w:rPr>
          <w:rFonts w:ascii="宋体" w:eastAsia="宋体" w:hAnsi="宋体" w:cstheme="majorEastAsia"/>
          <w:b/>
          <w:bCs/>
          <w:sz w:val="48"/>
          <w:szCs w:val="48"/>
        </w:rPr>
      </w:pPr>
      <w:r w:rsidRPr="00F11EB9">
        <w:rPr>
          <w:rFonts w:ascii="宋体" w:eastAsia="宋体" w:hAnsi="宋体" w:cstheme="majorEastAsia" w:hint="eastAsia"/>
          <w:b/>
          <w:bCs/>
          <w:sz w:val="48"/>
          <w:szCs w:val="48"/>
        </w:rPr>
        <w:t>2019年度部门决算</w:t>
      </w:r>
      <w:r w:rsidR="00B27939">
        <w:rPr>
          <w:rFonts w:ascii="宋体" w:eastAsia="宋体" w:hAnsi="宋体" w:cstheme="majorEastAsia" w:hint="eastAsia"/>
          <w:b/>
          <w:bCs/>
          <w:sz w:val="48"/>
          <w:szCs w:val="48"/>
        </w:rPr>
        <w:t>说明</w:t>
      </w: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jc w:val="center"/>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560" w:lineRule="exact"/>
        <w:rPr>
          <w:rFonts w:asciiTheme="majorEastAsia" w:eastAsiaTheme="majorEastAsia" w:hAnsiTheme="majorEastAsia" w:cstheme="majorEastAsia"/>
          <w:b/>
          <w:bCs/>
          <w:sz w:val="44"/>
          <w:szCs w:val="44"/>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Default="00926DEC">
      <w:pPr>
        <w:spacing w:line="400" w:lineRule="exact"/>
        <w:ind w:firstLineChars="800" w:firstLine="2570"/>
        <w:rPr>
          <w:rFonts w:asciiTheme="majorEastAsia" w:eastAsiaTheme="majorEastAsia" w:hAnsiTheme="majorEastAsia" w:cstheme="majorEastAsia"/>
          <w:b/>
          <w:bCs/>
          <w:szCs w:val="32"/>
        </w:rPr>
      </w:pPr>
    </w:p>
    <w:p w:rsidR="00926DEC" w:rsidRPr="00F11EB9" w:rsidRDefault="00803916">
      <w:pPr>
        <w:spacing w:line="400" w:lineRule="exact"/>
        <w:ind w:firstLineChars="650" w:firstLine="2088"/>
        <w:rPr>
          <w:rFonts w:ascii="宋体" w:eastAsia="宋体" w:hAnsi="宋体" w:cstheme="minorEastAsia"/>
          <w:b/>
          <w:bCs/>
          <w:szCs w:val="32"/>
        </w:rPr>
      </w:pPr>
      <w:r w:rsidRPr="00F11EB9">
        <w:rPr>
          <w:rFonts w:ascii="宋体" w:eastAsia="宋体" w:hAnsi="宋体" w:cstheme="minorEastAsia" w:hint="eastAsia"/>
          <w:b/>
          <w:bCs/>
          <w:szCs w:val="32"/>
        </w:rPr>
        <w:t>保密审查情况：</w:t>
      </w:r>
      <w:r w:rsidR="00B27939">
        <w:rPr>
          <w:rFonts w:ascii="宋体" w:eastAsia="宋体" w:hAnsi="宋体" w:cstheme="minorEastAsia" w:hint="eastAsia"/>
          <w:b/>
          <w:bCs/>
          <w:szCs w:val="32"/>
        </w:rPr>
        <w:t>已审查</w:t>
      </w:r>
    </w:p>
    <w:p w:rsidR="00926DEC" w:rsidRPr="00F11EB9" w:rsidRDefault="00926DEC">
      <w:pPr>
        <w:spacing w:line="400" w:lineRule="exact"/>
        <w:jc w:val="center"/>
        <w:rPr>
          <w:rFonts w:ascii="宋体" w:eastAsia="宋体" w:hAnsi="宋体" w:cstheme="minorEastAsia"/>
          <w:b/>
          <w:bCs/>
          <w:szCs w:val="32"/>
        </w:rPr>
      </w:pPr>
    </w:p>
    <w:p w:rsidR="00926DEC" w:rsidRPr="00F11EB9" w:rsidRDefault="00803916">
      <w:pPr>
        <w:spacing w:line="400" w:lineRule="exact"/>
        <w:ind w:firstLineChars="650" w:firstLine="2088"/>
        <w:rPr>
          <w:rFonts w:ascii="宋体" w:eastAsia="宋体" w:hAnsi="宋体" w:cs="宋体"/>
          <w:b/>
          <w:bCs/>
          <w:szCs w:val="32"/>
        </w:rPr>
      </w:pPr>
      <w:r w:rsidRPr="00F11EB9">
        <w:rPr>
          <w:rFonts w:ascii="宋体" w:eastAsia="宋体" w:hAnsi="宋体" w:cstheme="minorEastAsia" w:hint="eastAsia"/>
          <w:b/>
          <w:bCs/>
          <w:szCs w:val="32"/>
        </w:rPr>
        <w:t>部门主要负责人审签情况：</w:t>
      </w:r>
      <w:r w:rsidR="00B27939">
        <w:rPr>
          <w:rFonts w:ascii="宋体" w:eastAsia="宋体" w:hAnsi="宋体" w:cstheme="minorEastAsia" w:hint="eastAsia"/>
          <w:b/>
          <w:bCs/>
          <w:szCs w:val="32"/>
        </w:rPr>
        <w:t>已审签</w:t>
      </w:r>
    </w:p>
    <w:p w:rsidR="00926DEC" w:rsidRDefault="00926DEC">
      <w:pPr>
        <w:spacing w:line="400" w:lineRule="exact"/>
        <w:rPr>
          <w:rFonts w:ascii="宋体" w:hAnsi="宋体" w:cs="宋体"/>
          <w:b/>
          <w:bCs/>
          <w:szCs w:val="32"/>
        </w:rPr>
      </w:pPr>
    </w:p>
    <w:p w:rsidR="00926DEC" w:rsidRDefault="00926DEC">
      <w:pPr>
        <w:spacing w:line="400" w:lineRule="exact"/>
        <w:rPr>
          <w:rFonts w:ascii="宋体" w:hAnsi="宋体" w:cs="宋体"/>
          <w:b/>
          <w:bCs/>
          <w:szCs w:val="32"/>
        </w:rPr>
      </w:pPr>
    </w:p>
    <w:p w:rsidR="00926DEC" w:rsidRDefault="00926DEC" w:rsidP="00F11EB9">
      <w:pPr>
        <w:rPr>
          <w:rFonts w:ascii="黑体" w:eastAsia="黑体" w:hAnsi="宋体"/>
          <w:b/>
          <w:color w:val="000000"/>
          <w:kern w:val="0"/>
          <w:sz w:val="56"/>
          <w:szCs w:val="56"/>
        </w:rPr>
      </w:pPr>
    </w:p>
    <w:p w:rsidR="00926DEC" w:rsidRDefault="00803916">
      <w:pPr>
        <w:jc w:val="center"/>
        <w:rPr>
          <w:rFonts w:ascii="黑体" w:eastAsia="黑体" w:hAnsi="宋体"/>
          <w:bCs/>
          <w:color w:val="000000"/>
          <w:kern w:val="0"/>
          <w:sz w:val="36"/>
          <w:szCs w:val="36"/>
        </w:rPr>
      </w:pPr>
      <w:r>
        <w:rPr>
          <w:rFonts w:ascii="黑体" w:eastAsia="黑体" w:hAnsi="宋体"/>
          <w:bCs/>
          <w:color w:val="000000"/>
          <w:kern w:val="0"/>
          <w:sz w:val="36"/>
          <w:szCs w:val="36"/>
        </w:rPr>
        <w:lastRenderedPageBreak/>
        <w:t>目录</w:t>
      </w:r>
    </w:p>
    <w:p w:rsidR="00926DEC" w:rsidRDefault="00926DEC">
      <w:pPr>
        <w:jc w:val="center"/>
        <w:rPr>
          <w:rFonts w:ascii="黑体" w:eastAsia="黑体" w:hAnsi="宋体"/>
          <w:bCs/>
          <w:color w:val="000000"/>
          <w:kern w:val="0"/>
          <w:sz w:val="36"/>
          <w:szCs w:val="36"/>
        </w:rPr>
      </w:pPr>
    </w:p>
    <w:p w:rsidR="00926DEC" w:rsidRDefault="00803916">
      <w:pPr>
        <w:widowControl/>
        <w:jc w:val="center"/>
      </w:pPr>
      <w:r>
        <w:rPr>
          <w:rFonts w:ascii="黑体" w:eastAsia="黑体" w:hAnsi="宋体" w:hint="eastAsia"/>
          <w:color w:val="000000"/>
          <w:kern w:val="0"/>
          <w:szCs w:val="32"/>
        </w:rPr>
        <w:t>第一部分 部门概况</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一、部门主要职责及内设机构</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二、部门决算单位构成</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三、部门人员情况</w:t>
      </w:r>
    </w:p>
    <w:p w:rsidR="00926DEC" w:rsidRDefault="00803916">
      <w:pPr>
        <w:widowControl/>
        <w:jc w:val="center"/>
      </w:pPr>
      <w:r>
        <w:rPr>
          <w:rFonts w:ascii="黑体" w:eastAsia="黑体" w:hAnsi="宋体" w:hint="eastAsia"/>
          <w:color w:val="000000"/>
          <w:kern w:val="0"/>
          <w:szCs w:val="32"/>
        </w:rPr>
        <w:t>第二部分  2019年度部门决算表</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一、收入支出决算总表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二、收入决算总表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三、支出决算总表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四、财政拨款收入支出决算总表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五、一般公共预算财政拨款支出决算表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六、一般公共预算财政拨款基本支出决算表    </w:t>
      </w:r>
    </w:p>
    <w:p w:rsidR="00926DEC" w:rsidRDefault="00803916">
      <w:pPr>
        <w:widowControl/>
        <w:ind w:left="640" w:hangingChars="200" w:hanging="640"/>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七、一般公共预算财政拨款“三公”经费及会议费、培训费支出决算表    </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八、政府性基金预算财政拨款收入支出决算表</w:t>
      </w:r>
    </w:p>
    <w:p w:rsidR="00926DEC" w:rsidRDefault="00803916">
      <w:pPr>
        <w:widowControl/>
        <w:jc w:val="center"/>
      </w:pPr>
      <w:r>
        <w:rPr>
          <w:rFonts w:ascii="黑体" w:eastAsia="黑体" w:hAnsi="宋体" w:hint="eastAsia"/>
          <w:color w:val="000000"/>
          <w:kern w:val="0"/>
          <w:szCs w:val="32"/>
        </w:rPr>
        <w:t>第三部分 2019年度部门决算情况说明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二、收入决算情况说明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三、支出决算情况说明</w:t>
      </w:r>
    </w:p>
    <w:p w:rsidR="00926DEC" w:rsidRDefault="00803916">
      <w:pPr>
        <w:widowControl/>
        <w:jc w:val="left"/>
        <w:rPr>
          <w:rFonts w:ascii="楷体" w:eastAsia="楷体" w:hAnsi="楷体" w:cs="楷体"/>
        </w:rPr>
      </w:pPr>
      <w:r>
        <w:rPr>
          <w:rFonts w:ascii="仿宋" w:eastAsia="仿宋" w:hAnsi="仿宋" w:cs="楷体" w:hint="eastAsia"/>
          <w:color w:val="000000"/>
          <w:kern w:val="0"/>
          <w:szCs w:val="32"/>
        </w:rPr>
        <w:t>四、财政拨款收入支出决算总体情况说明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五、一般公共预算财政拨款支出决算情况说明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lastRenderedPageBreak/>
        <w:t>（一）财政拨款支出决算总体情况说明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六、一般公共预算财政拨款基本支出决算情况说明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七、一般公共预算财政拨款“三公”经费及会议费、培训费支出决算情况说明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（一）“三公”经费财政拨款支出决算总体情况说明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（二）“三公”经费财政拨款支出决算具体情况说明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（三）培训费支出情况说明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（四）会议费支出情况说明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八、政府性基金预算财政拨款收入支出情况说明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九、国有资本经营财政拨款收入支出情况说明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十、预算绩效情况说明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（一）预算绩效管理工作开展情况说明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（二）部门决算中项目绩效自评结果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（三）部门决算中整体支出绩效自评结果</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 xml:space="preserve"> 十一、其他重要事项说明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（一）机关运行经费支出情况说明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（二）政府采购支出情况说明</w:t>
      </w:r>
    </w:p>
    <w:p w:rsidR="00926DEC" w:rsidRDefault="00803916">
      <w:pPr>
        <w:widowControl/>
        <w:jc w:val="left"/>
        <w:rPr>
          <w:rFonts w:ascii="仿宋" w:eastAsia="仿宋" w:hAnsi="仿宋" w:cs="楷体"/>
          <w:color w:val="000000"/>
          <w:kern w:val="0"/>
          <w:szCs w:val="32"/>
        </w:rPr>
      </w:pPr>
      <w:r>
        <w:rPr>
          <w:rFonts w:ascii="仿宋" w:eastAsia="仿宋" w:hAnsi="仿宋" w:cs="楷体" w:hint="eastAsia"/>
          <w:color w:val="000000"/>
          <w:kern w:val="0"/>
          <w:szCs w:val="32"/>
        </w:rPr>
        <w:t>（三）国有资产占用及购置情况说明</w:t>
      </w:r>
    </w:p>
    <w:p w:rsidR="00926DEC" w:rsidRDefault="00803916">
      <w:pPr>
        <w:jc w:val="center"/>
        <w:rPr>
          <w:rFonts w:ascii="黑体" w:eastAsia="黑体" w:hAnsi="宋体"/>
          <w:color w:val="000000"/>
          <w:kern w:val="0"/>
          <w:szCs w:val="32"/>
        </w:rPr>
      </w:pPr>
      <w:r>
        <w:rPr>
          <w:rFonts w:ascii="黑体" w:eastAsia="黑体" w:hAnsi="宋体" w:hint="eastAsia"/>
          <w:color w:val="000000"/>
          <w:kern w:val="0"/>
          <w:szCs w:val="32"/>
        </w:rPr>
        <w:t>第四部分 专业名词解释</w:t>
      </w:r>
    </w:p>
    <w:p w:rsidR="00926DEC" w:rsidRDefault="00926DEC">
      <w:pPr>
        <w:rPr>
          <w:rFonts w:ascii="黑体" w:eastAsia="黑体" w:hAnsi="宋体"/>
          <w:color w:val="000000"/>
          <w:kern w:val="0"/>
          <w:szCs w:val="32"/>
        </w:rPr>
      </w:pPr>
    </w:p>
    <w:p w:rsidR="00926DEC" w:rsidRDefault="00926DEC">
      <w:pPr>
        <w:jc w:val="center"/>
        <w:rPr>
          <w:rFonts w:ascii="黑体" w:eastAsia="黑体" w:hAnsi="宋体"/>
          <w:color w:val="000000"/>
          <w:kern w:val="0"/>
          <w:sz w:val="44"/>
          <w:szCs w:val="44"/>
        </w:rPr>
      </w:pPr>
    </w:p>
    <w:p w:rsidR="00926DEC" w:rsidRDefault="00803916">
      <w:pPr>
        <w:numPr>
          <w:ilvl w:val="0"/>
          <w:numId w:val="2"/>
        </w:numPr>
        <w:jc w:val="center"/>
        <w:rPr>
          <w:rFonts w:ascii="黑体" w:eastAsia="黑体" w:hAnsi="宋体"/>
          <w:color w:val="000000"/>
          <w:kern w:val="0"/>
          <w:sz w:val="44"/>
          <w:szCs w:val="44"/>
        </w:rPr>
      </w:pPr>
      <w:r>
        <w:rPr>
          <w:rFonts w:ascii="黑体" w:eastAsia="黑体" w:hAnsi="宋体" w:hint="eastAsia"/>
          <w:color w:val="000000"/>
          <w:kern w:val="0"/>
          <w:sz w:val="44"/>
          <w:szCs w:val="44"/>
        </w:rPr>
        <w:lastRenderedPageBreak/>
        <w:t>部门</w:t>
      </w:r>
      <w:r>
        <w:rPr>
          <w:rFonts w:ascii="黑体" w:eastAsia="黑体" w:hAnsi="宋体"/>
          <w:color w:val="000000"/>
          <w:kern w:val="0"/>
          <w:sz w:val="44"/>
          <w:szCs w:val="44"/>
        </w:rPr>
        <w:t>概况</w:t>
      </w:r>
    </w:p>
    <w:p w:rsidR="00926DEC" w:rsidRDefault="00926DEC">
      <w:pPr>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宋体"/>
          <w:color w:val="000000"/>
          <w:kern w:val="0"/>
          <w:szCs w:val="32"/>
        </w:rPr>
      </w:pPr>
      <w:r>
        <w:rPr>
          <w:rFonts w:ascii="黑体" w:eastAsia="黑体" w:hAnsi="宋体" w:hint="eastAsia"/>
          <w:color w:val="000000"/>
          <w:kern w:val="0"/>
          <w:szCs w:val="32"/>
        </w:rPr>
        <w:t>一、部门主要职责及内设机构</w:t>
      </w:r>
    </w:p>
    <w:p w:rsidR="00926DEC" w:rsidRDefault="00803916">
      <w:pPr>
        <w:widowControl/>
        <w:ind w:firstLineChars="200" w:firstLine="643"/>
        <w:jc w:val="left"/>
        <w:rPr>
          <w:rFonts w:ascii="楷体" w:eastAsia="楷体" w:hAnsi="楷体" w:cs="楷体"/>
          <w:b/>
          <w:bCs/>
          <w:color w:val="000000"/>
          <w:kern w:val="0"/>
          <w:szCs w:val="32"/>
        </w:rPr>
      </w:pPr>
      <w:r>
        <w:rPr>
          <w:rFonts w:ascii="楷体" w:eastAsia="楷体" w:hAnsi="楷体" w:cs="楷体" w:hint="eastAsia"/>
          <w:b/>
          <w:bCs/>
          <w:color w:val="000000"/>
          <w:kern w:val="0"/>
          <w:szCs w:val="32"/>
        </w:rPr>
        <w:t>（一）主要职责</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1</w:t>
      </w:r>
      <w:r w:rsidRPr="00137606">
        <w:rPr>
          <w:rFonts w:ascii="仿宋_GB2312" w:eastAsia="仿宋_GB2312" w:hint="eastAsia"/>
          <w:szCs w:val="32"/>
        </w:rPr>
        <w:t>、贯彻落实党的新闻宣传方针政策,宣传党的理论、路线和各项方针政策,把握新闻宣传基调,坚持正面宣传、团结鼓劲，为全县经济社会发展提供舆论支持；</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2</w:t>
      </w:r>
      <w:r w:rsidRPr="00137606">
        <w:rPr>
          <w:rFonts w:ascii="仿宋_GB2312" w:eastAsia="仿宋_GB2312" w:hint="eastAsia"/>
          <w:szCs w:val="32"/>
        </w:rPr>
        <w:t>、负责全县新闻宣传工作,围绕县委、县政府重大决策及中心工作,主动策划广播、电视、报纸及网络、微信、微博等新媒体的新闻宣传工作,组织部署媒体采访活动;</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3</w:t>
      </w:r>
      <w:r w:rsidRPr="00137606">
        <w:rPr>
          <w:rFonts w:ascii="仿宋_GB2312" w:eastAsia="仿宋_GB2312" w:hint="eastAsia"/>
          <w:szCs w:val="32"/>
        </w:rPr>
        <w:t>、负责新媒体新技术引进、使用、推广;</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4</w:t>
      </w:r>
      <w:r w:rsidRPr="00137606">
        <w:rPr>
          <w:rFonts w:ascii="仿宋_GB2312" w:eastAsia="仿宋_GB2312" w:hint="eastAsia"/>
          <w:szCs w:val="32"/>
        </w:rPr>
        <w:t>、负责与各级报刊、广电、网络等媒体的沟通协调及相关采访工作配合,确保新闻采写、报送和发布工作落实到位;</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5</w:t>
      </w:r>
      <w:r w:rsidRPr="00137606">
        <w:rPr>
          <w:rFonts w:ascii="仿宋_GB2312" w:eastAsia="仿宋_GB2312" w:hint="eastAsia"/>
          <w:szCs w:val="32"/>
        </w:rPr>
        <w:t>、做好县内重大新闻事件、突发事件采访、舆情宣传引导、媒体发布、释疑解惑;</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6</w:t>
      </w:r>
      <w:r w:rsidRPr="00137606">
        <w:rPr>
          <w:rFonts w:ascii="仿宋_GB2312" w:eastAsia="仿宋_GB2312" w:hint="eastAsia"/>
          <w:szCs w:val="32"/>
        </w:rPr>
        <w:t>、负责做好全县大数据平台、云服务平台建设,按照“新闻+政务+服务”的要求,负责做好公共服务平台建设,实现新闻、资讯、党务、政务、便民、生活、教育、旅游、电商、物流、监控等服务;</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7</w:t>
      </w:r>
      <w:r w:rsidRPr="00137606">
        <w:rPr>
          <w:rFonts w:ascii="仿宋_GB2312" w:eastAsia="仿宋_GB2312" w:hint="eastAsia"/>
          <w:szCs w:val="32"/>
        </w:rPr>
        <w:t>、管理本中心广播电视无线发射台工作;</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t>8</w:t>
      </w:r>
      <w:r w:rsidRPr="00137606">
        <w:rPr>
          <w:rFonts w:ascii="仿宋_GB2312" w:eastAsia="仿宋_GB2312" w:hint="eastAsia"/>
          <w:szCs w:val="32"/>
        </w:rPr>
        <w:t>、负责本单位及所属事业单位安全生产管理工作;</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szCs w:val="32"/>
        </w:rPr>
        <w:lastRenderedPageBreak/>
        <w:t>9</w:t>
      </w:r>
      <w:r w:rsidRPr="00137606">
        <w:rPr>
          <w:rFonts w:ascii="仿宋_GB2312" w:eastAsia="仿宋_GB2312" w:hint="eastAsia"/>
          <w:szCs w:val="32"/>
        </w:rPr>
        <w:t>、完成县委、县政府交办的其他事项。</w:t>
      </w:r>
    </w:p>
    <w:p w:rsidR="00B27939" w:rsidRDefault="00803916" w:rsidP="00B27939">
      <w:pPr>
        <w:spacing w:line="360" w:lineRule="auto"/>
        <w:ind w:firstLine="643"/>
        <w:rPr>
          <w:rFonts w:ascii="楷体" w:eastAsia="楷体" w:hAnsi="楷体" w:cs="楷体"/>
          <w:b/>
          <w:bCs/>
          <w:color w:val="000000"/>
          <w:kern w:val="0"/>
          <w:szCs w:val="32"/>
        </w:rPr>
      </w:pPr>
      <w:r>
        <w:rPr>
          <w:rFonts w:ascii="楷体" w:eastAsia="楷体" w:hAnsi="楷体" w:cs="楷体" w:hint="eastAsia"/>
          <w:b/>
          <w:bCs/>
          <w:color w:val="000000"/>
          <w:kern w:val="0"/>
          <w:szCs w:val="32"/>
        </w:rPr>
        <w:t>（二）内设机构</w:t>
      </w:r>
    </w:p>
    <w:p w:rsidR="00B27939" w:rsidRPr="00137606" w:rsidRDefault="00B27939" w:rsidP="00B27939">
      <w:pPr>
        <w:spacing w:line="360" w:lineRule="auto"/>
        <w:ind w:firstLine="643"/>
        <w:rPr>
          <w:rFonts w:ascii="仿宋_GB2312" w:eastAsia="仿宋_GB2312"/>
          <w:szCs w:val="32"/>
        </w:rPr>
      </w:pPr>
      <w:r w:rsidRPr="00137606">
        <w:rPr>
          <w:rFonts w:ascii="仿宋_GB2312" w:eastAsia="仿宋_GB2312" w:hint="eastAsia"/>
          <w:szCs w:val="32"/>
        </w:rPr>
        <w:t>单位性质为全额事业单位，经费形式为全额财政拨款，内设办公室、采访部、新媒体部、广播节目部、专题部、编辑制作部、广告部、技术部、终端服务部九个科室。</w:t>
      </w:r>
    </w:p>
    <w:p w:rsidR="00926DEC" w:rsidRDefault="00803916">
      <w:pPr>
        <w:widowControl/>
        <w:ind w:firstLineChars="200" w:firstLine="640"/>
        <w:jc w:val="left"/>
      </w:pPr>
      <w:r>
        <w:rPr>
          <w:rFonts w:ascii="黑体" w:eastAsia="黑体" w:hAnsi="宋体"/>
          <w:color w:val="000000"/>
          <w:kern w:val="0"/>
          <w:szCs w:val="32"/>
        </w:rPr>
        <w:t>二、</w:t>
      </w:r>
      <w:r>
        <w:rPr>
          <w:rFonts w:ascii="黑体" w:eastAsia="黑体" w:hAnsi="宋体" w:hint="eastAsia"/>
          <w:color w:val="000000"/>
          <w:kern w:val="0"/>
          <w:szCs w:val="32"/>
        </w:rPr>
        <w:t>部门决算单位构成</w:t>
      </w:r>
    </w:p>
    <w:p w:rsidR="00B27939" w:rsidRDefault="00B27939" w:rsidP="00B27939">
      <w:pPr>
        <w:ind w:firstLineChars="200" w:firstLine="640"/>
        <w:rPr>
          <w:rFonts w:ascii="仿宋_GB2312" w:eastAsia="仿宋_GB2312" w:hAnsi="仿宋"/>
          <w:szCs w:val="32"/>
        </w:rPr>
      </w:pPr>
      <w:r>
        <w:rPr>
          <w:rFonts w:ascii="仿宋_GB2312" w:eastAsia="仿宋_GB2312" w:hAnsi="仿宋" w:hint="eastAsia"/>
          <w:szCs w:val="32"/>
        </w:rPr>
        <w:t>从决算单位构成看，本部门的部门决算只包括蓝田县融媒体中心部门本级决算，无下属单位。</w:t>
      </w:r>
    </w:p>
    <w:tbl>
      <w:tblPr>
        <w:tblW w:w="0" w:type="auto"/>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500"/>
        <w:gridCol w:w="5700"/>
      </w:tblGrid>
      <w:tr w:rsidR="00B27939" w:rsidTr="00533706">
        <w:trPr>
          <w:trHeight w:val="450"/>
        </w:trPr>
        <w:tc>
          <w:tcPr>
            <w:tcW w:w="1500" w:type="dxa"/>
            <w:vAlign w:val="center"/>
          </w:tcPr>
          <w:p w:rsidR="00B27939" w:rsidRDefault="00B27939" w:rsidP="00533706">
            <w:pPr>
              <w:ind w:firstLineChars="200" w:firstLine="640"/>
              <w:jc w:val="center"/>
              <w:rPr>
                <w:rFonts w:ascii="仿宋_GB2312" w:eastAsia="仿宋_GB2312" w:hAnsi="仿宋"/>
                <w:szCs w:val="32"/>
              </w:rPr>
            </w:pPr>
            <w:r>
              <w:rPr>
                <w:rFonts w:ascii="仿宋_GB2312" w:eastAsia="仿宋_GB2312" w:hAnsi="仿宋" w:hint="eastAsia"/>
                <w:szCs w:val="32"/>
              </w:rPr>
              <w:t>序号</w:t>
            </w:r>
          </w:p>
        </w:tc>
        <w:tc>
          <w:tcPr>
            <w:tcW w:w="5700" w:type="dxa"/>
            <w:vAlign w:val="center"/>
          </w:tcPr>
          <w:p w:rsidR="00B27939" w:rsidRDefault="00B27939" w:rsidP="00533706">
            <w:pPr>
              <w:ind w:firstLineChars="200" w:firstLine="640"/>
              <w:jc w:val="center"/>
              <w:rPr>
                <w:rFonts w:ascii="仿宋_GB2312" w:eastAsia="仿宋_GB2312" w:hAnsi="仿宋"/>
                <w:szCs w:val="32"/>
              </w:rPr>
            </w:pPr>
            <w:r>
              <w:rPr>
                <w:rFonts w:ascii="仿宋_GB2312" w:eastAsia="仿宋_GB2312" w:hAnsi="仿宋" w:hint="eastAsia"/>
                <w:szCs w:val="32"/>
              </w:rPr>
              <w:t>单位名称</w:t>
            </w:r>
          </w:p>
        </w:tc>
      </w:tr>
      <w:tr w:rsidR="00B27939" w:rsidTr="00533706">
        <w:trPr>
          <w:trHeight w:val="450"/>
        </w:trPr>
        <w:tc>
          <w:tcPr>
            <w:tcW w:w="1500" w:type="dxa"/>
          </w:tcPr>
          <w:p w:rsidR="00B27939" w:rsidRDefault="00B27939" w:rsidP="00533706">
            <w:pPr>
              <w:ind w:firstLineChars="200" w:firstLine="640"/>
              <w:jc w:val="center"/>
              <w:rPr>
                <w:rFonts w:ascii="仿宋_GB2312" w:eastAsia="仿宋_GB2312" w:hAnsi="仿宋"/>
                <w:szCs w:val="32"/>
              </w:rPr>
            </w:pPr>
            <w:r>
              <w:rPr>
                <w:rFonts w:ascii="仿宋_GB2312" w:eastAsia="仿宋_GB2312" w:hAnsi="仿宋" w:hint="eastAsia"/>
                <w:szCs w:val="32"/>
              </w:rPr>
              <w:t>1</w:t>
            </w:r>
          </w:p>
        </w:tc>
        <w:tc>
          <w:tcPr>
            <w:tcW w:w="5700" w:type="dxa"/>
          </w:tcPr>
          <w:p w:rsidR="00B27939" w:rsidRDefault="00B27939" w:rsidP="00533706">
            <w:pPr>
              <w:ind w:firstLineChars="200" w:firstLine="640"/>
              <w:jc w:val="center"/>
              <w:rPr>
                <w:rFonts w:ascii="仿宋_GB2312" w:eastAsia="仿宋_GB2312" w:hAnsi="仿宋"/>
                <w:szCs w:val="32"/>
              </w:rPr>
            </w:pPr>
            <w:r>
              <w:rPr>
                <w:rFonts w:ascii="仿宋_GB2312" w:eastAsia="仿宋_GB2312" w:hAnsi="仿宋" w:hint="eastAsia"/>
                <w:szCs w:val="32"/>
              </w:rPr>
              <w:t>蓝田县融媒体中心</w:t>
            </w:r>
          </w:p>
        </w:tc>
      </w:tr>
    </w:tbl>
    <w:p w:rsidR="00926DEC" w:rsidRDefault="00803916">
      <w:pPr>
        <w:ind w:firstLine="640"/>
        <w:rPr>
          <w:rFonts w:ascii="黑体" w:eastAsia="黑体" w:hAnsi="黑体"/>
          <w:b/>
          <w:bCs/>
          <w:szCs w:val="32"/>
        </w:rPr>
      </w:pPr>
      <w:r>
        <w:rPr>
          <w:rFonts w:ascii="黑体" w:eastAsia="黑体" w:hAnsi="黑体" w:hint="eastAsia"/>
          <w:b/>
          <w:bCs/>
          <w:szCs w:val="32"/>
        </w:rPr>
        <w:t>三、部门人员情况</w:t>
      </w:r>
    </w:p>
    <w:p w:rsidR="00B27939" w:rsidRPr="003A5E5E" w:rsidRDefault="00B27939" w:rsidP="00B27939">
      <w:pPr>
        <w:widowControl/>
        <w:shd w:val="clear" w:color="auto" w:fill="FFFFFF"/>
        <w:spacing w:line="500" w:lineRule="atLeast"/>
        <w:ind w:firstLine="640"/>
        <w:jc w:val="left"/>
        <w:rPr>
          <w:rFonts w:ascii="仿宋_GB2312" w:eastAsia="仿宋_GB2312" w:hAnsi="宋体"/>
          <w:color w:val="363636"/>
          <w:szCs w:val="32"/>
        </w:rPr>
      </w:pPr>
      <w:r w:rsidRPr="003A5E5E">
        <w:rPr>
          <w:rFonts w:ascii="仿宋_GB2312" w:eastAsia="仿宋_GB2312" w:hAnsi="宋体" w:hint="eastAsia"/>
          <w:color w:val="363636"/>
          <w:szCs w:val="32"/>
        </w:rPr>
        <w:t>截止201</w:t>
      </w:r>
      <w:r w:rsidRPr="003A5E5E">
        <w:rPr>
          <w:rFonts w:ascii="仿宋_GB2312" w:eastAsia="仿宋_GB2312" w:hAnsi="宋体"/>
          <w:color w:val="363636"/>
          <w:szCs w:val="32"/>
        </w:rPr>
        <w:t>9</w:t>
      </w:r>
      <w:r w:rsidRPr="003A5E5E">
        <w:rPr>
          <w:rFonts w:ascii="仿宋_GB2312" w:eastAsia="仿宋_GB2312" w:hAnsi="宋体" w:hint="eastAsia"/>
          <w:color w:val="363636"/>
          <w:szCs w:val="32"/>
        </w:rPr>
        <w:t>年底，本部门人员编制</w:t>
      </w:r>
      <w:r w:rsidRPr="003A5E5E">
        <w:rPr>
          <w:rFonts w:ascii="仿宋_GB2312" w:eastAsia="仿宋_GB2312" w:hAnsi="宋体"/>
          <w:color w:val="363636"/>
          <w:szCs w:val="32"/>
        </w:rPr>
        <w:t>51</w:t>
      </w:r>
      <w:r w:rsidRPr="003A5E5E">
        <w:rPr>
          <w:rFonts w:ascii="仿宋_GB2312" w:eastAsia="仿宋_GB2312" w:hAnsi="宋体" w:hint="eastAsia"/>
          <w:color w:val="363636"/>
          <w:szCs w:val="32"/>
        </w:rPr>
        <w:t>人，其中行政编制0人，事业编制</w:t>
      </w:r>
      <w:r w:rsidRPr="003A5E5E">
        <w:rPr>
          <w:rFonts w:ascii="仿宋_GB2312" w:eastAsia="仿宋_GB2312" w:hAnsi="宋体"/>
          <w:color w:val="363636"/>
          <w:szCs w:val="32"/>
        </w:rPr>
        <w:t>51</w:t>
      </w:r>
      <w:r w:rsidRPr="003A5E5E">
        <w:rPr>
          <w:rFonts w:ascii="仿宋_GB2312" w:eastAsia="仿宋_GB2312" w:hAnsi="宋体" w:hint="eastAsia"/>
          <w:color w:val="363636"/>
          <w:szCs w:val="32"/>
        </w:rPr>
        <w:t>人，实有人员</w:t>
      </w:r>
      <w:r w:rsidRPr="003A5E5E">
        <w:rPr>
          <w:rFonts w:ascii="仿宋_GB2312" w:eastAsia="仿宋_GB2312" w:hAnsi="宋体"/>
          <w:color w:val="363636"/>
          <w:szCs w:val="32"/>
        </w:rPr>
        <w:t>50</w:t>
      </w:r>
      <w:r w:rsidRPr="003A5E5E">
        <w:rPr>
          <w:rFonts w:ascii="仿宋_GB2312" w:eastAsia="仿宋_GB2312" w:hAnsi="宋体" w:hint="eastAsia"/>
          <w:color w:val="363636"/>
          <w:szCs w:val="32"/>
        </w:rPr>
        <w:t>人，其中行政3人，事业</w:t>
      </w:r>
      <w:r w:rsidRPr="003A5E5E">
        <w:rPr>
          <w:rFonts w:ascii="仿宋_GB2312" w:eastAsia="仿宋_GB2312" w:hAnsi="宋体"/>
          <w:color w:val="363636"/>
          <w:szCs w:val="32"/>
        </w:rPr>
        <w:t>4</w:t>
      </w:r>
      <w:r w:rsidRPr="003A5E5E">
        <w:rPr>
          <w:rFonts w:ascii="仿宋_GB2312" w:eastAsia="仿宋_GB2312" w:hAnsi="宋体" w:hint="eastAsia"/>
          <w:color w:val="363636"/>
          <w:szCs w:val="32"/>
        </w:rPr>
        <w:t>7人，退休人员19人。</w:t>
      </w:r>
    </w:p>
    <w:p w:rsidR="00B27939" w:rsidRDefault="00B27939" w:rsidP="00B27939">
      <w:pPr>
        <w:ind w:firstLineChars="200" w:firstLine="640"/>
        <w:rPr>
          <w:rFonts w:ascii="仿宋_GB2312" w:eastAsia="仿宋_GB2312" w:hAnsi="仿宋"/>
          <w:szCs w:val="32"/>
        </w:rPr>
      </w:pPr>
      <w:r>
        <w:rPr>
          <w:rFonts w:ascii="仿宋_GB2312" w:eastAsia="仿宋_GB2312" w:hAnsi="仿宋" w:hint="eastAsia"/>
          <w:szCs w:val="32"/>
        </w:rPr>
        <w:t xml:space="preserve">   </w:t>
      </w:r>
      <w:r>
        <w:rPr>
          <w:rFonts w:ascii="仿宋_GB2312" w:eastAsia="仿宋_GB2312" w:hAnsi="仿宋"/>
          <w:noProof/>
          <w:szCs w:val="32"/>
        </w:rPr>
        <w:drawing>
          <wp:inline distT="0" distB="0" distL="0" distR="0">
            <wp:extent cx="2604770" cy="1754505"/>
            <wp:effectExtent l="0" t="0" r="0" b="0"/>
            <wp:docPr id="13" name="对象 1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AB7AC9" w:rsidRDefault="00AB7AC9">
      <w:pPr>
        <w:widowControl/>
        <w:jc w:val="center"/>
        <w:rPr>
          <w:rFonts w:ascii="黑体" w:eastAsia="黑体" w:hAnsi="宋体"/>
          <w:color w:val="000000"/>
          <w:kern w:val="0"/>
          <w:sz w:val="44"/>
          <w:szCs w:val="44"/>
        </w:rPr>
      </w:pPr>
    </w:p>
    <w:p w:rsidR="00AB7AC9" w:rsidRDefault="00AB7AC9">
      <w:pPr>
        <w:widowControl/>
        <w:jc w:val="center"/>
        <w:rPr>
          <w:rFonts w:ascii="黑体" w:eastAsia="黑体" w:hAnsi="宋体"/>
          <w:color w:val="000000"/>
          <w:kern w:val="0"/>
          <w:sz w:val="44"/>
          <w:szCs w:val="44"/>
        </w:rPr>
      </w:pPr>
    </w:p>
    <w:p w:rsidR="00AB7AC9" w:rsidRDefault="00AB7AC9">
      <w:pPr>
        <w:widowControl/>
        <w:jc w:val="center"/>
        <w:rPr>
          <w:rFonts w:ascii="黑体" w:eastAsia="黑体" w:hAnsi="宋体"/>
          <w:color w:val="000000"/>
          <w:kern w:val="0"/>
          <w:sz w:val="44"/>
          <w:szCs w:val="44"/>
        </w:rPr>
      </w:pPr>
    </w:p>
    <w:p w:rsidR="00926DEC" w:rsidRDefault="00803916">
      <w:pPr>
        <w:widowControl/>
        <w:jc w:val="center"/>
        <w:rPr>
          <w:sz w:val="44"/>
          <w:szCs w:val="44"/>
        </w:rPr>
      </w:pPr>
      <w:r>
        <w:rPr>
          <w:rFonts w:ascii="黑体" w:eastAsia="黑体" w:hAnsi="宋体"/>
          <w:color w:val="000000"/>
          <w:kern w:val="0"/>
          <w:sz w:val="44"/>
          <w:szCs w:val="44"/>
        </w:rPr>
        <w:lastRenderedPageBreak/>
        <w:t>第二部分 2019年度部门决算表</w:t>
      </w:r>
    </w:p>
    <w:p w:rsidR="00926DEC" w:rsidRDefault="00926DEC">
      <w:pPr>
        <w:widowControl/>
        <w:jc w:val="center"/>
        <w:textAlignment w:val="center"/>
        <w:rPr>
          <w:rFonts w:ascii="宋体" w:hAnsi="宋体" w:cs="宋体"/>
          <w:b/>
          <w:color w:val="000000"/>
          <w:kern w:val="0"/>
          <w:sz w:val="40"/>
          <w:szCs w:val="40"/>
        </w:rPr>
      </w:pPr>
    </w:p>
    <w:tbl>
      <w:tblPr>
        <w:tblpPr w:leftFromText="180" w:rightFromText="180" w:vertAnchor="text" w:horzAnchor="page" w:tblpX="1508" w:tblpY="1123"/>
        <w:tblOverlap w:val="never"/>
        <w:tblW w:w="9210" w:type="dxa"/>
        <w:tblLayout w:type="fixed"/>
        <w:tblCellMar>
          <w:left w:w="0" w:type="dxa"/>
          <w:right w:w="0" w:type="dxa"/>
        </w:tblCellMar>
        <w:tblLook w:val="04A0" w:firstRow="1" w:lastRow="0" w:firstColumn="1" w:lastColumn="0" w:noHBand="0" w:noVBand="1"/>
      </w:tblPr>
      <w:tblGrid>
        <w:gridCol w:w="570"/>
        <w:gridCol w:w="6029"/>
        <w:gridCol w:w="690"/>
        <w:gridCol w:w="1921"/>
      </w:tblGrid>
      <w:tr w:rsidR="0067266C" w:rsidTr="00533706">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序号</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内容</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是否</w:t>
            </w:r>
          </w:p>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空表</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表格为空的理由</w:t>
            </w:r>
          </w:p>
        </w:tc>
      </w:tr>
      <w:tr w:rsidR="0067266C" w:rsidTr="0053370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表1</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收入支出决算总表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表2</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收入决算表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表3</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支出决算表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表4</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财政拨款收入支出决算总表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表5</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一般公共预算财政拨款支出决算表（按功能分类科目）</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表6</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kern w:val="0"/>
                <w:sz w:val="21"/>
                <w:szCs w:val="21"/>
              </w:rPr>
            </w:pPr>
            <w:r>
              <w:rPr>
                <w:rFonts w:asciiTheme="minorEastAsia" w:eastAsiaTheme="minorEastAsia" w:hAnsiTheme="minorEastAsia" w:cstheme="minorEastAsia" w:hint="eastAsia"/>
                <w:color w:val="000000"/>
                <w:kern w:val="0"/>
                <w:sz w:val="21"/>
                <w:szCs w:val="21"/>
              </w:rPr>
              <w:t>一般公共预算财政拨款基本支出决算表 （按经济分类科目）</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表7</w:t>
            </w:r>
          </w:p>
        </w:tc>
        <w:tc>
          <w:tcPr>
            <w:tcW w:w="6029"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67266C" w:rsidRDefault="0067266C" w:rsidP="00533706">
            <w:pPr>
              <w:widowControl/>
              <w:jc w:val="left"/>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一般公共预算财政拨款“三公”经费及会议费、培训费支出决算表</w:t>
            </w:r>
          </w:p>
        </w:tc>
        <w:tc>
          <w:tcPr>
            <w:tcW w:w="69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否</w:t>
            </w:r>
          </w:p>
        </w:tc>
        <w:tc>
          <w:tcPr>
            <w:tcW w:w="1921"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67266C" w:rsidRDefault="0067266C" w:rsidP="00533706">
            <w:pPr>
              <w:jc w:val="center"/>
              <w:rPr>
                <w:rFonts w:asciiTheme="minorEastAsia" w:eastAsiaTheme="minorEastAsia" w:hAnsiTheme="minorEastAsia" w:cstheme="minorEastAsia"/>
                <w:color w:val="000000"/>
                <w:sz w:val="21"/>
                <w:szCs w:val="21"/>
              </w:rPr>
            </w:pPr>
          </w:p>
        </w:tc>
      </w:tr>
      <w:tr w:rsidR="0067266C" w:rsidTr="00533706">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表8</w:t>
            </w:r>
          </w:p>
        </w:tc>
        <w:tc>
          <w:tcPr>
            <w:tcW w:w="6029"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lef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政府性基金预算财政拨款收入支出决算表</w:t>
            </w:r>
          </w:p>
        </w:tc>
        <w:tc>
          <w:tcPr>
            <w:tcW w:w="69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是</w:t>
            </w:r>
          </w:p>
        </w:tc>
        <w:tc>
          <w:tcPr>
            <w:tcW w:w="1921"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67266C" w:rsidRDefault="0067266C" w:rsidP="00533706">
            <w:pPr>
              <w:widowControl/>
              <w:jc w:val="center"/>
              <w:textAlignment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kern w:val="0"/>
                <w:sz w:val="21"/>
                <w:szCs w:val="21"/>
              </w:rPr>
              <w:t>2019年本部门无政府性基金预算收支</w:t>
            </w:r>
          </w:p>
        </w:tc>
      </w:tr>
    </w:tbl>
    <w:p w:rsidR="0067266C" w:rsidRPr="0067266C" w:rsidRDefault="0067266C">
      <w:pPr>
        <w:widowControl/>
        <w:jc w:val="center"/>
        <w:textAlignment w:val="center"/>
        <w:rPr>
          <w:rFonts w:ascii="宋体" w:hAnsi="宋体" w:cs="宋体"/>
          <w:b/>
          <w:color w:val="000000"/>
          <w:kern w:val="0"/>
          <w:sz w:val="40"/>
          <w:szCs w:val="40"/>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收入支出决算总表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公开01表</w:t>
      </w:r>
    </w:p>
    <w:p w:rsidR="0067266C" w:rsidRDefault="0067266C" w:rsidP="0067266C">
      <w:pPr>
        <w:jc w:val="left"/>
        <w:rPr>
          <w:rFonts w:ascii="宋体" w:eastAsia="宋体" w:hAnsi="宋体" w:cs="宋体"/>
          <w:b/>
          <w:bCs/>
          <w:sz w:val="21"/>
          <w:szCs w:val="21"/>
        </w:rPr>
      </w:pPr>
      <w:r>
        <w:rPr>
          <w:rFonts w:ascii="宋体" w:eastAsia="宋体" w:hAnsi="宋体" w:cs="宋体" w:hint="eastAsia"/>
          <w:b/>
          <w:bCs/>
          <w:sz w:val="21"/>
          <w:szCs w:val="21"/>
        </w:rPr>
        <w:t>编制部门：</w:t>
      </w:r>
      <w:r w:rsidR="00FC5948">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884" w:type="dxa"/>
        <w:tblLayout w:type="fixed"/>
        <w:tblCellMar>
          <w:top w:w="15" w:type="dxa"/>
          <w:left w:w="15" w:type="dxa"/>
          <w:bottom w:w="15" w:type="dxa"/>
          <w:right w:w="15" w:type="dxa"/>
        </w:tblCellMar>
        <w:tblLook w:val="04A0" w:firstRow="1" w:lastRow="0" w:firstColumn="1" w:lastColumn="0" w:noHBand="0" w:noVBand="1"/>
      </w:tblPr>
      <w:tblGrid>
        <w:gridCol w:w="3388"/>
        <w:gridCol w:w="1080"/>
        <w:gridCol w:w="3090"/>
        <w:gridCol w:w="1326"/>
      </w:tblGrid>
      <w:tr w:rsidR="0067266C" w:rsidTr="00533706">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    出</w:t>
            </w:r>
          </w:p>
        </w:tc>
      </w:tr>
      <w:tr w:rsidR="0067266C" w:rsidTr="00533706">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决算数</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AB7AC9" w:rsidRPr="00AB7AC9" w:rsidRDefault="00AB7AC9" w:rsidP="00AB7AC9">
            <w:pPr>
              <w:widowControl/>
              <w:jc w:val="right"/>
              <w:textAlignment w:val="center"/>
              <w:rPr>
                <w:rFonts w:asciiTheme="minorEastAsia" w:eastAsiaTheme="minorEastAsia" w:hAnsiTheme="minorEastAsia" w:cstheme="minorEastAsia"/>
                <w:color w:val="000000"/>
                <w:kern w:val="0"/>
                <w:sz w:val="18"/>
                <w:szCs w:val="18"/>
              </w:rPr>
            </w:pPr>
            <w:r w:rsidRPr="00AB7AC9">
              <w:rPr>
                <w:rFonts w:asciiTheme="minorEastAsia" w:eastAsiaTheme="minorEastAsia" w:hAnsiTheme="minorEastAsia" w:cstheme="minorEastAsia" w:hint="eastAsia"/>
                <w:color w:val="000000"/>
                <w:kern w:val="0"/>
                <w:sz w:val="18"/>
                <w:szCs w:val="18"/>
              </w:rPr>
              <w:t>576.87</w:t>
            </w:r>
          </w:p>
          <w:p w:rsidR="0067266C" w:rsidRPr="00AB7AC9" w:rsidRDefault="0067266C" w:rsidP="00AB7AC9">
            <w:pPr>
              <w:widowControl/>
              <w:jc w:val="right"/>
              <w:textAlignment w:val="center"/>
              <w:rPr>
                <w:rFonts w:asciiTheme="minorEastAsia" w:eastAsiaTheme="minorEastAsia" w:hAnsiTheme="minorEastAsia" w:cstheme="minorEastAsia"/>
                <w:color w:val="000000"/>
                <w:kern w:val="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9.8</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6、经营收入</w:t>
            </w:r>
          </w:p>
        </w:tc>
        <w:tc>
          <w:tcPr>
            <w:tcW w:w="1080"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7、附属单位上缴收入</w:t>
            </w:r>
          </w:p>
        </w:tc>
        <w:tc>
          <w:tcPr>
            <w:tcW w:w="1080"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515.09</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8、其他收入</w:t>
            </w:r>
          </w:p>
        </w:tc>
        <w:tc>
          <w:tcPr>
            <w:tcW w:w="1080"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38.06</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13.92</w:t>
            </w:r>
          </w:p>
        </w:tc>
      </w:tr>
      <w:tr w:rsidR="0067266C" w:rsidTr="00533706">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080" w:type="dxa"/>
            <w:tcBorders>
              <w:top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ind w:firstLineChars="100" w:firstLine="180"/>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415"/>
        </w:trPr>
        <w:tc>
          <w:tcPr>
            <w:tcW w:w="3388" w:type="dxa"/>
            <w:tcBorders>
              <w:top w:val="single" w:sz="4" w:space="0" w:color="000000"/>
              <w:left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1080" w:type="dxa"/>
            <w:tcBorders>
              <w:top w:val="single" w:sz="4" w:space="0" w:color="000000"/>
              <w:left w:val="single" w:sz="4" w:space="0" w:color="000000"/>
              <w:right w:val="single" w:sz="4" w:space="0" w:color="000000"/>
            </w:tcBorders>
            <w:vAlign w:val="center"/>
          </w:tcPr>
          <w:p w:rsidR="0067266C" w:rsidRDefault="00AB7AC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3090" w:type="dxa"/>
            <w:tcBorders>
              <w:top w:val="single" w:sz="4" w:space="0" w:color="000000"/>
              <w:left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326" w:type="dxa"/>
            <w:tcBorders>
              <w:top w:val="single" w:sz="4" w:space="0" w:color="000000"/>
              <w:left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576.87</w:t>
            </w:r>
          </w:p>
        </w:tc>
      </w:tr>
      <w:tr w:rsidR="0067266C" w:rsidTr="00533706">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color w:val="000000"/>
                <w:kern w:val="0"/>
                <w:sz w:val="18"/>
                <w:szCs w:val="18"/>
              </w:rPr>
              <w:t>0.00</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Cs/>
                <w:color w:val="000000"/>
                <w:sz w:val="18"/>
                <w:szCs w:val="18"/>
              </w:rPr>
            </w:pPr>
            <w:r>
              <w:rPr>
                <w:rFonts w:asciiTheme="minorEastAsia" w:eastAsiaTheme="minorEastAsia" w:hAnsiTheme="minorEastAsia" w:cstheme="minorEastAsia" w:hint="eastAsia"/>
                <w:bCs/>
                <w:color w:val="000000"/>
                <w:kern w:val="0"/>
                <w:sz w:val="18"/>
                <w:szCs w:val="18"/>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533706">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67266C" w:rsidRDefault="00AB7AC9"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3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67266C" w:rsidRDefault="005D42D9"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576.87</w:t>
            </w:r>
          </w:p>
        </w:tc>
      </w:tr>
    </w:tbl>
    <w:p w:rsidR="0067266C" w:rsidRDefault="0067266C" w:rsidP="0067266C">
      <w:pPr>
        <w:widowControl/>
        <w:ind w:left="420" w:hangingChars="200" w:hanging="420"/>
        <w:jc w:val="left"/>
        <w:rPr>
          <w:rFonts w:ascii="宋体" w:eastAsia="宋体" w:hAnsi="宋体" w:cs="宋体"/>
          <w:sz w:val="48"/>
          <w:szCs w:val="48"/>
        </w:rPr>
      </w:pPr>
      <w:r>
        <w:rPr>
          <w:rFonts w:ascii="宋体" w:eastAsia="宋体" w:hAnsi="宋体" w:cs="宋体" w:hint="eastAsia"/>
          <w:color w:val="000000"/>
          <w:kern w:val="0"/>
          <w:sz w:val="21"/>
          <w:szCs w:val="21"/>
        </w:rPr>
        <w:t>注：本表反映部门本年度的总收支和年末结转结余情况。本表金额转换为万元时，因四舍五入可能存在尾差。</w:t>
      </w:r>
    </w:p>
    <w:p w:rsidR="0067266C" w:rsidRDefault="0067266C">
      <w:pPr>
        <w:jc w:val="center"/>
        <w:rPr>
          <w:rFonts w:ascii="黑体" w:eastAsia="黑体" w:hAnsi="宋体"/>
          <w:color w:val="000000"/>
          <w:kern w:val="0"/>
          <w:sz w:val="44"/>
          <w:szCs w:val="44"/>
        </w:rPr>
      </w:pPr>
    </w:p>
    <w:p w:rsidR="0067266C" w:rsidRDefault="0067266C">
      <w:pPr>
        <w:jc w:val="center"/>
        <w:rPr>
          <w:rFonts w:ascii="黑体" w:eastAsia="黑体" w:hAnsi="宋体"/>
          <w:color w:val="000000"/>
          <w:kern w:val="0"/>
          <w:sz w:val="44"/>
          <w:szCs w:val="44"/>
        </w:rPr>
      </w:pPr>
    </w:p>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收入决算表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公开02表</w:t>
      </w:r>
    </w:p>
    <w:p w:rsidR="0067266C" w:rsidRDefault="0067266C" w:rsidP="0067266C">
      <w:pPr>
        <w:rPr>
          <w:rFonts w:ascii="宋体" w:eastAsia="宋体" w:hAnsi="宋体" w:cs="宋体"/>
          <w:b/>
          <w:bCs/>
          <w:sz w:val="48"/>
          <w:szCs w:val="48"/>
        </w:rPr>
      </w:pPr>
      <w:r>
        <w:rPr>
          <w:rFonts w:ascii="宋体" w:eastAsia="宋体" w:hAnsi="宋体" w:cs="宋体" w:hint="eastAsia"/>
          <w:b/>
          <w:bCs/>
          <w:sz w:val="21"/>
          <w:szCs w:val="21"/>
        </w:rPr>
        <w:t>编制部门：</w:t>
      </w:r>
      <w:r w:rsidR="00FC5948">
        <w:rPr>
          <w:rFonts w:ascii="宋体" w:eastAsia="宋体" w:hAnsi="宋体" w:cs="宋体" w:hint="eastAsia"/>
          <w:b/>
          <w:bCs/>
          <w:sz w:val="21"/>
          <w:szCs w:val="21"/>
        </w:rPr>
        <w:t xml:space="preserve">蓝田县融媒体中心                   </w:t>
      </w:r>
      <w:r>
        <w:rPr>
          <w:rFonts w:ascii="宋体" w:eastAsia="宋体" w:hAnsi="宋体" w:cs="宋体" w:hint="eastAsia"/>
          <w:b/>
          <w:bCs/>
          <w:sz w:val="21"/>
          <w:szCs w:val="21"/>
        </w:rPr>
        <w:t xml:space="preserve">  金额单位：万元</w:t>
      </w:r>
    </w:p>
    <w:tbl>
      <w:tblPr>
        <w:tblW w:w="8867" w:type="dxa"/>
        <w:tblLayout w:type="fixed"/>
        <w:tblCellMar>
          <w:top w:w="15" w:type="dxa"/>
          <w:left w:w="15" w:type="dxa"/>
          <w:bottom w:w="15" w:type="dxa"/>
          <w:right w:w="15" w:type="dxa"/>
        </w:tblCellMar>
        <w:tblLook w:val="04A0" w:firstRow="1" w:lastRow="0" w:firstColumn="1" w:lastColumn="0" w:noHBand="0" w:noVBand="1"/>
      </w:tblPr>
      <w:tblGrid>
        <w:gridCol w:w="917"/>
        <w:gridCol w:w="6"/>
        <w:gridCol w:w="2069"/>
        <w:gridCol w:w="819"/>
        <w:gridCol w:w="1065"/>
        <w:gridCol w:w="7"/>
        <w:gridCol w:w="713"/>
        <w:gridCol w:w="7"/>
        <w:gridCol w:w="653"/>
        <w:gridCol w:w="705"/>
        <w:gridCol w:w="586"/>
        <w:gridCol w:w="737"/>
        <w:gridCol w:w="583"/>
      </w:tblGrid>
      <w:tr w:rsidR="0067266C" w:rsidTr="00FC5948">
        <w:trPr>
          <w:trHeight w:val="439"/>
        </w:trPr>
        <w:tc>
          <w:tcPr>
            <w:tcW w:w="2992" w:type="dxa"/>
            <w:gridSpan w:val="3"/>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项目</w:t>
            </w:r>
          </w:p>
        </w:tc>
        <w:tc>
          <w:tcPr>
            <w:tcW w:w="819"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本年收入合计</w:t>
            </w:r>
          </w:p>
        </w:tc>
        <w:tc>
          <w:tcPr>
            <w:tcW w:w="106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财政拨款收入</w:t>
            </w:r>
          </w:p>
        </w:tc>
        <w:tc>
          <w:tcPr>
            <w:tcW w:w="720" w:type="dxa"/>
            <w:gridSpan w:val="2"/>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上级补助收入</w:t>
            </w:r>
          </w:p>
        </w:tc>
        <w:tc>
          <w:tcPr>
            <w:tcW w:w="1365" w:type="dxa"/>
            <w:gridSpan w:val="3"/>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事业收入</w:t>
            </w:r>
          </w:p>
        </w:tc>
        <w:tc>
          <w:tcPr>
            <w:tcW w:w="586"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经营</w:t>
            </w:r>
          </w:p>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收入</w:t>
            </w:r>
          </w:p>
        </w:tc>
        <w:tc>
          <w:tcPr>
            <w:tcW w:w="737"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附属单位上缴收入</w:t>
            </w:r>
          </w:p>
        </w:tc>
        <w:tc>
          <w:tcPr>
            <w:tcW w:w="583"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bCs/>
                <w:color w:val="000000"/>
                <w:kern w:val="0"/>
                <w:sz w:val="18"/>
                <w:szCs w:val="18"/>
              </w:rPr>
            </w:pPr>
            <w:r>
              <w:rPr>
                <w:rFonts w:asciiTheme="minorEastAsia" w:eastAsiaTheme="minorEastAsia" w:hAnsiTheme="minorEastAsia" w:cstheme="minorEastAsia" w:hint="eastAsia"/>
                <w:b/>
                <w:bCs/>
                <w:color w:val="000000"/>
                <w:kern w:val="0"/>
                <w:sz w:val="18"/>
                <w:szCs w:val="18"/>
              </w:rPr>
              <w:t>其他</w:t>
            </w:r>
          </w:p>
          <w:p w:rsidR="0067266C" w:rsidRDefault="0067266C" w:rsidP="00FC5948">
            <w:pPr>
              <w:widowControl/>
              <w:jc w:val="center"/>
              <w:textAlignment w:val="center"/>
              <w:rPr>
                <w:rFonts w:asciiTheme="minorEastAsia" w:eastAsiaTheme="minorEastAsia" w:hAnsiTheme="minorEastAsia" w:cstheme="minorEastAsia"/>
                <w:b/>
                <w:bCs/>
                <w:color w:val="000000"/>
                <w:sz w:val="18"/>
                <w:szCs w:val="18"/>
              </w:rPr>
            </w:pPr>
            <w:r>
              <w:rPr>
                <w:rFonts w:asciiTheme="minorEastAsia" w:eastAsiaTheme="minorEastAsia" w:hAnsiTheme="minorEastAsia" w:cstheme="minorEastAsia" w:hint="eastAsia"/>
                <w:b/>
                <w:bCs/>
                <w:color w:val="000000"/>
                <w:kern w:val="0"/>
                <w:sz w:val="18"/>
                <w:szCs w:val="18"/>
              </w:rPr>
              <w:t>收入</w:t>
            </w:r>
          </w:p>
        </w:tc>
      </w:tr>
      <w:tr w:rsidR="0067266C" w:rsidTr="00FC5948">
        <w:trPr>
          <w:trHeight w:val="665"/>
        </w:trPr>
        <w:tc>
          <w:tcPr>
            <w:tcW w:w="923" w:type="dxa"/>
            <w:gridSpan w:val="2"/>
            <w:tcBorders>
              <w:top w:val="single" w:sz="4" w:space="0" w:color="000000"/>
              <w:left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2069" w:type="dxa"/>
            <w:tcBorders>
              <w:top w:val="single" w:sz="4" w:space="0" w:color="000000"/>
              <w:left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科目</w:t>
            </w:r>
          </w:p>
          <w:p w:rsidR="0067266C" w:rsidRDefault="0067266C" w:rsidP="00FC5948">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名称</w:t>
            </w:r>
          </w:p>
        </w:tc>
        <w:tc>
          <w:tcPr>
            <w:tcW w:w="81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c>
          <w:tcPr>
            <w:tcW w:w="106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c>
          <w:tcPr>
            <w:tcW w:w="720" w:type="dxa"/>
            <w:gridSpan w:val="2"/>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小计</w:t>
            </w:r>
          </w:p>
        </w:tc>
        <w:tc>
          <w:tcPr>
            <w:tcW w:w="70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其中：教育收费</w:t>
            </w:r>
          </w:p>
        </w:tc>
        <w:tc>
          <w:tcPr>
            <w:tcW w:w="586"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c>
          <w:tcPr>
            <w:tcW w:w="737"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c>
          <w:tcPr>
            <w:tcW w:w="583"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jc w:val="center"/>
              <w:rPr>
                <w:rFonts w:asciiTheme="minorEastAsia" w:eastAsiaTheme="minorEastAsia" w:hAnsiTheme="minorEastAsia" w:cstheme="minorEastAsia"/>
                <w:b/>
                <w:color w:val="000000"/>
                <w:sz w:val="18"/>
                <w:szCs w:val="18"/>
              </w:rPr>
            </w:pPr>
          </w:p>
        </w:tc>
      </w:tr>
      <w:tr w:rsidR="0067266C" w:rsidTr="00FC5948">
        <w:trPr>
          <w:trHeight w:val="439"/>
        </w:trPr>
        <w:tc>
          <w:tcPr>
            <w:tcW w:w="2992" w:type="dxa"/>
            <w:gridSpan w:val="3"/>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center"/>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b/>
                <w:bCs/>
                <w:color w:val="000000"/>
                <w:kern w:val="0"/>
                <w:sz w:val="18"/>
                <w:szCs w:val="18"/>
              </w:rPr>
              <w:t>合计</w:t>
            </w:r>
          </w:p>
        </w:tc>
        <w:tc>
          <w:tcPr>
            <w:tcW w:w="819" w:type="dxa"/>
            <w:tcBorders>
              <w:top w:val="single" w:sz="4" w:space="0" w:color="000000"/>
              <w:left w:val="single" w:sz="4" w:space="0" w:color="000000"/>
              <w:bottom w:val="single" w:sz="4" w:space="0" w:color="000000"/>
              <w:right w:val="single" w:sz="4" w:space="0" w:color="000000"/>
            </w:tcBorders>
            <w:vAlign w:val="center"/>
          </w:tcPr>
          <w:p w:rsidR="0067266C"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1065" w:type="dxa"/>
            <w:tcBorders>
              <w:top w:val="single" w:sz="4" w:space="0" w:color="000000"/>
              <w:left w:val="single" w:sz="4" w:space="0" w:color="000000"/>
              <w:bottom w:val="single" w:sz="4" w:space="0" w:color="000000"/>
              <w:right w:val="single" w:sz="4" w:space="0" w:color="000000"/>
            </w:tcBorders>
            <w:vAlign w:val="center"/>
          </w:tcPr>
          <w:p w:rsidR="0067266C"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一般公共服务支出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20132</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组织事务</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2013202</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一般行政管理事务</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9.80</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文化旅游体育与传媒支出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515.09</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515.09</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20706</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新闻出版电影</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32.04</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32.04</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2070699</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其他新闻出版电影支出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32.04</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32.04</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广播电视</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483.05</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483.05</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2070802</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一般行政管理事务</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2.49</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2.49</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2070804</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广播</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386.16</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386.16</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2070899</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其他广播电视支出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94.40</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94.40</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社会保障和就业支出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38.06</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38.06</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行政事业单位离退休</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38.06</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38.06</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2080505</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机关事业单位基本养老保险缴费支出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37.03</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37.03</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2080506</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机关事业单位职业年金缴费支出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1.03</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1.03</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FC5948"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w:t>
            </w:r>
          </w:p>
        </w:tc>
        <w:tc>
          <w:tcPr>
            <w:tcW w:w="206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卫生健康支出</w:t>
            </w:r>
          </w:p>
        </w:tc>
        <w:tc>
          <w:tcPr>
            <w:tcW w:w="819"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13.92</w:t>
            </w:r>
          </w:p>
        </w:tc>
        <w:tc>
          <w:tcPr>
            <w:tcW w:w="1065" w:type="dxa"/>
            <w:tcBorders>
              <w:top w:val="single" w:sz="4" w:space="0" w:color="000000"/>
              <w:left w:val="single" w:sz="4" w:space="0" w:color="000000"/>
              <w:bottom w:val="single" w:sz="4" w:space="0" w:color="000000"/>
              <w:right w:val="single" w:sz="4" w:space="0" w:color="000000"/>
            </w:tcBorders>
            <w:vAlign w:val="center"/>
          </w:tcPr>
          <w:p w:rsidR="00FC5948" w:rsidRPr="00FC5948" w:rsidRDefault="00FC5948"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13.92</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FC5948" w:rsidRDefault="00FC5948" w:rsidP="00FC5948">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03769"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w:t>
            </w:r>
          </w:p>
        </w:tc>
        <w:tc>
          <w:tcPr>
            <w:tcW w:w="2069"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行政事业单位医疗</w:t>
            </w:r>
          </w:p>
        </w:tc>
        <w:tc>
          <w:tcPr>
            <w:tcW w:w="819"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8.18</w:t>
            </w:r>
          </w:p>
        </w:tc>
        <w:tc>
          <w:tcPr>
            <w:tcW w:w="1065"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8.18</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03769" w:rsidTr="00FC5948">
        <w:trPr>
          <w:trHeight w:val="439"/>
        </w:trPr>
        <w:tc>
          <w:tcPr>
            <w:tcW w:w="923" w:type="dxa"/>
            <w:gridSpan w:val="2"/>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2101102</w:t>
            </w:r>
          </w:p>
        </w:tc>
        <w:tc>
          <w:tcPr>
            <w:tcW w:w="2069"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事业单位医疗</w:t>
            </w:r>
          </w:p>
        </w:tc>
        <w:tc>
          <w:tcPr>
            <w:tcW w:w="819"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7.67</w:t>
            </w:r>
          </w:p>
        </w:tc>
        <w:tc>
          <w:tcPr>
            <w:tcW w:w="1065" w:type="dxa"/>
            <w:tcBorders>
              <w:top w:val="single" w:sz="4" w:space="0" w:color="000000"/>
              <w:left w:val="single" w:sz="4" w:space="0" w:color="000000"/>
              <w:bottom w:val="single" w:sz="4" w:space="0" w:color="000000"/>
              <w:right w:val="single" w:sz="4" w:space="0" w:color="000000"/>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7.67</w:t>
            </w:r>
          </w:p>
        </w:tc>
        <w:tc>
          <w:tcPr>
            <w:tcW w:w="720" w:type="dxa"/>
            <w:gridSpan w:val="2"/>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03769" w:rsidTr="00FC5948">
        <w:trPr>
          <w:trHeight w:val="449"/>
        </w:trPr>
        <w:tc>
          <w:tcPr>
            <w:tcW w:w="923" w:type="dxa"/>
            <w:gridSpan w:val="2"/>
            <w:tcBorders>
              <w:top w:val="single" w:sz="4" w:space="0" w:color="000000"/>
              <w:left w:val="single" w:sz="4" w:space="0" w:color="000000"/>
              <w:bottom w:val="single" w:sz="4" w:space="0" w:color="000000"/>
              <w:right w:val="single" w:sz="4" w:space="0" w:color="auto"/>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2101103</w:t>
            </w:r>
          </w:p>
        </w:tc>
        <w:tc>
          <w:tcPr>
            <w:tcW w:w="2069" w:type="dxa"/>
            <w:tcBorders>
              <w:top w:val="single" w:sz="4" w:space="0" w:color="000000"/>
              <w:left w:val="single" w:sz="4" w:space="0" w:color="auto"/>
              <w:bottom w:val="single" w:sz="4" w:space="0" w:color="000000"/>
              <w:right w:val="single" w:sz="4" w:space="0" w:color="auto"/>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公务员医疗补助</w:t>
            </w:r>
          </w:p>
        </w:tc>
        <w:tc>
          <w:tcPr>
            <w:tcW w:w="819" w:type="dxa"/>
            <w:tcBorders>
              <w:top w:val="single" w:sz="4" w:space="0" w:color="000000"/>
              <w:left w:val="single" w:sz="4" w:space="0" w:color="auto"/>
              <w:bottom w:val="single" w:sz="4" w:space="0" w:color="000000"/>
              <w:right w:val="single" w:sz="4" w:space="0" w:color="auto"/>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0.51</w:t>
            </w:r>
          </w:p>
        </w:tc>
        <w:tc>
          <w:tcPr>
            <w:tcW w:w="1065" w:type="dxa"/>
            <w:tcBorders>
              <w:top w:val="single" w:sz="4" w:space="0" w:color="000000"/>
              <w:left w:val="single" w:sz="4" w:space="0" w:color="auto"/>
              <w:bottom w:val="single" w:sz="4" w:space="0" w:color="000000"/>
              <w:right w:val="single" w:sz="4" w:space="0" w:color="auto"/>
            </w:tcBorders>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0.51</w:t>
            </w:r>
          </w:p>
        </w:tc>
        <w:tc>
          <w:tcPr>
            <w:tcW w:w="720" w:type="dxa"/>
            <w:gridSpan w:val="2"/>
            <w:tcBorders>
              <w:top w:val="single" w:sz="4" w:space="0" w:color="000000"/>
              <w:left w:val="single" w:sz="4" w:space="0" w:color="auto"/>
              <w:bottom w:val="single" w:sz="4" w:space="0" w:color="000000"/>
              <w:right w:val="single" w:sz="4" w:space="0" w:color="auto"/>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60" w:type="dxa"/>
            <w:gridSpan w:val="2"/>
            <w:tcBorders>
              <w:top w:val="single" w:sz="4" w:space="0" w:color="000000"/>
              <w:left w:val="single" w:sz="4" w:space="0" w:color="auto"/>
              <w:bottom w:val="single" w:sz="4" w:space="0" w:color="000000"/>
              <w:right w:val="single" w:sz="4" w:space="0" w:color="auto"/>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tcBorders>
              <w:top w:val="single" w:sz="4" w:space="0" w:color="000000"/>
              <w:left w:val="single" w:sz="4" w:space="0" w:color="auto"/>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tcBorders>
              <w:top w:val="single" w:sz="4" w:space="0" w:color="000000"/>
              <w:left w:val="single" w:sz="4" w:space="0" w:color="000000"/>
              <w:bottom w:val="single" w:sz="4" w:space="0" w:color="000000"/>
              <w:right w:val="single" w:sz="4" w:space="0" w:color="auto"/>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tcBorders>
              <w:top w:val="single" w:sz="4" w:space="0" w:color="000000"/>
              <w:left w:val="single" w:sz="4" w:space="0" w:color="auto"/>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tcBorders>
              <w:top w:val="single" w:sz="4" w:space="0" w:color="000000"/>
              <w:left w:val="single" w:sz="4" w:space="0" w:color="000000"/>
              <w:bottom w:val="single" w:sz="4" w:space="0" w:color="000000"/>
              <w:right w:val="single" w:sz="4" w:space="0" w:color="000000"/>
            </w:tcBorders>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03769" w:rsidTr="005319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385"/>
        </w:trPr>
        <w:tc>
          <w:tcPr>
            <w:tcW w:w="917" w:type="dxa"/>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21099</w:t>
            </w:r>
          </w:p>
        </w:tc>
        <w:tc>
          <w:tcPr>
            <w:tcW w:w="2075" w:type="dxa"/>
            <w:gridSpan w:val="2"/>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其他卫生健康支出</w:t>
            </w:r>
          </w:p>
        </w:tc>
        <w:tc>
          <w:tcPr>
            <w:tcW w:w="819" w:type="dxa"/>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5.74</w:t>
            </w:r>
          </w:p>
        </w:tc>
        <w:tc>
          <w:tcPr>
            <w:tcW w:w="1072" w:type="dxa"/>
            <w:gridSpan w:val="2"/>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5.74</w:t>
            </w:r>
          </w:p>
        </w:tc>
        <w:tc>
          <w:tcPr>
            <w:tcW w:w="720" w:type="dxa"/>
            <w:gridSpan w:val="2"/>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53"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D03769" w:rsidTr="005319F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Look w:val="0000" w:firstRow="0" w:lastRow="0" w:firstColumn="0" w:lastColumn="0" w:noHBand="0" w:noVBand="0"/>
        </w:tblPrEx>
        <w:trPr>
          <w:trHeight w:val="402"/>
        </w:trPr>
        <w:tc>
          <w:tcPr>
            <w:tcW w:w="917" w:type="dxa"/>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2109901</w:t>
            </w:r>
          </w:p>
        </w:tc>
        <w:tc>
          <w:tcPr>
            <w:tcW w:w="2075" w:type="dxa"/>
            <w:gridSpan w:val="2"/>
            <w:vAlign w:val="center"/>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其他卫生健康支出</w:t>
            </w:r>
          </w:p>
        </w:tc>
        <w:tc>
          <w:tcPr>
            <w:tcW w:w="819" w:type="dxa"/>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5.74</w:t>
            </w:r>
          </w:p>
        </w:tc>
        <w:tc>
          <w:tcPr>
            <w:tcW w:w="1072" w:type="dxa"/>
            <w:gridSpan w:val="2"/>
          </w:tcPr>
          <w:p w:rsidR="00D03769" w:rsidRPr="00FC5948" w:rsidRDefault="00D03769" w:rsidP="00FC5948">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5.74</w:t>
            </w:r>
          </w:p>
        </w:tc>
        <w:tc>
          <w:tcPr>
            <w:tcW w:w="720" w:type="dxa"/>
            <w:gridSpan w:val="2"/>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653"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05"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6"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737"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583" w:type="dxa"/>
            <w:vAlign w:val="center"/>
          </w:tcPr>
          <w:p w:rsidR="00D03769" w:rsidRDefault="00D03769" w:rsidP="005319F1">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bl>
    <w:p w:rsidR="0067266C" w:rsidRDefault="0067266C" w:rsidP="0067266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注：本表反映部门本年度取得的各项收入情况。</w:t>
      </w:r>
      <w:r>
        <w:rPr>
          <w:rFonts w:ascii="宋体" w:eastAsia="宋体" w:hAnsi="宋体" w:cs="宋体" w:hint="eastAsia"/>
          <w:color w:val="000000"/>
          <w:kern w:val="0"/>
          <w:sz w:val="21"/>
          <w:szCs w:val="21"/>
        </w:rPr>
        <w:t>本表金额转换为万元时，因四舍五入可能存在尾差。</w:t>
      </w:r>
    </w:p>
    <w:p w:rsidR="0067266C" w:rsidRDefault="0067266C" w:rsidP="0067266C">
      <w:pPr>
        <w:jc w:val="center"/>
        <w:rPr>
          <w:rFonts w:ascii="宋体" w:eastAsia="宋体" w:hAnsi="宋体" w:cs="宋体"/>
          <w:b/>
          <w:bCs/>
          <w:szCs w:val="32"/>
        </w:rPr>
      </w:pPr>
    </w:p>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支出决算表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公开03表</w:t>
      </w:r>
    </w:p>
    <w:p w:rsidR="0067266C" w:rsidRDefault="0067266C" w:rsidP="0067266C">
      <w:pPr>
        <w:jc w:val="left"/>
        <w:rPr>
          <w:rFonts w:ascii="宋体" w:eastAsia="宋体" w:hAnsi="宋体" w:cs="宋体"/>
          <w:b/>
          <w:bCs/>
          <w:sz w:val="48"/>
          <w:szCs w:val="48"/>
        </w:rPr>
      </w:pPr>
      <w:r>
        <w:rPr>
          <w:rFonts w:ascii="宋体" w:eastAsia="宋体" w:hAnsi="宋体" w:cs="宋体" w:hint="eastAsia"/>
          <w:b/>
          <w:bCs/>
          <w:sz w:val="21"/>
          <w:szCs w:val="21"/>
        </w:rPr>
        <w:t xml:space="preserve">编制部门： </w:t>
      </w:r>
      <w:r w:rsidR="00403285">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896" w:type="dxa"/>
        <w:tblLayout w:type="fixed"/>
        <w:tblCellMar>
          <w:top w:w="15" w:type="dxa"/>
          <w:left w:w="15" w:type="dxa"/>
          <w:bottom w:w="15" w:type="dxa"/>
          <w:right w:w="15" w:type="dxa"/>
        </w:tblCellMar>
        <w:tblLook w:val="04A0" w:firstRow="1" w:lastRow="0" w:firstColumn="1" w:lastColumn="0" w:noHBand="0" w:noVBand="1"/>
      </w:tblPr>
      <w:tblGrid>
        <w:gridCol w:w="801"/>
        <w:gridCol w:w="196"/>
        <w:gridCol w:w="2174"/>
        <w:gridCol w:w="1035"/>
        <w:gridCol w:w="1110"/>
        <w:gridCol w:w="1005"/>
        <w:gridCol w:w="870"/>
        <w:gridCol w:w="615"/>
        <w:gridCol w:w="1090"/>
      </w:tblGrid>
      <w:tr w:rsidR="0067266C" w:rsidTr="00533706">
        <w:trPr>
          <w:trHeight w:val="372"/>
        </w:trPr>
        <w:tc>
          <w:tcPr>
            <w:tcW w:w="3171" w:type="dxa"/>
            <w:gridSpan w:val="3"/>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w:t>
            </w:r>
          </w:p>
        </w:tc>
        <w:tc>
          <w:tcPr>
            <w:tcW w:w="103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11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基本支出</w:t>
            </w:r>
          </w:p>
        </w:tc>
        <w:tc>
          <w:tcPr>
            <w:tcW w:w="100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项目支出</w:t>
            </w:r>
          </w:p>
        </w:tc>
        <w:tc>
          <w:tcPr>
            <w:tcW w:w="87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上缴上</w:t>
            </w:r>
          </w:p>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级支出</w:t>
            </w:r>
          </w:p>
        </w:tc>
        <w:tc>
          <w:tcPr>
            <w:tcW w:w="61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经营支出</w:t>
            </w:r>
          </w:p>
        </w:tc>
        <w:tc>
          <w:tcPr>
            <w:tcW w:w="109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对附属单位补助支出</w:t>
            </w:r>
          </w:p>
        </w:tc>
      </w:tr>
      <w:tr w:rsidR="0067266C" w:rsidTr="00533706">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217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103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11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00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87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61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09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r>
      <w:tr w:rsidR="006542AF" w:rsidTr="00533706">
        <w:trPr>
          <w:trHeight w:val="372"/>
        </w:trPr>
        <w:tc>
          <w:tcPr>
            <w:tcW w:w="3171" w:type="dxa"/>
            <w:gridSpan w:val="3"/>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rsidP="006542AF">
            <w:pPr>
              <w:widowControl/>
              <w:jc w:val="right"/>
              <w:textAlignment w:val="center"/>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576.87</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451.18</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125.68</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一般公共服务支出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20132</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组织事务</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2013202</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一般行政管理事务</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9.80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文化旅游体育与传媒支出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515.09</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404.21</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110.89</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20706</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新闻出版电影</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32.04</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32.04</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2070699</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其他新闻出版电影支出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32.04</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32.04</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广播电视</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483.05</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404.21</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78.85</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2070802</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一般行政管理事务</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2.49</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2.49</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2070804</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广播</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386.16</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386.16</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2070899</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其他广播电视支出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94.40</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18.05</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76.36</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社会保障和就业支出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38.06</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38.06</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行政事业单位离退休</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38.06</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38.06</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2080505</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机关事业单位基本养老保险缴费支出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37.03</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37.03</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2080506</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机关事业单位职业年金缴费支出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1.03</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1.03</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13.92</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8.93</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行政事业单位医疗</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8.18</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8.18</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2101102</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事业单位医疗</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7.67</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7.67</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2101103</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公务员医疗补助</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0.51</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0.51</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21099</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其他卫生健康支出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5.74</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0.75</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542AF"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2109901</w:t>
            </w: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6542AF" w:rsidRPr="00FC5948" w:rsidRDefault="006542AF" w:rsidP="005319F1">
            <w:pPr>
              <w:widowControl/>
              <w:jc w:val="right"/>
              <w:textAlignment w:val="center"/>
              <w:rPr>
                <w:rFonts w:asciiTheme="minorEastAsia" w:eastAsiaTheme="minorEastAsia" w:hAnsiTheme="minorEastAsia" w:cstheme="minorEastAsia"/>
                <w:color w:val="000000"/>
                <w:kern w:val="0"/>
                <w:sz w:val="18"/>
                <w:szCs w:val="18"/>
              </w:rPr>
            </w:pPr>
            <w:r w:rsidRPr="00FC5948">
              <w:rPr>
                <w:rFonts w:asciiTheme="minorEastAsia" w:eastAsiaTheme="minorEastAsia" w:hAnsiTheme="minorEastAsia" w:cstheme="minorEastAsia" w:hint="eastAsia"/>
                <w:color w:val="000000"/>
                <w:kern w:val="0"/>
                <w:sz w:val="18"/>
                <w:szCs w:val="18"/>
              </w:rPr>
              <w:t xml:space="preserve">  其他卫生健康支出</w:t>
            </w:r>
          </w:p>
        </w:tc>
        <w:tc>
          <w:tcPr>
            <w:tcW w:w="103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5.74</w:t>
            </w:r>
          </w:p>
        </w:tc>
        <w:tc>
          <w:tcPr>
            <w:tcW w:w="1110"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0.75</w:t>
            </w:r>
          </w:p>
        </w:tc>
        <w:tc>
          <w:tcPr>
            <w:tcW w:w="1005" w:type="dxa"/>
            <w:tcBorders>
              <w:top w:val="single" w:sz="4" w:space="0" w:color="000000"/>
              <w:left w:val="single" w:sz="4" w:space="0" w:color="000000"/>
              <w:bottom w:val="single" w:sz="4" w:space="0" w:color="000000"/>
              <w:right w:val="single" w:sz="4" w:space="0" w:color="000000"/>
            </w:tcBorders>
            <w:vAlign w:val="center"/>
          </w:tcPr>
          <w:p w:rsidR="006542AF" w:rsidRPr="006542AF" w:rsidRDefault="006542AF">
            <w:pPr>
              <w:jc w:val="right"/>
              <w:rPr>
                <w:rFonts w:asciiTheme="minorEastAsia" w:eastAsiaTheme="minorEastAsia" w:hAnsiTheme="minorEastAsia" w:cstheme="minorEastAsia"/>
                <w:color w:val="000000"/>
                <w:kern w:val="0"/>
                <w:sz w:val="18"/>
                <w:szCs w:val="18"/>
              </w:rPr>
            </w:pPr>
            <w:r w:rsidRPr="006542AF">
              <w:rPr>
                <w:rFonts w:asciiTheme="minorEastAsia" w:eastAsiaTheme="minorEastAsia" w:hAnsiTheme="minorEastAsia" w:cstheme="minorEastAsia" w:hint="eastAsia"/>
                <w:color w:val="000000"/>
                <w:kern w:val="0"/>
                <w:sz w:val="18"/>
                <w:szCs w:val="18"/>
              </w:rPr>
              <w:t>5.00</w:t>
            </w:r>
          </w:p>
        </w:tc>
        <w:tc>
          <w:tcPr>
            <w:tcW w:w="870" w:type="dxa"/>
            <w:tcBorders>
              <w:top w:val="single" w:sz="4" w:space="0" w:color="000000"/>
              <w:left w:val="single" w:sz="4" w:space="0" w:color="000000"/>
              <w:bottom w:val="single" w:sz="4" w:space="0" w:color="000000"/>
              <w:right w:val="single" w:sz="4" w:space="0" w:color="000000"/>
            </w:tcBorders>
            <w:vAlign w:val="center"/>
          </w:tcPr>
          <w:p w:rsidR="006542AF" w:rsidRPr="00403285" w:rsidRDefault="006542AF" w:rsidP="00533706">
            <w:pPr>
              <w:widowControl/>
              <w:jc w:val="right"/>
              <w:textAlignment w:val="center"/>
              <w:rPr>
                <w:rFonts w:asciiTheme="minorEastAsia" w:eastAsiaTheme="minorEastAsia" w:hAnsiTheme="minorEastAsia" w:cstheme="minorEastAsia"/>
                <w:color w:val="000000"/>
                <w:sz w:val="18"/>
                <w:szCs w:val="18"/>
              </w:rPr>
            </w:pPr>
            <w:r w:rsidRPr="00403285">
              <w:rPr>
                <w:rFonts w:asciiTheme="minorEastAsia" w:eastAsiaTheme="minorEastAsia" w:hAnsiTheme="minorEastAsia" w:cstheme="minorEastAsia" w:hint="eastAsia"/>
                <w:color w:val="000000"/>
                <w:kern w:val="0"/>
                <w:sz w:val="18"/>
                <w:szCs w:val="18"/>
              </w:rPr>
              <w:t>0.00</w:t>
            </w:r>
          </w:p>
        </w:tc>
        <w:tc>
          <w:tcPr>
            <w:tcW w:w="615"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542AF" w:rsidRDefault="006542AF"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403285"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403285" w:rsidRPr="003F1C18" w:rsidRDefault="00403285" w:rsidP="00533706">
            <w:pPr>
              <w:widowControl/>
              <w:jc w:val="right"/>
              <w:textAlignment w:val="center"/>
              <w:rPr>
                <w:rFonts w:asciiTheme="minorEastAsia" w:eastAsiaTheme="minorEastAsia" w:hAnsiTheme="minorEastAsia" w:cstheme="minorEastAsia"/>
                <w:color w:val="FF0000"/>
                <w:kern w:val="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403285" w:rsidRPr="003F1C18" w:rsidRDefault="00403285" w:rsidP="00533706">
            <w:pPr>
              <w:widowControl/>
              <w:jc w:val="right"/>
              <w:textAlignment w:val="center"/>
              <w:rPr>
                <w:rFonts w:asciiTheme="minorEastAsia" w:eastAsiaTheme="minorEastAsia" w:hAnsiTheme="minorEastAsia" w:cstheme="minorEastAsia"/>
                <w:color w:val="FF0000"/>
                <w:kern w:val="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403285" w:rsidRPr="003F1C18" w:rsidRDefault="00403285" w:rsidP="00533706">
            <w:pPr>
              <w:widowControl/>
              <w:jc w:val="right"/>
              <w:textAlignment w:val="center"/>
              <w:rPr>
                <w:rFonts w:asciiTheme="minorEastAsia" w:eastAsiaTheme="minorEastAsia" w:hAnsiTheme="minorEastAsia" w:cstheme="minorEastAsia"/>
                <w:color w:val="FF0000"/>
                <w:kern w:val="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r>
      <w:tr w:rsidR="00403285" w:rsidTr="00533706">
        <w:trPr>
          <w:trHeight w:val="372"/>
        </w:trPr>
        <w:tc>
          <w:tcPr>
            <w:tcW w:w="801"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r>
      <w:tr w:rsidR="00403285" w:rsidTr="00533706">
        <w:trPr>
          <w:trHeight w:val="383"/>
        </w:trPr>
        <w:tc>
          <w:tcPr>
            <w:tcW w:w="801"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r>
      <w:tr w:rsidR="00403285" w:rsidTr="00533706">
        <w:trPr>
          <w:trHeight w:val="383"/>
        </w:trPr>
        <w:tc>
          <w:tcPr>
            <w:tcW w:w="801"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r>
      <w:tr w:rsidR="00403285" w:rsidTr="00533706">
        <w:trPr>
          <w:trHeight w:val="383"/>
        </w:trPr>
        <w:tc>
          <w:tcPr>
            <w:tcW w:w="801"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2370" w:type="dxa"/>
            <w:gridSpan w:val="2"/>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jc w:val="left"/>
              <w:rPr>
                <w:rFonts w:asciiTheme="minorEastAsia" w:eastAsiaTheme="minorEastAsia" w:hAnsiTheme="minorEastAsia" w:cstheme="minorEastAsia"/>
                <w:color w:val="000000"/>
                <w:sz w:val="18"/>
                <w:szCs w:val="18"/>
              </w:rPr>
            </w:pPr>
          </w:p>
        </w:tc>
        <w:tc>
          <w:tcPr>
            <w:tcW w:w="103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11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0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87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615"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403285" w:rsidRDefault="00403285" w:rsidP="00533706">
            <w:pPr>
              <w:widowControl/>
              <w:jc w:val="right"/>
              <w:textAlignment w:val="center"/>
              <w:rPr>
                <w:rFonts w:asciiTheme="minorEastAsia" w:eastAsiaTheme="minorEastAsia" w:hAnsiTheme="minorEastAsia" w:cstheme="minorEastAsia"/>
                <w:color w:val="000000"/>
                <w:sz w:val="18"/>
                <w:szCs w:val="18"/>
              </w:rPr>
            </w:pPr>
          </w:p>
        </w:tc>
      </w:tr>
    </w:tbl>
    <w:p w:rsidR="0067266C" w:rsidRDefault="0067266C" w:rsidP="0067266C">
      <w:pPr>
        <w:widowControl/>
        <w:jc w:val="left"/>
        <w:rPr>
          <w:rFonts w:eastAsia="宋体" w:cs="黑体"/>
          <w:sz w:val="21"/>
          <w:szCs w:val="24"/>
        </w:rPr>
      </w:pPr>
      <w:r>
        <w:rPr>
          <w:rFonts w:ascii="宋体" w:eastAsia="宋体" w:hAnsi="宋体" w:cs="宋体" w:hint="eastAsia"/>
          <w:sz w:val="21"/>
          <w:szCs w:val="21"/>
        </w:rPr>
        <w:t>注：本表反映部门本年度各项支出情况。</w:t>
      </w:r>
      <w:r>
        <w:rPr>
          <w:rFonts w:ascii="宋体" w:eastAsia="宋体" w:hAnsi="宋体" w:cs="宋体" w:hint="eastAsia"/>
          <w:color w:val="000000"/>
          <w:kern w:val="0"/>
          <w:sz w:val="21"/>
          <w:szCs w:val="21"/>
        </w:rPr>
        <w:t>本表金额转换为万元时，因四舍五入可能存在尾差。</w:t>
      </w:r>
    </w:p>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财政拨款收入支出决算总表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公开04表</w:t>
      </w:r>
    </w:p>
    <w:p w:rsidR="0067266C" w:rsidRDefault="0067266C" w:rsidP="0067266C">
      <w:pPr>
        <w:rPr>
          <w:rFonts w:ascii="宋体" w:eastAsia="宋体" w:hAnsi="宋体" w:cs="宋体"/>
          <w:b/>
          <w:bCs/>
          <w:sz w:val="21"/>
          <w:szCs w:val="21"/>
        </w:rPr>
      </w:pPr>
      <w:r>
        <w:rPr>
          <w:rFonts w:ascii="宋体" w:eastAsia="宋体" w:hAnsi="宋体" w:cs="宋体" w:hint="eastAsia"/>
          <w:b/>
          <w:bCs/>
          <w:sz w:val="21"/>
          <w:szCs w:val="21"/>
        </w:rPr>
        <w:t>编制部门：</w:t>
      </w:r>
      <w:r w:rsidR="00EA5AFE">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700" w:type="dxa"/>
        <w:tblLayout w:type="fixed"/>
        <w:tblCellMar>
          <w:top w:w="15" w:type="dxa"/>
          <w:left w:w="15" w:type="dxa"/>
          <w:bottom w:w="15" w:type="dxa"/>
          <w:right w:w="15" w:type="dxa"/>
        </w:tblCellMar>
        <w:tblLook w:val="04A0" w:firstRow="1" w:lastRow="0" w:firstColumn="1" w:lastColumn="0" w:noHBand="0" w:noVBand="1"/>
      </w:tblPr>
      <w:tblGrid>
        <w:gridCol w:w="1703"/>
        <w:gridCol w:w="1072"/>
        <w:gridCol w:w="23"/>
        <w:gridCol w:w="2683"/>
        <w:gridCol w:w="1145"/>
        <w:gridCol w:w="1090"/>
        <w:gridCol w:w="984"/>
      </w:tblGrid>
      <w:tr w:rsidR="0067266C" w:rsidTr="00EA5AFE">
        <w:trPr>
          <w:trHeight w:val="367"/>
        </w:trPr>
        <w:tc>
          <w:tcPr>
            <w:tcW w:w="277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收入</w:t>
            </w:r>
          </w:p>
        </w:tc>
        <w:tc>
          <w:tcPr>
            <w:tcW w:w="5925" w:type="dxa"/>
            <w:gridSpan w:val="5"/>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sz w:val="18"/>
                <w:szCs w:val="18"/>
              </w:rPr>
              <w:t>支出</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决算数</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项目</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合计</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政府性基金预算财政拨款</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1、一般公共服务支出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9.8</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9.8</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2、外交支出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3、国防支出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4、公共安全支出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5、教育支出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6、科学技术支出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EA5AFE"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7、</w:t>
            </w:r>
            <w:r>
              <w:rPr>
                <w:rFonts w:asciiTheme="minorEastAsia" w:eastAsiaTheme="minorEastAsia" w:hAnsiTheme="minorEastAsia" w:cstheme="minorEastAsia" w:hint="eastAsia"/>
                <w:color w:val="000000"/>
                <w:spacing w:val="-11"/>
                <w:w w:val="98"/>
                <w:kern w:val="0"/>
                <w:sz w:val="18"/>
                <w:szCs w:val="18"/>
              </w:rPr>
              <w:t>文化旅游体育与传媒支出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515.09</w:t>
            </w:r>
          </w:p>
        </w:tc>
        <w:tc>
          <w:tcPr>
            <w:tcW w:w="1090"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515.09</w:t>
            </w:r>
          </w:p>
        </w:tc>
        <w:tc>
          <w:tcPr>
            <w:tcW w:w="984"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EA5AFE"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8、社会保障和就业支出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38.06</w:t>
            </w:r>
          </w:p>
        </w:tc>
        <w:tc>
          <w:tcPr>
            <w:tcW w:w="1090"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38.06</w:t>
            </w:r>
          </w:p>
        </w:tc>
        <w:tc>
          <w:tcPr>
            <w:tcW w:w="984"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EA5AFE"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9、卫生健康支出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13.91</w:t>
            </w:r>
          </w:p>
        </w:tc>
        <w:tc>
          <w:tcPr>
            <w:tcW w:w="1090" w:type="dxa"/>
            <w:tcBorders>
              <w:top w:val="single" w:sz="4" w:space="0" w:color="000000"/>
              <w:left w:val="single" w:sz="4" w:space="0" w:color="000000"/>
              <w:bottom w:val="single" w:sz="4" w:space="0" w:color="000000"/>
              <w:right w:val="single" w:sz="4" w:space="0" w:color="000000"/>
            </w:tcBorders>
            <w:vAlign w:val="center"/>
          </w:tcPr>
          <w:p w:rsidR="00EA5AFE" w:rsidRPr="00EA5AFE" w:rsidRDefault="00EA5AFE">
            <w:pPr>
              <w:jc w:val="right"/>
              <w:rPr>
                <w:rFonts w:ascii="宋体" w:eastAsia="宋体" w:hAnsi="宋体" w:cs="Arial"/>
                <w:color w:val="000000"/>
                <w:sz w:val="18"/>
                <w:szCs w:val="18"/>
              </w:rPr>
            </w:pPr>
            <w:r w:rsidRPr="00EA5AFE">
              <w:rPr>
                <w:rFonts w:cs="Arial" w:hint="eastAsia"/>
                <w:color w:val="000000"/>
                <w:sz w:val="18"/>
                <w:szCs w:val="18"/>
              </w:rPr>
              <w:t>13.91</w:t>
            </w:r>
          </w:p>
        </w:tc>
        <w:tc>
          <w:tcPr>
            <w:tcW w:w="984" w:type="dxa"/>
            <w:tcBorders>
              <w:top w:val="single" w:sz="4" w:space="0" w:color="000000"/>
              <w:left w:val="single" w:sz="4" w:space="0" w:color="000000"/>
              <w:bottom w:val="single" w:sz="4" w:space="0" w:color="000000"/>
              <w:right w:val="single" w:sz="4" w:space="0" w:color="000000"/>
            </w:tcBorders>
            <w:vAlign w:val="center"/>
          </w:tcPr>
          <w:p w:rsidR="00EA5AFE" w:rsidRDefault="00EA5AFE"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10、节能环保支出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11、城乡社区支出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12、农林水支出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13、交通运输支出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14、资源勘探信息等支出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15、商业服务业等支出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16、金融支出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17、援助其他地区支出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18、</w:t>
            </w:r>
            <w:r>
              <w:rPr>
                <w:rFonts w:asciiTheme="minorEastAsia" w:eastAsiaTheme="minorEastAsia" w:hAnsiTheme="minorEastAsia" w:cstheme="minorEastAsia" w:hint="eastAsia"/>
                <w:color w:val="000000"/>
                <w:spacing w:val="-11"/>
                <w:w w:val="98"/>
                <w:kern w:val="0"/>
                <w:sz w:val="18"/>
                <w:szCs w:val="18"/>
              </w:rPr>
              <w:t>自然资源海洋气象等支出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19、住房保障支出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20、粮油物资储备支出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Theme="minorEastAsia" w:eastAsiaTheme="minorEastAsia" w:hAnsiTheme="minorEastAsia" w:cstheme="minorEastAsia"/>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21、灾害防治及应急管理支出</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c>
          <w:tcPr>
            <w:tcW w:w="2706"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22、其他支出</w:t>
            </w:r>
          </w:p>
        </w:tc>
        <w:tc>
          <w:tcPr>
            <w:tcW w:w="1145"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本年收入合计</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EA5AFE" w:rsidP="00EA5AFE">
            <w:pPr>
              <w:widowControl/>
              <w:jc w:val="right"/>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kern w:val="0"/>
                <w:sz w:val="18"/>
                <w:szCs w:val="18"/>
              </w:rPr>
              <w:t>576.87</w:t>
            </w:r>
          </w:p>
        </w:tc>
        <w:tc>
          <w:tcPr>
            <w:tcW w:w="26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年初财政拨款结转结</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年末财政拨款结转和结余</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一、一般公共预</w:t>
            </w:r>
          </w:p>
          <w:p w:rsidR="0067266C" w:rsidRDefault="0067266C" w:rsidP="00533706">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EA5AFE"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26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textAlignment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二、政府性基金预</w:t>
            </w:r>
          </w:p>
          <w:p w:rsidR="0067266C" w:rsidRDefault="0067266C" w:rsidP="00533706">
            <w:pPr>
              <w:widowControl/>
              <w:ind w:firstLineChars="200" w:firstLine="360"/>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算财政拨款</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c>
          <w:tcPr>
            <w:tcW w:w="26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b/>
                <w:color w:val="000000"/>
                <w:kern w:val="0"/>
                <w:sz w:val="18"/>
                <w:szCs w:val="18"/>
              </w:rPr>
            </w:pPr>
          </w:p>
        </w:tc>
      </w:tr>
      <w:tr w:rsidR="0067266C" w:rsidTr="00EA5AFE">
        <w:trPr>
          <w:trHeight w:val="57"/>
        </w:trPr>
        <w:tc>
          <w:tcPr>
            <w:tcW w:w="170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收入总计</w:t>
            </w:r>
          </w:p>
        </w:tc>
        <w:tc>
          <w:tcPr>
            <w:tcW w:w="1095"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4E658F"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268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b/>
                <w:color w:val="000000"/>
                <w:kern w:val="0"/>
                <w:sz w:val="18"/>
                <w:szCs w:val="18"/>
              </w:rPr>
              <w:t>支出总计</w:t>
            </w:r>
          </w:p>
        </w:tc>
        <w:tc>
          <w:tcPr>
            <w:tcW w:w="1145" w:type="dxa"/>
            <w:tcBorders>
              <w:top w:val="single" w:sz="4" w:space="0" w:color="000000"/>
              <w:left w:val="single" w:sz="4" w:space="0" w:color="000000"/>
              <w:bottom w:val="single" w:sz="4" w:space="0" w:color="000000"/>
              <w:right w:val="single" w:sz="4" w:space="0" w:color="000000"/>
            </w:tcBorders>
            <w:vAlign w:val="center"/>
          </w:tcPr>
          <w:p w:rsidR="0067266C" w:rsidRDefault="004E658F"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1090" w:type="dxa"/>
            <w:tcBorders>
              <w:top w:val="single" w:sz="4" w:space="0" w:color="000000"/>
              <w:left w:val="single" w:sz="4" w:space="0" w:color="000000"/>
              <w:bottom w:val="single" w:sz="4" w:space="0" w:color="000000"/>
              <w:right w:val="single" w:sz="4" w:space="0" w:color="000000"/>
            </w:tcBorders>
            <w:vAlign w:val="center"/>
          </w:tcPr>
          <w:p w:rsidR="0067266C" w:rsidRDefault="004E658F"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576.87</w:t>
            </w:r>
          </w:p>
        </w:tc>
        <w:tc>
          <w:tcPr>
            <w:tcW w:w="98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b/>
                <w:color w:val="000000"/>
                <w:kern w:val="0"/>
                <w:sz w:val="18"/>
                <w:szCs w:val="18"/>
              </w:rPr>
            </w:pPr>
            <w:r>
              <w:rPr>
                <w:rFonts w:asciiTheme="minorEastAsia" w:eastAsiaTheme="minorEastAsia" w:hAnsiTheme="minorEastAsia" w:cstheme="minorEastAsia" w:hint="eastAsia"/>
                <w:color w:val="000000"/>
                <w:kern w:val="0"/>
                <w:sz w:val="18"/>
                <w:szCs w:val="18"/>
              </w:rPr>
              <w:t>0.00</w:t>
            </w:r>
          </w:p>
        </w:tc>
      </w:tr>
    </w:tbl>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一般公共预算财政拨款支出决算表（按功能分类科目）</w:t>
      </w:r>
    </w:p>
    <w:p w:rsidR="0067266C" w:rsidRDefault="0067266C" w:rsidP="0067266C">
      <w:pPr>
        <w:rPr>
          <w:rFonts w:ascii="宋体" w:eastAsia="宋体" w:hAnsi="宋体" w:cs="宋体"/>
          <w:b/>
          <w:bCs/>
          <w:sz w:val="21"/>
          <w:szCs w:val="21"/>
        </w:rPr>
      </w:pPr>
      <w:r>
        <w:rPr>
          <w:rFonts w:ascii="宋体" w:eastAsia="宋体" w:hAnsi="宋体" w:cs="宋体" w:hint="eastAsia"/>
          <w:b/>
          <w:bCs/>
          <w:sz w:val="21"/>
          <w:szCs w:val="21"/>
        </w:rPr>
        <w:t xml:space="preserve">                                                                      公开05表</w:t>
      </w:r>
    </w:p>
    <w:p w:rsidR="0067266C" w:rsidRDefault="0067266C" w:rsidP="0067266C">
      <w:pPr>
        <w:jc w:val="left"/>
        <w:rPr>
          <w:rFonts w:ascii="宋体" w:eastAsia="宋体" w:hAnsi="宋体" w:cs="宋体"/>
          <w:b/>
          <w:bCs/>
          <w:sz w:val="21"/>
          <w:szCs w:val="21"/>
        </w:rPr>
      </w:pPr>
      <w:r>
        <w:rPr>
          <w:rFonts w:ascii="宋体" w:eastAsia="宋体" w:hAnsi="宋体" w:cs="宋体" w:hint="eastAsia"/>
          <w:b/>
          <w:bCs/>
          <w:sz w:val="21"/>
          <w:szCs w:val="21"/>
        </w:rPr>
        <w:t>编制部门：</w:t>
      </w:r>
      <w:r w:rsidR="00D03769">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777" w:type="dxa"/>
        <w:tblLayout w:type="fixed"/>
        <w:tblCellMar>
          <w:top w:w="15" w:type="dxa"/>
          <w:left w:w="15" w:type="dxa"/>
          <w:bottom w:w="15" w:type="dxa"/>
          <w:right w:w="15" w:type="dxa"/>
        </w:tblCellMar>
        <w:tblLook w:val="04A0" w:firstRow="1" w:lastRow="0" w:firstColumn="1" w:lastColumn="0" w:noHBand="0" w:noVBand="1"/>
      </w:tblPr>
      <w:tblGrid>
        <w:gridCol w:w="951"/>
        <w:gridCol w:w="2750"/>
        <w:gridCol w:w="850"/>
        <w:gridCol w:w="709"/>
        <w:gridCol w:w="821"/>
        <w:gridCol w:w="990"/>
        <w:gridCol w:w="1080"/>
        <w:gridCol w:w="626"/>
      </w:tblGrid>
      <w:tr w:rsidR="0067266C" w:rsidTr="00421E08">
        <w:trPr>
          <w:trHeight w:val="414"/>
        </w:trPr>
        <w:tc>
          <w:tcPr>
            <w:tcW w:w="3701"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    目</w:t>
            </w:r>
          </w:p>
        </w:tc>
        <w:tc>
          <w:tcPr>
            <w:tcW w:w="85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2520" w:type="dxa"/>
            <w:gridSpan w:val="3"/>
            <w:tcBorders>
              <w:top w:val="single" w:sz="4" w:space="0" w:color="000000"/>
              <w:left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基本支出</w:t>
            </w:r>
          </w:p>
        </w:tc>
        <w:tc>
          <w:tcPr>
            <w:tcW w:w="108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项目支出</w:t>
            </w:r>
          </w:p>
        </w:tc>
        <w:tc>
          <w:tcPr>
            <w:tcW w:w="626"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备注</w:t>
            </w:r>
          </w:p>
        </w:tc>
      </w:tr>
      <w:tr w:rsidR="0067266C" w:rsidTr="00421E08">
        <w:trPr>
          <w:trHeight w:val="679"/>
        </w:trPr>
        <w:tc>
          <w:tcPr>
            <w:tcW w:w="95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功能分类科目编码</w:t>
            </w:r>
          </w:p>
        </w:tc>
        <w:tc>
          <w:tcPr>
            <w:tcW w:w="275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85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70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小计</w:t>
            </w:r>
          </w:p>
        </w:tc>
        <w:tc>
          <w:tcPr>
            <w:tcW w:w="82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人员经费</w:t>
            </w: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公用经费</w:t>
            </w:r>
          </w:p>
        </w:tc>
        <w:tc>
          <w:tcPr>
            <w:tcW w:w="108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626"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r>
      <w:tr w:rsidR="0010309B" w:rsidTr="00421E08">
        <w:trPr>
          <w:trHeight w:val="414"/>
        </w:trPr>
        <w:tc>
          <w:tcPr>
            <w:tcW w:w="3701" w:type="dxa"/>
            <w:gridSpan w:val="2"/>
            <w:tcBorders>
              <w:top w:val="single" w:sz="4" w:space="0" w:color="000000"/>
              <w:left w:val="single" w:sz="4" w:space="0" w:color="000000"/>
              <w:bottom w:val="single" w:sz="4" w:space="0" w:color="000000"/>
              <w:right w:val="single" w:sz="4" w:space="0" w:color="000000"/>
            </w:tcBorders>
            <w:vAlign w:val="center"/>
          </w:tcPr>
          <w:p w:rsidR="0010309B" w:rsidRDefault="0010309B" w:rsidP="00533706">
            <w:pPr>
              <w:widowControl/>
              <w:jc w:val="center"/>
              <w:textAlignment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b/>
                <w:bCs/>
                <w:color w:val="000000"/>
                <w:kern w:val="0"/>
                <w:sz w:val="18"/>
                <w:szCs w:val="18"/>
              </w:rPr>
              <w:t>合计</w:t>
            </w:r>
          </w:p>
        </w:tc>
        <w:tc>
          <w:tcPr>
            <w:tcW w:w="850" w:type="dxa"/>
            <w:tcBorders>
              <w:top w:val="single" w:sz="4" w:space="0" w:color="000000"/>
              <w:left w:val="single" w:sz="4" w:space="0" w:color="000000"/>
              <w:bottom w:val="single" w:sz="4" w:space="0" w:color="000000"/>
              <w:right w:val="single" w:sz="4" w:space="0" w:color="000000"/>
            </w:tcBorders>
            <w:vAlign w:val="center"/>
          </w:tcPr>
          <w:p w:rsidR="0010309B" w:rsidRPr="0010309B" w:rsidRDefault="0010309B">
            <w:pPr>
              <w:jc w:val="right"/>
              <w:rPr>
                <w:rFonts w:asciiTheme="minorEastAsia" w:eastAsiaTheme="minorEastAsia" w:hAnsiTheme="minorEastAsia" w:cstheme="minorEastAsia"/>
                <w:color w:val="000000"/>
                <w:kern w:val="0"/>
                <w:sz w:val="18"/>
                <w:szCs w:val="18"/>
              </w:rPr>
            </w:pPr>
            <w:r w:rsidRPr="0010309B">
              <w:rPr>
                <w:rFonts w:asciiTheme="minorEastAsia" w:eastAsiaTheme="minorEastAsia" w:hAnsiTheme="minorEastAsia" w:cstheme="minorEastAsia" w:hint="eastAsia"/>
                <w:color w:val="000000"/>
                <w:kern w:val="0"/>
                <w:sz w:val="18"/>
                <w:szCs w:val="18"/>
              </w:rPr>
              <w:t>576.87</w:t>
            </w:r>
          </w:p>
        </w:tc>
        <w:tc>
          <w:tcPr>
            <w:tcW w:w="709" w:type="dxa"/>
            <w:tcBorders>
              <w:top w:val="single" w:sz="4" w:space="0" w:color="000000"/>
              <w:left w:val="single" w:sz="4" w:space="0" w:color="000000"/>
              <w:bottom w:val="single" w:sz="4" w:space="0" w:color="000000"/>
              <w:right w:val="single" w:sz="4" w:space="0" w:color="000000"/>
            </w:tcBorders>
            <w:vAlign w:val="center"/>
          </w:tcPr>
          <w:p w:rsidR="0010309B" w:rsidRPr="0010309B" w:rsidRDefault="0010309B">
            <w:pPr>
              <w:jc w:val="right"/>
              <w:rPr>
                <w:rFonts w:asciiTheme="minorEastAsia" w:eastAsiaTheme="minorEastAsia" w:hAnsiTheme="minorEastAsia" w:cstheme="minorEastAsia"/>
                <w:color w:val="000000"/>
                <w:kern w:val="0"/>
                <w:sz w:val="18"/>
                <w:szCs w:val="18"/>
              </w:rPr>
            </w:pPr>
            <w:r w:rsidRPr="0010309B">
              <w:rPr>
                <w:rFonts w:asciiTheme="minorEastAsia" w:eastAsiaTheme="minorEastAsia" w:hAnsiTheme="minorEastAsia" w:cstheme="minorEastAsia" w:hint="eastAsia"/>
                <w:color w:val="000000"/>
                <w:kern w:val="0"/>
                <w:sz w:val="18"/>
                <w:szCs w:val="18"/>
              </w:rPr>
              <w:t>451.18</w:t>
            </w:r>
          </w:p>
        </w:tc>
        <w:tc>
          <w:tcPr>
            <w:tcW w:w="821" w:type="dxa"/>
            <w:tcBorders>
              <w:top w:val="single" w:sz="4" w:space="0" w:color="000000"/>
              <w:left w:val="single" w:sz="4" w:space="0" w:color="000000"/>
              <w:bottom w:val="single" w:sz="4" w:space="0" w:color="000000"/>
              <w:right w:val="single" w:sz="4" w:space="0" w:color="000000"/>
            </w:tcBorders>
            <w:vAlign w:val="center"/>
          </w:tcPr>
          <w:p w:rsidR="0010309B" w:rsidRPr="0010309B" w:rsidRDefault="0010309B">
            <w:pPr>
              <w:jc w:val="right"/>
              <w:rPr>
                <w:rFonts w:asciiTheme="minorEastAsia" w:eastAsiaTheme="minorEastAsia" w:hAnsiTheme="minorEastAsia" w:cstheme="minorEastAsia"/>
                <w:color w:val="000000"/>
                <w:kern w:val="0"/>
                <w:sz w:val="18"/>
                <w:szCs w:val="18"/>
              </w:rPr>
            </w:pPr>
            <w:r w:rsidRPr="0010309B">
              <w:rPr>
                <w:rFonts w:asciiTheme="minorEastAsia" w:eastAsiaTheme="minorEastAsia" w:hAnsiTheme="minorEastAsia" w:cstheme="minorEastAsia" w:hint="eastAsia"/>
                <w:color w:val="000000"/>
                <w:kern w:val="0"/>
                <w:sz w:val="18"/>
                <w:szCs w:val="18"/>
              </w:rPr>
              <w:t>440.88</w:t>
            </w:r>
          </w:p>
        </w:tc>
        <w:tc>
          <w:tcPr>
            <w:tcW w:w="990" w:type="dxa"/>
            <w:tcBorders>
              <w:top w:val="single" w:sz="4" w:space="0" w:color="000000"/>
              <w:left w:val="single" w:sz="4" w:space="0" w:color="000000"/>
              <w:bottom w:val="single" w:sz="4" w:space="0" w:color="000000"/>
              <w:right w:val="single" w:sz="4" w:space="0" w:color="000000"/>
            </w:tcBorders>
            <w:vAlign w:val="center"/>
          </w:tcPr>
          <w:p w:rsidR="0010309B" w:rsidRPr="0010309B" w:rsidRDefault="0010309B">
            <w:pPr>
              <w:jc w:val="right"/>
              <w:rPr>
                <w:rFonts w:asciiTheme="minorEastAsia" w:eastAsiaTheme="minorEastAsia" w:hAnsiTheme="minorEastAsia" w:cstheme="minorEastAsia"/>
                <w:color w:val="000000"/>
                <w:kern w:val="0"/>
                <w:sz w:val="18"/>
                <w:szCs w:val="18"/>
              </w:rPr>
            </w:pPr>
            <w:r w:rsidRPr="0010309B">
              <w:rPr>
                <w:rFonts w:asciiTheme="minorEastAsia" w:eastAsiaTheme="minorEastAsia" w:hAnsiTheme="minorEastAsia" w:cstheme="minorEastAsia" w:hint="eastAsia"/>
                <w:color w:val="000000"/>
                <w:kern w:val="0"/>
                <w:sz w:val="18"/>
                <w:szCs w:val="18"/>
              </w:rPr>
              <w:t>10.30</w:t>
            </w:r>
          </w:p>
        </w:tc>
        <w:tc>
          <w:tcPr>
            <w:tcW w:w="1080" w:type="dxa"/>
            <w:tcBorders>
              <w:top w:val="single" w:sz="4" w:space="0" w:color="000000"/>
              <w:left w:val="single" w:sz="4" w:space="0" w:color="000000"/>
              <w:bottom w:val="single" w:sz="4" w:space="0" w:color="000000"/>
              <w:right w:val="single" w:sz="4" w:space="0" w:color="000000"/>
            </w:tcBorders>
            <w:vAlign w:val="center"/>
          </w:tcPr>
          <w:p w:rsidR="0010309B" w:rsidRPr="0010309B" w:rsidRDefault="0010309B">
            <w:pPr>
              <w:jc w:val="right"/>
              <w:rPr>
                <w:rFonts w:asciiTheme="minorEastAsia" w:eastAsiaTheme="minorEastAsia" w:hAnsiTheme="minorEastAsia" w:cstheme="minorEastAsia"/>
                <w:color w:val="000000"/>
                <w:kern w:val="0"/>
                <w:sz w:val="18"/>
                <w:szCs w:val="18"/>
              </w:rPr>
            </w:pPr>
            <w:r w:rsidRPr="0010309B">
              <w:rPr>
                <w:rFonts w:asciiTheme="minorEastAsia" w:eastAsiaTheme="minorEastAsia" w:hAnsiTheme="minorEastAsia" w:cstheme="minorEastAsia" w:hint="eastAsia"/>
                <w:color w:val="000000"/>
                <w:kern w:val="0"/>
                <w:sz w:val="18"/>
                <w:szCs w:val="18"/>
              </w:rPr>
              <w:t>125.68</w:t>
            </w:r>
          </w:p>
        </w:tc>
        <w:tc>
          <w:tcPr>
            <w:tcW w:w="626" w:type="dxa"/>
            <w:tcBorders>
              <w:top w:val="single" w:sz="4" w:space="0" w:color="000000"/>
              <w:left w:val="single" w:sz="4" w:space="0" w:color="000000"/>
              <w:bottom w:val="single" w:sz="4" w:space="0" w:color="000000"/>
              <w:right w:val="single" w:sz="4" w:space="0" w:color="000000"/>
            </w:tcBorders>
            <w:vAlign w:val="center"/>
          </w:tcPr>
          <w:p w:rsidR="0010309B" w:rsidRDefault="0010309B" w:rsidP="00533706">
            <w:pPr>
              <w:jc w:val="right"/>
              <w:rPr>
                <w:rFonts w:asciiTheme="minorEastAsia" w:eastAsiaTheme="minorEastAsia" w:hAnsiTheme="minorEastAsia" w:cstheme="minorEastAsia"/>
                <w:color w:val="000000"/>
                <w:sz w:val="18"/>
                <w:szCs w:val="18"/>
              </w:rPr>
            </w:pPr>
          </w:p>
        </w:tc>
      </w:tr>
      <w:tr w:rsidR="00F91BCE" w:rsidTr="00421E08">
        <w:trPr>
          <w:trHeight w:val="696"/>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201</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一般公共服务支出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65"/>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20132</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组织事务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529"/>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2013202</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9.80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文化旅游体育与传媒支出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515.09</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404.21</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393.91</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110.89</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20706</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新闻出版电影</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32.04</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32.04</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2070699</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其他新闻出版电影支出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32.04</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32.04</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20708</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广播电视</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483.05</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404.21</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393.91</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78.85</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2070802</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一般行政管理事务</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2.49</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2.49</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2070804</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广播</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386.16</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386.16</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375.86</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2070899</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其他广播电视支出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94.40</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18.05</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18.05</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76.36</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208</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社会保障和就业支出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20805</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行政事业单位离退休</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38.06</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2080505</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机关事业单位基本养老保险缴费支出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37.03</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37.03</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37.03</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2080506</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机关事业单位职业年金缴费支出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1.03</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13.92</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8.93</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8.93</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21011</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行政事业单位医疗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8.18</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8.18</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8.18</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14"/>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2101102</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事业单位医疗</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7.67</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7.67</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7.67</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25"/>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2101103</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公务员医疗补助</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0.51</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0.51</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0.51</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25"/>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21099</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其他卫生健康支出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5.74</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0.75</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0.75</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r w:rsidR="00F91BCE" w:rsidTr="00421E08">
        <w:trPr>
          <w:trHeight w:val="425"/>
        </w:trPr>
        <w:tc>
          <w:tcPr>
            <w:tcW w:w="95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2109901</w:t>
            </w:r>
          </w:p>
        </w:tc>
        <w:tc>
          <w:tcPr>
            <w:tcW w:w="27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rsidP="00F91BCE">
            <w:pPr>
              <w:jc w:val="right"/>
              <w:rPr>
                <w:rFonts w:asciiTheme="minorEastAsia" w:eastAsiaTheme="minorEastAsia" w:hAnsiTheme="minorEastAsia" w:cstheme="minorEastAsia"/>
                <w:color w:val="000000"/>
                <w:kern w:val="0"/>
                <w:sz w:val="18"/>
                <w:szCs w:val="18"/>
              </w:rPr>
            </w:pPr>
            <w:r w:rsidRPr="00F91BCE">
              <w:rPr>
                <w:rFonts w:asciiTheme="minorEastAsia" w:eastAsiaTheme="minorEastAsia" w:hAnsiTheme="minorEastAsia" w:cstheme="minorEastAsia" w:hint="eastAsia"/>
                <w:color w:val="000000"/>
                <w:kern w:val="0"/>
                <w:sz w:val="18"/>
                <w:szCs w:val="18"/>
              </w:rPr>
              <w:t xml:space="preserve">  其他卫生健康支出</w:t>
            </w:r>
          </w:p>
        </w:tc>
        <w:tc>
          <w:tcPr>
            <w:tcW w:w="85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5.74</w:t>
            </w:r>
          </w:p>
        </w:tc>
        <w:tc>
          <w:tcPr>
            <w:tcW w:w="709"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0.75</w:t>
            </w:r>
          </w:p>
        </w:tc>
        <w:tc>
          <w:tcPr>
            <w:tcW w:w="821"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0.75</w:t>
            </w:r>
          </w:p>
        </w:tc>
        <w:tc>
          <w:tcPr>
            <w:tcW w:w="99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0.00</w:t>
            </w:r>
          </w:p>
        </w:tc>
        <w:tc>
          <w:tcPr>
            <w:tcW w:w="1080" w:type="dxa"/>
            <w:tcBorders>
              <w:top w:val="single" w:sz="4" w:space="0" w:color="000000"/>
              <w:left w:val="single" w:sz="4" w:space="0" w:color="000000"/>
              <w:bottom w:val="single" w:sz="4" w:space="0" w:color="000000"/>
              <w:right w:val="single" w:sz="4" w:space="0" w:color="000000"/>
            </w:tcBorders>
            <w:vAlign w:val="center"/>
          </w:tcPr>
          <w:p w:rsidR="00F91BCE" w:rsidRPr="00F91BCE" w:rsidRDefault="00F91BCE">
            <w:pPr>
              <w:jc w:val="right"/>
              <w:rPr>
                <w:rFonts w:ascii="宋体" w:eastAsia="宋体" w:hAnsi="宋体" w:cs="Arial"/>
                <w:color w:val="000000"/>
                <w:sz w:val="18"/>
                <w:szCs w:val="18"/>
              </w:rPr>
            </w:pPr>
            <w:r w:rsidRPr="00F91BCE">
              <w:rPr>
                <w:rFonts w:cs="Arial" w:hint="eastAsia"/>
                <w:color w:val="000000"/>
                <w:sz w:val="18"/>
                <w:szCs w:val="18"/>
              </w:rPr>
              <w:t>5.00</w:t>
            </w:r>
          </w:p>
        </w:tc>
        <w:tc>
          <w:tcPr>
            <w:tcW w:w="626" w:type="dxa"/>
            <w:tcBorders>
              <w:top w:val="single" w:sz="4" w:space="0" w:color="000000"/>
              <w:left w:val="single" w:sz="4" w:space="0" w:color="000000"/>
              <w:bottom w:val="single" w:sz="4" w:space="0" w:color="000000"/>
              <w:right w:val="single" w:sz="4" w:space="0" w:color="000000"/>
            </w:tcBorders>
            <w:vAlign w:val="center"/>
          </w:tcPr>
          <w:p w:rsidR="00F91BCE" w:rsidRDefault="00F91BCE" w:rsidP="00533706">
            <w:pPr>
              <w:jc w:val="right"/>
              <w:rPr>
                <w:rFonts w:asciiTheme="minorEastAsia" w:eastAsiaTheme="minorEastAsia" w:hAnsiTheme="minorEastAsia" w:cstheme="minorEastAsia"/>
                <w:color w:val="000000"/>
                <w:sz w:val="18"/>
                <w:szCs w:val="18"/>
              </w:rPr>
            </w:pPr>
          </w:p>
        </w:tc>
      </w:tr>
    </w:tbl>
    <w:p w:rsidR="0067266C" w:rsidRDefault="0067266C" w:rsidP="0067266C">
      <w:pPr>
        <w:widowControl/>
        <w:ind w:left="420" w:hangingChars="200" w:hanging="420"/>
        <w:rPr>
          <w:rFonts w:eastAsia="宋体" w:cs="黑体"/>
          <w:sz w:val="21"/>
          <w:szCs w:val="24"/>
        </w:rPr>
      </w:pPr>
      <w:r>
        <w:rPr>
          <w:rFonts w:ascii="宋体" w:eastAsia="宋体" w:hAnsi="宋体" w:cs="宋体" w:hint="eastAsia"/>
          <w:sz w:val="21"/>
          <w:szCs w:val="21"/>
        </w:rPr>
        <w:t>注：本表反映部门本年度一般公共预算财政拨款实际支出情况。</w:t>
      </w:r>
      <w:r>
        <w:rPr>
          <w:rFonts w:ascii="宋体" w:eastAsia="宋体" w:hAnsi="宋体" w:cs="宋体" w:hint="eastAsia"/>
          <w:color w:val="000000"/>
          <w:kern w:val="0"/>
          <w:sz w:val="21"/>
          <w:szCs w:val="21"/>
        </w:rPr>
        <w:t>本表金额转换为万元时，因四舍五入可能存在尾差。</w:t>
      </w:r>
    </w:p>
    <w:p w:rsidR="0067266C" w:rsidRDefault="0067266C" w:rsidP="0067266C"/>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一般公共预算财政拨款基本支出决算表（按经济分类科目）</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公开06表</w:t>
      </w:r>
    </w:p>
    <w:p w:rsidR="0067266C" w:rsidRDefault="0067266C" w:rsidP="0067266C">
      <w:pPr>
        <w:jc w:val="left"/>
        <w:rPr>
          <w:rFonts w:ascii="宋体" w:eastAsia="宋体" w:hAnsi="宋体" w:cs="宋体"/>
          <w:b/>
          <w:bCs/>
          <w:sz w:val="21"/>
          <w:szCs w:val="21"/>
        </w:rPr>
      </w:pPr>
      <w:r>
        <w:rPr>
          <w:rFonts w:ascii="宋体" w:eastAsia="宋体" w:hAnsi="宋体" w:cs="宋体" w:hint="eastAsia"/>
          <w:b/>
          <w:bCs/>
          <w:sz w:val="21"/>
          <w:szCs w:val="21"/>
        </w:rPr>
        <w:t>编制部门：</w:t>
      </w:r>
      <w:r w:rsidR="009760A5">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817" w:type="dxa"/>
        <w:tblLayout w:type="fixed"/>
        <w:tblCellMar>
          <w:top w:w="15" w:type="dxa"/>
          <w:left w:w="15" w:type="dxa"/>
          <w:bottom w:w="15" w:type="dxa"/>
          <w:right w:w="15" w:type="dxa"/>
        </w:tblCellMar>
        <w:tblLook w:val="04A0" w:firstRow="1" w:lastRow="0" w:firstColumn="1" w:lastColumn="0" w:noHBand="0" w:noVBand="1"/>
      </w:tblPr>
      <w:tblGrid>
        <w:gridCol w:w="1157"/>
        <w:gridCol w:w="2046"/>
        <w:gridCol w:w="1659"/>
        <w:gridCol w:w="1437"/>
        <w:gridCol w:w="1363"/>
        <w:gridCol w:w="1155"/>
      </w:tblGrid>
      <w:tr w:rsidR="0067266C" w:rsidTr="00533706">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备注</w:t>
            </w:r>
          </w:p>
        </w:tc>
      </w:tr>
      <w:tr w:rsidR="0067266C" w:rsidTr="00533706">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Theme="minorEastAsia" w:eastAsiaTheme="minorEastAsia" w:hAnsiTheme="minorEastAsia" w:cstheme="minorEastAsia"/>
                <w:b/>
                <w:color w:val="000000"/>
                <w:sz w:val="18"/>
                <w:szCs w:val="18"/>
              </w:rPr>
            </w:pPr>
          </w:p>
        </w:tc>
      </w:tr>
      <w:tr w:rsidR="009E1156" w:rsidTr="00533706">
        <w:trPr>
          <w:trHeight w:val="113"/>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widowControl/>
              <w:jc w:val="center"/>
              <w:textAlignment w:val="center"/>
              <w:rPr>
                <w:rFonts w:asciiTheme="minorEastAsia" w:eastAsiaTheme="minorEastAsia" w:hAnsiTheme="minorEastAsia" w:cstheme="minorEastAsia"/>
                <w:b/>
                <w:color w:val="000000"/>
                <w:sz w:val="18"/>
                <w:szCs w:val="18"/>
              </w:rPr>
            </w:pPr>
            <w:r>
              <w:rPr>
                <w:rFonts w:asciiTheme="minorEastAsia" w:eastAsiaTheme="minorEastAsia" w:hAnsiTheme="minorEastAsia" w:cstheme="minorEastAsia" w:hint="eastAsia"/>
                <w:b/>
                <w:color w:val="000000"/>
                <w:kern w:val="0"/>
                <w:sz w:val="18"/>
                <w:szCs w:val="18"/>
              </w:rPr>
              <w:t>合计</w:t>
            </w:r>
          </w:p>
        </w:tc>
        <w:tc>
          <w:tcPr>
            <w:tcW w:w="1659" w:type="dxa"/>
            <w:tcBorders>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451.18</w:t>
            </w:r>
          </w:p>
        </w:tc>
        <w:tc>
          <w:tcPr>
            <w:tcW w:w="1437" w:type="dxa"/>
            <w:tcBorders>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440.88</w:t>
            </w:r>
          </w:p>
        </w:tc>
        <w:tc>
          <w:tcPr>
            <w:tcW w:w="1363" w:type="dxa"/>
            <w:tcBorders>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10.30</w:t>
            </w:r>
          </w:p>
        </w:tc>
        <w:tc>
          <w:tcPr>
            <w:tcW w:w="1155" w:type="dxa"/>
            <w:tcBorders>
              <w:left w:val="single" w:sz="4" w:space="0" w:color="000000"/>
              <w:bottom w:val="single" w:sz="4" w:space="0" w:color="000000"/>
              <w:right w:val="single" w:sz="4" w:space="0" w:color="000000"/>
            </w:tcBorders>
            <w:vAlign w:val="center"/>
          </w:tcPr>
          <w:p w:rsidR="009E1156" w:rsidRDefault="009E1156" w:rsidP="00533706">
            <w:pPr>
              <w:jc w:val="center"/>
              <w:rPr>
                <w:rFonts w:asciiTheme="minorEastAsia" w:eastAsiaTheme="minorEastAsia" w:hAnsiTheme="minorEastAsia" w:cstheme="minorEastAsia"/>
                <w:b/>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工资福利支出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439.38</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基本工资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178.58</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津贴补贴</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39.45</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30103</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奖金</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5.74</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30107</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绩效工资</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168.64</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30108</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37.03</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30109</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职业年金缴费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1.03</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30110</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职工基本医疗保险缴费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7.67</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30111</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公务员医疗补助缴费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0.51</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30112</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其他社会保障缴费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0.75</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10.30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办公费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1.22</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印刷费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0.09</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30205</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水费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1.18</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30206</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1.82</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30207</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邮电费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1.80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30211</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差旅费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0.93</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30213</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维修</w:t>
            </w:r>
            <w:r w:rsidRPr="009E1156">
              <w:rPr>
                <w:rFonts w:cs="Arial" w:hint="eastAsia"/>
                <w:color w:val="000000"/>
                <w:sz w:val="18"/>
                <w:szCs w:val="18"/>
              </w:rPr>
              <w:t>(</w:t>
            </w:r>
            <w:r w:rsidRPr="009E1156">
              <w:rPr>
                <w:rFonts w:cs="Arial" w:hint="eastAsia"/>
                <w:color w:val="000000"/>
                <w:sz w:val="18"/>
                <w:szCs w:val="18"/>
              </w:rPr>
              <w:t>护</w:t>
            </w:r>
            <w:r w:rsidRPr="009E1156">
              <w:rPr>
                <w:rFonts w:cs="Arial" w:hint="eastAsia"/>
                <w:color w:val="000000"/>
                <w:sz w:val="18"/>
                <w:szCs w:val="18"/>
              </w:rPr>
              <w:t>)</w:t>
            </w:r>
            <w:r w:rsidRPr="009E1156">
              <w:rPr>
                <w:rFonts w:cs="Arial" w:hint="eastAsia"/>
                <w:color w:val="000000"/>
                <w:sz w:val="18"/>
                <w:szCs w:val="18"/>
              </w:rPr>
              <w:t>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0.37</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30216</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培训费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0.02</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30226</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劳务费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0.10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30229</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福利费</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2.19</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30239</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其他交通费用</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30299</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其他商品和服务支出</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0.58</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对个人和家庭的补助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1.50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9E1156"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rPr>
                <w:rFonts w:ascii="宋体" w:eastAsia="宋体" w:hAnsi="宋体" w:cs="Arial"/>
                <w:color w:val="000000"/>
                <w:sz w:val="18"/>
                <w:szCs w:val="18"/>
              </w:rPr>
            </w:pPr>
            <w:r w:rsidRPr="009E1156">
              <w:rPr>
                <w:rFonts w:cs="Arial" w:hint="eastAsia"/>
                <w:color w:val="000000"/>
                <w:sz w:val="18"/>
                <w:szCs w:val="18"/>
              </w:rPr>
              <w:t xml:space="preserve">  </w:t>
            </w:r>
            <w:r w:rsidRPr="009E1156">
              <w:rPr>
                <w:rFonts w:cs="Arial" w:hint="eastAsia"/>
                <w:color w:val="000000"/>
                <w:sz w:val="18"/>
                <w:szCs w:val="18"/>
              </w:rPr>
              <w:t>生活补助</w:t>
            </w:r>
          </w:p>
        </w:tc>
        <w:tc>
          <w:tcPr>
            <w:tcW w:w="1659"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437"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1.50</w:t>
            </w:r>
          </w:p>
        </w:tc>
        <w:tc>
          <w:tcPr>
            <w:tcW w:w="1363" w:type="dxa"/>
            <w:tcBorders>
              <w:top w:val="single" w:sz="4" w:space="0" w:color="000000"/>
              <w:left w:val="single" w:sz="4" w:space="0" w:color="000000"/>
              <w:bottom w:val="single" w:sz="4" w:space="0" w:color="000000"/>
              <w:right w:val="single" w:sz="4" w:space="0" w:color="000000"/>
            </w:tcBorders>
            <w:vAlign w:val="center"/>
          </w:tcPr>
          <w:p w:rsidR="009E1156" w:rsidRPr="009E1156" w:rsidRDefault="009E1156">
            <w:pPr>
              <w:jc w:val="right"/>
              <w:rPr>
                <w:rFonts w:ascii="宋体" w:eastAsia="宋体" w:hAnsi="宋体" w:cs="Arial"/>
                <w:color w:val="000000"/>
                <w:sz w:val="18"/>
                <w:szCs w:val="18"/>
              </w:rPr>
            </w:pPr>
            <w:r w:rsidRPr="009E1156">
              <w:rPr>
                <w:rFonts w:cs="Arial" w:hint="eastAsia"/>
                <w:color w:val="000000"/>
                <w:sz w:val="18"/>
                <w:szCs w:val="18"/>
              </w:rPr>
              <w:t>0.00</w:t>
            </w:r>
          </w:p>
        </w:tc>
        <w:tc>
          <w:tcPr>
            <w:tcW w:w="1155" w:type="dxa"/>
            <w:tcBorders>
              <w:top w:val="single" w:sz="4" w:space="0" w:color="000000"/>
              <w:left w:val="single" w:sz="4" w:space="0" w:color="000000"/>
              <w:bottom w:val="single" w:sz="4" w:space="0" w:color="000000"/>
              <w:right w:val="single" w:sz="4" w:space="0" w:color="000000"/>
            </w:tcBorders>
            <w:vAlign w:val="center"/>
          </w:tcPr>
          <w:p w:rsidR="009E1156" w:rsidRDefault="009E1156" w:rsidP="00533706">
            <w:pPr>
              <w:jc w:val="right"/>
              <w:rPr>
                <w:rFonts w:asciiTheme="minorEastAsia" w:eastAsiaTheme="minorEastAsia" w:hAnsiTheme="minorEastAsia" w:cstheme="minorEastAsia"/>
                <w:color w:val="000000"/>
                <w:sz w:val="18"/>
                <w:szCs w:val="18"/>
              </w:rPr>
            </w:pPr>
          </w:p>
        </w:tc>
      </w:tr>
      <w:tr w:rsidR="0067266C"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kern w:val="0"/>
                <w:sz w:val="18"/>
                <w:szCs w:val="18"/>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r>
      <w:tr w:rsidR="0067266C"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kern w:val="0"/>
                <w:sz w:val="18"/>
                <w:szCs w:val="18"/>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r>
      <w:tr w:rsidR="0067266C" w:rsidTr="00533706">
        <w:trPr>
          <w:trHeight w:val="113"/>
        </w:trPr>
        <w:tc>
          <w:tcPr>
            <w:tcW w:w="115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kern w:val="0"/>
                <w:sz w:val="18"/>
                <w:szCs w:val="18"/>
              </w:rPr>
            </w:pPr>
          </w:p>
        </w:tc>
        <w:tc>
          <w:tcPr>
            <w:tcW w:w="2046"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left"/>
              <w:textAlignment w:val="center"/>
              <w:rPr>
                <w:rFonts w:asciiTheme="minorEastAsia" w:eastAsiaTheme="minorEastAsia" w:hAnsiTheme="minorEastAsia" w:cstheme="minorEastAsia"/>
                <w:color w:val="000000"/>
                <w:sz w:val="18"/>
                <w:szCs w:val="18"/>
              </w:rPr>
            </w:pPr>
          </w:p>
        </w:tc>
        <w:tc>
          <w:tcPr>
            <w:tcW w:w="165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43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36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Theme="minorEastAsia" w:eastAsiaTheme="minorEastAsia" w:hAnsiTheme="minorEastAsia" w:cstheme="minorEastAsia"/>
                <w:color w:val="000000"/>
                <w:kern w:val="0"/>
                <w:sz w:val="18"/>
                <w:szCs w:val="18"/>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Theme="minorEastAsia" w:eastAsiaTheme="minorEastAsia" w:hAnsiTheme="minorEastAsia" w:cstheme="minorEastAsia"/>
                <w:color w:val="000000"/>
                <w:sz w:val="18"/>
                <w:szCs w:val="18"/>
              </w:rPr>
            </w:pPr>
          </w:p>
        </w:tc>
      </w:tr>
    </w:tbl>
    <w:p w:rsidR="0067266C" w:rsidRDefault="0067266C" w:rsidP="0067266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注：本表反映部门本年度一般公共预算财政拨款基本支出明细情况。</w:t>
      </w:r>
      <w:r>
        <w:rPr>
          <w:rFonts w:ascii="宋体" w:eastAsia="宋体" w:hAnsi="宋体" w:cs="宋体" w:hint="eastAsia"/>
          <w:color w:val="000000"/>
          <w:kern w:val="0"/>
          <w:sz w:val="21"/>
          <w:szCs w:val="21"/>
        </w:rPr>
        <w:t>本表金额转换为万元时，因四舍五入可能存在尾差。</w:t>
      </w:r>
    </w:p>
    <w:p w:rsidR="0067266C" w:rsidRDefault="0067266C" w:rsidP="0067266C"/>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t>一般公共预算财政拨款“三公”经费</w:t>
      </w:r>
    </w:p>
    <w:p w:rsidR="0067266C" w:rsidRDefault="0067266C" w:rsidP="0067266C">
      <w:pPr>
        <w:spacing w:line="520" w:lineRule="exact"/>
        <w:jc w:val="center"/>
        <w:rPr>
          <w:rFonts w:ascii="宋体" w:eastAsia="宋体" w:hAnsi="宋体" w:cs="宋体"/>
          <w:b/>
          <w:bCs/>
          <w:szCs w:val="32"/>
        </w:rPr>
      </w:pPr>
      <w:r>
        <w:rPr>
          <w:rFonts w:ascii="宋体" w:eastAsia="宋体" w:hAnsi="宋体" w:cs="宋体" w:hint="eastAsia"/>
          <w:b/>
          <w:bCs/>
          <w:szCs w:val="32"/>
        </w:rPr>
        <w:t>及会议费、培训费支出决算表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公开07表</w:t>
      </w:r>
    </w:p>
    <w:p w:rsidR="0067266C" w:rsidRDefault="0067266C" w:rsidP="0067266C">
      <w:pPr>
        <w:jc w:val="left"/>
        <w:rPr>
          <w:rFonts w:ascii="宋体" w:eastAsia="宋体" w:hAnsi="宋体" w:cs="宋体"/>
          <w:b/>
          <w:bCs/>
          <w:sz w:val="21"/>
          <w:szCs w:val="21"/>
        </w:rPr>
      </w:pPr>
      <w:r>
        <w:rPr>
          <w:rFonts w:ascii="宋体" w:eastAsia="宋体" w:hAnsi="宋体" w:cs="宋体" w:hint="eastAsia"/>
          <w:b/>
          <w:bCs/>
          <w:sz w:val="21"/>
          <w:szCs w:val="21"/>
        </w:rPr>
        <w:t>编制部门：</w:t>
      </w:r>
      <w:r w:rsidR="00805F02">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858" w:type="dxa"/>
        <w:tblLayout w:type="fixed"/>
        <w:tblCellMar>
          <w:top w:w="15" w:type="dxa"/>
          <w:left w:w="15" w:type="dxa"/>
          <w:bottom w:w="15" w:type="dxa"/>
          <w:right w:w="15" w:type="dxa"/>
        </w:tblCellMar>
        <w:tblLook w:val="04A0" w:firstRow="1" w:lastRow="0" w:firstColumn="1" w:lastColumn="0" w:noHBand="0" w:noVBand="1"/>
      </w:tblPr>
      <w:tblGrid>
        <w:gridCol w:w="1079"/>
        <w:gridCol w:w="985"/>
        <w:gridCol w:w="1117"/>
        <w:gridCol w:w="878"/>
        <w:gridCol w:w="878"/>
        <w:gridCol w:w="998"/>
        <w:gridCol w:w="1189"/>
        <w:gridCol w:w="772"/>
        <w:gridCol w:w="962"/>
      </w:tblGrid>
      <w:tr w:rsidR="0067266C" w:rsidTr="00533706">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培训费</w:t>
            </w:r>
          </w:p>
        </w:tc>
      </w:tr>
      <w:tr w:rsidR="0067266C" w:rsidTr="0053370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r>
      <w:tr w:rsidR="0067266C" w:rsidTr="00533706">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r>
      <w:tr w:rsidR="0067266C" w:rsidTr="00533706">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8</w:t>
            </w:r>
          </w:p>
        </w:tc>
      </w:tr>
      <w:tr w:rsidR="0067266C" w:rsidTr="00533706">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1.3</w:t>
            </w:r>
          </w:p>
        </w:tc>
        <w:tc>
          <w:tcPr>
            <w:tcW w:w="111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0.5</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0.8</w:t>
            </w:r>
          </w:p>
        </w:tc>
        <w:tc>
          <w:tcPr>
            <w:tcW w:w="99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0.8</w:t>
            </w:r>
          </w:p>
        </w:tc>
        <w:tc>
          <w:tcPr>
            <w:tcW w:w="772"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0.1</w:t>
            </w:r>
          </w:p>
        </w:tc>
        <w:tc>
          <w:tcPr>
            <w:tcW w:w="962"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jc w:val="right"/>
              <w:rPr>
                <w:rFonts w:ascii="宋体" w:eastAsia="宋体" w:hAnsi="宋体" w:cs="宋体"/>
                <w:bCs/>
                <w:color w:val="000000"/>
                <w:sz w:val="21"/>
                <w:szCs w:val="21"/>
              </w:rPr>
            </w:pPr>
            <w:r>
              <w:rPr>
                <w:rFonts w:ascii="宋体" w:eastAsia="宋体" w:hAnsi="宋体" w:cs="宋体" w:hint="eastAsia"/>
                <w:bCs/>
                <w:color w:val="000000"/>
                <w:sz w:val="21"/>
                <w:szCs w:val="21"/>
              </w:rPr>
              <w:t>0.1</w:t>
            </w:r>
          </w:p>
        </w:tc>
      </w:tr>
      <w:tr w:rsidR="0067266C" w:rsidTr="00533706">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w:t>
            </w:r>
          </w:p>
        </w:tc>
        <w:tc>
          <w:tcPr>
            <w:tcW w:w="878"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998"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0.00</w:t>
            </w:r>
          </w:p>
        </w:tc>
        <w:tc>
          <w:tcPr>
            <w:tcW w:w="1189"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1</w:t>
            </w:r>
          </w:p>
        </w:tc>
        <w:tc>
          <w:tcPr>
            <w:tcW w:w="772"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w:t>
            </w:r>
          </w:p>
        </w:tc>
        <w:tc>
          <w:tcPr>
            <w:tcW w:w="962" w:type="dxa"/>
            <w:tcBorders>
              <w:top w:val="single" w:sz="4" w:space="0" w:color="000000"/>
              <w:left w:val="single" w:sz="4" w:space="0" w:color="000000"/>
              <w:bottom w:val="single" w:sz="4" w:space="0" w:color="000000"/>
              <w:right w:val="single" w:sz="4" w:space="0" w:color="000000"/>
            </w:tcBorders>
            <w:vAlign w:val="center"/>
          </w:tcPr>
          <w:p w:rsidR="0067266C" w:rsidRDefault="00B545EB" w:rsidP="00533706">
            <w:pPr>
              <w:widowControl/>
              <w:jc w:val="right"/>
              <w:textAlignment w:val="center"/>
              <w:rPr>
                <w:rFonts w:ascii="宋体" w:eastAsia="宋体" w:hAnsi="宋体" w:cs="宋体"/>
                <w:bCs/>
                <w:color w:val="000000"/>
                <w:sz w:val="21"/>
                <w:szCs w:val="21"/>
              </w:rPr>
            </w:pPr>
            <w:r>
              <w:rPr>
                <w:rFonts w:ascii="宋体" w:eastAsia="宋体" w:hAnsi="宋体" w:cs="宋体" w:hint="eastAsia"/>
                <w:bCs/>
                <w:color w:val="000000"/>
                <w:kern w:val="0"/>
                <w:sz w:val="21"/>
                <w:szCs w:val="21"/>
              </w:rPr>
              <w:t>0.02</w:t>
            </w:r>
          </w:p>
        </w:tc>
      </w:tr>
    </w:tbl>
    <w:p w:rsidR="0067266C" w:rsidRDefault="0067266C" w:rsidP="0067266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注：本表反映部门本年度一般公共预算财政拨款“三公”经费、会议费、培训费的预算数和实际支出。预算数为调整预算数。</w:t>
      </w:r>
      <w:r>
        <w:rPr>
          <w:rFonts w:ascii="宋体" w:eastAsia="宋体" w:hAnsi="宋体" w:cs="宋体" w:hint="eastAsia"/>
          <w:color w:val="000000"/>
          <w:kern w:val="0"/>
          <w:sz w:val="21"/>
          <w:szCs w:val="21"/>
        </w:rPr>
        <w:t>本表金额转换为万元时，因四舍五入可能存在尾差。</w:t>
      </w:r>
    </w:p>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 w:rsidR="0067266C" w:rsidRDefault="0067266C" w:rsidP="0067266C">
      <w:pPr>
        <w:jc w:val="center"/>
        <w:rPr>
          <w:rFonts w:ascii="宋体" w:eastAsia="宋体" w:hAnsi="宋体" w:cs="宋体"/>
          <w:b/>
          <w:bCs/>
          <w:szCs w:val="32"/>
        </w:rPr>
      </w:pPr>
      <w:r>
        <w:rPr>
          <w:rFonts w:ascii="宋体" w:eastAsia="宋体" w:hAnsi="宋体" w:cs="宋体" w:hint="eastAsia"/>
          <w:b/>
          <w:bCs/>
          <w:szCs w:val="32"/>
        </w:rPr>
        <w:lastRenderedPageBreak/>
        <w:t>政府性基金预算财政拨款收入支出决算表</w:t>
      </w:r>
    </w:p>
    <w:p w:rsidR="0067266C" w:rsidRDefault="0067266C" w:rsidP="0067266C">
      <w:pPr>
        <w:jc w:val="right"/>
        <w:rPr>
          <w:rFonts w:ascii="宋体" w:eastAsia="宋体" w:hAnsi="宋体" w:cs="宋体"/>
          <w:b/>
          <w:bCs/>
          <w:sz w:val="21"/>
          <w:szCs w:val="21"/>
        </w:rPr>
      </w:pPr>
      <w:r>
        <w:rPr>
          <w:rFonts w:ascii="宋体" w:eastAsia="宋体" w:hAnsi="宋体" w:cs="宋体" w:hint="eastAsia"/>
          <w:b/>
          <w:bCs/>
          <w:sz w:val="21"/>
          <w:szCs w:val="21"/>
        </w:rPr>
        <w:t>公开08表</w:t>
      </w:r>
    </w:p>
    <w:p w:rsidR="0067266C" w:rsidRDefault="0067266C" w:rsidP="0067266C">
      <w:pPr>
        <w:jc w:val="left"/>
        <w:rPr>
          <w:rFonts w:ascii="宋体" w:eastAsia="宋体" w:hAnsi="宋体" w:cs="宋体"/>
          <w:b/>
          <w:bCs/>
          <w:sz w:val="21"/>
          <w:szCs w:val="21"/>
        </w:rPr>
      </w:pPr>
      <w:r>
        <w:rPr>
          <w:rFonts w:ascii="宋体" w:eastAsia="宋体" w:hAnsi="宋体" w:cs="宋体" w:hint="eastAsia"/>
          <w:b/>
          <w:bCs/>
          <w:sz w:val="21"/>
          <w:szCs w:val="21"/>
        </w:rPr>
        <w:t xml:space="preserve">编制部门： </w:t>
      </w:r>
      <w:r w:rsidR="00DE6FEA">
        <w:rPr>
          <w:rFonts w:ascii="宋体" w:eastAsia="宋体" w:hAnsi="宋体" w:cs="宋体" w:hint="eastAsia"/>
          <w:b/>
          <w:bCs/>
          <w:sz w:val="21"/>
          <w:szCs w:val="21"/>
        </w:rPr>
        <w:t>蓝田县融媒体中心</w:t>
      </w:r>
      <w:r>
        <w:rPr>
          <w:rFonts w:ascii="宋体" w:eastAsia="宋体" w:hAnsi="宋体" w:cs="宋体" w:hint="eastAsia"/>
          <w:b/>
          <w:bCs/>
          <w:sz w:val="21"/>
          <w:szCs w:val="21"/>
        </w:rPr>
        <w:t xml:space="preserve">                         金额单位：万元</w:t>
      </w:r>
    </w:p>
    <w:tbl>
      <w:tblPr>
        <w:tblW w:w="8877" w:type="dxa"/>
        <w:tblLayout w:type="fixed"/>
        <w:tblCellMar>
          <w:top w:w="15" w:type="dxa"/>
          <w:left w:w="15" w:type="dxa"/>
          <w:bottom w:w="15" w:type="dxa"/>
          <w:right w:w="15" w:type="dxa"/>
        </w:tblCellMar>
        <w:tblLook w:val="04A0" w:firstRow="1" w:lastRow="0" w:firstColumn="1" w:lastColumn="0" w:noHBand="0" w:noVBand="1"/>
      </w:tblPr>
      <w:tblGrid>
        <w:gridCol w:w="1023"/>
        <w:gridCol w:w="1341"/>
        <w:gridCol w:w="1049"/>
        <w:gridCol w:w="990"/>
        <w:gridCol w:w="930"/>
        <w:gridCol w:w="1049"/>
        <w:gridCol w:w="1024"/>
        <w:gridCol w:w="1471"/>
      </w:tblGrid>
      <w:tr w:rsidR="0067266C" w:rsidTr="0053370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    目</w:t>
            </w:r>
          </w:p>
        </w:tc>
        <w:tc>
          <w:tcPr>
            <w:tcW w:w="1049"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年初结转和结余</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本年收入</w:t>
            </w:r>
          </w:p>
        </w:tc>
        <w:tc>
          <w:tcPr>
            <w:tcW w:w="3003" w:type="dxa"/>
            <w:gridSpan w:val="3"/>
            <w:tcBorders>
              <w:top w:val="single" w:sz="4" w:space="0" w:color="000000"/>
              <w:left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本年支出</w:t>
            </w:r>
          </w:p>
        </w:tc>
        <w:tc>
          <w:tcPr>
            <w:tcW w:w="1471" w:type="dxa"/>
            <w:vMerge w:val="restart"/>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年末结转和结余</w:t>
            </w:r>
          </w:p>
        </w:tc>
      </w:tr>
      <w:tr w:rsidR="0067266C" w:rsidTr="00533706">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功能分类科目编码</w:t>
            </w: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科目名称</w:t>
            </w:r>
          </w:p>
        </w:tc>
        <w:tc>
          <w:tcPr>
            <w:tcW w:w="1049"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小计</w:t>
            </w: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基本支出</w:t>
            </w: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项目支出</w:t>
            </w:r>
          </w:p>
        </w:tc>
        <w:tc>
          <w:tcPr>
            <w:tcW w:w="1471" w:type="dxa"/>
            <w:vMerge/>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r>
      <w:tr w:rsidR="0067266C" w:rsidTr="00533706">
        <w:trPr>
          <w:trHeight w:val="491"/>
        </w:trPr>
        <w:tc>
          <w:tcPr>
            <w:tcW w:w="2364" w:type="dxa"/>
            <w:gridSpan w:val="2"/>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widowControl/>
              <w:jc w:val="center"/>
              <w:textAlignment w:val="center"/>
              <w:rPr>
                <w:rFonts w:ascii="宋体" w:eastAsia="宋体" w:hAnsi="宋体" w:cs="宋体"/>
                <w:b/>
                <w:color w:val="000000"/>
                <w:sz w:val="21"/>
                <w:szCs w:val="21"/>
              </w:rPr>
            </w:pPr>
            <w:r>
              <w:rPr>
                <w:rFonts w:ascii="宋体" w:eastAsia="宋体" w:hAnsi="宋体" w:cs="宋体" w:hint="eastAsia"/>
                <w:b/>
                <w:color w:val="000000"/>
                <w:kern w:val="0"/>
                <w:sz w:val="21"/>
                <w:szCs w:val="21"/>
              </w:rPr>
              <w:t>合计</w:t>
            </w:r>
          </w:p>
        </w:tc>
        <w:tc>
          <w:tcPr>
            <w:tcW w:w="1049" w:type="dxa"/>
            <w:tcBorders>
              <w:top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center"/>
              <w:rPr>
                <w:rFonts w:ascii="宋体" w:eastAsia="宋体" w:hAnsi="宋体" w:cs="宋体"/>
                <w:b/>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b/>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bottom"/>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r w:rsidR="0067266C" w:rsidTr="00533706">
        <w:trPr>
          <w:trHeight w:val="514"/>
        </w:trPr>
        <w:tc>
          <w:tcPr>
            <w:tcW w:w="1023"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rPr>
                <w:rFonts w:ascii="宋体" w:eastAsia="宋体" w:hAnsi="宋体" w:cs="宋体"/>
                <w:color w:val="000000"/>
                <w:sz w:val="21"/>
                <w:szCs w:val="21"/>
              </w:rPr>
            </w:pPr>
          </w:p>
        </w:tc>
        <w:tc>
          <w:tcPr>
            <w:tcW w:w="134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930"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49"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c>
          <w:tcPr>
            <w:tcW w:w="1024"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left"/>
              <w:rPr>
                <w:rFonts w:ascii="宋体" w:eastAsia="宋体" w:hAnsi="宋体" w:cs="宋体"/>
                <w:color w:val="000000"/>
                <w:sz w:val="21"/>
                <w:szCs w:val="21"/>
              </w:rPr>
            </w:pPr>
          </w:p>
        </w:tc>
        <w:tc>
          <w:tcPr>
            <w:tcW w:w="1471" w:type="dxa"/>
            <w:tcBorders>
              <w:top w:val="single" w:sz="4" w:space="0" w:color="000000"/>
              <w:left w:val="single" w:sz="4" w:space="0" w:color="000000"/>
              <w:bottom w:val="single" w:sz="4" w:space="0" w:color="000000"/>
              <w:right w:val="single" w:sz="4" w:space="0" w:color="000000"/>
            </w:tcBorders>
            <w:vAlign w:val="center"/>
          </w:tcPr>
          <w:p w:rsidR="0067266C" w:rsidRDefault="0067266C" w:rsidP="00533706">
            <w:pPr>
              <w:jc w:val="right"/>
              <w:rPr>
                <w:rFonts w:ascii="宋体" w:eastAsia="宋体" w:hAnsi="宋体" w:cs="宋体"/>
                <w:color w:val="000000"/>
                <w:sz w:val="21"/>
                <w:szCs w:val="21"/>
              </w:rPr>
            </w:pPr>
          </w:p>
        </w:tc>
      </w:tr>
    </w:tbl>
    <w:p w:rsidR="0067266C" w:rsidRDefault="0067266C" w:rsidP="0067266C">
      <w:pPr>
        <w:widowControl/>
        <w:ind w:left="420" w:hangingChars="200" w:hanging="420"/>
        <w:jc w:val="left"/>
        <w:rPr>
          <w:rFonts w:eastAsia="宋体" w:cs="黑体"/>
          <w:sz w:val="21"/>
          <w:szCs w:val="24"/>
        </w:rPr>
      </w:pPr>
      <w:r>
        <w:rPr>
          <w:rFonts w:ascii="宋体" w:eastAsia="宋体" w:hAnsi="宋体" w:cs="宋体" w:hint="eastAsia"/>
          <w:sz w:val="21"/>
          <w:szCs w:val="21"/>
        </w:rPr>
        <w:t>注：本表反映部门本年度政府性基金预算财政拨款收入支出及结转和结余情况。</w:t>
      </w:r>
      <w:r>
        <w:rPr>
          <w:rFonts w:ascii="宋体" w:eastAsia="宋体" w:hAnsi="宋体" w:cs="宋体" w:hint="eastAsia"/>
          <w:color w:val="000000"/>
          <w:kern w:val="0"/>
          <w:sz w:val="21"/>
          <w:szCs w:val="21"/>
        </w:rPr>
        <w:t>本表金额转换为万元时，因四舍五入可能存在尾差。</w:t>
      </w:r>
    </w:p>
    <w:p w:rsidR="0067266C" w:rsidRDefault="0067266C" w:rsidP="0067266C"/>
    <w:p w:rsidR="0067266C" w:rsidRDefault="0067266C" w:rsidP="0067266C"/>
    <w:p w:rsidR="0067266C" w:rsidRPr="0067266C" w:rsidRDefault="0067266C">
      <w:pPr>
        <w:jc w:val="center"/>
        <w:rPr>
          <w:rFonts w:ascii="黑体" w:eastAsia="黑体" w:hAnsi="宋体"/>
          <w:color w:val="000000"/>
          <w:kern w:val="0"/>
          <w:sz w:val="44"/>
          <w:szCs w:val="44"/>
        </w:rPr>
      </w:pPr>
    </w:p>
    <w:p w:rsidR="00926DEC" w:rsidRDefault="00803916">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926DEC" w:rsidRDefault="00926DEC">
      <w:pPr>
        <w:widowControl/>
        <w:rPr>
          <w:rFonts w:ascii="黑体" w:eastAsia="黑体" w:hAnsi="宋体"/>
          <w:color w:val="000000"/>
          <w:kern w:val="0"/>
          <w:sz w:val="44"/>
          <w:szCs w:val="44"/>
        </w:rPr>
      </w:pP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一、收入支出决算总体情况说明</w:t>
      </w:r>
    </w:p>
    <w:p w:rsidR="00931E76" w:rsidRDefault="00931E76" w:rsidP="00931E76">
      <w:pPr>
        <w:pStyle w:val="ac"/>
        <w:shd w:val="clear" w:color="auto" w:fill="FFFFFF"/>
        <w:spacing w:before="0" w:beforeAutospacing="0" w:after="0" w:afterAutospacing="0" w:line="390" w:lineRule="atLeast"/>
        <w:ind w:firstLine="640"/>
        <w:rPr>
          <w:rFonts w:ascii="仿宋_GB2312" w:eastAsia="仿宋_GB2312"/>
          <w:color w:val="3D3D3C"/>
          <w:sz w:val="32"/>
          <w:szCs w:val="32"/>
        </w:rPr>
      </w:pPr>
      <w:r>
        <w:rPr>
          <w:rFonts w:ascii="仿宋_GB2312" w:eastAsia="仿宋_GB2312" w:hint="eastAsia"/>
          <w:color w:val="3D3D3C"/>
          <w:sz w:val="32"/>
          <w:szCs w:val="32"/>
        </w:rPr>
        <w:t>1、2019年度实际收入</w:t>
      </w:r>
      <w:r w:rsidR="00FA3656">
        <w:rPr>
          <w:rFonts w:ascii="仿宋_GB2312" w:eastAsia="仿宋_GB2312" w:hint="eastAsia"/>
          <w:color w:val="3D3D3C"/>
          <w:sz w:val="32"/>
          <w:szCs w:val="32"/>
        </w:rPr>
        <w:t>5</w:t>
      </w:r>
      <w:r>
        <w:rPr>
          <w:rFonts w:ascii="仿宋_GB2312" w:eastAsia="仿宋_GB2312" w:hint="eastAsia"/>
          <w:color w:val="3D3D3C"/>
          <w:sz w:val="32"/>
          <w:szCs w:val="32"/>
        </w:rPr>
        <w:t>76.87万元，较2018年收入增加了119.96万元，</w:t>
      </w:r>
      <w:r w:rsidR="00FA3656" w:rsidRPr="00FA3656">
        <w:rPr>
          <w:rFonts w:ascii="仿宋_GB2312" w:eastAsia="仿宋_GB2312" w:hint="eastAsia"/>
          <w:color w:val="3D3D3C"/>
          <w:sz w:val="32"/>
          <w:szCs w:val="32"/>
        </w:rPr>
        <w:t>增加比率为</w:t>
      </w:r>
      <w:r w:rsidR="00FA3656">
        <w:rPr>
          <w:rFonts w:ascii="仿宋_GB2312" w:eastAsia="仿宋_GB2312" w:hint="eastAsia"/>
          <w:color w:val="3D3D3C"/>
          <w:sz w:val="32"/>
          <w:szCs w:val="32"/>
        </w:rPr>
        <w:t>26</w:t>
      </w:r>
      <w:r w:rsidR="00FA3656" w:rsidRPr="00FA3656">
        <w:rPr>
          <w:rFonts w:ascii="仿宋_GB2312" w:eastAsia="仿宋_GB2312" w:hint="eastAsia"/>
          <w:color w:val="3D3D3C"/>
          <w:sz w:val="32"/>
          <w:szCs w:val="32"/>
        </w:rPr>
        <w:t>%</w:t>
      </w:r>
      <w:r w:rsidR="00FA3656">
        <w:rPr>
          <w:rFonts w:ascii="仿宋_GB2312" w:eastAsia="仿宋_GB2312" w:hint="eastAsia"/>
          <w:color w:val="3D3D3C"/>
          <w:sz w:val="32"/>
          <w:szCs w:val="32"/>
        </w:rPr>
        <w:t>，</w:t>
      </w:r>
      <w:r>
        <w:rPr>
          <w:rFonts w:ascii="仿宋_GB2312" w:eastAsia="仿宋_GB2312" w:hint="eastAsia"/>
          <w:color w:val="3D3D3C"/>
          <w:sz w:val="32"/>
          <w:szCs w:val="32"/>
        </w:rPr>
        <w:t>主要原因是增加了人员绩效增量及工资收入。</w:t>
      </w:r>
    </w:p>
    <w:p w:rsidR="00EB45E3" w:rsidRDefault="00931E76" w:rsidP="00EB45E3">
      <w:pPr>
        <w:pStyle w:val="ac"/>
        <w:shd w:val="clear" w:color="auto" w:fill="FFFFFF"/>
        <w:spacing w:before="0" w:beforeAutospacing="0" w:after="0" w:afterAutospacing="0" w:line="390" w:lineRule="atLeast"/>
        <w:ind w:leftChars="144" w:left="461" w:firstLineChars="144" w:firstLine="461"/>
        <w:rPr>
          <w:rFonts w:ascii="仿宋_GB2312" w:eastAsia="仿宋_GB2312"/>
          <w:color w:val="3D3D3C"/>
          <w:sz w:val="32"/>
          <w:szCs w:val="32"/>
        </w:rPr>
      </w:pPr>
      <w:r w:rsidRPr="00931E76">
        <w:rPr>
          <w:rFonts w:ascii="仿宋_GB2312" w:eastAsia="仿宋_GB2312"/>
          <w:noProof/>
          <w:color w:val="3D3D3C"/>
          <w:sz w:val="32"/>
          <w:szCs w:val="32"/>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2743200" cy="1828800"/>
            <wp:effectExtent l="0" t="0" r="0" b="0"/>
            <wp:wrapSquare wrapText="bothSides"/>
            <wp:docPr id="1"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rsidR="00EB45E3" w:rsidRPr="00FA3656" w:rsidRDefault="00EB45E3" w:rsidP="00EB45E3">
      <w:pPr>
        <w:pStyle w:val="ac"/>
        <w:shd w:val="clear" w:color="auto" w:fill="FFFFFF"/>
        <w:spacing w:before="0" w:beforeAutospacing="0" w:after="0" w:afterAutospacing="0" w:line="390" w:lineRule="atLeast"/>
        <w:ind w:leftChars="144" w:left="461" w:firstLineChars="144" w:firstLine="461"/>
        <w:rPr>
          <w:rFonts w:ascii="仿宋_GB2312" w:eastAsia="仿宋_GB2312"/>
          <w:color w:val="3D3D3C"/>
          <w:sz w:val="32"/>
          <w:szCs w:val="32"/>
        </w:rPr>
      </w:pPr>
    </w:p>
    <w:p w:rsidR="00EB45E3" w:rsidRDefault="00EB45E3" w:rsidP="00EB45E3">
      <w:pPr>
        <w:pStyle w:val="ac"/>
        <w:shd w:val="clear" w:color="auto" w:fill="FFFFFF"/>
        <w:spacing w:before="0" w:beforeAutospacing="0" w:after="0" w:afterAutospacing="0" w:line="390" w:lineRule="atLeast"/>
        <w:ind w:leftChars="144" w:left="461" w:firstLineChars="144" w:firstLine="461"/>
        <w:rPr>
          <w:rFonts w:ascii="仿宋_GB2312" w:eastAsia="仿宋_GB2312"/>
          <w:color w:val="3D3D3C"/>
          <w:sz w:val="32"/>
          <w:szCs w:val="32"/>
        </w:rPr>
      </w:pPr>
    </w:p>
    <w:p w:rsidR="00EB45E3" w:rsidRDefault="00EB45E3" w:rsidP="00EB45E3">
      <w:pPr>
        <w:pStyle w:val="ac"/>
        <w:shd w:val="clear" w:color="auto" w:fill="FFFFFF"/>
        <w:spacing w:before="0" w:beforeAutospacing="0" w:after="0" w:afterAutospacing="0" w:line="390" w:lineRule="atLeast"/>
        <w:ind w:leftChars="144" w:left="461" w:firstLineChars="144" w:firstLine="461"/>
        <w:rPr>
          <w:rFonts w:ascii="仿宋_GB2312" w:eastAsia="仿宋_GB2312"/>
          <w:color w:val="3D3D3C"/>
          <w:sz w:val="32"/>
          <w:szCs w:val="32"/>
        </w:rPr>
      </w:pPr>
    </w:p>
    <w:p w:rsidR="00EB45E3" w:rsidRDefault="00EB45E3" w:rsidP="00EB45E3">
      <w:pPr>
        <w:pStyle w:val="ac"/>
        <w:shd w:val="clear" w:color="auto" w:fill="FFFFFF"/>
        <w:spacing w:before="0" w:beforeAutospacing="0" w:after="0" w:afterAutospacing="0" w:line="390" w:lineRule="atLeast"/>
        <w:ind w:leftChars="144" w:left="461" w:firstLineChars="144" w:firstLine="461"/>
        <w:rPr>
          <w:rFonts w:ascii="仿宋_GB2312" w:eastAsia="仿宋_GB2312"/>
          <w:color w:val="3D3D3C"/>
          <w:sz w:val="32"/>
          <w:szCs w:val="32"/>
        </w:rPr>
      </w:pPr>
    </w:p>
    <w:p w:rsidR="00931E76" w:rsidRDefault="00EB45E3" w:rsidP="00EB45E3">
      <w:pPr>
        <w:pStyle w:val="ac"/>
        <w:shd w:val="clear" w:color="auto" w:fill="FFFFFF"/>
        <w:spacing w:before="0" w:beforeAutospacing="0" w:after="0" w:afterAutospacing="0" w:line="390" w:lineRule="atLeast"/>
        <w:ind w:leftChars="44" w:left="141" w:firstLineChars="144" w:firstLine="461"/>
        <w:rPr>
          <w:rFonts w:ascii="仿宋_GB2312" w:eastAsia="仿宋_GB2312"/>
          <w:color w:val="3D3D3C"/>
          <w:sz w:val="32"/>
          <w:szCs w:val="32"/>
        </w:rPr>
      </w:pPr>
      <w:r>
        <w:rPr>
          <w:rFonts w:ascii="仿宋_GB2312" w:eastAsia="仿宋_GB2312" w:hint="eastAsia"/>
          <w:color w:val="3D3D3C"/>
          <w:sz w:val="32"/>
          <w:szCs w:val="32"/>
        </w:rPr>
        <w:t xml:space="preserve"> 2、 </w:t>
      </w:r>
      <w:r w:rsidR="00931E76">
        <w:rPr>
          <w:rFonts w:ascii="仿宋_GB2312" w:eastAsia="仿宋_GB2312" w:hint="eastAsia"/>
          <w:color w:val="3D3D3C"/>
          <w:sz w:val="32"/>
          <w:szCs w:val="32"/>
        </w:rPr>
        <w:t>2019年度实际支出576.87万元，较2018年支出增加了119.96万元，</w:t>
      </w:r>
      <w:r w:rsidR="00FA3656" w:rsidRPr="00FA3656">
        <w:rPr>
          <w:rFonts w:ascii="仿宋_GB2312" w:eastAsia="仿宋_GB2312" w:hint="eastAsia"/>
          <w:color w:val="3D3D3C"/>
          <w:sz w:val="32"/>
          <w:szCs w:val="32"/>
        </w:rPr>
        <w:t>增加比率为</w:t>
      </w:r>
      <w:r w:rsidR="00FA3656">
        <w:rPr>
          <w:rFonts w:ascii="仿宋_GB2312" w:eastAsia="仿宋_GB2312" w:hint="eastAsia"/>
          <w:color w:val="3D3D3C"/>
          <w:sz w:val="32"/>
          <w:szCs w:val="32"/>
        </w:rPr>
        <w:t>26</w:t>
      </w:r>
      <w:r w:rsidR="00FA3656" w:rsidRPr="00FA3656">
        <w:rPr>
          <w:rFonts w:ascii="仿宋_GB2312" w:eastAsia="仿宋_GB2312" w:hint="eastAsia"/>
          <w:color w:val="3D3D3C"/>
          <w:sz w:val="32"/>
          <w:szCs w:val="32"/>
        </w:rPr>
        <w:t>%</w:t>
      </w:r>
      <w:r w:rsidR="00FA3656">
        <w:rPr>
          <w:rFonts w:ascii="仿宋_GB2312" w:eastAsia="仿宋_GB2312" w:hint="eastAsia"/>
          <w:color w:val="3D3D3C"/>
          <w:sz w:val="32"/>
          <w:szCs w:val="32"/>
        </w:rPr>
        <w:t>，</w:t>
      </w:r>
      <w:r w:rsidR="00931E76">
        <w:rPr>
          <w:rFonts w:ascii="仿宋_GB2312" w:eastAsia="仿宋_GB2312" w:hint="eastAsia"/>
          <w:color w:val="3D3D3C"/>
          <w:sz w:val="32"/>
          <w:szCs w:val="32"/>
        </w:rPr>
        <w:t>主要原因是增加了人员绩效增量及工资支出。</w:t>
      </w:r>
    </w:p>
    <w:p w:rsidR="00931E76" w:rsidRDefault="00931E76" w:rsidP="00931E76">
      <w:pPr>
        <w:pStyle w:val="ac"/>
        <w:shd w:val="clear" w:color="auto" w:fill="FFFFFF"/>
        <w:spacing w:before="0" w:beforeAutospacing="0" w:after="0" w:afterAutospacing="0" w:line="390" w:lineRule="atLeast"/>
        <w:ind w:firstLineChars="200" w:firstLine="640"/>
        <w:rPr>
          <w:rFonts w:ascii="仿宋_GB2312" w:eastAsia="仿宋_GB2312"/>
          <w:color w:val="3D3D3C"/>
          <w:sz w:val="32"/>
          <w:szCs w:val="32"/>
        </w:rPr>
      </w:pPr>
      <w:r>
        <w:rPr>
          <w:rFonts w:ascii="仿宋_GB2312" w:eastAsia="仿宋_GB2312"/>
          <w:noProof/>
          <w:color w:val="3D3D3C"/>
          <w:sz w:val="32"/>
          <w:szCs w:val="32"/>
        </w:rPr>
        <w:drawing>
          <wp:inline distT="0" distB="0" distL="0" distR="0">
            <wp:extent cx="2743200" cy="1828800"/>
            <wp:effectExtent l="0" t="0" r="0" b="0"/>
            <wp:docPr id="19"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二、收入决算情况说明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lastRenderedPageBreak/>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收入合计</w:t>
      </w:r>
      <w:r w:rsidR="00534904">
        <w:rPr>
          <w:rFonts w:ascii="仿宋_GB2312" w:eastAsia="仿宋_GB2312" w:hAnsi="宋体" w:cs="仿宋_GB2312" w:hint="eastAsia"/>
          <w:color w:val="000000"/>
          <w:kern w:val="0"/>
          <w:szCs w:val="32"/>
        </w:rPr>
        <w:t>576.87</w:t>
      </w:r>
      <w:r>
        <w:rPr>
          <w:rFonts w:ascii="仿宋_GB2312" w:eastAsia="仿宋_GB2312" w:hAnsi="宋体" w:cs="仿宋_GB2312"/>
          <w:color w:val="000000"/>
          <w:kern w:val="0"/>
          <w:szCs w:val="32"/>
        </w:rPr>
        <w:t>万元，其中：财政拨款收入</w:t>
      </w:r>
      <w:r w:rsidR="00534904">
        <w:rPr>
          <w:rFonts w:ascii="仿宋_GB2312" w:eastAsia="仿宋_GB2312" w:hAnsi="宋体" w:cs="仿宋_GB2312" w:hint="eastAsia"/>
          <w:color w:val="000000"/>
          <w:kern w:val="0"/>
          <w:szCs w:val="32"/>
        </w:rPr>
        <w:t>576.87</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%；事业收入</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%；经营收入</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%；其他收入</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131BC2" w:rsidRDefault="000F061C">
      <w:pPr>
        <w:widowControl/>
        <w:ind w:firstLineChars="200" w:firstLine="640"/>
        <w:jc w:val="left"/>
      </w:pPr>
      <w:r>
        <w:rPr>
          <w:noProof/>
        </w:rPr>
        <w:drawing>
          <wp:inline distT="0" distB="0" distL="0" distR="0">
            <wp:extent cx="5274310" cy="3076575"/>
            <wp:effectExtent l="19050" t="0" r="2159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926DEC" w:rsidRDefault="00803916">
      <w:pPr>
        <w:widowControl/>
        <w:ind w:firstLineChars="200" w:firstLine="640"/>
        <w:jc w:val="left"/>
        <w:rPr>
          <w:rFonts w:ascii="黑体" w:eastAsia="黑体" w:hAnsi="黑体"/>
        </w:rPr>
      </w:pPr>
      <w:r>
        <w:rPr>
          <w:rFonts w:ascii="黑体" w:eastAsia="黑体" w:hAnsi="黑体" w:hint="eastAsia"/>
          <w:color w:val="000000"/>
          <w:kern w:val="0"/>
          <w:szCs w:val="32"/>
        </w:rPr>
        <w:t>三、支出决算情况说明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2019</w:t>
      </w:r>
      <w:r>
        <w:rPr>
          <w:rFonts w:ascii="仿宋_GB2312" w:eastAsia="仿宋_GB2312" w:hAnsi="宋体" w:cs="仿宋_GB2312"/>
          <w:color w:val="000000"/>
          <w:kern w:val="0"/>
          <w:szCs w:val="32"/>
        </w:rPr>
        <w:t>年</w:t>
      </w:r>
      <w:r>
        <w:rPr>
          <w:rFonts w:ascii="仿宋_GB2312" w:eastAsia="仿宋_GB2312" w:hAnsi="仿宋" w:hint="eastAsia"/>
          <w:szCs w:val="32"/>
        </w:rPr>
        <w:t>度</w:t>
      </w:r>
      <w:r>
        <w:rPr>
          <w:rFonts w:ascii="仿宋_GB2312" w:eastAsia="仿宋_GB2312" w:hAnsi="宋体" w:cs="仿宋_GB2312"/>
          <w:color w:val="000000"/>
          <w:kern w:val="0"/>
          <w:szCs w:val="32"/>
        </w:rPr>
        <w:t>支出合计</w:t>
      </w:r>
      <w:r w:rsidR="00534904">
        <w:rPr>
          <w:rFonts w:ascii="仿宋_GB2312" w:eastAsia="仿宋_GB2312" w:hAnsi="宋体" w:cs="仿宋_GB2312" w:hint="eastAsia"/>
          <w:color w:val="000000"/>
          <w:kern w:val="0"/>
          <w:szCs w:val="32"/>
        </w:rPr>
        <w:t>576.87</w:t>
      </w:r>
      <w:r>
        <w:rPr>
          <w:rFonts w:ascii="仿宋_GB2312" w:eastAsia="仿宋_GB2312" w:hAnsi="宋体" w:cs="仿宋_GB2312"/>
          <w:color w:val="000000"/>
          <w:kern w:val="0"/>
          <w:szCs w:val="32"/>
        </w:rPr>
        <w:t>万元，其中：基本支出</w:t>
      </w:r>
      <w:r w:rsidR="00534904">
        <w:rPr>
          <w:rFonts w:ascii="仿宋_GB2312" w:eastAsia="仿宋_GB2312" w:hAnsi="宋体" w:cs="仿宋_GB2312" w:hint="eastAsia"/>
          <w:color w:val="000000"/>
          <w:kern w:val="0"/>
          <w:szCs w:val="32"/>
        </w:rPr>
        <w:t>451.19</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78</w:t>
      </w:r>
      <w:r>
        <w:rPr>
          <w:rFonts w:ascii="仿宋_GB2312" w:eastAsia="仿宋_GB2312" w:hAnsi="宋体" w:cs="仿宋_GB2312"/>
          <w:color w:val="000000"/>
          <w:kern w:val="0"/>
          <w:szCs w:val="32"/>
        </w:rPr>
        <w:t>%；项目支出</w:t>
      </w:r>
      <w:r w:rsidR="00534904">
        <w:rPr>
          <w:rFonts w:ascii="仿宋_GB2312" w:eastAsia="仿宋_GB2312" w:hAnsi="宋体" w:cs="仿宋_GB2312" w:hint="eastAsia"/>
          <w:color w:val="000000"/>
          <w:kern w:val="0"/>
          <w:szCs w:val="32"/>
        </w:rPr>
        <w:t>125.68</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22</w:t>
      </w:r>
      <w:r>
        <w:rPr>
          <w:rFonts w:ascii="仿宋_GB2312" w:eastAsia="仿宋_GB2312" w:hAnsi="宋体" w:cs="仿宋_GB2312"/>
          <w:color w:val="000000"/>
          <w:kern w:val="0"/>
          <w:szCs w:val="32"/>
        </w:rPr>
        <w:t>%；经营支出</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534904">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p>
    <w:p w:rsidR="00131BC2" w:rsidRDefault="005319F1">
      <w:pPr>
        <w:widowControl/>
        <w:ind w:firstLineChars="200" w:firstLine="640"/>
        <w:jc w:val="left"/>
      </w:pPr>
      <w:r>
        <w:rPr>
          <w:noProof/>
        </w:rPr>
        <w:lastRenderedPageBreak/>
        <w:drawing>
          <wp:inline distT="0" distB="0" distL="0" distR="0">
            <wp:extent cx="5274310" cy="3076575"/>
            <wp:effectExtent l="19050" t="0" r="21590" b="0"/>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四、财政拨款收入支出决算总体情况说明</w:t>
      </w:r>
    </w:p>
    <w:p w:rsidR="00E127F3" w:rsidRDefault="00E127F3" w:rsidP="00E127F3">
      <w:pPr>
        <w:pStyle w:val="ac"/>
        <w:shd w:val="clear" w:color="auto" w:fill="FFFFFF"/>
        <w:spacing w:before="0" w:beforeAutospacing="0" w:after="0" w:afterAutospacing="0" w:line="390" w:lineRule="atLeast"/>
        <w:ind w:firstLine="640"/>
        <w:rPr>
          <w:rFonts w:ascii="仿宋_GB2312" w:eastAsia="仿宋_GB2312"/>
          <w:color w:val="3D3D3C"/>
          <w:sz w:val="32"/>
          <w:szCs w:val="32"/>
        </w:rPr>
      </w:pPr>
      <w:r>
        <w:rPr>
          <w:rFonts w:ascii="仿宋_GB2312" w:eastAsia="仿宋_GB2312" w:hint="eastAsia"/>
          <w:color w:val="3D3D3C"/>
          <w:sz w:val="32"/>
          <w:szCs w:val="32"/>
        </w:rPr>
        <w:t>1、2019年度财政拨款收入576.87万元，较2018年财政拨款收入增加了119.96万元，主要原因是增加了人员绩效增量及工资收入。</w:t>
      </w:r>
    </w:p>
    <w:p w:rsidR="001466F9" w:rsidRDefault="001466F9" w:rsidP="00E127F3">
      <w:pPr>
        <w:pStyle w:val="ac"/>
        <w:shd w:val="clear" w:color="auto" w:fill="FFFFFF"/>
        <w:spacing w:before="0" w:beforeAutospacing="0" w:after="0" w:afterAutospacing="0" w:line="390" w:lineRule="atLeast"/>
        <w:ind w:firstLine="640"/>
        <w:rPr>
          <w:rFonts w:ascii="仿宋_GB2312" w:eastAsia="仿宋_GB2312"/>
          <w:color w:val="3D3D3C"/>
          <w:sz w:val="32"/>
          <w:szCs w:val="32"/>
        </w:rPr>
      </w:pPr>
    </w:p>
    <w:p w:rsidR="00E127F3" w:rsidRDefault="00DD0FC3" w:rsidP="00E127F3">
      <w:pPr>
        <w:pStyle w:val="ac"/>
        <w:shd w:val="clear" w:color="auto" w:fill="FFFFFF"/>
        <w:spacing w:before="0" w:beforeAutospacing="0" w:after="0" w:afterAutospacing="0" w:line="390" w:lineRule="atLeast"/>
        <w:ind w:firstLine="640"/>
        <w:rPr>
          <w:rFonts w:ascii="仿宋_GB2312" w:eastAsia="仿宋_GB2312"/>
          <w:color w:val="3D3D3C"/>
          <w:sz w:val="32"/>
          <w:szCs w:val="32"/>
        </w:rPr>
      </w:pPr>
      <w:r w:rsidRPr="00DD0FC3">
        <w:rPr>
          <w:rFonts w:ascii="仿宋_GB2312" w:eastAsia="仿宋_GB2312"/>
          <w:noProof/>
          <w:color w:val="3D3D3C"/>
          <w:sz w:val="32"/>
          <w:szCs w:val="32"/>
        </w:rPr>
        <w:drawing>
          <wp:anchor distT="0" distB="0" distL="114300" distR="114300" simplePos="0" relativeHeight="251662336" behindDoc="0" locked="0" layoutInCell="1" allowOverlap="1">
            <wp:simplePos x="0" y="0"/>
            <wp:positionH relativeFrom="column">
              <wp:posOffset>558165</wp:posOffset>
            </wp:positionH>
            <wp:positionV relativeFrom="paragraph">
              <wp:posOffset>-127000</wp:posOffset>
            </wp:positionV>
            <wp:extent cx="2753360" cy="1838325"/>
            <wp:effectExtent l="19050" t="0" r="8890" b="0"/>
            <wp:wrapSquare wrapText="bothSides"/>
            <wp:docPr id="10" name="对象 2"/>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rsidR="001466F9" w:rsidRDefault="001466F9">
      <w:pPr>
        <w:widowControl/>
        <w:ind w:firstLineChars="200" w:firstLine="640"/>
        <w:jc w:val="left"/>
        <w:rPr>
          <w:rFonts w:ascii="仿宋_GB2312" w:eastAsia="仿宋_GB2312" w:hAnsi="仿宋"/>
          <w:szCs w:val="32"/>
        </w:rPr>
      </w:pPr>
    </w:p>
    <w:p w:rsidR="001466F9" w:rsidRDefault="001466F9">
      <w:pPr>
        <w:widowControl/>
        <w:ind w:firstLineChars="200" w:firstLine="640"/>
        <w:jc w:val="left"/>
        <w:rPr>
          <w:rFonts w:ascii="仿宋_GB2312" w:eastAsia="仿宋_GB2312" w:hAnsi="仿宋"/>
          <w:szCs w:val="32"/>
        </w:rPr>
      </w:pPr>
    </w:p>
    <w:p w:rsidR="001466F9" w:rsidRDefault="001466F9">
      <w:pPr>
        <w:widowControl/>
        <w:ind w:firstLineChars="200" w:firstLine="640"/>
        <w:jc w:val="left"/>
        <w:rPr>
          <w:rFonts w:ascii="仿宋_GB2312" w:eastAsia="仿宋_GB2312" w:hAnsi="仿宋"/>
          <w:szCs w:val="32"/>
        </w:rPr>
      </w:pPr>
    </w:p>
    <w:p w:rsidR="001466F9" w:rsidRDefault="001466F9" w:rsidP="001466F9">
      <w:pPr>
        <w:pStyle w:val="ac"/>
        <w:shd w:val="clear" w:color="auto" w:fill="FFFFFF"/>
        <w:spacing w:before="0" w:beforeAutospacing="0" w:after="0" w:afterAutospacing="0" w:line="390" w:lineRule="atLeast"/>
        <w:ind w:firstLineChars="221" w:firstLine="707"/>
        <w:rPr>
          <w:rFonts w:ascii="仿宋_GB2312" w:eastAsia="仿宋_GB2312"/>
          <w:color w:val="3D3D3C"/>
          <w:sz w:val="32"/>
          <w:szCs w:val="32"/>
        </w:rPr>
      </w:pPr>
    </w:p>
    <w:p w:rsidR="001466F9" w:rsidRDefault="001466F9" w:rsidP="001466F9">
      <w:pPr>
        <w:pStyle w:val="ac"/>
        <w:shd w:val="clear" w:color="auto" w:fill="FFFFFF"/>
        <w:spacing w:before="0" w:beforeAutospacing="0" w:after="0" w:afterAutospacing="0" w:line="390" w:lineRule="atLeast"/>
        <w:ind w:firstLineChars="221" w:firstLine="707"/>
        <w:rPr>
          <w:rFonts w:ascii="仿宋_GB2312" w:eastAsia="仿宋_GB2312"/>
          <w:color w:val="3D3D3C"/>
          <w:sz w:val="32"/>
          <w:szCs w:val="32"/>
        </w:rPr>
      </w:pPr>
      <w:r>
        <w:rPr>
          <w:rFonts w:ascii="仿宋_GB2312" w:eastAsia="仿宋_GB2312" w:hint="eastAsia"/>
          <w:color w:val="3D3D3C"/>
          <w:sz w:val="32"/>
          <w:szCs w:val="32"/>
        </w:rPr>
        <w:t>2、2019年度财政拨款支出576.87万元，较2018年财政拨款支出增加了119.96万元，主要原因是增加了人员绩效增量及工资支出。</w:t>
      </w:r>
    </w:p>
    <w:p w:rsidR="001466F9" w:rsidRDefault="001466F9" w:rsidP="001466F9">
      <w:pPr>
        <w:pStyle w:val="ac"/>
        <w:shd w:val="clear" w:color="auto" w:fill="FFFFFF"/>
        <w:spacing w:before="0" w:beforeAutospacing="0" w:after="0" w:afterAutospacing="0" w:line="390" w:lineRule="atLeast"/>
        <w:ind w:firstLineChars="221" w:firstLine="707"/>
        <w:rPr>
          <w:rFonts w:ascii="仿宋_GB2312" w:eastAsia="仿宋_GB2312"/>
          <w:color w:val="3D3D3C"/>
          <w:sz w:val="32"/>
          <w:szCs w:val="32"/>
        </w:rPr>
      </w:pPr>
      <w:r w:rsidRPr="001466F9">
        <w:rPr>
          <w:rFonts w:ascii="仿宋_GB2312" w:eastAsia="仿宋_GB2312"/>
          <w:noProof/>
          <w:color w:val="3D3D3C"/>
          <w:sz w:val="32"/>
          <w:szCs w:val="32"/>
        </w:rPr>
        <w:lastRenderedPageBreak/>
        <w:drawing>
          <wp:inline distT="0" distB="0" distL="0" distR="0">
            <wp:extent cx="2743200" cy="1828800"/>
            <wp:effectExtent l="0" t="0" r="0" b="0"/>
            <wp:docPr id="2" name="对象 3"/>
            <wp:cNvGraphicFramePr>
              <a:graphicFrameLocks xmlns:a="http://schemas.openxmlformats.org/drawingml/2006/main" noChangeAspect="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五、一般公共预算财政拨款支出决算情况说明</w:t>
      </w:r>
    </w:p>
    <w:p w:rsidR="00926DEC" w:rsidRDefault="00803916" w:rsidP="00B27939">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b/>
          <w:color w:val="000000"/>
          <w:kern w:val="0"/>
          <w:szCs w:val="32"/>
        </w:rPr>
        <w:t>（一）财政拨款支出决算总体情况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w:t>
      </w:r>
      <w:r w:rsidR="001466F9">
        <w:rPr>
          <w:rFonts w:ascii="仿宋_GB2312" w:eastAsia="仿宋_GB2312" w:hAnsi="宋体" w:cs="仿宋_GB2312" w:hint="eastAsia"/>
          <w:color w:val="000000"/>
          <w:kern w:val="0"/>
          <w:szCs w:val="32"/>
        </w:rPr>
        <w:t>576.87</w:t>
      </w:r>
      <w:r>
        <w:rPr>
          <w:rFonts w:ascii="仿宋_GB2312" w:eastAsia="仿宋_GB2312" w:hAnsi="宋体" w:cs="仿宋_GB2312"/>
          <w:color w:val="000000"/>
          <w:kern w:val="0"/>
          <w:szCs w:val="32"/>
        </w:rPr>
        <w:t>万元，占本年支出合计的</w:t>
      </w:r>
      <w:r w:rsidR="001466F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%。与</w:t>
      </w:r>
      <w:r>
        <w:rPr>
          <w:rFonts w:ascii="仿宋_GB2312" w:eastAsia="仿宋_GB2312" w:hAnsi="宋体" w:cs="仿宋_GB2312" w:hint="eastAsia"/>
          <w:color w:val="000000"/>
          <w:kern w:val="0"/>
          <w:szCs w:val="32"/>
        </w:rPr>
        <w:t>上年</w:t>
      </w:r>
      <w:r>
        <w:rPr>
          <w:rFonts w:ascii="仿宋_GB2312" w:eastAsia="仿宋_GB2312" w:hAnsi="宋体" w:cs="仿宋_GB2312"/>
          <w:color w:val="000000"/>
          <w:kern w:val="0"/>
          <w:szCs w:val="32"/>
        </w:rPr>
        <w:t>相比，财政拨款支出增加</w:t>
      </w:r>
      <w:r w:rsidR="001466F9">
        <w:rPr>
          <w:rFonts w:ascii="仿宋_GB2312" w:eastAsia="仿宋_GB2312" w:hAnsi="宋体" w:cs="仿宋_GB2312" w:hint="eastAsia"/>
          <w:color w:val="000000"/>
          <w:kern w:val="0"/>
          <w:szCs w:val="32"/>
        </w:rPr>
        <w:t>119.96</w:t>
      </w:r>
      <w:r>
        <w:rPr>
          <w:rFonts w:ascii="仿宋_GB2312" w:eastAsia="仿宋_GB2312" w:hAnsi="宋体" w:cs="仿宋_GB2312"/>
          <w:color w:val="000000"/>
          <w:kern w:val="0"/>
          <w:szCs w:val="32"/>
        </w:rPr>
        <w:t>万元，增长</w:t>
      </w:r>
      <w:r w:rsidR="001466F9">
        <w:rPr>
          <w:rFonts w:ascii="仿宋_GB2312" w:eastAsia="仿宋_GB2312" w:hAnsi="宋体" w:cs="仿宋_GB2312" w:hint="eastAsia"/>
          <w:color w:val="000000"/>
          <w:kern w:val="0"/>
          <w:szCs w:val="32"/>
        </w:rPr>
        <w:t>26</w:t>
      </w:r>
      <w:r>
        <w:rPr>
          <w:rFonts w:ascii="仿宋_GB2312" w:eastAsia="仿宋_GB2312" w:hAnsi="宋体" w:cs="仿宋_GB2312"/>
          <w:color w:val="000000"/>
          <w:kern w:val="0"/>
          <w:szCs w:val="32"/>
        </w:rPr>
        <w:t>%，主要</w:t>
      </w:r>
      <w:r>
        <w:rPr>
          <w:rFonts w:ascii="仿宋_GB2312" w:eastAsia="仿宋_GB2312" w:hAnsi="宋体" w:cs="仿宋_GB2312" w:hint="eastAsia"/>
          <w:color w:val="000000"/>
          <w:kern w:val="0"/>
          <w:szCs w:val="32"/>
        </w:rPr>
        <w:t>原因是</w:t>
      </w:r>
      <w:r w:rsidR="001466F9">
        <w:rPr>
          <w:rFonts w:ascii="仿宋_GB2312" w:eastAsia="仿宋_GB2312" w:hint="eastAsia"/>
          <w:color w:val="3D3D3C"/>
          <w:szCs w:val="32"/>
        </w:rPr>
        <w:t>增加了人员绩效增量及工资支出</w:t>
      </w:r>
      <w:r>
        <w:rPr>
          <w:rFonts w:ascii="仿宋_GB2312" w:eastAsia="仿宋_GB2312" w:hAnsi="宋体" w:cs="仿宋_GB2312" w:hint="eastAsia"/>
          <w:color w:val="000000"/>
          <w:kern w:val="0"/>
          <w:szCs w:val="32"/>
        </w:rPr>
        <w:t>。</w:t>
      </w:r>
    </w:p>
    <w:p w:rsidR="00926DEC" w:rsidRDefault="00803916" w:rsidP="00B27939">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pPr>
        <w:widowControl/>
        <w:ind w:firstLineChars="200" w:firstLine="640"/>
        <w:jc w:val="left"/>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财政拨款支出年初预算为</w:t>
      </w:r>
      <w:r w:rsidR="001466F9">
        <w:rPr>
          <w:rFonts w:ascii="仿宋_GB2312" w:eastAsia="仿宋_GB2312" w:hAnsi="宋体" w:cs="仿宋_GB2312" w:hint="eastAsia"/>
          <w:color w:val="000000"/>
          <w:kern w:val="0"/>
          <w:szCs w:val="32"/>
        </w:rPr>
        <w:t>334.08</w:t>
      </w:r>
      <w:r>
        <w:rPr>
          <w:rFonts w:ascii="仿宋_GB2312" w:eastAsia="仿宋_GB2312" w:hAnsi="宋体" w:cs="仿宋_GB2312"/>
          <w:color w:val="000000"/>
          <w:kern w:val="0"/>
          <w:szCs w:val="32"/>
        </w:rPr>
        <w:t>万元，支出决算为</w:t>
      </w:r>
      <w:r w:rsidR="001466F9">
        <w:rPr>
          <w:rFonts w:ascii="仿宋_GB2312" w:eastAsia="仿宋_GB2312" w:hAnsi="宋体" w:cs="仿宋_GB2312" w:hint="eastAsia"/>
          <w:color w:val="000000"/>
          <w:kern w:val="0"/>
          <w:szCs w:val="32"/>
        </w:rPr>
        <w:t>576.87</w:t>
      </w:r>
      <w:r>
        <w:rPr>
          <w:rFonts w:ascii="仿宋_GB2312" w:eastAsia="仿宋_GB2312" w:hAnsi="宋体" w:cs="仿宋_GB2312"/>
          <w:color w:val="000000"/>
          <w:kern w:val="0"/>
          <w:szCs w:val="32"/>
        </w:rPr>
        <w:t>万元，完成年初预算的</w:t>
      </w:r>
      <w:r w:rsidR="001466F9">
        <w:rPr>
          <w:rFonts w:ascii="仿宋_GB2312" w:eastAsia="仿宋_GB2312" w:hAnsi="宋体" w:cs="仿宋_GB2312" w:hint="eastAsia"/>
          <w:color w:val="000000"/>
          <w:kern w:val="0"/>
          <w:szCs w:val="32"/>
        </w:rPr>
        <w:t>172</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按照政府功能分类科目，</w:t>
      </w:r>
      <w:r>
        <w:rPr>
          <w:rFonts w:ascii="仿宋_GB2312" w:eastAsia="仿宋_GB2312" w:hAnsi="宋体" w:cs="仿宋_GB2312"/>
          <w:color w:val="000000"/>
          <w:kern w:val="0"/>
          <w:szCs w:val="32"/>
        </w:rPr>
        <w:t xml:space="preserve">其中： </w:t>
      </w:r>
    </w:p>
    <w:p w:rsidR="00926DEC" w:rsidRDefault="00803916" w:rsidP="00B27939">
      <w:pPr>
        <w:widowControl/>
        <w:ind w:firstLineChars="200" w:firstLine="643"/>
        <w:jc w:val="left"/>
      </w:pPr>
      <w:r>
        <w:rPr>
          <w:rFonts w:ascii="仿宋_GB2312" w:eastAsia="仿宋_GB2312" w:hAnsi="宋体" w:cs="仿宋_GB2312"/>
          <w:b/>
          <w:color w:val="000000"/>
          <w:kern w:val="0"/>
          <w:szCs w:val="32"/>
        </w:rPr>
        <w:t>1.一般公共服务支出（类）</w:t>
      </w:r>
      <w:r w:rsidR="000306C2">
        <w:rPr>
          <w:rFonts w:ascii="仿宋_GB2312" w:eastAsia="仿宋_GB2312" w:hAnsi="宋体" w:cs="仿宋_GB2312" w:hint="eastAsia"/>
          <w:b/>
          <w:color w:val="000000"/>
          <w:kern w:val="0"/>
          <w:szCs w:val="32"/>
        </w:rPr>
        <w:t>组织</w:t>
      </w:r>
      <w:r>
        <w:rPr>
          <w:rFonts w:ascii="仿宋_GB2312" w:eastAsia="仿宋_GB2312" w:hAnsi="宋体" w:cs="仿宋_GB2312"/>
          <w:b/>
          <w:color w:val="000000"/>
          <w:kern w:val="0"/>
          <w:szCs w:val="32"/>
        </w:rPr>
        <w:t>事务（款）</w:t>
      </w:r>
      <w:r w:rsidR="000306C2">
        <w:rPr>
          <w:rFonts w:ascii="仿宋_GB2312" w:eastAsia="仿宋_GB2312" w:hAnsi="宋体" w:cs="仿宋_GB2312" w:hint="eastAsia"/>
          <w:b/>
          <w:color w:val="000000"/>
          <w:kern w:val="0"/>
          <w:szCs w:val="32"/>
        </w:rPr>
        <w:t>一般行政管理事务</w:t>
      </w:r>
      <w:r>
        <w:rPr>
          <w:rFonts w:ascii="仿宋_GB2312" w:eastAsia="仿宋_GB2312" w:hAnsi="宋体" w:cs="仿宋_GB2312"/>
          <w:b/>
          <w:color w:val="000000"/>
          <w:kern w:val="0"/>
          <w:szCs w:val="32"/>
        </w:rPr>
        <w:t xml:space="preserve">（项）。 </w:t>
      </w:r>
    </w:p>
    <w:p w:rsidR="0007773F" w:rsidRDefault="00803916" w:rsidP="0007773F">
      <w:pPr>
        <w:widowControl/>
        <w:ind w:firstLineChars="200" w:firstLine="640"/>
        <w:jc w:val="left"/>
        <w:rPr>
          <w:rFonts w:ascii="仿宋_GB2312" w:eastAsia="仿宋_GB2312" w:hAnsi="宋体" w:cs="仿宋_GB2312"/>
          <w:b/>
          <w:color w:val="000000"/>
          <w:kern w:val="0"/>
          <w:szCs w:val="32"/>
        </w:rPr>
      </w:pPr>
      <w:r>
        <w:rPr>
          <w:rFonts w:ascii="仿宋_GB2312" w:eastAsia="仿宋_GB2312" w:hAnsi="宋体" w:cs="仿宋_GB2312"/>
          <w:color w:val="000000"/>
          <w:kern w:val="0"/>
          <w:szCs w:val="32"/>
        </w:rPr>
        <w:t>年初预算为</w:t>
      </w:r>
      <w:r w:rsidR="000306C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0306C2">
        <w:rPr>
          <w:rFonts w:ascii="仿宋_GB2312" w:eastAsia="仿宋_GB2312" w:hAnsi="宋体" w:cs="仿宋_GB2312" w:hint="eastAsia"/>
          <w:color w:val="000000"/>
          <w:kern w:val="0"/>
          <w:szCs w:val="32"/>
        </w:rPr>
        <w:t>9.8</w:t>
      </w:r>
      <w:r>
        <w:rPr>
          <w:rFonts w:ascii="仿宋_GB2312" w:eastAsia="仿宋_GB2312" w:hAnsi="宋体" w:cs="仿宋_GB2312"/>
          <w:color w:val="000000"/>
          <w:kern w:val="0"/>
          <w:szCs w:val="32"/>
        </w:rPr>
        <w:t>万元。决算数大于预算数的主要原因是</w:t>
      </w:r>
      <w:r w:rsidR="0007773F">
        <w:rPr>
          <w:rFonts w:ascii="仿宋_GB2312" w:eastAsia="仿宋_GB2312" w:hint="eastAsia"/>
          <w:szCs w:val="32"/>
        </w:rPr>
        <w:t>年初未安排一般行政管理事务支出，本年因工作需要追加预算导致</w:t>
      </w:r>
      <w:r w:rsidR="0007773F">
        <w:rPr>
          <w:rFonts w:ascii="仿宋_GB2312" w:eastAsia="仿宋_GB2312" w:hAnsi="宋体" w:cs="仿宋_GB2312"/>
          <w:color w:val="000000"/>
          <w:kern w:val="0"/>
          <w:szCs w:val="32"/>
        </w:rPr>
        <w:t>决算数大于预算数</w:t>
      </w:r>
      <w:r w:rsidR="0007773F">
        <w:rPr>
          <w:rFonts w:ascii="仿宋_GB2312" w:eastAsia="仿宋_GB2312" w:hAnsi="宋体" w:cs="仿宋_GB2312" w:hint="eastAsia"/>
          <w:color w:val="000000"/>
          <w:kern w:val="0"/>
          <w:szCs w:val="32"/>
        </w:rPr>
        <w:t>。</w:t>
      </w:r>
    </w:p>
    <w:p w:rsidR="000306C2" w:rsidRDefault="00803916" w:rsidP="000306C2">
      <w:pPr>
        <w:widowControl/>
        <w:ind w:firstLineChars="200" w:firstLine="640"/>
        <w:jc w:val="left"/>
      </w:pPr>
      <w:r>
        <w:rPr>
          <w:rFonts w:ascii="仿宋_GB2312" w:eastAsia="仿宋_GB2312" w:hAnsi="宋体" w:cs="仿宋_GB2312"/>
          <w:color w:val="000000"/>
          <w:kern w:val="0"/>
          <w:szCs w:val="32"/>
        </w:rPr>
        <w:t>2.</w:t>
      </w:r>
      <w:r w:rsidR="000306C2">
        <w:rPr>
          <w:rFonts w:ascii="仿宋_GB2312" w:eastAsia="仿宋_GB2312" w:hAnsi="宋体" w:cs="仿宋_GB2312" w:hint="eastAsia"/>
          <w:b/>
          <w:color w:val="000000"/>
          <w:kern w:val="0"/>
          <w:szCs w:val="32"/>
        </w:rPr>
        <w:t>文化旅游体育与传媒</w:t>
      </w:r>
      <w:r w:rsidR="000306C2">
        <w:rPr>
          <w:rFonts w:ascii="仿宋_GB2312" w:eastAsia="仿宋_GB2312" w:hAnsi="宋体" w:cs="仿宋_GB2312"/>
          <w:b/>
          <w:color w:val="000000"/>
          <w:kern w:val="0"/>
          <w:szCs w:val="32"/>
        </w:rPr>
        <w:t>支出（类）</w:t>
      </w:r>
      <w:r w:rsidR="000306C2">
        <w:rPr>
          <w:rFonts w:ascii="仿宋_GB2312" w:eastAsia="仿宋_GB2312" w:hAnsi="宋体" w:cs="仿宋_GB2312" w:hint="eastAsia"/>
          <w:b/>
          <w:color w:val="000000"/>
          <w:kern w:val="0"/>
          <w:szCs w:val="32"/>
        </w:rPr>
        <w:t>新闻出版电影</w:t>
      </w:r>
      <w:r w:rsidR="000306C2">
        <w:rPr>
          <w:rFonts w:ascii="仿宋_GB2312" w:eastAsia="仿宋_GB2312" w:hAnsi="宋体" w:cs="仿宋_GB2312"/>
          <w:b/>
          <w:color w:val="000000"/>
          <w:kern w:val="0"/>
          <w:szCs w:val="32"/>
        </w:rPr>
        <w:t>（款）</w:t>
      </w:r>
      <w:r w:rsidR="000306C2">
        <w:rPr>
          <w:rFonts w:ascii="仿宋_GB2312" w:eastAsia="仿宋_GB2312" w:hAnsi="宋体" w:cs="仿宋_GB2312" w:hint="eastAsia"/>
          <w:b/>
          <w:color w:val="000000"/>
          <w:kern w:val="0"/>
          <w:szCs w:val="32"/>
        </w:rPr>
        <w:t>其他新闻出版电影支出</w:t>
      </w:r>
      <w:r w:rsidR="000306C2">
        <w:rPr>
          <w:rFonts w:ascii="仿宋_GB2312" w:eastAsia="仿宋_GB2312" w:hAnsi="宋体" w:cs="仿宋_GB2312"/>
          <w:b/>
          <w:color w:val="000000"/>
          <w:kern w:val="0"/>
          <w:szCs w:val="32"/>
        </w:rPr>
        <w:t xml:space="preserve">（项）。 </w:t>
      </w:r>
    </w:p>
    <w:p w:rsidR="007C4619" w:rsidRDefault="000306C2" w:rsidP="007C4619">
      <w:pPr>
        <w:widowControl/>
        <w:ind w:firstLineChars="200" w:firstLine="640"/>
        <w:jc w:val="left"/>
        <w:rPr>
          <w:rFonts w:ascii="仿宋_GB2312" w:eastAsia="仿宋_GB2312" w:hAnsi="宋体" w:cs="仿宋_GB2312"/>
          <w:b/>
          <w:color w:val="000000"/>
          <w:kern w:val="0"/>
          <w:szCs w:val="32"/>
        </w:rPr>
      </w:pPr>
      <w:r>
        <w:rPr>
          <w:rFonts w:ascii="仿宋_GB2312" w:eastAsia="仿宋_GB2312" w:hAnsi="宋体" w:cs="仿宋_GB2312"/>
          <w:color w:val="000000"/>
          <w:kern w:val="0"/>
          <w:szCs w:val="32"/>
        </w:rPr>
        <w:lastRenderedPageBreak/>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32.04</w:t>
      </w:r>
      <w:r>
        <w:rPr>
          <w:rFonts w:ascii="仿宋_GB2312" w:eastAsia="仿宋_GB2312" w:hAnsi="宋体" w:cs="仿宋_GB2312"/>
          <w:color w:val="000000"/>
          <w:kern w:val="0"/>
          <w:szCs w:val="32"/>
        </w:rPr>
        <w:t>万元。决</w:t>
      </w:r>
      <w:r w:rsidR="007C4619">
        <w:rPr>
          <w:rFonts w:ascii="仿宋_GB2312" w:eastAsia="仿宋_GB2312" w:hAnsi="宋体" w:cs="仿宋_GB2312"/>
          <w:color w:val="000000"/>
          <w:kern w:val="0"/>
          <w:szCs w:val="32"/>
        </w:rPr>
        <w:t>算数大于预算数的主要原因是</w:t>
      </w:r>
      <w:r w:rsidR="007C4619">
        <w:rPr>
          <w:rFonts w:ascii="仿宋_GB2312" w:eastAsia="仿宋_GB2312" w:hint="eastAsia"/>
          <w:szCs w:val="32"/>
        </w:rPr>
        <w:t>年初未安排其他新闻出版电影支出，本年因工作需要追加预算导致</w:t>
      </w:r>
      <w:r w:rsidR="007C4619">
        <w:rPr>
          <w:rFonts w:ascii="仿宋_GB2312" w:eastAsia="仿宋_GB2312" w:hAnsi="宋体" w:cs="仿宋_GB2312"/>
          <w:color w:val="000000"/>
          <w:kern w:val="0"/>
          <w:szCs w:val="32"/>
        </w:rPr>
        <w:t>决算数大于预算数</w:t>
      </w:r>
      <w:r w:rsidR="007C4619">
        <w:rPr>
          <w:rFonts w:ascii="仿宋_GB2312" w:eastAsia="仿宋_GB2312" w:hAnsi="宋体" w:cs="仿宋_GB2312" w:hint="eastAsia"/>
          <w:color w:val="000000"/>
          <w:kern w:val="0"/>
          <w:szCs w:val="32"/>
        </w:rPr>
        <w:t>。</w:t>
      </w:r>
    </w:p>
    <w:p w:rsidR="00A37F78" w:rsidRDefault="00A37F78" w:rsidP="007C4619">
      <w:pPr>
        <w:widowControl/>
        <w:ind w:firstLineChars="150" w:firstLine="482"/>
        <w:jc w:val="left"/>
      </w:pPr>
      <w:r>
        <w:rPr>
          <w:rFonts w:ascii="仿宋_GB2312" w:eastAsia="仿宋_GB2312" w:hAnsi="宋体" w:cs="仿宋_GB2312" w:hint="eastAsia"/>
          <w:b/>
          <w:color w:val="000000"/>
          <w:kern w:val="0"/>
          <w:szCs w:val="32"/>
        </w:rPr>
        <w:t>3</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文化旅游体育与传媒</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广播电视</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一般行政管理事务</w:t>
      </w:r>
      <w:r>
        <w:rPr>
          <w:rFonts w:ascii="仿宋_GB2312" w:eastAsia="仿宋_GB2312" w:hAnsi="宋体" w:cs="仿宋_GB2312"/>
          <w:b/>
          <w:color w:val="000000"/>
          <w:kern w:val="0"/>
          <w:szCs w:val="32"/>
        </w:rPr>
        <w:t xml:space="preserve">（项）。 </w:t>
      </w:r>
    </w:p>
    <w:p w:rsidR="00782D4F" w:rsidRDefault="00A37F78" w:rsidP="00782D4F">
      <w:pPr>
        <w:widowControl/>
        <w:ind w:firstLineChars="200" w:firstLine="640"/>
        <w:jc w:val="left"/>
        <w:rPr>
          <w:rFonts w:ascii="仿宋_GB2312" w:eastAsia="仿宋_GB2312" w:hAnsi="宋体" w:cs="仿宋_GB2312"/>
          <w:b/>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2.49</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w:t>
      </w:r>
      <w:r w:rsidR="00782D4F">
        <w:rPr>
          <w:rFonts w:ascii="仿宋_GB2312" w:eastAsia="仿宋_GB2312" w:hAnsi="宋体" w:cs="仿宋_GB2312"/>
          <w:color w:val="000000"/>
          <w:kern w:val="0"/>
          <w:szCs w:val="32"/>
        </w:rPr>
        <w:t>决算数大于预算数的主要原因是</w:t>
      </w:r>
      <w:r w:rsidR="00782D4F">
        <w:rPr>
          <w:rFonts w:ascii="仿宋_GB2312" w:eastAsia="仿宋_GB2312" w:hint="eastAsia"/>
          <w:szCs w:val="32"/>
        </w:rPr>
        <w:t>年初未安排一般行政管理事务支出，本年因工作需要追加预算导致</w:t>
      </w:r>
      <w:r w:rsidR="00782D4F">
        <w:rPr>
          <w:rFonts w:ascii="仿宋_GB2312" w:eastAsia="仿宋_GB2312" w:hAnsi="宋体" w:cs="仿宋_GB2312"/>
          <w:color w:val="000000"/>
          <w:kern w:val="0"/>
          <w:szCs w:val="32"/>
        </w:rPr>
        <w:t>决算数大于预算数</w:t>
      </w:r>
      <w:r w:rsidR="00782D4F">
        <w:rPr>
          <w:rFonts w:ascii="仿宋_GB2312" w:eastAsia="仿宋_GB2312" w:hAnsi="宋体" w:cs="仿宋_GB2312" w:hint="eastAsia"/>
          <w:color w:val="000000"/>
          <w:kern w:val="0"/>
          <w:szCs w:val="32"/>
        </w:rPr>
        <w:t>。</w:t>
      </w:r>
    </w:p>
    <w:p w:rsidR="00A37F78" w:rsidRDefault="00A37F78" w:rsidP="00782D4F">
      <w:pPr>
        <w:widowControl/>
        <w:ind w:firstLineChars="150" w:firstLine="482"/>
        <w:jc w:val="left"/>
      </w:pPr>
      <w:r>
        <w:rPr>
          <w:rFonts w:ascii="仿宋_GB2312" w:eastAsia="仿宋_GB2312" w:hAnsi="宋体" w:cs="仿宋_GB2312" w:hint="eastAsia"/>
          <w:b/>
          <w:color w:val="000000"/>
          <w:kern w:val="0"/>
          <w:szCs w:val="32"/>
        </w:rPr>
        <w:t>4</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文化旅游体育与传媒</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广播电视</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一广播</w:t>
      </w:r>
      <w:r>
        <w:rPr>
          <w:rFonts w:ascii="仿宋_GB2312" w:eastAsia="仿宋_GB2312" w:hAnsi="宋体" w:cs="仿宋_GB2312"/>
          <w:b/>
          <w:color w:val="000000"/>
          <w:kern w:val="0"/>
          <w:szCs w:val="32"/>
        </w:rPr>
        <w:t xml:space="preserve">（项）。 </w:t>
      </w:r>
    </w:p>
    <w:p w:rsidR="00A37F78" w:rsidRDefault="00A37F78" w:rsidP="00A37F78">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334.08</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386.15</w:t>
      </w:r>
      <w:r>
        <w:rPr>
          <w:rFonts w:ascii="仿宋_GB2312" w:eastAsia="仿宋_GB2312" w:hAnsi="宋体" w:cs="仿宋_GB2312"/>
          <w:color w:val="000000"/>
          <w:kern w:val="0"/>
          <w:szCs w:val="32"/>
        </w:rPr>
        <w:t>万元，完成年初预算的</w:t>
      </w:r>
      <w:r>
        <w:rPr>
          <w:rFonts w:ascii="仿宋_GB2312" w:eastAsia="仿宋_GB2312" w:hAnsi="宋体" w:cs="仿宋_GB2312" w:hint="eastAsia"/>
          <w:color w:val="000000"/>
          <w:kern w:val="0"/>
          <w:szCs w:val="32"/>
        </w:rPr>
        <w:t>115</w:t>
      </w:r>
      <w:r>
        <w:rPr>
          <w:rFonts w:ascii="仿宋_GB2312" w:eastAsia="仿宋_GB2312" w:hAnsi="宋体" w:cs="仿宋_GB2312"/>
          <w:color w:val="000000"/>
          <w:kern w:val="0"/>
          <w:szCs w:val="32"/>
        </w:rPr>
        <w:t>%。决算数大于预算数的主要原因是</w:t>
      </w:r>
      <w:r>
        <w:rPr>
          <w:rFonts w:ascii="仿宋_GB2312" w:eastAsia="仿宋_GB2312" w:hAnsi="宋体" w:cs="仿宋_GB2312" w:hint="eastAsia"/>
          <w:color w:val="000000"/>
          <w:kern w:val="0"/>
          <w:szCs w:val="32"/>
        </w:rPr>
        <w:t>增加了人员绩效增量和工资支出。</w:t>
      </w:r>
    </w:p>
    <w:p w:rsidR="00A37F78" w:rsidRDefault="00A37F78" w:rsidP="00A37F78">
      <w:pPr>
        <w:widowControl/>
        <w:ind w:firstLineChars="200" w:firstLine="643"/>
        <w:jc w:val="left"/>
      </w:pPr>
      <w:r>
        <w:rPr>
          <w:rFonts w:ascii="仿宋_GB2312" w:eastAsia="仿宋_GB2312" w:hAnsi="宋体" w:cs="仿宋_GB2312" w:hint="eastAsia"/>
          <w:b/>
          <w:color w:val="000000"/>
          <w:kern w:val="0"/>
          <w:szCs w:val="32"/>
        </w:rPr>
        <w:t>5</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文化旅游体育与传媒</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广播电视</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一其他广播电视支出</w:t>
      </w:r>
      <w:r>
        <w:rPr>
          <w:rFonts w:ascii="仿宋_GB2312" w:eastAsia="仿宋_GB2312" w:hAnsi="宋体" w:cs="仿宋_GB2312"/>
          <w:b/>
          <w:color w:val="000000"/>
          <w:kern w:val="0"/>
          <w:szCs w:val="32"/>
        </w:rPr>
        <w:t xml:space="preserve">（项）。 </w:t>
      </w:r>
    </w:p>
    <w:p w:rsidR="00F16C2B" w:rsidRDefault="00A37F78" w:rsidP="00F16C2B">
      <w:pPr>
        <w:widowControl/>
        <w:ind w:firstLineChars="200" w:firstLine="640"/>
        <w:jc w:val="left"/>
        <w:rPr>
          <w:rFonts w:ascii="仿宋_GB2312" w:eastAsia="仿宋_GB2312" w:hAnsi="宋体" w:cs="仿宋_GB2312"/>
          <w:b/>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94.40</w:t>
      </w:r>
      <w:r w:rsidR="00F16C2B">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t>。</w:t>
      </w:r>
      <w:r w:rsidR="00F16C2B">
        <w:rPr>
          <w:rFonts w:ascii="仿宋_GB2312" w:eastAsia="仿宋_GB2312" w:hAnsi="宋体" w:cs="仿宋_GB2312"/>
          <w:color w:val="000000"/>
          <w:kern w:val="0"/>
          <w:szCs w:val="32"/>
        </w:rPr>
        <w:t>决算数大于预算数的主要原因是</w:t>
      </w:r>
      <w:r w:rsidR="00F16C2B">
        <w:rPr>
          <w:rFonts w:ascii="仿宋_GB2312" w:eastAsia="仿宋_GB2312" w:hint="eastAsia"/>
          <w:szCs w:val="32"/>
        </w:rPr>
        <w:t>年初未安排其他广播电视支出，本年因工作需要追加预算导致</w:t>
      </w:r>
      <w:r w:rsidR="00F16C2B">
        <w:rPr>
          <w:rFonts w:ascii="仿宋_GB2312" w:eastAsia="仿宋_GB2312" w:hAnsi="宋体" w:cs="仿宋_GB2312"/>
          <w:color w:val="000000"/>
          <w:kern w:val="0"/>
          <w:szCs w:val="32"/>
        </w:rPr>
        <w:t>决算数大于预算数</w:t>
      </w:r>
      <w:r w:rsidR="00F16C2B">
        <w:rPr>
          <w:rFonts w:ascii="仿宋_GB2312" w:eastAsia="仿宋_GB2312" w:hAnsi="宋体" w:cs="仿宋_GB2312" w:hint="eastAsia"/>
          <w:color w:val="000000"/>
          <w:kern w:val="0"/>
          <w:szCs w:val="32"/>
        </w:rPr>
        <w:t>。</w:t>
      </w:r>
    </w:p>
    <w:p w:rsidR="00A37F78" w:rsidRDefault="00A37F78" w:rsidP="00F16C2B">
      <w:pPr>
        <w:widowControl/>
        <w:ind w:firstLineChars="150" w:firstLine="482"/>
        <w:jc w:val="left"/>
      </w:pPr>
      <w:r>
        <w:rPr>
          <w:rFonts w:ascii="仿宋_GB2312" w:eastAsia="仿宋_GB2312" w:hAnsi="宋体" w:cs="仿宋_GB2312" w:hint="eastAsia"/>
          <w:b/>
          <w:color w:val="000000"/>
          <w:kern w:val="0"/>
          <w:szCs w:val="32"/>
        </w:rPr>
        <w:t>6</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社会保障和就业</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行政事业离退休</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机关事业单位养老保险缴费支出</w:t>
      </w:r>
      <w:r>
        <w:rPr>
          <w:rFonts w:ascii="仿宋_GB2312" w:eastAsia="仿宋_GB2312" w:hAnsi="宋体" w:cs="仿宋_GB2312"/>
          <w:b/>
          <w:color w:val="000000"/>
          <w:kern w:val="0"/>
          <w:szCs w:val="32"/>
        </w:rPr>
        <w:t xml:space="preserve">（项）。 </w:t>
      </w:r>
    </w:p>
    <w:p w:rsidR="00EE7C2A" w:rsidRDefault="00A37F78" w:rsidP="00EE7C2A">
      <w:pPr>
        <w:widowControl/>
        <w:ind w:firstLineChars="200" w:firstLine="640"/>
        <w:jc w:val="left"/>
        <w:rPr>
          <w:rFonts w:ascii="仿宋_GB2312" w:eastAsia="仿宋_GB2312"/>
          <w:szCs w:val="32"/>
        </w:rPr>
      </w:pPr>
      <w:r>
        <w:rPr>
          <w:rFonts w:ascii="仿宋_GB2312" w:eastAsia="仿宋_GB2312" w:hAnsi="宋体" w:cs="仿宋_GB2312"/>
          <w:color w:val="000000"/>
          <w:kern w:val="0"/>
          <w:szCs w:val="32"/>
        </w:rPr>
        <w:lastRenderedPageBreak/>
        <w:t>年初预算为</w:t>
      </w:r>
      <w:r w:rsidR="009C011F">
        <w:rPr>
          <w:rFonts w:ascii="仿宋_GB2312" w:eastAsia="仿宋_GB2312" w:hAnsi="宋体" w:cs="仿宋_GB2312" w:hint="eastAsia"/>
          <w:color w:val="000000"/>
          <w:kern w:val="0"/>
          <w:szCs w:val="32"/>
        </w:rPr>
        <w:t>39.41</w:t>
      </w:r>
      <w:r>
        <w:rPr>
          <w:rFonts w:ascii="仿宋_GB2312" w:eastAsia="仿宋_GB2312" w:hAnsi="宋体" w:cs="仿宋_GB2312"/>
          <w:color w:val="000000"/>
          <w:kern w:val="0"/>
          <w:szCs w:val="32"/>
        </w:rPr>
        <w:t>万元，支出决算为</w:t>
      </w:r>
      <w:r w:rsidR="009C011F">
        <w:rPr>
          <w:rFonts w:ascii="仿宋_GB2312" w:eastAsia="仿宋_GB2312" w:hAnsi="宋体" w:cs="仿宋_GB2312" w:hint="eastAsia"/>
          <w:color w:val="000000"/>
          <w:kern w:val="0"/>
          <w:szCs w:val="32"/>
        </w:rPr>
        <w:t>37.03</w:t>
      </w:r>
      <w:r>
        <w:rPr>
          <w:rFonts w:ascii="仿宋_GB2312" w:eastAsia="仿宋_GB2312" w:hAnsi="宋体" w:cs="仿宋_GB2312"/>
          <w:color w:val="000000"/>
          <w:kern w:val="0"/>
          <w:szCs w:val="32"/>
        </w:rPr>
        <w:t>万元，完成年初预算的</w:t>
      </w:r>
      <w:r w:rsidR="009C011F">
        <w:rPr>
          <w:rFonts w:ascii="仿宋_GB2312" w:eastAsia="仿宋_GB2312" w:hAnsi="宋体" w:cs="仿宋_GB2312" w:hint="eastAsia"/>
          <w:color w:val="000000"/>
          <w:kern w:val="0"/>
          <w:szCs w:val="32"/>
        </w:rPr>
        <w:t>94</w:t>
      </w:r>
      <w:r>
        <w:rPr>
          <w:rFonts w:ascii="仿宋_GB2312" w:eastAsia="仿宋_GB2312" w:hAnsi="宋体" w:cs="仿宋_GB2312"/>
          <w:color w:val="000000"/>
          <w:kern w:val="0"/>
          <w:szCs w:val="32"/>
        </w:rPr>
        <w:t>%。</w:t>
      </w:r>
      <w:r w:rsidR="00EE7C2A">
        <w:rPr>
          <w:rFonts w:ascii="仿宋_GB2312" w:eastAsia="仿宋_GB2312" w:hAnsi="宋体" w:cs="仿宋_GB2312"/>
          <w:color w:val="000000"/>
          <w:kern w:val="0"/>
          <w:szCs w:val="32"/>
        </w:rPr>
        <w:t>决算数</w:t>
      </w:r>
      <w:r w:rsidR="00EE7C2A">
        <w:rPr>
          <w:rFonts w:ascii="仿宋_GB2312" w:eastAsia="仿宋_GB2312" w:hAnsi="宋体" w:cs="仿宋_GB2312" w:hint="eastAsia"/>
          <w:color w:val="000000"/>
          <w:kern w:val="0"/>
          <w:szCs w:val="32"/>
        </w:rPr>
        <w:t>小</w:t>
      </w:r>
      <w:r w:rsidR="00EE7C2A">
        <w:rPr>
          <w:rFonts w:ascii="仿宋_GB2312" w:eastAsia="仿宋_GB2312" w:hAnsi="宋体" w:cs="仿宋_GB2312"/>
          <w:color w:val="000000"/>
          <w:kern w:val="0"/>
          <w:szCs w:val="32"/>
        </w:rPr>
        <w:t>于预算数的主要原因是</w:t>
      </w:r>
      <w:r w:rsidR="00EE7C2A">
        <w:rPr>
          <w:rFonts w:ascii="仿宋_GB2312" w:eastAsia="仿宋_GB2312" w:hint="eastAsia"/>
          <w:szCs w:val="32"/>
        </w:rPr>
        <w:t>本年养老保险政策调整，单位缴费比例降低，导致基本养老保险缴费支出减少</w:t>
      </w:r>
      <w:r w:rsidR="00EE7C2A">
        <w:rPr>
          <w:rFonts w:ascii="仿宋_GB2312" w:eastAsia="仿宋_GB2312" w:hAnsi="宋体" w:cs="仿宋_GB2312" w:hint="eastAsia"/>
          <w:color w:val="000000"/>
          <w:kern w:val="0"/>
          <w:szCs w:val="32"/>
        </w:rPr>
        <w:t>。</w:t>
      </w:r>
    </w:p>
    <w:p w:rsidR="009C011F" w:rsidRDefault="009C011F" w:rsidP="00EE7C2A">
      <w:pPr>
        <w:widowControl/>
        <w:ind w:firstLineChars="150" w:firstLine="482"/>
        <w:jc w:val="left"/>
      </w:pPr>
      <w:r>
        <w:rPr>
          <w:rFonts w:ascii="仿宋_GB2312" w:eastAsia="仿宋_GB2312" w:hAnsi="宋体" w:cs="仿宋_GB2312" w:hint="eastAsia"/>
          <w:b/>
          <w:color w:val="000000"/>
          <w:kern w:val="0"/>
          <w:szCs w:val="32"/>
        </w:rPr>
        <w:t>7</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社会保障和就业</w:t>
      </w:r>
      <w:r>
        <w:rPr>
          <w:rFonts w:ascii="仿宋_GB2312" w:eastAsia="仿宋_GB2312" w:hAnsi="宋体" w:cs="仿宋_GB2312"/>
          <w:b/>
          <w:color w:val="000000"/>
          <w:kern w:val="0"/>
          <w:szCs w:val="32"/>
        </w:rPr>
        <w:t>支出（类）</w:t>
      </w:r>
      <w:r>
        <w:rPr>
          <w:rFonts w:ascii="仿宋_GB2312" w:eastAsia="仿宋_GB2312" w:hAnsi="宋体" w:cs="仿宋_GB2312" w:hint="eastAsia"/>
          <w:b/>
          <w:color w:val="000000"/>
          <w:kern w:val="0"/>
          <w:szCs w:val="32"/>
        </w:rPr>
        <w:t>行政事业离退休</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机关事业单位职业年金缴费支出</w:t>
      </w:r>
      <w:r>
        <w:rPr>
          <w:rFonts w:ascii="仿宋_GB2312" w:eastAsia="仿宋_GB2312" w:hAnsi="宋体" w:cs="仿宋_GB2312"/>
          <w:b/>
          <w:color w:val="000000"/>
          <w:kern w:val="0"/>
          <w:szCs w:val="32"/>
        </w:rPr>
        <w:t xml:space="preserve">（项）。 </w:t>
      </w:r>
    </w:p>
    <w:p w:rsidR="009C011F" w:rsidRDefault="009C011F" w:rsidP="009C011F">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1.03</w:t>
      </w:r>
      <w:r>
        <w:rPr>
          <w:rFonts w:ascii="仿宋_GB2312" w:eastAsia="仿宋_GB2312" w:hAnsi="宋体" w:cs="仿宋_GB2312"/>
          <w:color w:val="000000"/>
          <w:kern w:val="0"/>
          <w:szCs w:val="32"/>
        </w:rPr>
        <w:t>万元。决算数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年初预算将养老保险和职业年金缴费支出都计入了养老保险缴费支出预算，未单独列支职业年金缴费支出预算。</w:t>
      </w:r>
    </w:p>
    <w:p w:rsidR="00865DF3" w:rsidRDefault="00865DF3" w:rsidP="00865DF3">
      <w:pPr>
        <w:widowControl/>
        <w:ind w:firstLineChars="200" w:firstLine="643"/>
        <w:jc w:val="left"/>
      </w:pPr>
      <w:r>
        <w:rPr>
          <w:rFonts w:ascii="仿宋_GB2312" w:eastAsia="仿宋_GB2312" w:hAnsi="宋体" w:cs="仿宋_GB2312" w:hint="eastAsia"/>
          <w:b/>
          <w:color w:val="000000"/>
          <w:kern w:val="0"/>
          <w:szCs w:val="32"/>
        </w:rPr>
        <w:t>8</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事业单位医疗</w:t>
      </w:r>
      <w:r>
        <w:rPr>
          <w:rFonts w:ascii="仿宋_GB2312" w:eastAsia="仿宋_GB2312" w:hAnsi="宋体" w:cs="仿宋_GB2312"/>
          <w:b/>
          <w:color w:val="000000"/>
          <w:kern w:val="0"/>
          <w:szCs w:val="32"/>
        </w:rPr>
        <w:t xml:space="preserve">（项）。 </w:t>
      </w:r>
    </w:p>
    <w:p w:rsidR="00865DF3" w:rsidRDefault="00865DF3" w:rsidP="00865DF3">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7.67</w:t>
      </w:r>
      <w:r w:rsidR="00C566FD">
        <w:rPr>
          <w:rFonts w:ascii="仿宋_GB2312" w:eastAsia="仿宋_GB2312" w:hAnsi="宋体" w:cs="仿宋_GB2312"/>
          <w:color w:val="000000"/>
          <w:kern w:val="0"/>
          <w:szCs w:val="32"/>
        </w:rPr>
        <w:t>万元</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原医疗保险由财政代扣，未计入部门年初预算。</w:t>
      </w:r>
    </w:p>
    <w:p w:rsidR="00865DF3" w:rsidRDefault="00865DF3" w:rsidP="00865DF3">
      <w:pPr>
        <w:widowControl/>
        <w:ind w:firstLineChars="200" w:firstLine="643"/>
        <w:jc w:val="left"/>
      </w:pPr>
      <w:r>
        <w:rPr>
          <w:rFonts w:ascii="仿宋_GB2312" w:eastAsia="仿宋_GB2312" w:hAnsi="宋体" w:cs="仿宋_GB2312" w:hint="eastAsia"/>
          <w:b/>
          <w:color w:val="000000"/>
          <w:kern w:val="0"/>
          <w:szCs w:val="32"/>
        </w:rPr>
        <w:t>9</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行政事业单位医疗</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公务员医疗补助</w:t>
      </w:r>
      <w:r>
        <w:rPr>
          <w:rFonts w:ascii="仿宋_GB2312" w:eastAsia="仿宋_GB2312" w:hAnsi="宋体" w:cs="仿宋_GB2312"/>
          <w:b/>
          <w:color w:val="000000"/>
          <w:kern w:val="0"/>
          <w:szCs w:val="32"/>
        </w:rPr>
        <w:t xml:space="preserve">（项）。 </w:t>
      </w:r>
    </w:p>
    <w:p w:rsidR="00865DF3" w:rsidRDefault="00865DF3" w:rsidP="00865DF3">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0.51</w:t>
      </w:r>
      <w:r>
        <w:rPr>
          <w:rFonts w:ascii="仿宋_GB2312" w:eastAsia="仿宋_GB2312" w:hAnsi="宋体" w:cs="仿宋_GB2312"/>
          <w:color w:val="000000"/>
          <w:kern w:val="0"/>
          <w:szCs w:val="32"/>
        </w:rPr>
        <w:t>万元。决算数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原大额医疗保险、</w:t>
      </w:r>
      <w:r w:rsidR="003977A6">
        <w:rPr>
          <w:rFonts w:ascii="仿宋_GB2312" w:eastAsia="仿宋_GB2312" w:hAnsi="宋体" w:cs="仿宋_GB2312" w:hint="eastAsia"/>
          <w:color w:val="000000"/>
          <w:kern w:val="0"/>
          <w:szCs w:val="32"/>
        </w:rPr>
        <w:t>工伤</w:t>
      </w:r>
      <w:bookmarkStart w:id="0" w:name="_GoBack"/>
      <w:bookmarkEnd w:id="0"/>
      <w:r>
        <w:rPr>
          <w:rFonts w:ascii="仿宋_GB2312" w:eastAsia="仿宋_GB2312" w:hAnsi="宋体" w:cs="仿宋_GB2312" w:hint="eastAsia"/>
          <w:color w:val="000000"/>
          <w:kern w:val="0"/>
          <w:szCs w:val="32"/>
        </w:rPr>
        <w:t>保险由财政代付，未计入部门年初预算。</w:t>
      </w:r>
    </w:p>
    <w:p w:rsidR="00865DF3" w:rsidRDefault="00865DF3" w:rsidP="00865DF3">
      <w:pPr>
        <w:widowControl/>
        <w:ind w:firstLineChars="200" w:firstLine="643"/>
        <w:jc w:val="left"/>
      </w:pPr>
      <w:r>
        <w:rPr>
          <w:rFonts w:ascii="仿宋_GB2312" w:eastAsia="仿宋_GB2312" w:hAnsi="宋体" w:cs="仿宋_GB2312" w:hint="eastAsia"/>
          <w:b/>
          <w:color w:val="000000"/>
          <w:kern w:val="0"/>
          <w:szCs w:val="32"/>
        </w:rPr>
        <w:t>10</w:t>
      </w:r>
      <w:r>
        <w:rPr>
          <w:rFonts w:ascii="仿宋_GB2312" w:eastAsia="仿宋_GB2312" w:hAnsi="宋体" w:cs="仿宋_GB2312"/>
          <w:b/>
          <w:color w:val="000000"/>
          <w:kern w:val="0"/>
          <w:szCs w:val="32"/>
        </w:rPr>
        <w:t>.</w:t>
      </w:r>
      <w:r w:rsidRPr="00A37F78">
        <w:rPr>
          <w:rFonts w:ascii="仿宋_GB2312" w:eastAsia="仿宋_GB2312" w:hAnsi="宋体" w:cs="仿宋_GB2312" w:hint="eastAsia"/>
          <w:b/>
          <w:color w:val="000000"/>
          <w:kern w:val="0"/>
          <w:szCs w:val="32"/>
        </w:rPr>
        <w:t xml:space="preserve"> </w:t>
      </w:r>
      <w:r>
        <w:rPr>
          <w:rFonts w:ascii="仿宋_GB2312" w:eastAsia="仿宋_GB2312" w:hAnsi="宋体" w:cs="仿宋_GB2312" w:hint="eastAsia"/>
          <w:b/>
          <w:color w:val="000000"/>
          <w:kern w:val="0"/>
          <w:szCs w:val="32"/>
        </w:rPr>
        <w:t>卫生健康支出</w:t>
      </w:r>
      <w:r>
        <w:rPr>
          <w:rFonts w:ascii="仿宋_GB2312" w:eastAsia="仿宋_GB2312" w:hAnsi="宋体" w:cs="仿宋_GB2312"/>
          <w:b/>
          <w:color w:val="000000"/>
          <w:kern w:val="0"/>
          <w:szCs w:val="32"/>
        </w:rPr>
        <w:t>（类）</w:t>
      </w:r>
      <w:r>
        <w:rPr>
          <w:rFonts w:ascii="仿宋_GB2312" w:eastAsia="仿宋_GB2312" w:hAnsi="宋体" w:cs="仿宋_GB2312" w:hint="eastAsia"/>
          <w:b/>
          <w:color w:val="000000"/>
          <w:kern w:val="0"/>
          <w:szCs w:val="32"/>
        </w:rPr>
        <w:t>其他卫生健康支出</w:t>
      </w:r>
      <w:r>
        <w:rPr>
          <w:rFonts w:ascii="仿宋_GB2312" w:eastAsia="仿宋_GB2312" w:hAnsi="宋体" w:cs="仿宋_GB2312"/>
          <w:b/>
          <w:color w:val="000000"/>
          <w:kern w:val="0"/>
          <w:szCs w:val="32"/>
        </w:rPr>
        <w:t>（款）</w:t>
      </w:r>
      <w:r>
        <w:rPr>
          <w:rFonts w:ascii="仿宋_GB2312" w:eastAsia="仿宋_GB2312" w:hAnsi="宋体" w:cs="仿宋_GB2312" w:hint="eastAsia"/>
          <w:b/>
          <w:color w:val="000000"/>
          <w:kern w:val="0"/>
          <w:szCs w:val="32"/>
        </w:rPr>
        <w:t>事业其他卫生健康支出</w:t>
      </w:r>
      <w:r>
        <w:rPr>
          <w:rFonts w:ascii="仿宋_GB2312" w:eastAsia="仿宋_GB2312" w:hAnsi="宋体" w:cs="仿宋_GB2312"/>
          <w:b/>
          <w:color w:val="000000"/>
          <w:kern w:val="0"/>
          <w:szCs w:val="32"/>
        </w:rPr>
        <w:t xml:space="preserve">（项）。 </w:t>
      </w:r>
    </w:p>
    <w:p w:rsidR="00865DF3" w:rsidRDefault="00865DF3" w:rsidP="00865DF3">
      <w:pPr>
        <w:widowControl/>
        <w:ind w:firstLineChars="150" w:firstLine="48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lastRenderedPageBreak/>
        <w:t>年初预算为</w:t>
      </w:r>
      <w:r>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Pr>
          <w:rFonts w:ascii="仿宋_GB2312" w:eastAsia="仿宋_GB2312" w:hAnsi="宋体" w:cs="仿宋_GB2312" w:hint="eastAsia"/>
          <w:color w:val="000000"/>
          <w:kern w:val="0"/>
          <w:szCs w:val="32"/>
        </w:rPr>
        <w:t>5.74</w:t>
      </w:r>
      <w:r>
        <w:rPr>
          <w:rFonts w:ascii="仿宋_GB2312" w:eastAsia="仿宋_GB2312" w:hAnsi="宋体" w:cs="仿宋_GB2312"/>
          <w:color w:val="000000"/>
          <w:kern w:val="0"/>
          <w:szCs w:val="32"/>
        </w:rPr>
        <w:t>万元。决算数</w:t>
      </w:r>
      <w:r>
        <w:rPr>
          <w:rFonts w:ascii="仿宋_GB2312" w:eastAsia="仿宋_GB2312" w:hAnsi="宋体" w:cs="仿宋_GB2312" w:hint="eastAsia"/>
          <w:color w:val="000000"/>
          <w:kern w:val="0"/>
          <w:szCs w:val="32"/>
        </w:rPr>
        <w:t>大于</w:t>
      </w:r>
      <w:r>
        <w:rPr>
          <w:rFonts w:ascii="仿宋_GB2312" w:eastAsia="仿宋_GB2312" w:hAnsi="宋体" w:cs="仿宋_GB2312"/>
          <w:color w:val="000000"/>
          <w:kern w:val="0"/>
          <w:szCs w:val="32"/>
        </w:rPr>
        <w:t>预算数的主要原因是</w:t>
      </w:r>
      <w:r>
        <w:rPr>
          <w:rFonts w:ascii="仿宋_GB2312" w:eastAsia="仿宋_GB2312" w:hAnsi="宋体" w:cs="仿宋_GB2312" w:hint="eastAsia"/>
          <w:color w:val="000000"/>
          <w:kern w:val="0"/>
          <w:szCs w:val="32"/>
        </w:rPr>
        <w:t>《医疗与健康》栏目经费属项目支出，未纳入年初预算，属年中追加。</w:t>
      </w:r>
    </w:p>
    <w:p w:rsidR="00926DEC" w:rsidRDefault="00803916">
      <w:pPr>
        <w:spacing w:line="360" w:lineRule="auto"/>
        <w:ind w:firstLineChars="200" w:firstLine="640"/>
        <w:rPr>
          <w:rFonts w:ascii="仿宋_GB2312" w:eastAsia="仿宋_GB2312" w:hAnsi="仿宋"/>
          <w:szCs w:val="32"/>
        </w:rPr>
      </w:pPr>
      <w:r>
        <w:rPr>
          <w:rFonts w:ascii="黑体" w:eastAsia="黑体" w:hAnsi="黑体" w:hint="eastAsia"/>
          <w:color w:val="000000"/>
          <w:kern w:val="0"/>
          <w:szCs w:val="32"/>
        </w:rPr>
        <w:t>六、一般公共预算财政拨款基本支出决算情况说明</w:t>
      </w:r>
    </w:p>
    <w:p w:rsidR="00926DEC" w:rsidRDefault="00803916" w:rsidP="00EF48CE">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201</w:t>
      </w:r>
      <w:r>
        <w:rPr>
          <w:rFonts w:ascii="仿宋_GB2312" w:eastAsia="仿宋_GB2312" w:hAnsi="仿宋_GB2312" w:cs="仿宋_GB2312" w:hint="eastAsia"/>
          <w:color w:val="000000"/>
          <w:kern w:val="0"/>
          <w:sz w:val="31"/>
          <w:szCs w:val="31"/>
        </w:rPr>
        <w:t>9</w:t>
      </w:r>
      <w:r>
        <w:rPr>
          <w:rFonts w:ascii="仿宋_GB2312" w:eastAsia="仿宋_GB2312" w:hAnsi="仿宋_GB2312" w:cs="仿宋_GB2312"/>
          <w:color w:val="000000"/>
          <w:kern w:val="0"/>
          <w:sz w:val="31"/>
          <w:szCs w:val="31"/>
        </w:rPr>
        <w:t>年</w:t>
      </w:r>
      <w:r>
        <w:rPr>
          <w:rFonts w:ascii="仿宋_GB2312" w:eastAsia="仿宋_GB2312" w:hAnsi="仿宋" w:hint="eastAsia"/>
          <w:szCs w:val="32"/>
        </w:rPr>
        <w:t>度</w:t>
      </w:r>
      <w:r>
        <w:rPr>
          <w:rFonts w:ascii="仿宋_GB2312" w:eastAsia="仿宋_GB2312" w:hAnsi="仿宋_GB2312" w:cs="仿宋_GB2312"/>
          <w:color w:val="000000"/>
          <w:kern w:val="0"/>
          <w:sz w:val="31"/>
          <w:szCs w:val="31"/>
        </w:rPr>
        <w:t>一般公共预算财政拨款基本支出</w:t>
      </w:r>
      <w:r w:rsidR="00EF48CE">
        <w:rPr>
          <w:rFonts w:ascii="仿宋_GB2312" w:eastAsia="仿宋_GB2312" w:hAnsi="仿宋_GB2312" w:cs="仿宋_GB2312" w:hint="eastAsia"/>
          <w:color w:val="000000"/>
          <w:kern w:val="0"/>
          <w:sz w:val="31"/>
          <w:szCs w:val="31"/>
        </w:rPr>
        <w:t>451.19</w:t>
      </w:r>
      <w:r>
        <w:rPr>
          <w:rFonts w:ascii="仿宋_GB2312" w:eastAsia="仿宋_GB2312" w:hAnsi="仿宋_GB2312" w:cs="仿宋_GB2312"/>
          <w:color w:val="000000"/>
          <w:kern w:val="0"/>
          <w:sz w:val="31"/>
          <w:szCs w:val="31"/>
        </w:rPr>
        <w:t>万元，包括：人员经费支出</w:t>
      </w:r>
      <w:r w:rsidR="00EF48CE">
        <w:rPr>
          <w:rFonts w:ascii="仿宋_GB2312" w:eastAsia="仿宋_GB2312" w:hAnsi="仿宋_GB2312" w:cs="仿宋_GB2312" w:hint="eastAsia"/>
          <w:color w:val="000000"/>
          <w:kern w:val="0"/>
          <w:sz w:val="31"/>
          <w:szCs w:val="31"/>
        </w:rPr>
        <w:t>440.89</w:t>
      </w:r>
      <w:r>
        <w:rPr>
          <w:rFonts w:ascii="仿宋_GB2312" w:eastAsia="仿宋_GB2312" w:hAnsi="仿宋_GB2312" w:cs="仿宋_GB2312"/>
          <w:color w:val="000000"/>
          <w:kern w:val="0"/>
          <w:sz w:val="31"/>
          <w:szCs w:val="31"/>
        </w:rPr>
        <w:t>万元和公用经费支出</w:t>
      </w:r>
      <w:r w:rsidR="00EF48CE">
        <w:rPr>
          <w:rFonts w:ascii="仿宋_GB2312" w:eastAsia="仿宋_GB2312" w:hAnsi="仿宋_GB2312" w:cs="仿宋_GB2312" w:hint="eastAsia"/>
          <w:color w:val="000000"/>
          <w:kern w:val="0"/>
          <w:sz w:val="31"/>
          <w:szCs w:val="31"/>
        </w:rPr>
        <w:t>10.3</w:t>
      </w:r>
      <w:r>
        <w:rPr>
          <w:rFonts w:ascii="仿宋_GB2312" w:eastAsia="仿宋_GB2312" w:hAnsi="仿宋_GB2312" w:cs="仿宋_GB2312"/>
          <w:color w:val="000000"/>
          <w:kern w:val="0"/>
          <w:sz w:val="31"/>
          <w:szCs w:val="31"/>
        </w:rPr>
        <w:t>万元。</w:t>
      </w:r>
    </w:p>
    <w:p w:rsidR="00926DEC" w:rsidRDefault="00803916" w:rsidP="00B27939">
      <w:pPr>
        <w:widowControl/>
        <w:ind w:firstLineChars="200" w:firstLine="643"/>
        <w:jc w:val="left"/>
        <w:rPr>
          <w:rFonts w:ascii="仿宋_GB2312" w:eastAsia="仿宋_GB2312" w:hAnsi="宋体" w:cs="仿宋_GB2312"/>
          <w:color w:val="000000"/>
          <w:kern w:val="0"/>
          <w:szCs w:val="32"/>
        </w:rPr>
      </w:pPr>
      <w:r>
        <w:rPr>
          <w:rFonts w:ascii="仿宋_GB2312" w:eastAsia="仿宋_GB2312" w:hAnsi="宋体" w:cs="仿宋_GB2312"/>
          <w:b/>
          <w:bCs/>
          <w:color w:val="000000"/>
          <w:kern w:val="0"/>
          <w:szCs w:val="32"/>
        </w:rPr>
        <w:t>人员经费</w:t>
      </w:r>
      <w:r w:rsidR="00EF48CE">
        <w:rPr>
          <w:rFonts w:ascii="仿宋_GB2312" w:eastAsia="仿宋_GB2312" w:hAnsi="宋体" w:cs="仿宋_GB2312" w:hint="eastAsia"/>
          <w:color w:val="000000"/>
          <w:kern w:val="0"/>
          <w:szCs w:val="32"/>
        </w:rPr>
        <w:t>440.89</w:t>
      </w:r>
      <w:r>
        <w:rPr>
          <w:rFonts w:ascii="仿宋_GB2312" w:eastAsia="仿宋_GB2312" w:hAnsi="宋体" w:cs="仿宋_GB2312"/>
          <w:color w:val="000000"/>
          <w:kern w:val="0"/>
          <w:szCs w:val="32"/>
        </w:rPr>
        <w:t>万元，主要包括基本工资</w:t>
      </w:r>
      <w:r w:rsidR="00E93B22">
        <w:rPr>
          <w:rFonts w:ascii="仿宋_GB2312" w:eastAsia="仿宋_GB2312" w:hAnsi="宋体" w:cs="仿宋_GB2312" w:hint="eastAsia"/>
          <w:color w:val="000000"/>
          <w:kern w:val="0"/>
          <w:szCs w:val="32"/>
        </w:rPr>
        <w:t>178.58</w:t>
      </w:r>
      <w:r>
        <w:rPr>
          <w:rFonts w:ascii="仿宋_GB2312" w:eastAsia="仿宋_GB2312" w:hAnsi="宋体" w:cs="仿宋_GB2312" w:hint="eastAsia"/>
          <w:color w:val="000000"/>
          <w:kern w:val="0"/>
          <w:szCs w:val="32"/>
        </w:rPr>
        <w:t>万元</w:t>
      </w:r>
      <w:r w:rsidR="00E93B22">
        <w:rPr>
          <w:rFonts w:ascii="仿宋_GB2312" w:eastAsia="仿宋_GB2312" w:hAnsi="宋体" w:cs="仿宋_GB2312" w:hint="eastAsia"/>
          <w:color w:val="000000"/>
          <w:kern w:val="0"/>
          <w:szCs w:val="32"/>
        </w:rPr>
        <w:t>，津贴补贴39.45万元，奖金5.74万元，绩效工资168.64万元，机关事业单位基本养老保险缴费37.03万元，职业年</w:t>
      </w:r>
      <w:r w:rsidR="008E61FE">
        <w:rPr>
          <w:rFonts w:ascii="仿宋_GB2312" w:eastAsia="仿宋_GB2312" w:hAnsi="宋体" w:cs="仿宋_GB2312" w:hint="eastAsia"/>
          <w:color w:val="000000"/>
          <w:kern w:val="0"/>
          <w:szCs w:val="32"/>
        </w:rPr>
        <w:t>金</w:t>
      </w:r>
      <w:r w:rsidR="00E93B22">
        <w:rPr>
          <w:rFonts w:ascii="仿宋_GB2312" w:eastAsia="仿宋_GB2312" w:hAnsi="宋体" w:cs="仿宋_GB2312" w:hint="eastAsia"/>
          <w:color w:val="000000"/>
          <w:kern w:val="0"/>
          <w:szCs w:val="32"/>
        </w:rPr>
        <w:t>缴费1.03万元，</w:t>
      </w:r>
      <w:r w:rsidR="008E61FE">
        <w:rPr>
          <w:rFonts w:ascii="仿宋_GB2312" w:eastAsia="仿宋_GB2312" w:hAnsi="宋体" w:cs="仿宋_GB2312" w:hint="eastAsia"/>
          <w:color w:val="000000"/>
          <w:kern w:val="0"/>
          <w:szCs w:val="32"/>
        </w:rPr>
        <w:t>职工基本医疗保险缴费7.67万元，</w:t>
      </w:r>
      <w:r w:rsidR="00E93B22">
        <w:rPr>
          <w:rFonts w:ascii="仿宋_GB2312" w:eastAsia="仿宋_GB2312" w:hAnsi="宋体" w:cs="仿宋_GB2312" w:hint="eastAsia"/>
          <w:color w:val="000000"/>
          <w:kern w:val="0"/>
          <w:szCs w:val="32"/>
        </w:rPr>
        <w:t>公务员医疗补助缴费0.51万元，其他社会保障缴费0.75万元</w:t>
      </w:r>
      <w:r>
        <w:rPr>
          <w:rFonts w:ascii="仿宋_GB2312" w:eastAsia="仿宋_GB2312" w:hAnsi="宋体" w:cs="仿宋_GB2312" w:hint="eastAsia"/>
          <w:color w:val="000000"/>
          <w:kern w:val="0"/>
          <w:szCs w:val="32"/>
        </w:rPr>
        <w:t>。</w:t>
      </w:r>
      <w:r w:rsidR="00250765">
        <w:rPr>
          <w:rFonts w:ascii="仿宋_GB2312" w:eastAsia="仿宋_GB2312" w:hAnsi="宋体" w:cs="仿宋_GB2312" w:hint="eastAsia"/>
          <w:color w:val="000000"/>
          <w:kern w:val="0"/>
          <w:szCs w:val="32"/>
        </w:rPr>
        <w:t>对个人和家庭的补助1.5万元。</w:t>
      </w:r>
    </w:p>
    <w:p w:rsidR="00926DEC" w:rsidRDefault="00803916" w:rsidP="00B27939">
      <w:pPr>
        <w:widowControl/>
        <w:ind w:firstLineChars="200" w:firstLine="643"/>
        <w:jc w:val="left"/>
      </w:pPr>
      <w:r>
        <w:rPr>
          <w:rFonts w:ascii="仿宋_GB2312" w:eastAsia="仿宋_GB2312" w:hAnsi="宋体" w:cs="仿宋_GB2312"/>
          <w:b/>
          <w:bCs/>
          <w:color w:val="000000"/>
          <w:kern w:val="0"/>
          <w:szCs w:val="32"/>
        </w:rPr>
        <w:t>公用经费</w:t>
      </w:r>
      <w:r w:rsidR="00E93B22">
        <w:rPr>
          <w:rFonts w:ascii="仿宋_GB2312" w:eastAsia="仿宋_GB2312" w:hAnsi="宋体" w:cs="仿宋_GB2312" w:hint="eastAsia"/>
          <w:color w:val="000000"/>
          <w:kern w:val="0"/>
          <w:szCs w:val="32"/>
        </w:rPr>
        <w:t>10.3</w:t>
      </w:r>
      <w:r>
        <w:rPr>
          <w:rFonts w:ascii="仿宋_GB2312" w:eastAsia="仿宋_GB2312" w:hAnsi="宋体" w:cs="仿宋_GB2312"/>
          <w:color w:val="000000"/>
          <w:kern w:val="0"/>
          <w:szCs w:val="32"/>
        </w:rPr>
        <w:t>万元，主要包括办公费</w:t>
      </w:r>
      <w:r w:rsidR="00E93B22">
        <w:rPr>
          <w:rFonts w:ascii="仿宋_GB2312" w:eastAsia="仿宋_GB2312" w:hAnsi="宋体" w:cs="仿宋_GB2312" w:hint="eastAsia"/>
          <w:color w:val="000000"/>
          <w:kern w:val="0"/>
          <w:szCs w:val="32"/>
        </w:rPr>
        <w:t>1.22</w:t>
      </w:r>
      <w:r>
        <w:rPr>
          <w:rFonts w:ascii="仿宋_GB2312" w:eastAsia="仿宋_GB2312" w:hAnsi="宋体" w:cs="仿宋_GB2312" w:hint="eastAsia"/>
          <w:color w:val="000000"/>
          <w:kern w:val="0"/>
          <w:szCs w:val="32"/>
        </w:rPr>
        <w:t>万元</w:t>
      </w:r>
      <w:r w:rsidR="00E93B22">
        <w:rPr>
          <w:rFonts w:ascii="仿宋_GB2312" w:eastAsia="仿宋_GB2312" w:hAnsi="宋体" w:cs="仿宋_GB2312" w:hint="eastAsia"/>
          <w:color w:val="000000"/>
          <w:kern w:val="0"/>
          <w:szCs w:val="32"/>
        </w:rPr>
        <w:t>，印刷费0.09万元，水费1.18万元，电费1.82万元，邮电费1.8万元，差旅费0.93万元，维修（护）费0.37万元，培训费0.02万元，劳务费0.1万元，福利费2.19万元，其他商品和服务支出0.58万元</w:t>
      </w:r>
      <w:r>
        <w:rPr>
          <w:rFonts w:ascii="仿宋_GB2312" w:eastAsia="仿宋_GB2312" w:hAnsi="宋体" w:cs="仿宋_GB2312" w:hint="eastAsia"/>
          <w:color w:val="000000"/>
          <w:kern w:val="0"/>
          <w:szCs w:val="32"/>
        </w:rPr>
        <w:t>。</w:t>
      </w:r>
    </w:p>
    <w:p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七、一般公共预算财政拨款“三公”经费及会议费、培训费支出决算情况说明</w:t>
      </w:r>
    </w:p>
    <w:p w:rsidR="00926DEC" w:rsidRDefault="00803916" w:rsidP="00B27939">
      <w:pPr>
        <w:widowControl/>
        <w:ind w:firstLineChars="200" w:firstLine="643"/>
        <w:jc w:val="left"/>
      </w:pPr>
      <w:r>
        <w:rPr>
          <w:rFonts w:ascii="楷体_GB2312" w:eastAsia="楷体_GB2312" w:hAnsi="宋体" w:cs="楷体_GB2312"/>
          <w:b/>
          <w:color w:val="000000"/>
          <w:kern w:val="0"/>
          <w:szCs w:val="32"/>
        </w:rPr>
        <w:t>（一）</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经费财政拨款支出决算总体情况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26DEC" w:rsidRDefault="00803916">
      <w:pPr>
        <w:widowControl/>
        <w:ind w:firstLineChars="200" w:firstLine="640"/>
        <w:jc w:val="left"/>
      </w:pPr>
      <w:r>
        <w:rPr>
          <w:rFonts w:ascii="仿宋_GB2312" w:eastAsia="仿宋_GB2312" w:hAnsi="宋体" w:cs="仿宋_GB2312"/>
          <w:color w:val="000000"/>
          <w:kern w:val="0"/>
          <w:szCs w:val="32"/>
        </w:rPr>
        <w:lastRenderedPageBreak/>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经费财政拨款支出预算为</w:t>
      </w:r>
      <w:r w:rsidR="009509B2">
        <w:rPr>
          <w:rFonts w:ascii="仿宋_GB2312" w:eastAsia="仿宋_GB2312" w:hAnsi="宋体" w:cs="仿宋_GB2312" w:hint="eastAsia"/>
          <w:color w:val="000000"/>
          <w:kern w:val="0"/>
          <w:szCs w:val="32"/>
        </w:rPr>
        <w:t>1.3</w:t>
      </w:r>
      <w:r>
        <w:rPr>
          <w:rFonts w:ascii="仿宋_GB2312" w:eastAsia="仿宋_GB2312" w:hAnsi="宋体" w:cs="仿宋_GB2312"/>
          <w:color w:val="000000"/>
          <w:kern w:val="0"/>
          <w:szCs w:val="32"/>
        </w:rPr>
        <w:t>万元，支出决算为</w:t>
      </w:r>
      <w:r w:rsidR="009509B2">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万元，完成预算的</w:t>
      </w:r>
      <w:r w:rsidR="003B3B86">
        <w:rPr>
          <w:rFonts w:ascii="仿宋_GB2312" w:eastAsia="仿宋_GB2312" w:hAnsi="宋体" w:cs="仿宋_GB2312" w:hint="eastAsia"/>
          <w:color w:val="000000"/>
          <w:kern w:val="0"/>
          <w:szCs w:val="32"/>
        </w:rPr>
        <w:t>77</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9509B2">
        <w:rPr>
          <w:rFonts w:ascii="仿宋_GB2312" w:eastAsia="仿宋_GB2312" w:hAnsi="宋体" w:cs="仿宋_GB2312" w:hint="eastAsia"/>
          <w:color w:val="000000"/>
          <w:kern w:val="0"/>
          <w:szCs w:val="32"/>
        </w:rPr>
        <w:t>0.3</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9509B2">
        <w:rPr>
          <w:rFonts w:ascii="仿宋_GB2312" w:eastAsia="仿宋_GB2312" w:hAnsi="宋体" w:cs="仿宋_GB2312" w:hint="eastAsia"/>
          <w:color w:val="000000"/>
          <w:kern w:val="0"/>
          <w:szCs w:val="32"/>
        </w:rPr>
        <w:t>2019年减少了公务接待费支出</w:t>
      </w:r>
      <w:r>
        <w:rPr>
          <w:rFonts w:ascii="仿宋_GB2312" w:eastAsia="仿宋_GB2312" w:hAnsi="宋体" w:cs="仿宋_GB2312" w:hint="eastAsia"/>
          <w:color w:val="000000"/>
          <w:kern w:val="0"/>
          <w:szCs w:val="32"/>
        </w:rPr>
        <w:t>。</w:t>
      </w:r>
    </w:p>
    <w:p w:rsidR="00926DEC" w:rsidRDefault="00803916" w:rsidP="00B27939">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三公</w:t>
      </w:r>
      <w:r>
        <w:rPr>
          <w:rFonts w:ascii="楷体_GB2312" w:eastAsia="楷体_GB2312" w:hAnsi="宋体" w:cs="楷体_GB2312"/>
          <w:b/>
          <w:color w:val="000000"/>
          <w:kern w:val="0"/>
          <w:szCs w:val="32"/>
        </w:rPr>
        <w:t>”</w:t>
      </w:r>
      <w:r>
        <w:rPr>
          <w:rFonts w:ascii="楷体_GB2312" w:eastAsia="楷体_GB2312" w:hAnsi="宋体" w:cs="楷体_GB2312"/>
          <w:b/>
          <w:color w:val="000000"/>
          <w:kern w:val="0"/>
          <w:szCs w:val="32"/>
        </w:rPr>
        <w:t>经费财政拨款支出决算具体情况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926DEC" w:rsidRDefault="00803916" w:rsidP="009509B2">
      <w:pPr>
        <w:widowControl/>
        <w:ind w:firstLineChars="250" w:firstLine="800"/>
        <w:jc w:val="left"/>
        <w:rPr>
          <w:rFonts w:ascii="仿宋_GB2312" w:eastAsia="仿宋_GB2312" w:hAnsi="宋体" w:cs="仿宋_GB2312"/>
          <w:color w:val="000000"/>
          <w:kern w:val="0"/>
          <w:szCs w:val="32"/>
        </w:rPr>
      </w:pPr>
      <w:r>
        <w:rPr>
          <w:rFonts w:ascii="仿宋_GB2312" w:eastAsia="仿宋_GB2312" w:hAnsi="宋体" w:cs="仿宋_GB2312"/>
          <w:color w:val="000000"/>
          <w:kern w:val="0"/>
          <w:szCs w:val="32"/>
        </w:rPr>
        <w:t>2019年</w:t>
      </w:r>
      <w:r>
        <w:rPr>
          <w:rFonts w:ascii="仿宋_GB2312" w:eastAsia="仿宋_GB2312" w:hAnsi="仿宋" w:hint="eastAsia"/>
          <w:szCs w:val="32"/>
        </w:rPr>
        <w:t>度</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三公</w:t>
      </w:r>
      <w:r>
        <w:rPr>
          <w:rFonts w:ascii="仿宋_GB2312" w:eastAsia="仿宋_GB2312" w:hAnsi="宋体" w:cs="仿宋_GB2312"/>
          <w:color w:val="000000"/>
          <w:kern w:val="0"/>
          <w:szCs w:val="32"/>
        </w:rPr>
        <w:t>”</w:t>
      </w:r>
      <w:r>
        <w:rPr>
          <w:rFonts w:ascii="仿宋_GB2312" w:eastAsia="仿宋_GB2312" w:hAnsi="宋体" w:cs="仿宋_GB2312"/>
          <w:color w:val="000000"/>
          <w:kern w:val="0"/>
          <w:szCs w:val="32"/>
        </w:rPr>
        <w:t>经费财政拨款支出决算中，因公出国（境）费支出决算</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%；公务用车购置</w:t>
      </w:r>
      <w:r>
        <w:rPr>
          <w:rFonts w:ascii="仿宋_GB2312" w:eastAsia="仿宋_GB2312" w:hAnsi="宋体" w:cs="仿宋_GB2312" w:hint="eastAsia"/>
          <w:color w:val="000000"/>
          <w:kern w:val="0"/>
          <w:szCs w:val="32"/>
        </w:rPr>
        <w:t>费支出</w:t>
      </w:r>
      <w:r w:rsidR="009509B2">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万元，占</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%；公务用车运行</w:t>
      </w:r>
      <w:r>
        <w:rPr>
          <w:rFonts w:ascii="仿宋_GB2312" w:eastAsia="仿宋_GB2312" w:hAnsi="仿宋" w:hint="eastAsia"/>
          <w:szCs w:val="32"/>
        </w:rPr>
        <w:t>维护</w:t>
      </w:r>
      <w:r>
        <w:rPr>
          <w:rFonts w:ascii="仿宋_GB2312" w:eastAsia="仿宋_GB2312" w:hAnsi="宋体" w:cs="仿宋_GB2312"/>
          <w:color w:val="000000"/>
          <w:kern w:val="0"/>
          <w:szCs w:val="32"/>
        </w:rPr>
        <w:t>费支出决算</w:t>
      </w:r>
      <w:r w:rsidR="009509B2">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万元，占</w:t>
      </w:r>
      <w:r w:rsidR="009509B2">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%；公务接待费支出决算</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万元，占</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%。具体情况如下：</w:t>
      </w:r>
    </w:p>
    <w:p w:rsidR="007C3074" w:rsidRDefault="007C3074" w:rsidP="009509B2">
      <w:pPr>
        <w:widowControl/>
        <w:ind w:firstLineChars="250" w:firstLine="800"/>
        <w:jc w:val="left"/>
      </w:pPr>
      <w:r>
        <w:rPr>
          <w:noProof/>
        </w:rPr>
        <w:drawing>
          <wp:inline distT="0" distB="0" distL="0" distR="0">
            <wp:extent cx="5274310" cy="3076575"/>
            <wp:effectExtent l="19050" t="0" r="21590" b="0"/>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926DEC" w:rsidRDefault="00803916" w:rsidP="00B27939">
      <w:pPr>
        <w:ind w:firstLineChars="200" w:firstLine="643"/>
        <w:rPr>
          <w:rFonts w:ascii="仿宋_GB2312" w:eastAsia="仿宋_GB2312" w:hAnsi="仿宋"/>
          <w:b/>
          <w:bCs/>
          <w:szCs w:val="32"/>
        </w:rPr>
      </w:pPr>
      <w:r>
        <w:rPr>
          <w:rFonts w:ascii="仿宋_GB2312" w:eastAsia="仿宋_GB2312" w:hAnsi="仿宋" w:hint="eastAsia"/>
          <w:b/>
          <w:bCs/>
          <w:szCs w:val="32"/>
        </w:rPr>
        <w:t>1.因公出国（境）支出情况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pPr>
      <w:r>
        <w:rPr>
          <w:rFonts w:ascii="仿宋_GB2312" w:eastAsia="仿宋_GB2312" w:hAnsi="仿宋" w:hint="eastAsia"/>
          <w:szCs w:val="32"/>
        </w:rPr>
        <w:t>2019年度因公出国（境）团组</w:t>
      </w:r>
      <w:r w:rsidR="009509B2">
        <w:rPr>
          <w:rFonts w:ascii="仿宋_GB2312" w:eastAsia="仿宋_GB2312" w:hAnsi="仿宋_GB2312" w:cs="仿宋_GB2312" w:hint="eastAsia"/>
          <w:szCs w:val="32"/>
        </w:rPr>
        <w:t>0</w:t>
      </w:r>
      <w:r>
        <w:rPr>
          <w:rFonts w:ascii="仿宋_GB2312" w:eastAsia="仿宋_GB2312" w:hAnsi="仿宋_GB2312" w:cs="仿宋_GB2312" w:hint="eastAsia"/>
          <w:szCs w:val="32"/>
        </w:rPr>
        <w:t>个，</w:t>
      </w:r>
      <w:r w:rsidR="009509B2">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F32BC7">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sidR="009509B2">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9509B2">
        <w:rPr>
          <w:rFonts w:ascii="仿宋_GB2312" w:eastAsia="仿宋_GB2312" w:hAnsi="宋体" w:cs="仿宋_GB2312" w:hint="eastAsia"/>
          <w:color w:val="000000"/>
          <w:kern w:val="0"/>
          <w:szCs w:val="32"/>
        </w:rPr>
        <w:t>无</w:t>
      </w:r>
      <w:r w:rsidR="009509B2">
        <w:rPr>
          <w:rFonts w:ascii="仿宋_GB2312" w:eastAsia="仿宋_GB2312" w:hAnsi="仿宋" w:hint="eastAsia"/>
          <w:szCs w:val="32"/>
        </w:rPr>
        <w:t>因公出国（境）人次</w:t>
      </w:r>
      <w:r>
        <w:rPr>
          <w:rFonts w:ascii="仿宋_GB2312" w:eastAsia="仿宋_GB2312" w:hAnsi="宋体" w:cs="仿宋_GB2312" w:hint="eastAsia"/>
          <w:color w:val="000000"/>
          <w:kern w:val="0"/>
          <w:szCs w:val="32"/>
        </w:rPr>
        <w:t>。</w:t>
      </w:r>
    </w:p>
    <w:p w:rsidR="00926DEC" w:rsidRDefault="00803916" w:rsidP="00B27939">
      <w:pPr>
        <w:ind w:firstLineChars="200" w:firstLine="643"/>
        <w:rPr>
          <w:rFonts w:ascii="仿宋_GB2312" w:eastAsia="仿宋_GB2312" w:hAnsi="仿宋"/>
          <w:b/>
          <w:bCs/>
          <w:szCs w:val="32"/>
        </w:rPr>
      </w:pPr>
      <w:r>
        <w:rPr>
          <w:rFonts w:ascii="仿宋_GB2312" w:eastAsia="仿宋_GB2312" w:hAnsi="仿宋" w:hint="eastAsia"/>
          <w:b/>
          <w:bCs/>
          <w:szCs w:val="32"/>
        </w:rPr>
        <w:t>2.公务用车购置费用支出情况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pPr>
      <w:r>
        <w:rPr>
          <w:rFonts w:ascii="仿宋_GB2312" w:eastAsia="仿宋_GB2312" w:hAnsi="仿宋" w:hint="eastAsia"/>
          <w:szCs w:val="32"/>
        </w:rPr>
        <w:lastRenderedPageBreak/>
        <w:t>2019年度购置车辆</w:t>
      </w:r>
      <w:r w:rsidR="009509B2">
        <w:rPr>
          <w:rFonts w:ascii="仿宋_GB2312" w:eastAsia="仿宋_GB2312" w:hAnsi="仿宋" w:hint="eastAsia"/>
          <w:szCs w:val="32"/>
        </w:rPr>
        <w:t>0</w:t>
      </w:r>
      <w:r>
        <w:rPr>
          <w:rFonts w:ascii="仿宋_GB2312" w:eastAsia="仿宋_GB2312" w:hAnsi="仿宋_GB2312" w:cs="仿宋_GB2312" w:hint="eastAsia"/>
          <w:szCs w:val="32"/>
        </w:rPr>
        <w:t>台，</w:t>
      </w:r>
      <w:r>
        <w:rPr>
          <w:rFonts w:ascii="仿宋_GB2312" w:eastAsia="仿宋_GB2312" w:hAnsi="宋体" w:cs="仿宋_GB2312"/>
          <w:color w:val="000000"/>
          <w:kern w:val="0"/>
          <w:szCs w:val="32"/>
        </w:rPr>
        <w:t>预算为</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万元，支出决算为</w:t>
      </w:r>
      <w:r w:rsidR="009509B2">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3B3B86">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sidR="009509B2">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9509B2">
        <w:rPr>
          <w:rFonts w:ascii="仿宋_GB2312" w:eastAsia="仿宋_GB2312" w:hAnsi="宋体" w:cs="仿宋_GB2312" w:hint="eastAsia"/>
          <w:color w:val="000000"/>
          <w:kern w:val="0"/>
          <w:szCs w:val="32"/>
        </w:rPr>
        <w:t>无公务用车购置支出</w:t>
      </w:r>
      <w:r>
        <w:rPr>
          <w:rFonts w:ascii="仿宋_GB2312" w:eastAsia="仿宋_GB2312" w:hAnsi="宋体" w:cs="仿宋_GB2312" w:hint="eastAsia"/>
          <w:color w:val="000000"/>
          <w:kern w:val="0"/>
          <w:szCs w:val="32"/>
        </w:rPr>
        <w:t>。</w:t>
      </w:r>
    </w:p>
    <w:p w:rsidR="00926DEC" w:rsidRDefault="00803916" w:rsidP="00B27939">
      <w:pPr>
        <w:ind w:firstLineChars="200" w:firstLine="643"/>
        <w:rPr>
          <w:rFonts w:ascii="仿宋_GB2312" w:eastAsia="仿宋_GB2312" w:hAnsi="仿宋"/>
          <w:b/>
          <w:bCs/>
          <w:szCs w:val="32"/>
        </w:rPr>
      </w:pPr>
      <w:r>
        <w:rPr>
          <w:rFonts w:ascii="仿宋_GB2312" w:eastAsia="仿宋_GB2312" w:hAnsi="仿宋" w:hint="eastAsia"/>
          <w:b/>
          <w:bCs/>
          <w:szCs w:val="32"/>
        </w:rPr>
        <w:t>3.公务用车运行维护费用支出情况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公务用车运行维护费</w:t>
      </w:r>
      <w:r>
        <w:rPr>
          <w:rFonts w:ascii="仿宋_GB2312" w:eastAsia="仿宋_GB2312" w:hAnsi="宋体" w:cs="仿宋_GB2312"/>
          <w:color w:val="000000"/>
          <w:kern w:val="0"/>
          <w:szCs w:val="32"/>
        </w:rPr>
        <w:t>预算为</w:t>
      </w:r>
      <w:r w:rsidR="009509B2">
        <w:rPr>
          <w:rFonts w:ascii="仿宋_GB2312" w:eastAsia="仿宋_GB2312" w:hAnsi="宋体" w:cs="仿宋_GB2312" w:hint="eastAsia"/>
          <w:color w:val="000000"/>
          <w:kern w:val="0"/>
          <w:szCs w:val="32"/>
        </w:rPr>
        <w:t>0.8</w:t>
      </w:r>
      <w:r>
        <w:rPr>
          <w:rFonts w:ascii="仿宋_GB2312" w:eastAsia="仿宋_GB2312" w:hAnsi="宋体" w:cs="仿宋_GB2312"/>
          <w:color w:val="000000"/>
          <w:kern w:val="0"/>
          <w:szCs w:val="32"/>
        </w:rPr>
        <w:t>万元，支出决算为</w:t>
      </w:r>
      <w:r w:rsidR="009509B2">
        <w:rPr>
          <w:rFonts w:ascii="仿宋_GB2312" w:eastAsia="仿宋_GB2312" w:hAnsi="宋体" w:cs="仿宋_GB2312" w:hint="eastAsia"/>
          <w:color w:val="000000"/>
          <w:kern w:val="0"/>
          <w:szCs w:val="32"/>
        </w:rPr>
        <w:t>1</w:t>
      </w:r>
      <w:r>
        <w:rPr>
          <w:rFonts w:ascii="仿宋_GB2312" w:eastAsia="仿宋_GB2312" w:hAnsi="宋体" w:cs="仿宋_GB2312"/>
          <w:color w:val="000000"/>
          <w:kern w:val="0"/>
          <w:szCs w:val="32"/>
        </w:rPr>
        <w:t>万元，完成预算的</w:t>
      </w:r>
      <w:r w:rsidR="00CA2973">
        <w:rPr>
          <w:rFonts w:ascii="仿宋_GB2312" w:eastAsia="仿宋_GB2312" w:hAnsi="宋体" w:cs="仿宋_GB2312" w:hint="eastAsia"/>
          <w:color w:val="000000"/>
          <w:kern w:val="0"/>
          <w:szCs w:val="32"/>
        </w:rPr>
        <w:t>125</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增加</w:t>
      </w:r>
      <w:r w:rsidR="00CA2973">
        <w:rPr>
          <w:rFonts w:ascii="仿宋_GB2312" w:eastAsia="仿宋_GB2312" w:hAnsi="宋体" w:cs="仿宋_GB2312" w:hint="eastAsia"/>
          <w:color w:val="000000"/>
          <w:kern w:val="0"/>
          <w:szCs w:val="32"/>
        </w:rPr>
        <w:t>0.2</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CA2973">
        <w:rPr>
          <w:rFonts w:ascii="仿宋_GB2312" w:eastAsia="仿宋_GB2312" w:hAnsi="宋体" w:cs="仿宋_GB2312" w:hint="eastAsia"/>
          <w:color w:val="000000"/>
          <w:kern w:val="0"/>
          <w:szCs w:val="32"/>
        </w:rPr>
        <w:t>新媒体业务增加，车辆外出采访频次较高</w:t>
      </w:r>
      <w:r>
        <w:rPr>
          <w:rFonts w:ascii="仿宋_GB2312" w:eastAsia="仿宋_GB2312" w:hAnsi="宋体" w:cs="仿宋_GB2312" w:hint="eastAsia"/>
          <w:color w:val="000000"/>
          <w:kern w:val="0"/>
          <w:szCs w:val="32"/>
        </w:rPr>
        <w:t>。</w:t>
      </w:r>
    </w:p>
    <w:p w:rsidR="00926DEC" w:rsidRDefault="00803916" w:rsidP="00B27939">
      <w:pPr>
        <w:ind w:firstLineChars="200" w:firstLine="643"/>
        <w:rPr>
          <w:rFonts w:ascii="仿宋_GB2312" w:eastAsia="仿宋_GB2312" w:hAnsi="仿宋"/>
          <w:szCs w:val="32"/>
        </w:rPr>
      </w:pPr>
      <w:r>
        <w:rPr>
          <w:rFonts w:ascii="仿宋_GB2312" w:eastAsia="仿宋_GB2312" w:hAnsi="仿宋" w:hint="eastAsia"/>
          <w:b/>
          <w:bCs/>
          <w:szCs w:val="32"/>
        </w:rPr>
        <w:t>4.公务接待费支出情况</w:t>
      </w:r>
      <w:r>
        <w:rPr>
          <w:rFonts w:ascii="楷体_GB2312" w:eastAsia="楷体_GB2312" w:hAnsi="宋体" w:cs="楷体_GB2312" w:hint="eastAsia"/>
          <w:b/>
          <w:color w:val="000000"/>
          <w:kern w:val="0"/>
          <w:szCs w:val="32"/>
        </w:rPr>
        <w:t>说明</w:t>
      </w:r>
      <w:r>
        <w:rPr>
          <w:rFonts w:ascii="仿宋_GB2312" w:eastAsia="仿宋_GB2312" w:hAnsi="仿宋" w:hint="eastAsia"/>
          <w:b/>
          <w:bCs/>
          <w:szCs w:val="32"/>
        </w:rPr>
        <w:t>。</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2019年度公务接待</w:t>
      </w:r>
      <w:r w:rsidR="00CA2973">
        <w:rPr>
          <w:rFonts w:ascii="仿宋_GB2312" w:eastAsia="仿宋_GB2312" w:hAnsi="仿宋_GB2312" w:cs="仿宋_GB2312" w:hint="eastAsia"/>
          <w:szCs w:val="32"/>
        </w:rPr>
        <w:t>0</w:t>
      </w:r>
      <w:r>
        <w:rPr>
          <w:rFonts w:ascii="仿宋_GB2312" w:eastAsia="仿宋_GB2312" w:hAnsi="仿宋_GB2312" w:cs="仿宋_GB2312" w:hint="eastAsia"/>
          <w:szCs w:val="32"/>
        </w:rPr>
        <w:t>批次，</w:t>
      </w:r>
      <w:r w:rsidR="00CA2973">
        <w:rPr>
          <w:rFonts w:ascii="仿宋_GB2312" w:eastAsia="仿宋_GB2312" w:hAnsi="仿宋_GB2312" w:cs="仿宋_GB2312" w:hint="eastAsia"/>
          <w:szCs w:val="32"/>
        </w:rPr>
        <w:t>0</w:t>
      </w:r>
      <w:r>
        <w:rPr>
          <w:rFonts w:ascii="仿宋_GB2312" w:eastAsia="仿宋_GB2312" w:hAnsi="仿宋_GB2312" w:cs="仿宋_GB2312" w:hint="eastAsia"/>
          <w:szCs w:val="32"/>
        </w:rPr>
        <w:t>人次，</w:t>
      </w:r>
      <w:r>
        <w:rPr>
          <w:rFonts w:ascii="仿宋_GB2312" w:eastAsia="仿宋_GB2312" w:hAnsi="宋体" w:cs="仿宋_GB2312"/>
          <w:color w:val="000000"/>
          <w:kern w:val="0"/>
          <w:szCs w:val="32"/>
        </w:rPr>
        <w:t>预算为</w:t>
      </w:r>
      <w:r w:rsidR="00CA2973">
        <w:rPr>
          <w:rFonts w:ascii="仿宋_GB2312" w:eastAsia="仿宋_GB2312" w:hAnsi="宋体" w:cs="仿宋_GB2312" w:hint="eastAsia"/>
          <w:color w:val="000000"/>
          <w:kern w:val="0"/>
          <w:szCs w:val="32"/>
        </w:rPr>
        <w:t>0.5</w:t>
      </w:r>
      <w:r>
        <w:rPr>
          <w:rFonts w:ascii="仿宋_GB2312" w:eastAsia="仿宋_GB2312" w:hAnsi="宋体" w:cs="仿宋_GB2312"/>
          <w:color w:val="000000"/>
          <w:kern w:val="0"/>
          <w:szCs w:val="32"/>
        </w:rPr>
        <w:t>万元，支出决算为</w:t>
      </w:r>
      <w:r w:rsidR="00CA2973">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975246">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%，决</w:t>
      </w:r>
      <w:r>
        <w:rPr>
          <w:rFonts w:ascii="仿宋_GB2312" w:eastAsia="仿宋_GB2312" w:hAnsi="宋体" w:cs="仿宋_GB2312"/>
          <w:color w:val="000000"/>
          <w:kern w:val="0"/>
          <w:szCs w:val="32"/>
        </w:rPr>
        <w:t>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975246">
        <w:rPr>
          <w:rFonts w:ascii="仿宋_GB2312" w:eastAsia="仿宋_GB2312" w:hAnsi="宋体" w:cs="仿宋_GB2312" w:hint="eastAsia"/>
          <w:color w:val="000000"/>
          <w:kern w:val="0"/>
          <w:szCs w:val="32"/>
        </w:rPr>
        <w:t>0.5</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CA2973">
        <w:rPr>
          <w:rFonts w:ascii="仿宋_GB2312" w:eastAsia="仿宋_GB2312" w:hAnsi="宋体" w:cs="仿宋_GB2312" w:hint="eastAsia"/>
          <w:color w:val="000000"/>
          <w:kern w:val="0"/>
          <w:szCs w:val="32"/>
        </w:rPr>
        <w:t>无公务接待支出</w:t>
      </w:r>
      <w:r>
        <w:rPr>
          <w:rFonts w:ascii="仿宋_GB2312" w:eastAsia="仿宋_GB2312" w:hAnsi="宋体" w:cs="仿宋_GB2312" w:hint="eastAsia"/>
          <w:color w:val="000000"/>
          <w:kern w:val="0"/>
          <w:szCs w:val="32"/>
        </w:rPr>
        <w:t>。</w:t>
      </w:r>
    </w:p>
    <w:p w:rsidR="00926DEC" w:rsidRDefault="00803916" w:rsidP="00B27939">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（三）培训费支出情况说明。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培训费</w:t>
      </w:r>
      <w:r>
        <w:rPr>
          <w:rFonts w:ascii="仿宋_GB2312" w:eastAsia="仿宋_GB2312" w:hAnsi="宋体" w:cs="仿宋_GB2312"/>
          <w:color w:val="000000"/>
          <w:kern w:val="0"/>
          <w:szCs w:val="32"/>
        </w:rPr>
        <w:t>预算为</w:t>
      </w:r>
      <w:r w:rsidR="00CA2973">
        <w:rPr>
          <w:rFonts w:ascii="仿宋_GB2312" w:eastAsia="仿宋_GB2312" w:hAnsi="宋体" w:cs="仿宋_GB2312" w:hint="eastAsia"/>
          <w:color w:val="000000"/>
          <w:kern w:val="0"/>
          <w:szCs w:val="32"/>
        </w:rPr>
        <w:t>0.1</w:t>
      </w:r>
      <w:r>
        <w:rPr>
          <w:rFonts w:ascii="仿宋_GB2312" w:eastAsia="仿宋_GB2312" w:hAnsi="宋体" w:cs="仿宋_GB2312"/>
          <w:color w:val="000000"/>
          <w:kern w:val="0"/>
          <w:szCs w:val="32"/>
        </w:rPr>
        <w:t>万元，支出决算为</w:t>
      </w:r>
      <w:r w:rsidR="00CA2973">
        <w:rPr>
          <w:rFonts w:ascii="仿宋_GB2312" w:eastAsia="仿宋_GB2312" w:hAnsi="宋体" w:cs="仿宋_GB2312" w:hint="eastAsia"/>
          <w:color w:val="000000"/>
          <w:kern w:val="0"/>
          <w:szCs w:val="32"/>
        </w:rPr>
        <w:t>0.02</w:t>
      </w:r>
      <w:r>
        <w:rPr>
          <w:rFonts w:ascii="仿宋_GB2312" w:eastAsia="仿宋_GB2312" w:hAnsi="宋体" w:cs="仿宋_GB2312"/>
          <w:color w:val="000000"/>
          <w:kern w:val="0"/>
          <w:szCs w:val="32"/>
        </w:rPr>
        <w:t>万元，完成预算的</w:t>
      </w:r>
      <w:r w:rsidR="00CA2973">
        <w:rPr>
          <w:rFonts w:ascii="仿宋_GB2312" w:eastAsia="仿宋_GB2312" w:hAnsi="宋体" w:cs="仿宋_GB2312" w:hint="eastAsia"/>
          <w:color w:val="000000"/>
          <w:kern w:val="0"/>
          <w:szCs w:val="32"/>
        </w:rPr>
        <w:t>20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CA2973">
        <w:rPr>
          <w:rFonts w:ascii="仿宋_GB2312" w:eastAsia="仿宋_GB2312" w:hAnsi="宋体" w:cs="仿宋_GB2312" w:hint="eastAsia"/>
          <w:color w:val="000000"/>
          <w:kern w:val="0"/>
          <w:szCs w:val="32"/>
        </w:rPr>
        <w:t>0.08</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CA2973">
        <w:rPr>
          <w:rFonts w:ascii="仿宋_GB2312" w:eastAsia="仿宋_GB2312" w:hAnsi="宋体" w:cs="仿宋_GB2312" w:hint="eastAsia"/>
          <w:color w:val="000000"/>
          <w:kern w:val="0"/>
          <w:szCs w:val="32"/>
        </w:rPr>
        <w:t>培训人次减少</w:t>
      </w:r>
      <w:r>
        <w:rPr>
          <w:rFonts w:ascii="仿宋_GB2312" w:eastAsia="仿宋_GB2312" w:hAnsi="宋体" w:cs="仿宋_GB2312" w:hint="eastAsia"/>
          <w:color w:val="000000"/>
          <w:kern w:val="0"/>
          <w:szCs w:val="32"/>
        </w:rPr>
        <w:t>。</w:t>
      </w:r>
    </w:p>
    <w:p w:rsidR="00926DEC" w:rsidRDefault="00803916" w:rsidP="00B27939">
      <w:pPr>
        <w:spacing w:line="360" w:lineRule="auto"/>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（四）会议费支出情况说明。</w:t>
      </w:r>
    </w:p>
    <w:p w:rsidR="00926DEC" w:rsidRDefault="00803916">
      <w:pPr>
        <w:widowControl/>
        <w:ind w:firstLineChars="200" w:firstLine="640"/>
        <w:jc w:val="left"/>
        <w:rPr>
          <w:rFonts w:ascii="仿宋_GB2312" w:eastAsia="仿宋_GB2312" w:hAnsi="宋体" w:cs="仿宋_GB2312"/>
          <w:color w:val="000000"/>
          <w:kern w:val="0"/>
          <w:szCs w:val="32"/>
        </w:rPr>
      </w:pPr>
      <w:r>
        <w:rPr>
          <w:rFonts w:ascii="仿宋_GB2312" w:eastAsia="仿宋_GB2312" w:hAnsi="仿宋" w:hint="eastAsia"/>
          <w:szCs w:val="32"/>
        </w:rPr>
        <w:t>2019年度</w:t>
      </w:r>
      <w:r>
        <w:rPr>
          <w:rFonts w:ascii="仿宋_GB2312" w:eastAsia="仿宋_GB2312" w:hAnsi="仿宋_GB2312" w:cs="仿宋_GB2312" w:hint="eastAsia"/>
          <w:szCs w:val="32"/>
        </w:rPr>
        <w:t>会议费</w:t>
      </w:r>
      <w:r>
        <w:rPr>
          <w:rFonts w:ascii="仿宋_GB2312" w:eastAsia="仿宋_GB2312" w:hAnsi="宋体" w:cs="仿宋_GB2312"/>
          <w:color w:val="000000"/>
          <w:kern w:val="0"/>
          <w:szCs w:val="32"/>
        </w:rPr>
        <w:t>预算为</w:t>
      </w:r>
      <w:r w:rsidR="00CA2973">
        <w:rPr>
          <w:rFonts w:ascii="仿宋_GB2312" w:eastAsia="仿宋_GB2312" w:hAnsi="宋体" w:cs="仿宋_GB2312" w:hint="eastAsia"/>
          <w:color w:val="000000"/>
          <w:kern w:val="0"/>
          <w:szCs w:val="32"/>
        </w:rPr>
        <w:t>0.1</w:t>
      </w:r>
      <w:r>
        <w:rPr>
          <w:rFonts w:ascii="仿宋_GB2312" w:eastAsia="仿宋_GB2312" w:hAnsi="宋体" w:cs="仿宋_GB2312"/>
          <w:color w:val="000000"/>
          <w:kern w:val="0"/>
          <w:szCs w:val="32"/>
        </w:rPr>
        <w:t>万元，支出决算为</w:t>
      </w:r>
      <w:r w:rsidR="00CA2973">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万元，完成预算的</w:t>
      </w:r>
      <w:r w:rsidR="00CA2973">
        <w:rPr>
          <w:rFonts w:ascii="仿宋_GB2312" w:eastAsia="仿宋_GB2312" w:hAnsi="宋体" w:cs="仿宋_GB2312" w:hint="eastAsia"/>
          <w:color w:val="000000"/>
          <w:kern w:val="0"/>
          <w:szCs w:val="32"/>
        </w:rPr>
        <w:t>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r>
        <w:rPr>
          <w:rFonts w:ascii="仿宋_GB2312" w:eastAsia="仿宋_GB2312" w:hAnsi="宋体" w:cs="仿宋_GB2312"/>
          <w:color w:val="000000"/>
          <w:kern w:val="0"/>
          <w:szCs w:val="32"/>
        </w:rPr>
        <w:t>决算数</w:t>
      </w:r>
      <w:r>
        <w:rPr>
          <w:rFonts w:ascii="仿宋_GB2312" w:eastAsia="仿宋_GB2312" w:hAnsi="宋体" w:cs="仿宋_GB2312" w:hint="eastAsia"/>
          <w:color w:val="000000"/>
          <w:kern w:val="0"/>
          <w:szCs w:val="32"/>
        </w:rPr>
        <w:t>较</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w:t>
      </w:r>
      <w:r w:rsidR="00CA2973">
        <w:rPr>
          <w:rFonts w:ascii="仿宋_GB2312" w:eastAsia="仿宋_GB2312" w:hAnsi="宋体" w:cs="仿宋_GB2312" w:hint="eastAsia"/>
          <w:color w:val="000000"/>
          <w:kern w:val="0"/>
          <w:szCs w:val="32"/>
        </w:rPr>
        <w:t>0.1</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CA2973">
        <w:rPr>
          <w:rFonts w:ascii="仿宋_GB2312" w:eastAsia="仿宋_GB2312" w:hAnsi="宋体" w:cs="仿宋_GB2312" w:hint="eastAsia"/>
          <w:color w:val="000000"/>
          <w:kern w:val="0"/>
          <w:szCs w:val="32"/>
        </w:rPr>
        <w:t>2019年无会议费支出</w:t>
      </w:r>
      <w:r>
        <w:rPr>
          <w:rFonts w:ascii="仿宋_GB2312" w:eastAsia="仿宋_GB2312" w:hAnsi="宋体" w:cs="仿宋_GB2312" w:hint="eastAsia"/>
          <w:color w:val="000000"/>
          <w:kern w:val="0"/>
          <w:szCs w:val="32"/>
        </w:rPr>
        <w:t>。</w:t>
      </w:r>
    </w:p>
    <w:p w:rsidR="00926DEC" w:rsidRDefault="00803916">
      <w:pPr>
        <w:ind w:firstLineChars="200" w:firstLine="640"/>
        <w:rPr>
          <w:rFonts w:ascii="黑体" w:eastAsia="黑体" w:hAnsi="黑体"/>
          <w:color w:val="000000"/>
          <w:kern w:val="0"/>
          <w:szCs w:val="32"/>
        </w:rPr>
      </w:pPr>
      <w:r>
        <w:rPr>
          <w:rFonts w:ascii="黑体" w:eastAsia="黑体" w:hAnsi="黑体" w:hint="eastAsia"/>
          <w:color w:val="000000"/>
          <w:kern w:val="0"/>
          <w:szCs w:val="32"/>
        </w:rPr>
        <w:t>八、政府性基金预算财政拨款收入支出情况说明</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本部门无政府性基金决算收支，并已公开空表</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九、国有资本经营财政拨款收入支出情况说明</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本部门无国有资本经营决算拨款收支</w:t>
      </w:r>
    </w:p>
    <w:p w:rsidR="00926DEC" w:rsidRDefault="00803916">
      <w:pPr>
        <w:widowControl/>
        <w:ind w:firstLineChars="200" w:firstLine="640"/>
        <w:jc w:val="left"/>
        <w:rPr>
          <w:rFonts w:ascii="黑体" w:eastAsia="黑体" w:hAnsi="黑体"/>
          <w:color w:val="000000"/>
          <w:kern w:val="0"/>
          <w:szCs w:val="32"/>
        </w:rPr>
      </w:pPr>
      <w:r>
        <w:rPr>
          <w:rFonts w:ascii="黑体" w:eastAsia="黑体" w:hAnsi="黑体" w:hint="eastAsia"/>
          <w:color w:val="000000"/>
          <w:kern w:val="0"/>
          <w:szCs w:val="32"/>
        </w:rPr>
        <w:t>十、预算绩效情况说明</w:t>
      </w:r>
    </w:p>
    <w:p w:rsidR="00926DEC" w:rsidRDefault="00803916" w:rsidP="00B27939">
      <w:pPr>
        <w:widowControl/>
        <w:ind w:leftChars="304" w:left="1616" w:hangingChars="200" w:hanging="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（一）</w:t>
      </w:r>
      <w:r>
        <w:rPr>
          <w:rFonts w:ascii="楷体_GB2312" w:eastAsia="楷体_GB2312" w:hAnsi="宋体" w:cs="楷体_GB2312"/>
          <w:b/>
          <w:color w:val="000000"/>
          <w:kern w:val="0"/>
          <w:szCs w:val="32"/>
        </w:rPr>
        <w:t>预算绩效管理工作开展情况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w:t>
      </w:r>
    </w:p>
    <w:p w:rsidR="00E11082" w:rsidRDefault="00D07FF2" w:rsidP="00E11082">
      <w:pPr>
        <w:widowControl/>
        <w:ind w:firstLineChars="200" w:firstLine="64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szCs w:val="32"/>
        </w:rPr>
        <w:t>根据预算绩效管理要求，本部门组织对2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年一般公共预算1个项目支出开展了绩效自评</w:t>
      </w:r>
      <w:r>
        <w:rPr>
          <w:rFonts w:ascii="仿宋_GB2312" w:eastAsia="仿宋_GB2312" w:hAnsi="仿宋_GB2312" w:cs="仿宋_GB2312"/>
          <w:szCs w:val="32"/>
        </w:rPr>
        <w:t>，其中，一级项目</w:t>
      </w:r>
      <w:r>
        <w:rPr>
          <w:rFonts w:ascii="仿宋_GB2312" w:eastAsia="仿宋_GB2312" w:hAnsi="仿宋_GB2312" w:cs="仿宋_GB2312" w:hint="eastAsia"/>
          <w:szCs w:val="32"/>
        </w:rPr>
        <w:t>1</w:t>
      </w:r>
      <w:r>
        <w:rPr>
          <w:rFonts w:ascii="仿宋_GB2312" w:eastAsia="仿宋_GB2312" w:hAnsi="仿宋_GB2312" w:cs="仿宋_GB2312"/>
          <w:szCs w:val="32"/>
        </w:rPr>
        <w:t>个，二级项目</w:t>
      </w:r>
      <w:r>
        <w:rPr>
          <w:rFonts w:ascii="仿宋_GB2312" w:eastAsia="仿宋_GB2312" w:hAnsi="仿宋_GB2312" w:cs="仿宋_GB2312" w:hint="eastAsia"/>
          <w:szCs w:val="32"/>
        </w:rPr>
        <w:t>1</w:t>
      </w:r>
      <w:r>
        <w:rPr>
          <w:rFonts w:ascii="仿宋_GB2312" w:eastAsia="仿宋_GB2312" w:hAnsi="仿宋_GB2312" w:cs="仿宋_GB2312"/>
          <w:szCs w:val="32"/>
        </w:rPr>
        <w:t>个，共涉及资金</w:t>
      </w:r>
      <w:r>
        <w:rPr>
          <w:rFonts w:ascii="仿宋_GB2312" w:eastAsia="仿宋_GB2312" w:hAnsi="仿宋_GB2312" w:cs="仿宋_GB2312" w:hint="eastAsia"/>
          <w:szCs w:val="32"/>
        </w:rPr>
        <w:t>47.36</w:t>
      </w:r>
      <w:r>
        <w:rPr>
          <w:rFonts w:ascii="仿宋_GB2312" w:eastAsia="仿宋_GB2312" w:hAnsi="仿宋_GB2312" w:cs="仿宋_GB2312"/>
          <w:szCs w:val="32"/>
        </w:rPr>
        <w:t>万元，占一般公共预算项目支出总额的</w:t>
      </w:r>
      <w:r>
        <w:rPr>
          <w:rFonts w:ascii="仿宋_GB2312" w:eastAsia="仿宋_GB2312" w:hAnsi="仿宋_GB2312" w:cs="仿宋_GB2312" w:hint="eastAsia"/>
          <w:szCs w:val="32"/>
        </w:rPr>
        <w:t>37.68</w:t>
      </w:r>
      <w:r>
        <w:rPr>
          <w:rFonts w:ascii="仿宋_GB2312" w:eastAsia="仿宋_GB2312" w:hAnsi="仿宋_GB2312" w:cs="仿宋_GB2312"/>
          <w:szCs w:val="32"/>
        </w:rPr>
        <w:t>%</w:t>
      </w:r>
      <w:r>
        <w:rPr>
          <w:rFonts w:ascii="仿宋_GB2312" w:eastAsia="仿宋_GB2312" w:hAnsi="仿宋_GB2312" w:cs="仿宋_GB2312" w:hint="eastAsia"/>
          <w:color w:val="000000"/>
          <w:kern w:val="0"/>
          <w:sz w:val="31"/>
          <w:szCs w:val="31"/>
        </w:rPr>
        <w:t>。</w:t>
      </w:r>
      <w:r w:rsidR="00E11082">
        <w:rPr>
          <w:rFonts w:ascii="仿宋_GB2312" w:eastAsia="仿宋_GB2312" w:hAnsi="仿宋_GB2312" w:cs="仿宋_GB2312" w:hint="eastAsia"/>
          <w:color w:val="000000"/>
          <w:kern w:val="0"/>
          <w:sz w:val="31"/>
          <w:szCs w:val="31"/>
        </w:rPr>
        <w:t>组织对</w:t>
      </w:r>
      <w:r w:rsidR="00E11082">
        <w:rPr>
          <w:rFonts w:ascii="仿宋_GB2312" w:eastAsia="仿宋_GB2312" w:hAnsi="仿宋_GB2312" w:cs="仿宋_GB2312"/>
          <w:color w:val="000000"/>
          <w:kern w:val="0"/>
          <w:sz w:val="31"/>
          <w:szCs w:val="31"/>
        </w:rPr>
        <w:t xml:space="preserve"> 2019</w:t>
      </w:r>
      <w:r w:rsidR="00E11082">
        <w:rPr>
          <w:rFonts w:ascii="仿宋_GB2312" w:eastAsia="仿宋_GB2312" w:hAnsi="仿宋_GB2312" w:cs="仿宋_GB2312" w:hint="eastAsia"/>
          <w:color w:val="000000"/>
          <w:kern w:val="0"/>
          <w:sz w:val="31"/>
          <w:szCs w:val="31"/>
        </w:rPr>
        <w:t>年</w:t>
      </w:r>
      <w:r w:rsidR="00E11082">
        <w:rPr>
          <w:rFonts w:ascii="仿宋_GB2312" w:eastAsia="仿宋_GB2312" w:hAnsi="仿宋" w:hint="eastAsia"/>
          <w:szCs w:val="32"/>
        </w:rPr>
        <w:t>度政府性</w:t>
      </w:r>
      <w:r w:rsidR="00E11082">
        <w:rPr>
          <w:rFonts w:ascii="仿宋_GB2312" w:eastAsia="仿宋_GB2312" w:hAnsi="仿宋_GB2312" w:cs="仿宋_GB2312" w:hint="eastAsia"/>
          <w:szCs w:val="32"/>
        </w:rPr>
        <w:t>基金预算</w:t>
      </w:r>
      <w:r w:rsidR="00E11082">
        <w:rPr>
          <w:rFonts w:ascii="仿宋_GB2312" w:eastAsia="仿宋_GB2312" w:hAnsi="仿宋_GB2312" w:cs="仿宋_GB2312"/>
          <w:szCs w:val="32"/>
        </w:rPr>
        <w:t>0</w:t>
      </w:r>
      <w:r w:rsidR="00E11082">
        <w:rPr>
          <w:rFonts w:ascii="仿宋_GB2312" w:eastAsia="仿宋_GB2312" w:hAnsi="仿宋_GB2312" w:cs="仿宋_GB2312" w:hint="eastAsia"/>
          <w:szCs w:val="32"/>
        </w:rPr>
        <w:t>个项目支出开展了绩效自评</w:t>
      </w:r>
      <w:r w:rsidR="00E11082">
        <w:rPr>
          <w:rFonts w:ascii="仿宋_GB2312" w:eastAsia="仿宋_GB2312" w:hAnsi="仿宋_GB2312" w:cs="仿宋_GB2312" w:hint="eastAsia"/>
          <w:color w:val="000000"/>
          <w:kern w:val="0"/>
          <w:sz w:val="31"/>
          <w:szCs w:val="31"/>
        </w:rPr>
        <w:t>，涉及项目</w:t>
      </w:r>
      <w:r w:rsidR="00E11082">
        <w:rPr>
          <w:rFonts w:ascii="仿宋_GB2312" w:eastAsia="仿宋_GB2312" w:hAnsi="仿宋_GB2312" w:cs="仿宋_GB2312"/>
          <w:szCs w:val="32"/>
        </w:rPr>
        <w:t>0</w:t>
      </w:r>
      <w:r w:rsidR="00E11082">
        <w:rPr>
          <w:rFonts w:ascii="仿宋_GB2312" w:eastAsia="仿宋_GB2312" w:hAnsi="仿宋_GB2312" w:cs="仿宋_GB2312" w:hint="eastAsia"/>
          <w:color w:val="000000"/>
          <w:kern w:val="0"/>
          <w:sz w:val="31"/>
          <w:szCs w:val="31"/>
        </w:rPr>
        <w:t>个，共涉及资金</w:t>
      </w:r>
      <w:r w:rsidR="00E11082">
        <w:rPr>
          <w:rFonts w:ascii="仿宋_GB2312" w:eastAsia="仿宋_GB2312" w:hAnsi="仿宋_GB2312" w:cs="仿宋_GB2312"/>
          <w:color w:val="000000"/>
          <w:kern w:val="0"/>
          <w:sz w:val="31"/>
          <w:szCs w:val="31"/>
        </w:rPr>
        <w:t>0</w:t>
      </w:r>
      <w:r w:rsidR="00E11082">
        <w:rPr>
          <w:rFonts w:ascii="仿宋_GB2312" w:eastAsia="仿宋_GB2312" w:hAnsi="仿宋_GB2312" w:cs="仿宋_GB2312" w:hint="eastAsia"/>
          <w:color w:val="000000"/>
          <w:kern w:val="0"/>
          <w:sz w:val="31"/>
          <w:szCs w:val="31"/>
        </w:rPr>
        <w:t>万元，占政府性基金预算项目支出总额的</w:t>
      </w:r>
      <w:r w:rsidR="00E11082">
        <w:rPr>
          <w:rFonts w:ascii="仿宋_GB2312" w:eastAsia="仿宋_GB2312" w:hAnsi="仿宋_GB2312" w:cs="仿宋_GB2312"/>
          <w:color w:val="000000"/>
          <w:kern w:val="0"/>
          <w:sz w:val="31"/>
          <w:szCs w:val="31"/>
        </w:rPr>
        <w:t>0%</w:t>
      </w:r>
      <w:r w:rsidR="00E11082">
        <w:rPr>
          <w:rFonts w:ascii="仿宋_GB2312" w:eastAsia="仿宋_GB2312" w:hAnsi="仿宋_GB2312" w:cs="仿宋_GB2312" w:hint="eastAsia"/>
          <w:color w:val="000000"/>
          <w:kern w:val="0"/>
          <w:sz w:val="31"/>
          <w:szCs w:val="31"/>
        </w:rPr>
        <w:t>。</w:t>
      </w:r>
    </w:p>
    <w:p w:rsidR="00926DEC" w:rsidRDefault="00803916">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本部门组织对2</w:t>
      </w:r>
      <w:r>
        <w:rPr>
          <w:rFonts w:ascii="仿宋_GB2312" w:eastAsia="仿宋_GB2312" w:hAnsi="仿宋_GB2312" w:cs="仿宋_GB2312"/>
          <w:szCs w:val="32"/>
        </w:rPr>
        <w:t>019</w:t>
      </w:r>
      <w:r>
        <w:rPr>
          <w:rFonts w:ascii="仿宋_GB2312" w:eastAsia="仿宋_GB2312" w:hAnsi="仿宋_GB2312" w:cs="仿宋_GB2312" w:hint="eastAsia"/>
          <w:szCs w:val="32"/>
        </w:rPr>
        <w:t>年度部门整体</w:t>
      </w:r>
      <w:r w:rsidR="00415ED1">
        <w:rPr>
          <w:rFonts w:ascii="仿宋_GB2312" w:eastAsia="仿宋_GB2312" w:hAnsi="仿宋_GB2312" w:cs="仿宋_GB2312" w:hint="eastAsia"/>
          <w:szCs w:val="32"/>
        </w:rPr>
        <w:t>支出</w:t>
      </w:r>
      <w:r>
        <w:rPr>
          <w:rFonts w:ascii="仿宋_GB2312" w:eastAsia="仿宋_GB2312" w:hAnsi="仿宋_GB2312" w:cs="仿宋_GB2312" w:hint="eastAsia"/>
          <w:szCs w:val="32"/>
        </w:rPr>
        <w:t>进行了绩效自评，涉及资金</w:t>
      </w:r>
      <w:r w:rsidR="00415ED1">
        <w:rPr>
          <w:rFonts w:ascii="仿宋_GB2312" w:eastAsia="仿宋_GB2312" w:hAnsi="仿宋_GB2312" w:cs="仿宋_GB2312" w:hint="eastAsia"/>
          <w:color w:val="000000"/>
          <w:kern w:val="0"/>
          <w:sz w:val="31"/>
          <w:szCs w:val="31"/>
        </w:rPr>
        <w:t>576.87万元，评价结果为优秀等次</w:t>
      </w:r>
      <w:r>
        <w:rPr>
          <w:rFonts w:ascii="仿宋_GB2312" w:eastAsia="仿宋_GB2312" w:hAnsi="仿宋_GB2312" w:cs="仿宋_GB2312" w:hint="eastAsia"/>
          <w:szCs w:val="32"/>
        </w:rPr>
        <w:t>。</w:t>
      </w:r>
    </w:p>
    <w:p w:rsidR="00926DEC" w:rsidRDefault="00803916" w:rsidP="00B27939">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w:t>
      </w:r>
      <w:r>
        <w:rPr>
          <w:rFonts w:ascii="楷体_GB2312" w:eastAsia="楷体_GB2312" w:hAnsi="宋体" w:cs="楷体_GB2312"/>
          <w:b/>
          <w:color w:val="000000"/>
          <w:kern w:val="0"/>
          <w:szCs w:val="32"/>
        </w:rPr>
        <w:t>部门决算中项目绩效自评结果。</w:t>
      </w:r>
    </w:p>
    <w:p w:rsidR="006E272E" w:rsidRDefault="006E272E" w:rsidP="006E272E">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hint="eastAsia"/>
          <w:color w:val="000000"/>
          <w:kern w:val="0"/>
          <w:sz w:val="31"/>
          <w:szCs w:val="31"/>
        </w:rPr>
        <w:t>2019年</w:t>
      </w:r>
      <w:r w:rsidR="00D07FF2">
        <w:rPr>
          <w:rFonts w:ascii="仿宋_GB2312" w:eastAsia="仿宋_GB2312" w:hAnsi="仿宋_GB2312" w:cs="仿宋_GB2312" w:hint="eastAsia"/>
          <w:color w:val="000000"/>
          <w:kern w:val="0"/>
          <w:sz w:val="31"/>
          <w:szCs w:val="31"/>
        </w:rPr>
        <w:t>蓝田县广播电视节目无线覆盖运维费</w:t>
      </w:r>
      <w:r>
        <w:rPr>
          <w:rFonts w:ascii="仿宋_GB2312" w:eastAsia="仿宋_GB2312" w:hAnsi="仿宋_GB2312" w:cs="仿宋_GB2312"/>
          <w:color w:val="000000"/>
          <w:kern w:val="0"/>
          <w:sz w:val="31"/>
          <w:szCs w:val="31"/>
        </w:rPr>
        <w:t>项目绩效自评综述：根据年初设定的绩效目标，项目自评得分</w:t>
      </w:r>
      <w:r>
        <w:rPr>
          <w:rFonts w:ascii="仿宋_GB2312" w:eastAsia="仿宋_GB2312" w:hAnsi="仿宋_GB2312" w:cs="仿宋_GB2312" w:hint="eastAsia"/>
          <w:color w:val="000000"/>
          <w:kern w:val="0"/>
          <w:sz w:val="31"/>
          <w:szCs w:val="31"/>
        </w:rPr>
        <w:t>95</w:t>
      </w:r>
      <w:r>
        <w:rPr>
          <w:rFonts w:ascii="仿宋_GB2312" w:eastAsia="仿宋_GB2312" w:hAnsi="仿宋_GB2312" w:cs="仿宋_GB2312"/>
          <w:color w:val="000000"/>
          <w:kern w:val="0"/>
          <w:sz w:val="31"/>
          <w:szCs w:val="31"/>
        </w:rPr>
        <w:t>分。项目全年预算数</w:t>
      </w:r>
      <w:r>
        <w:rPr>
          <w:rFonts w:ascii="仿宋_GB2312" w:eastAsia="仿宋_GB2312" w:hAnsi="仿宋_GB2312" w:cs="仿宋_GB2312" w:hint="eastAsia"/>
          <w:color w:val="000000"/>
          <w:kern w:val="0"/>
          <w:sz w:val="31"/>
          <w:szCs w:val="31"/>
        </w:rPr>
        <w:t>0</w:t>
      </w:r>
      <w:r>
        <w:rPr>
          <w:rFonts w:ascii="仿宋_GB2312" w:eastAsia="仿宋_GB2312" w:hAnsi="仿宋_GB2312" w:cs="仿宋_GB2312"/>
          <w:color w:val="000000"/>
          <w:kern w:val="0"/>
          <w:sz w:val="31"/>
          <w:szCs w:val="31"/>
        </w:rPr>
        <w:t>万元，执行数</w:t>
      </w:r>
      <w:r w:rsidR="00D07FF2">
        <w:rPr>
          <w:rFonts w:ascii="仿宋_GB2312" w:eastAsia="仿宋_GB2312" w:hAnsi="仿宋_GB2312" w:cs="仿宋_GB2312" w:hint="eastAsia"/>
          <w:color w:val="000000"/>
          <w:kern w:val="0"/>
          <w:sz w:val="31"/>
          <w:szCs w:val="31"/>
        </w:rPr>
        <w:t>47.36</w:t>
      </w:r>
      <w:r w:rsidR="00D07FF2">
        <w:rPr>
          <w:rFonts w:ascii="仿宋_GB2312" w:eastAsia="仿宋_GB2312" w:hAnsi="仿宋_GB2312" w:cs="仿宋_GB2312"/>
          <w:color w:val="000000"/>
          <w:kern w:val="0"/>
          <w:sz w:val="31"/>
          <w:szCs w:val="31"/>
        </w:rPr>
        <w:t>万元</w:t>
      </w:r>
      <w:r w:rsidR="0060345A">
        <w:rPr>
          <w:rFonts w:ascii="仿宋_GB2312" w:eastAsia="仿宋_GB2312" w:hAnsi="仿宋_GB2312" w:cs="仿宋_GB2312" w:hint="eastAsia"/>
          <w:color w:val="000000"/>
          <w:kern w:val="0"/>
          <w:sz w:val="31"/>
          <w:szCs w:val="31"/>
        </w:rPr>
        <w:t>，2019年预算未安排项目资金</w:t>
      </w:r>
      <w:r w:rsidR="00B7616C">
        <w:rPr>
          <w:rFonts w:ascii="仿宋_GB2312" w:eastAsia="仿宋_GB2312" w:hAnsi="仿宋_GB2312" w:cs="仿宋_GB2312" w:hint="eastAsia"/>
          <w:color w:val="000000"/>
          <w:kern w:val="0"/>
          <w:sz w:val="31"/>
          <w:szCs w:val="31"/>
        </w:rPr>
        <w:t>，根据工作需要年终追加</w:t>
      </w:r>
      <w:r w:rsidR="00B364B8">
        <w:rPr>
          <w:rFonts w:ascii="仿宋_GB2312" w:eastAsia="仿宋_GB2312" w:hAnsi="仿宋_GB2312" w:cs="仿宋_GB2312" w:hint="eastAsia"/>
          <w:color w:val="000000"/>
          <w:kern w:val="0"/>
          <w:sz w:val="31"/>
          <w:szCs w:val="31"/>
        </w:rPr>
        <w:t>。</w:t>
      </w:r>
    </w:p>
    <w:p w:rsidR="0060345A" w:rsidRDefault="0060345A" w:rsidP="0060345A">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主要产出和效果：</w:t>
      </w:r>
    </w:p>
    <w:p w:rsidR="00B364B8" w:rsidRPr="00FD36E3" w:rsidRDefault="00B364B8" w:rsidP="00B364B8">
      <w:pPr>
        <w:ind w:firstLineChars="150" w:firstLine="480"/>
        <w:rPr>
          <w:rFonts w:ascii="仿宋_GB2312" w:eastAsia="仿宋_GB2312" w:hAnsi="宋体" w:cs="宋体"/>
          <w:kern w:val="0"/>
          <w:szCs w:val="32"/>
        </w:rPr>
      </w:pPr>
      <w:r w:rsidRPr="00FD36E3">
        <w:rPr>
          <w:rFonts w:ascii="仿宋_GB2312" w:eastAsia="仿宋_GB2312" w:hint="eastAsia"/>
          <w:szCs w:val="32"/>
        </w:rPr>
        <w:t>（1）</w:t>
      </w:r>
      <w:r w:rsidRPr="003D32B7">
        <w:rPr>
          <w:rFonts w:ascii="仿宋_GB2312" w:eastAsia="仿宋_GB2312" w:hint="eastAsia"/>
          <w:szCs w:val="32"/>
        </w:rPr>
        <w:t>保障全县广大群众通过无线方式无偿收看到中央12套数字电视和1套模拟电视节目</w:t>
      </w:r>
      <w:r>
        <w:rPr>
          <w:rFonts w:ascii="仿宋_GB2312" w:eastAsia="仿宋_GB2312" w:hint="eastAsia"/>
          <w:szCs w:val="32"/>
        </w:rPr>
        <w:t>，2019年完整转播了</w:t>
      </w:r>
      <w:r w:rsidRPr="003D32B7">
        <w:rPr>
          <w:rFonts w:ascii="仿宋_GB2312" w:eastAsia="仿宋_GB2312" w:hint="eastAsia"/>
          <w:szCs w:val="32"/>
        </w:rPr>
        <w:t>中央12套数字电视和1套模拟电视节目</w:t>
      </w:r>
      <w:r w:rsidRPr="00FD36E3">
        <w:rPr>
          <w:rFonts w:ascii="仿宋_GB2312" w:eastAsia="仿宋_GB2312" w:hAnsi="宋体" w:cs="宋体" w:hint="eastAsia"/>
          <w:kern w:val="0"/>
          <w:szCs w:val="32"/>
        </w:rPr>
        <w:t>，进一步扩大</w:t>
      </w:r>
      <w:r>
        <w:rPr>
          <w:rFonts w:ascii="仿宋_GB2312" w:eastAsia="仿宋_GB2312" w:hAnsi="宋体" w:cs="宋体" w:hint="eastAsia"/>
          <w:kern w:val="0"/>
          <w:szCs w:val="32"/>
        </w:rPr>
        <w:t>了</w:t>
      </w:r>
      <w:r w:rsidRPr="00FD36E3">
        <w:rPr>
          <w:rFonts w:ascii="仿宋_GB2312" w:eastAsia="仿宋_GB2312" w:hAnsi="宋体" w:cs="宋体" w:hint="eastAsia"/>
          <w:kern w:val="0"/>
          <w:szCs w:val="32"/>
        </w:rPr>
        <w:t>节目收看范围，把党中央的政策、全国发展的良好态势及时传达到基层人民群众中，让广大群众及时了解党的政策动向，丰富精</w:t>
      </w:r>
      <w:r w:rsidRPr="00FD36E3">
        <w:rPr>
          <w:rFonts w:ascii="仿宋_GB2312" w:eastAsia="仿宋_GB2312" w:hAnsi="宋体" w:cs="宋体" w:hint="eastAsia"/>
          <w:kern w:val="0"/>
          <w:szCs w:val="32"/>
        </w:rPr>
        <w:lastRenderedPageBreak/>
        <w:t>神文化生活，提高全民素质。</w:t>
      </w:r>
      <w:r>
        <w:rPr>
          <w:rFonts w:ascii="仿宋_GB2312" w:eastAsia="仿宋_GB2312" w:hAnsi="宋体" w:cs="宋体" w:hint="eastAsia"/>
          <w:kern w:val="0"/>
          <w:szCs w:val="32"/>
        </w:rPr>
        <w:t>（2）保持中央1套模拟信号、12套数字信号电视节目的有效覆盖，加强了对发射设备的日常维护和检修，保持了中央电视节目持续有效覆盖</w:t>
      </w:r>
      <w:r w:rsidR="004C6F2D">
        <w:rPr>
          <w:rFonts w:ascii="仿宋_GB2312" w:eastAsia="仿宋_GB2312" w:hAnsi="宋体" w:cs="宋体" w:hint="eastAsia"/>
          <w:kern w:val="0"/>
          <w:szCs w:val="32"/>
        </w:rPr>
        <w:t>，</w:t>
      </w:r>
      <w:r w:rsidR="004C6F2D" w:rsidRPr="00FD36E3">
        <w:rPr>
          <w:rFonts w:ascii="仿宋_GB2312" w:eastAsia="仿宋_GB2312" w:hint="eastAsia"/>
          <w:szCs w:val="32"/>
        </w:rPr>
        <w:t>基本</w:t>
      </w:r>
      <w:r w:rsidR="004C6F2D">
        <w:rPr>
          <w:rFonts w:ascii="仿宋_GB2312" w:eastAsia="仿宋_GB2312" w:hint="eastAsia"/>
          <w:szCs w:val="32"/>
        </w:rPr>
        <w:t>满足了群众收视需求。</w:t>
      </w:r>
    </w:p>
    <w:p w:rsidR="004C6F2D" w:rsidRPr="00FD36E3" w:rsidRDefault="0060345A" w:rsidP="004C6F2D">
      <w:pPr>
        <w:ind w:firstLineChars="200" w:firstLine="620"/>
        <w:rPr>
          <w:rFonts w:ascii="仿宋_GB2312" w:eastAsia="仿宋_GB2312"/>
          <w:szCs w:val="32"/>
        </w:rPr>
      </w:pPr>
      <w:r>
        <w:rPr>
          <w:rFonts w:ascii="仿宋_GB2312" w:eastAsia="仿宋_GB2312" w:hAnsi="仿宋_GB2312" w:cs="仿宋_GB2312"/>
          <w:color w:val="000000"/>
          <w:kern w:val="0"/>
          <w:sz w:val="31"/>
          <w:szCs w:val="31"/>
        </w:rPr>
        <w:t>发现的问题及原因：</w:t>
      </w:r>
      <w:r w:rsidR="004C6F2D" w:rsidRPr="00FD36E3">
        <w:rPr>
          <w:rFonts w:ascii="仿宋_GB2312" w:eastAsia="仿宋_GB2312" w:hint="eastAsia"/>
          <w:szCs w:val="32"/>
        </w:rPr>
        <w:t>1.质量指标有待进一步提高，由于蓝田山岭地区较多，中央广播电视节目无线转播的信号在山区接收效果较差，信号质量不够清晰</w:t>
      </w:r>
      <w:r w:rsidR="004C6F2D">
        <w:rPr>
          <w:rFonts w:ascii="仿宋_GB2312" w:eastAsia="仿宋_GB2312" w:hint="eastAsia"/>
          <w:szCs w:val="32"/>
        </w:rPr>
        <w:t>。</w:t>
      </w:r>
      <w:r w:rsidR="004C6F2D" w:rsidRPr="00FD36E3">
        <w:rPr>
          <w:rFonts w:ascii="仿宋_GB2312" w:eastAsia="仿宋_GB2312" w:hint="eastAsia"/>
          <w:szCs w:val="32"/>
        </w:rPr>
        <w:t xml:space="preserve"> </w:t>
      </w:r>
    </w:p>
    <w:p w:rsidR="009D4222" w:rsidRDefault="0060345A" w:rsidP="004C6F2D">
      <w:pPr>
        <w:ind w:firstLineChars="200" w:firstLine="620"/>
        <w:rPr>
          <w:rFonts w:ascii="仿宋_GB2312" w:eastAsia="仿宋_GB2312"/>
          <w:szCs w:val="32"/>
        </w:rPr>
      </w:pPr>
      <w:r>
        <w:rPr>
          <w:rFonts w:ascii="仿宋_GB2312" w:eastAsia="仿宋_GB2312" w:hAnsi="仿宋_GB2312" w:cs="仿宋_GB2312"/>
          <w:color w:val="000000"/>
          <w:kern w:val="0"/>
          <w:sz w:val="31"/>
          <w:szCs w:val="31"/>
        </w:rPr>
        <w:t>下一步改进措施：</w:t>
      </w:r>
      <w:r>
        <w:rPr>
          <w:rFonts w:ascii="仿宋_GB2312" w:eastAsia="仿宋_GB2312" w:hAnsi="仿宋_GB2312" w:cs="仿宋_GB2312" w:hint="eastAsia"/>
          <w:color w:val="000000"/>
          <w:kern w:val="0"/>
          <w:sz w:val="31"/>
          <w:szCs w:val="31"/>
        </w:rPr>
        <w:t>1</w:t>
      </w:r>
      <w:r w:rsidR="004C6F2D" w:rsidRPr="00FD36E3">
        <w:rPr>
          <w:rFonts w:ascii="仿宋_GB2312" w:eastAsia="仿宋_GB2312" w:hint="eastAsia"/>
          <w:szCs w:val="32"/>
        </w:rPr>
        <w:t>将加强技术人员培训，提升广播电视无线</w:t>
      </w:r>
      <w:r w:rsidR="004C6F2D">
        <w:rPr>
          <w:rFonts w:ascii="仿宋_GB2312" w:eastAsia="仿宋_GB2312" w:hint="eastAsia"/>
          <w:szCs w:val="32"/>
        </w:rPr>
        <w:t>覆盖</w:t>
      </w:r>
      <w:r w:rsidR="004C6F2D" w:rsidRPr="00FD36E3">
        <w:rPr>
          <w:rFonts w:ascii="仿宋_GB2312" w:eastAsia="仿宋_GB2312" w:hint="eastAsia"/>
          <w:szCs w:val="32"/>
        </w:rPr>
        <w:t>技术</w:t>
      </w:r>
      <w:r w:rsidR="004C6F2D">
        <w:rPr>
          <w:rFonts w:ascii="仿宋_GB2312" w:eastAsia="仿宋_GB2312" w:hint="eastAsia"/>
          <w:szCs w:val="32"/>
        </w:rPr>
        <w:t>维修维护</w:t>
      </w:r>
      <w:r w:rsidR="004C6F2D" w:rsidRPr="00FD36E3">
        <w:rPr>
          <w:rFonts w:ascii="仿宋_GB2312" w:eastAsia="仿宋_GB2312" w:hint="eastAsia"/>
          <w:szCs w:val="32"/>
        </w:rPr>
        <w:t>能力，增加更换部分设备，增强信号传播强度，提升群众观看效果。</w:t>
      </w:r>
    </w:p>
    <w:p w:rsidR="00926DEC" w:rsidRDefault="00803916" w:rsidP="009D4222">
      <w:pPr>
        <w:ind w:firstLineChars="200" w:firstLine="643"/>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（三）部门决算中整体支出绩效自评结果。</w:t>
      </w:r>
    </w:p>
    <w:p w:rsidR="00926DEC" w:rsidRDefault="00803916">
      <w:pPr>
        <w:widowControl/>
        <w:ind w:firstLineChars="200" w:firstLine="620"/>
        <w:jc w:val="left"/>
        <w:rPr>
          <w:rFonts w:ascii="仿宋_GB2312" w:eastAsia="仿宋_GB2312" w:hAnsi="仿宋_GB2312" w:cs="仿宋_GB2312"/>
          <w:color w:val="000000"/>
          <w:kern w:val="0"/>
          <w:sz w:val="31"/>
          <w:szCs w:val="31"/>
        </w:rPr>
      </w:pPr>
      <w:r>
        <w:rPr>
          <w:rFonts w:ascii="仿宋_GB2312" w:eastAsia="仿宋_GB2312" w:hAnsi="仿宋_GB2312" w:cs="仿宋_GB2312"/>
          <w:color w:val="000000"/>
          <w:kern w:val="0"/>
          <w:sz w:val="31"/>
          <w:szCs w:val="31"/>
        </w:rPr>
        <w:t>根据年初设定的绩效目标，</w:t>
      </w:r>
      <w:r>
        <w:rPr>
          <w:rFonts w:ascii="仿宋_GB2312" w:eastAsia="仿宋_GB2312" w:hAnsi="仿宋_GB2312" w:cs="仿宋_GB2312" w:hint="eastAsia"/>
          <w:color w:val="000000"/>
          <w:kern w:val="0"/>
          <w:sz w:val="31"/>
          <w:szCs w:val="31"/>
        </w:rPr>
        <w:t>本部门整体2019年度整体</w:t>
      </w:r>
      <w:r>
        <w:rPr>
          <w:rFonts w:ascii="仿宋_GB2312" w:eastAsia="仿宋_GB2312" w:hAnsi="仿宋_GB2312" w:cs="仿宋_GB2312"/>
          <w:color w:val="000000"/>
          <w:kern w:val="0"/>
          <w:sz w:val="31"/>
          <w:szCs w:val="31"/>
        </w:rPr>
        <w:t>自评得分</w:t>
      </w:r>
      <w:r w:rsidR="00E5423D">
        <w:rPr>
          <w:rFonts w:ascii="仿宋_GB2312" w:eastAsia="仿宋_GB2312" w:hAnsi="仿宋_GB2312" w:cs="仿宋_GB2312" w:hint="eastAsia"/>
          <w:color w:val="000000"/>
          <w:kern w:val="0"/>
          <w:sz w:val="31"/>
          <w:szCs w:val="31"/>
        </w:rPr>
        <w:t>8</w:t>
      </w:r>
      <w:r w:rsidR="00960651">
        <w:rPr>
          <w:rFonts w:ascii="仿宋_GB2312" w:eastAsia="仿宋_GB2312" w:hAnsi="仿宋_GB2312" w:cs="仿宋_GB2312" w:hint="eastAsia"/>
          <w:color w:val="000000"/>
          <w:kern w:val="0"/>
          <w:sz w:val="31"/>
          <w:szCs w:val="31"/>
        </w:rPr>
        <w:t>8</w:t>
      </w:r>
      <w:r>
        <w:rPr>
          <w:rFonts w:ascii="仿宋_GB2312" w:eastAsia="仿宋_GB2312" w:hAnsi="仿宋_GB2312" w:cs="仿宋_GB2312"/>
          <w:color w:val="000000"/>
          <w:kern w:val="0"/>
          <w:sz w:val="31"/>
          <w:szCs w:val="31"/>
        </w:rPr>
        <w:t>分。全年预算数</w:t>
      </w:r>
      <w:r w:rsidR="00E5423D">
        <w:rPr>
          <w:rFonts w:ascii="仿宋_GB2312" w:eastAsia="仿宋_GB2312" w:hAnsi="仿宋_GB2312" w:cs="仿宋_GB2312" w:hint="eastAsia"/>
          <w:color w:val="000000"/>
          <w:kern w:val="0"/>
          <w:sz w:val="31"/>
          <w:szCs w:val="31"/>
        </w:rPr>
        <w:t>334.08</w:t>
      </w:r>
      <w:r>
        <w:rPr>
          <w:rFonts w:ascii="仿宋_GB2312" w:eastAsia="仿宋_GB2312" w:hAnsi="仿宋_GB2312" w:cs="仿宋_GB2312"/>
          <w:color w:val="000000"/>
          <w:kern w:val="0"/>
          <w:sz w:val="31"/>
          <w:szCs w:val="31"/>
        </w:rPr>
        <w:t>万元，执行数</w:t>
      </w:r>
      <w:r w:rsidR="00E5423D">
        <w:rPr>
          <w:rFonts w:ascii="仿宋_GB2312" w:eastAsia="仿宋_GB2312" w:hAnsi="仿宋_GB2312" w:cs="仿宋_GB2312" w:hint="eastAsia"/>
          <w:color w:val="000000"/>
          <w:kern w:val="0"/>
          <w:sz w:val="31"/>
          <w:szCs w:val="31"/>
        </w:rPr>
        <w:t>576.87</w:t>
      </w:r>
      <w:r>
        <w:rPr>
          <w:rFonts w:ascii="仿宋_GB2312" w:eastAsia="仿宋_GB2312" w:hAnsi="仿宋_GB2312" w:cs="仿宋_GB2312"/>
          <w:color w:val="000000"/>
          <w:kern w:val="0"/>
          <w:sz w:val="31"/>
          <w:szCs w:val="31"/>
        </w:rPr>
        <w:t>万元，完成预算的</w:t>
      </w:r>
      <w:r w:rsidR="00E5423D">
        <w:rPr>
          <w:rFonts w:ascii="仿宋_GB2312" w:eastAsia="仿宋_GB2312" w:hAnsi="仿宋_GB2312" w:cs="仿宋_GB2312" w:hint="eastAsia"/>
          <w:color w:val="000000"/>
          <w:kern w:val="0"/>
          <w:sz w:val="31"/>
          <w:szCs w:val="31"/>
        </w:rPr>
        <w:t>173</w:t>
      </w:r>
      <w:r>
        <w:rPr>
          <w:rFonts w:ascii="仿宋_GB2312" w:eastAsia="仿宋_GB2312" w:hAnsi="仿宋_GB2312" w:cs="仿宋_GB2312"/>
          <w:color w:val="000000"/>
          <w:kern w:val="0"/>
          <w:sz w:val="31"/>
          <w:szCs w:val="31"/>
        </w:rPr>
        <w:t>%。</w:t>
      </w:r>
    </w:p>
    <w:p w:rsidR="00960651" w:rsidRPr="001C56FC" w:rsidRDefault="00803916" w:rsidP="00960651">
      <w:pPr>
        <w:spacing w:line="640" w:lineRule="exact"/>
        <w:ind w:firstLineChars="200" w:firstLine="620"/>
        <w:rPr>
          <w:rFonts w:ascii="仿宋_GB2312" w:eastAsia="仿宋_GB2312" w:hAnsi="仿宋_GB2312" w:cs="仿宋_GB2312"/>
          <w:szCs w:val="32"/>
        </w:rPr>
      </w:pPr>
      <w:r>
        <w:rPr>
          <w:rFonts w:ascii="仿宋_GB2312" w:eastAsia="仿宋_GB2312" w:hAnsi="仿宋_GB2312" w:cs="仿宋_GB2312"/>
          <w:color w:val="000000"/>
          <w:kern w:val="0"/>
          <w:sz w:val="31"/>
          <w:szCs w:val="31"/>
        </w:rPr>
        <w:t>主要产出和效果：</w:t>
      </w:r>
      <w:r w:rsidR="00960651" w:rsidRPr="001C56FC">
        <w:rPr>
          <w:rFonts w:ascii="仿宋_GB2312" w:eastAsia="仿宋_GB2312" w:hAnsi="仿宋_GB2312" w:cs="仿宋_GB2312" w:hint="eastAsia"/>
          <w:szCs w:val="32"/>
        </w:rPr>
        <w:t xml:space="preserve"> 2019年，广播、电视已播出蓝田新闻433期，播发稿件2876篇，配合扫黑除恶活动，举办《扫黑除恶进行时》专栏22期。《提升公众满意度 点赞美好蓝田》专栏4期。三农直通车栏目播出26期，卫生和健康栏目播出24期，红绿灯下栏目播出23期，法制之窗栏目播出23期，教育在线栏目播出16期，农业科技节目《致富经》播出23期。三农直通车栏目组创作的《咱们的队伍回来了》荣获西安新闻奖三等奖和西安广播电视奖三等奖。</w:t>
      </w:r>
    </w:p>
    <w:p w:rsidR="00960651" w:rsidRDefault="00960651" w:rsidP="00960651">
      <w:pPr>
        <w:ind w:firstLineChars="200" w:firstLine="640"/>
        <w:rPr>
          <w:rFonts w:ascii="仿宋_GB2312" w:eastAsia="仿宋_GB2312" w:hAnsi="仿宋_GB2312" w:cs="仿宋_GB2312"/>
          <w:szCs w:val="32"/>
        </w:rPr>
      </w:pPr>
      <w:r>
        <w:rPr>
          <w:rFonts w:ascii="仿宋_GB2312" w:eastAsia="仿宋_GB2312" w:hAnsi="仿宋_GB2312" w:cs="仿宋_GB2312" w:hint="eastAsia"/>
          <w:szCs w:val="32"/>
        </w:rPr>
        <w:lastRenderedPageBreak/>
        <w:t xml:space="preserve"> </w:t>
      </w:r>
      <w:r w:rsidR="00803916">
        <w:rPr>
          <w:rFonts w:ascii="仿宋_GB2312" w:eastAsia="仿宋_GB2312" w:hAnsi="仿宋_GB2312" w:cs="仿宋_GB2312" w:hint="eastAsia"/>
          <w:color w:val="000000"/>
          <w:kern w:val="0"/>
          <w:sz w:val="31"/>
          <w:szCs w:val="31"/>
        </w:rPr>
        <w:t>主要工作绩效是</w:t>
      </w:r>
      <w:r w:rsidR="00803916">
        <w:rPr>
          <w:rFonts w:ascii="仿宋_GB2312" w:eastAsia="仿宋_GB2312" w:hAnsi="仿宋_GB2312" w:cs="仿宋_GB2312"/>
          <w:color w:val="000000"/>
          <w:kern w:val="0"/>
          <w:sz w:val="31"/>
          <w:szCs w:val="31"/>
        </w:rPr>
        <w:t>：</w:t>
      </w:r>
      <w:r>
        <w:rPr>
          <w:rFonts w:ascii="仿宋_GB2312" w:eastAsia="仿宋_GB2312" w:hAnsi="仿宋_GB2312" w:cs="仿宋_GB2312" w:hint="eastAsia"/>
          <w:szCs w:val="32"/>
        </w:rPr>
        <w:t>节目内容更加切合群众实际，覆盖范围逐渐扩大，形式多样，叫响了蓝田旅游品牌，户户通设备服务更加高效、便捷，群众满意度不断上升。</w:t>
      </w:r>
    </w:p>
    <w:p w:rsidR="00960651" w:rsidRDefault="00803916" w:rsidP="00960651">
      <w:pPr>
        <w:widowControl/>
        <w:spacing w:line="660" w:lineRule="atLeast"/>
        <w:ind w:firstLine="640"/>
        <w:jc w:val="left"/>
        <w:rPr>
          <w:rFonts w:ascii="仿宋_GB2312" w:eastAsia="仿宋_GB2312" w:hAnsi="仿宋_GB2312" w:cs="仿宋_GB2312"/>
          <w:color w:val="333333"/>
          <w:szCs w:val="32"/>
          <w:shd w:val="clear" w:color="auto" w:fill="FFFFFF"/>
        </w:rPr>
      </w:pPr>
      <w:r>
        <w:rPr>
          <w:rFonts w:ascii="仿宋_GB2312" w:eastAsia="仿宋_GB2312" w:hAnsi="仿宋_GB2312" w:cs="仿宋_GB2312"/>
          <w:color w:val="000000"/>
          <w:kern w:val="0"/>
          <w:sz w:val="31"/>
          <w:szCs w:val="31"/>
        </w:rPr>
        <w:t>发现的问题及原因：</w:t>
      </w:r>
      <w:r w:rsidR="00960651">
        <w:rPr>
          <w:rFonts w:ascii="仿宋_GB2312" w:eastAsia="仿宋_GB2312" w:hAnsi="宋体" w:cs="仿宋_GB2312" w:hint="eastAsia"/>
          <w:color w:val="000000"/>
          <w:kern w:val="0"/>
          <w:szCs w:val="32"/>
        </w:rPr>
        <w:t>1、因</w:t>
      </w:r>
      <w:r w:rsidR="00960651">
        <w:rPr>
          <w:rFonts w:ascii="仿宋_GB2312" w:eastAsia="仿宋_GB2312" w:hAnsi="仿宋_GB2312" w:cs="仿宋_GB2312" w:hint="eastAsia"/>
          <w:color w:val="333333"/>
          <w:szCs w:val="32"/>
          <w:shd w:val="clear" w:color="auto" w:fill="FFFFFF"/>
        </w:rPr>
        <w:t>2019年初预算没有安排项目支出，项目支出主要为年中追加，造成预算控制率过大。</w:t>
      </w:r>
    </w:p>
    <w:p w:rsidR="00960651" w:rsidRPr="00C247FE" w:rsidRDefault="00960651" w:rsidP="00960651">
      <w:pPr>
        <w:ind w:firstLineChars="200" w:firstLine="640"/>
        <w:rPr>
          <w:rFonts w:ascii="仿宋_GB2312" w:eastAsia="仿宋_GB2312" w:hAnsi="仿宋_GB2312" w:cs="仿宋_GB2312"/>
          <w:color w:val="333333"/>
          <w:szCs w:val="32"/>
          <w:shd w:val="clear" w:color="auto" w:fill="FFFFFF"/>
        </w:rPr>
      </w:pPr>
      <w:r>
        <w:rPr>
          <w:rFonts w:ascii="仿宋_GB2312" w:eastAsia="仿宋_GB2312" w:hAnsi="仿宋_GB2312" w:cs="仿宋_GB2312" w:hint="eastAsia"/>
          <w:color w:val="333333"/>
          <w:szCs w:val="32"/>
          <w:shd w:val="clear" w:color="auto" w:fill="FFFFFF"/>
        </w:rPr>
        <w:t>2、</w:t>
      </w:r>
      <w:r w:rsidRPr="00C247FE">
        <w:rPr>
          <w:rFonts w:ascii="仿宋_GB2312" w:eastAsia="仿宋_GB2312" w:hAnsi="仿宋_GB2312" w:cs="仿宋_GB2312" w:hint="eastAsia"/>
          <w:color w:val="333333"/>
          <w:szCs w:val="32"/>
          <w:shd w:val="clear" w:color="auto" w:fill="FFFFFF"/>
        </w:rPr>
        <w:t>固定资产卡片信息不完整</w:t>
      </w:r>
    </w:p>
    <w:p w:rsidR="00960651" w:rsidRPr="00C247FE" w:rsidRDefault="00960651" w:rsidP="00960651">
      <w:pPr>
        <w:ind w:firstLineChars="200" w:firstLine="640"/>
        <w:rPr>
          <w:rFonts w:ascii="仿宋_GB2312" w:eastAsia="仿宋_GB2312" w:hAnsi="仿宋_GB2312" w:cs="仿宋_GB2312"/>
          <w:color w:val="333333"/>
          <w:szCs w:val="32"/>
          <w:shd w:val="clear" w:color="auto" w:fill="FFFFFF"/>
        </w:rPr>
      </w:pPr>
      <w:r w:rsidRPr="00C247FE">
        <w:rPr>
          <w:rFonts w:ascii="仿宋_GB2312" w:eastAsia="仿宋_GB2312" w:hAnsi="仿宋_GB2312" w:cs="仿宋_GB2312" w:hint="eastAsia"/>
          <w:color w:val="333333"/>
          <w:szCs w:val="32"/>
          <w:shd w:val="clear" w:color="auto" w:fill="FFFFFF"/>
        </w:rPr>
        <w:t>财政系统内固定资产卡片大部分没有填写</w:t>
      </w:r>
      <w:r>
        <w:rPr>
          <w:rFonts w:ascii="仿宋_GB2312" w:eastAsia="仿宋_GB2312" w:hAnsi="仿宋_GB2312" w:cs="仿宋_GB2312" w:hint="eastAsia"/>
          <w:color w:val="333333"/>
          <w:szCs w:val="32"/>
          <w:shd w:val="clear" w:color="auto" w:fill="FFFFFF"/>
        </w:rPr>
        <w:t>完整</w:t>
      </w:r>
      <w:r w:rsidR="006E272E">
        <w:rPr>
          <w:rFonts w:ascii="仿宋_GB2312" w:eastAsia="仿宋_GB2312" w:hAnsi="仿宋_GB2312" w:cs="仿宋_GB2312" w:hint="eastAsia"/>
          <w:color w:val="333333"/>
          <w:szCs w:val="32"/>
          <w:shd w:val="clear" w:color="auto" w:fill="FFFFFF"/>
        </w:rPr>
        <w:t>使用部门、管理部门</w:t>
      </w:r>
      <w:r>
        <w:rPr>
          <w:rFonts w:ascii="仿宋_GB2312" w:eastAsia="仿宋_GB2312" w:hAnsi="仿宋_GB2312" w:cs="仿宋_GB2312" w:hint="eastAsia"/>
          <w:color w:val="333333"/>
          <w:szCs w:val="32"/>
          <w:shd w:val="clear" w:color="auto" w:fill="FFFFFF"/>
        </w:rPr>
        <w:t>、</w:t>
      </w:r>
      <w:r w:rsidRPr="00C247FE">
        <w:rPr>
          <w:rFonts w:ascii="仿宋_GB2312" w:eastAsia="仿宋_GB2312" w:hAnsi="仿宋_GB2312" w:cs="仿宋_GB2312" w:hint="eastAsia"/>
          <w:color w:val="333333"/>
          <w:szCs w:val="32"/>
          <w:shd w:val="clear" w:color="auto" w:fill="FFFFFF"/>
        </w:rPr>
        <w:t>使用人和存放地点</w:t>
      </w:r>
      <w:r>
        <w:rPr>
          <w:rFonts w:ascii="仿宋_GB2312" w:eastAsia="仿宋_GB2312" w:hAnsi="仿宋_GB2312" w:cs="仿宋_GB2312" w:hint="eastAsia"/>
          <w:color w:val="333333"/>
          <w:szCs w:val="32"/>
          <w:shd w:val="clear" w:color="auto" w:fill="FFFFFF"/>
        </w:rPr>
        <w:t>，有的使用人等信息已经变更，未及时调整</w:t>
      </w:r>
      <w:r w:rsidRPr="00C247FE">
        <w:rPr>
          <w:rFonts w:ascii="仿宋_GB2312" w:eastAsia="仿宋_GB2312" w:hAnsi="仿宋_GB2312" w:cs="仿宋_GB2312" w:hint="eastAsia"/>
          <w:color w:val="333333"/>
          <w:szCs w:val="32"/>
          <w:shd w:val="clear" w:color="auto" w:fill="FFFFFF"/>
        </w:rPr>
        <w:t>。</w:t>
      </w:r>
    </w:p>
    <w:p w:rsidR="00960651" w:rsidRDefault="00803916" w:rsidP="00960651">
      <w:pPr>
        <w:widowControl/>
        <w:spacing w:line="660" w:lineRule="atLeast"/>
        <w:ind w:firstLine="64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下一步改进措施：</w:t>
      </w:r>
      <w:r w:rsidR="00960651">
        <w:rPr>
          <w:rFonts w:ascii="仿宋_GB2312" w:eastAsia="仿宋_GB2312" w:hAnsi="宋体" w:cs="仿宋_GB2312" w:hint="eastAsia"/>
          <w:color w:val="000000"/>
          <w:kern w:val="0"/>
          <w:szCs w:val="32"/>
        </w:rPr>
        <w:t>1、加强预算管理、严格预算执行，科学编制预算。</w:t>
      </w:r>
    </w:p>
    <w:p w:rsidR="00960651" w:rsidRPr="009B4ABB" w:rsidRDefault="00960651" w:rsidP="00960651">
      <w:pPr>
        <w:widowControl/>
        <w:spacing w:line="660" w:lineRule="atLeast"/>
        <w:ind w:firstLineChars="200" w:firstLine="640"/>
        <w:jc w:val="left"/>
        <w:rPr>
          <w:rFonts w:ascii="仿宋_GB2312" w:eastAsia="仿宋_GB2312" w:hAnsi="宋体" w:cs="仿宋_GB2312"/>
          <w:color w:val="000000"/>
          <w:kern w:val="0"/>
          <w:szCs w:val="32"/>
        </w:rPr>
      </w:pPr>
      <w:r>
        <w:rPr>
          <w:rFonts w:ascii="仿宋_GB2312" w:eastAsia="仿宋_GB2312" w:hAnsi="宋体" w:cs="仿宋_GB2312" w:hint="eastAsia"/>
          <w:color w:val="000000"/>
          <w:kern w:val="0"/>
          <w:szCs w:val="32"/>
        </w:rPr>
        <w:t>2、加强固定资产信息管理，及时调整更新补充，</w:t>
      </w:r>
      <w:r w:rsidRPr="009B4ABB">
        <w:rPr>
          <w:rFonts w:ascii="仿宋_GB2312" w:eastAsia="仿宋_GB2312" w:hAnsi="宋体" w:cs="仿宋_GB2312" w:hint="eastAsia"/>
          <w:color w:val="000000"/>
          <w:kern w:val="0"/>
          <w:szCs w:val="32"/>
        </w:rPr>
        <w:t>将固定资产管理工作责任到人，由实际使用人管理领用固定资产。年末盘点时以个人为单位进行盘点，与行政事业单位资产管理信息系统固定资产卡片一一对应。</w:t>
      </w: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bookmarkStart w:id="1" w:name="_MON_1662359197"/>
    <w:bookmarkEnd w:id="1"/>
    <w:p w:rsidR="00926DEC" w:rsidRDefault="00EA08B7">
      <w:pPr>
        <w:widowControl/>
        <w:jc w:val="left"/>
        <w:rPr>
          <w:rFonts w:ascii="仿宋_GB2312" w:eastAsia="仿宋_GB2312" w:hAnsi="仿宋_GB2312" w:cs="仿宋_GB2312"/>
          <w:color w:val="000000"/>
          <w:kern w:val="0"/>
          <w:sz w:val="31"/>
          <w:szCs w:val="31"/>
        </w:rPr>
      </w:pPr>
      <w:r w:rsidRPr="00926DEC">
        <w:rPr>
          <w:rFonts w:ascii="仿宋_GB2312" w:eastAsia="仿宋_GB2312" w:hAnsi="仿宋_GB2312" w:cs="仿宋_GB2312" w:hint="eastAsia"/>
          <w:color w:val="000000"/>
          <w:kern w:val="0"/>
          <w:sz w:val="31"/>
          <w:szCs w:val="31"/>
        </w:rPr>
        <w:object w:dxaOrig="9241" w:dyaOrig="139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12.5pt;height:623.25pt" o:ole="">
            <v:imagedata r:id="rId16" o:title=""/>
            <o:lock v:ext="edit" aspectratio="f"/>
          </v:shape>
          <o:OLEObject Type="Embed" ProgID="Excel.Sheet.12" ShapeID="_x0000_i1025" DrawAspect="Content" ObjectID="_1824530364" r:id="rId17"/>
        </w:object>
      </w: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sectPr w:rsidR="00926DEC">
          <w:pgSz w:w="11906" w:h="16838"/>
          <w:pgMar w:top="1440" w:right="1800" w:bottom="1440" w:left="1800" w:header="851" w:footer="992" w:gutter="0"/>
          <w:cols w:space="425"/>
          <w:docGrid w:type="lines" w:linePitch="312"/>
        </w:sectPr>
      </w:pPr>
    </w:p>
    <w:tbl>
      <w:tblPr>
        <w:tblpPr w:leftFromText="180" w:rightFromText="180" w:vertAnchor="page" w:horzAnchor="margin" w:tblpXSpec="center" w:tblpY="269"/>
        <w:tblW w:w="16059" w:type="dxa"/>
        <w:tblLayout w:type="fixed"/>
        <w:tblLook w:val="04A0" w:firstRow="1" w:lastRow="0" w:firstColumn="1" w:lastColumn="0" w:noHBand="0" w:noVBand="1"/>
      </w:tblPr>
      <w:tblGrid>
        <w:gridCol w:w="534"/>
        <w:gridCol w:w="700"/>
        <w:gridCol w:w="616"/>
        <w:gridCol w:w="417"/>
        <w:gridCol w:w="3370"/>
        <w:gridCol w:w="3450"/>
        <w:gridCol w:w="519"/>
        <w:gridCol w:w="721"/>
        <w:gridCol w:w="413"/>
        <w:gridCol w:w="413"/>
        <w:gridCol w:w="295"/>
        <w:gridCol w:w="531"/>
        <w:gridCol w:w="320"/>
        <w:gridCol w:w="360"/>
        <w:gridCol w:w="490"/>
        <w:gridCol w:w="1310"/>
        <w:gridCol w:w="1600"/>
      </w:tblGrid>
      <w:tr w:rsidR="00280D94" w:rsidRPr="00280D94" w:rsidTr="00280D94">
        <w:trPr>
          <w:trHeight w:val="885"/>
        </w:trPr>
        <w:tc>
          <w:tcPr>
            <w:tcW w:w="16059" w:type="dxa"/>
            <w:gridSpan w:val="17"/>
            <w:tcBorders>
              <w:top w:val="nil"/>
              <w:left w:val="nil"/>
              <w:bottom w:val="nil"/>
              <w:right w:val="nil"/>
            </w:tcBorders>
            <w:shd w:val="clear" w:color="auto" w:fill="auto"/>
            <w:vAlign w:val="center"/>
            <w:hideMark/>
          </w:tcPr>
          <w:p w:rsidR="00280D94" w:rsidRPr="00280D94" w:rsidRDefault="00280D94" w:rsidP="00280D94">
            <w:pPr>
              <w:widowControl/>
              <w:jc w:val="center"/>
              <w:rPr>
                <w:rFonts w:ascii="黑体" w:eastAsia="黑体" w:hAnsi="宋体" w:cs="宋体"/>
                <w:kern w:val="0"/>
                <w:sz w:val="40"/>
                <w:szCs w:val="40"/>
              </w:rPr>
            </w:pPr>
            <w:r w:rsidRPr="00280D94">
              <w:rPr>
                <w:rFonts w:ascii="黑体" w:eastAsia="黑体" w:hAnsi="宋体" w:cs="宋体" w:hint="eastAsia"/>
                <w:kern w:val="0"/>
                <w:sz w:val="40"/>
                <w:szCs w:val="40"/>
              </w:rPr>
              <w:lastRenderedPageBreak/>
              <w:t>部门整体支出绩效自评表</w:t>
            </w:r>
            <w:r w:rsidRPr="00280D94">
              <w:rPr>
                <w:rFonts w:ascii="黑体" w:eastAsia="黑体" w:hAnsi="宋体" w:cs="宋体" w:hint="eastAsia"/>
                <w:kern w:val="0"/>
                <w:sz w:val="40"/>
                <w:szCs w:val="40"/>
              </w:rPr>
              <w:br/>
            </w:r>
            <w:r w:rsidRPr="00280D94">
              <w:rPr>
                <w:rFonts w:ascii="黑体" w:eastAsia="黑体" w:hAnsi="宋体" w:cs="宋体" w:hint="eastAsia"/>
                <w:kern w:val="0"/>
                <w:sz w:val="20"/>
              </w:rPr>
              <w:t>（2019年度）</w:t>
            </w:r>
          </w:p>
        </w:tc>
      </w:tr>
      <w:tr w:rsidR="00280D94" w:rsidRPr="00280D94" w:rsidTr="00280D94">
        <w:trPr>
          <w:trHeight w:val="450"/>
        </w:trPr>
        <w:tc>
          <w:tcPr>
            <w:tcW w:w="5637" w:type="dxa"/>
            <w:gridSpan w:val="5"/>
            <w:tcBorders>
              <w:top w:val="nil"/>
              <w:left w:val="nil"/>
              <w:bottom w:val="nil"/>
              <w:right w:val="nil"/>
            </w:tcBorders>
            <w:shd w:val="clear" w:color="auto" w:fill="auto"/>
            <w:vAlign w:val="center"/>
            <w:hideMark/>
          </w:tcPr>
          <w:p w:rsidR="00280D94" w:rsidRPr="00280D94" w:rsidRDefault="00280D94" w:rsidP="00280D94">
            <w:pPr>
              <w:widowControl/>
              <w:jc w:val="left"/>
              <w:rPr>
                <w:rFonts w:ascii="仿宋_GB2312" w:eastAsia="仿宋_GB2312" w:hAnsi="宋体" w:cs="宋体"/>
                <w:kern w:val="0"/>
                <w:sz w:val="24"/>
                <w:szCs w:val="24"/>
              </w:rPr>
            </w:pPr>
            <w:r w:rsidRPr="00280D94">
              <w:rPr>
                <w:rFonts w:ascii="仿宋_GB2312" w:eastAsia="仿宋_GB2312" w:hAnsi="宋体" w:cs="宋体" w:hint="eastAsia"/>
                <w:kern w:val="0"/>
                <w:sz w:val="24"/>
                <w:szCs w:val="24"/>
              </w:rPr>
              <w:t>填报单位:蓝田县融媒体中心</w:t>
            </w:r>
          </w:p>
        </w:tc>
        <w:tc>
          <w:tcPr>
            <w:tcW w:w="3450" w:type="dxa"/>
            <w:tcBorders>
              <w:top w:val="nil"/>
              <w:left w:val="nil"/>
              <w:bottom w:val="nil"/>
              <w:right w:val="nil"/>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4"/>
                <w:szCs w:val="24"/>
              </w:rPr>
            </w:pPr>
            <w:r w:rsidRPr="00280D94">
              <w:rPr>
                <w:rFonts w:ascii="仿宋_GB2312" w:eastAsia="仿宋_GB2312" w:hAnsi="宋体" w:cs="宋体" w:hint="eastAsia"/>
                <w:kern w:val="0"/>
                <w:sz w:val="24"/>
                <w:szCs w:val="24"/>
              </w:rPr>
              <w:t>自评得分：88</w:t>
            </w:r>
          </w:p>
        </w:tc>
        <w:tc>
          <w:tcPr>
            <w:tcW w:w="1240" w:type="dxa"/>
            <w:gridSpan w:val="2"/>
            <w:tcBorders>
              <w:top w:val="nil"/>
              <w:left w:val="nil"/>
              <w:bottom w:val="nil"/>
              <w:right w:val="nil"/>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4"/>
                <w:szCs w:val="24"/>
              </w:rPr>
            </w:pPr>
          </w:p>
        </w:tc>
        <w:tc>
          <w:tcPr>
            <w:tcW w:w="826" w:type="dxa"/>
            <w:gridSpan w:val="2"/>
            <w:tcBorders>
              <w:top w:val="nil"/>
              <w:left w:val="nil"/>
              <w:bottom w:val="nil"/>
              <w:right w:val="nil"/>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4"/>
                <w:szCs w:val="24"/>
              </w:rPr>
            </w:pPr>
          </w:p>
        </w:tc>
        <w:tc>
          <w:tcPr>
            <w:tcW w:w="826" w:type="dxa"/>
            <w:gridSpan w:val="2"/>
            <w:tcBorders>
              <w:top w:val="nil"/>
              <w:left w:val="nil"/>
              <w:bottom w:val="nil"/>
              <w:right w:val="nil"/>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4"/>
                <w:szCs w:val="24"/>
              </w:rPr>
            </w:pPr>
          </w:p>
        </w:tc>
        <w:tc>
          <w:tcPr>
            <w:tcW w:w="680" w:type="dxa"/>
            <w:gridSpan w:val="2"/>
            <w:tcBorders>
              <w:top w:val="nil"/>
              <w:left w:val="nil"/>
              <w:bottom w:val="nil"/>
              <w:right w:val="nil"/>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4"/>
                <w:szCs w:val="24"/>
              </w:rPr>
            </w:pPr>
          </w:p>
        </w:tc>
        <w:tc>
          <w:tcPr>
            <w:tcW w:w="1800" w:type="dxa"/>
            <w:gridSpan w:val="2"/>
            <w:tcBorders>
              <w:top w:val="nil"/>
              <w:left w:val="nil"/>
              <w:bottom w:val="nil"/>
              <w:right w:val="nil"/>
            </w:tcBorders>
            <w:shd w:val="clear" w:color="auto" w:fill="auto"/>
            <w:noWrap/>
            <w:vAlign w:val="center"/>
            <w:hideMark/>
          </w:tcPr>
          <w:p w:rsidR="00280D94" w:rsidRPr="00280D94" w:rsidRDefault="00280D94" w:rsidP="00280D94">
            <w:pPr>
              <w:widowControl/>
              <w:jc w:val="left"/>
              <w:rPr>
                <w:rFonts w:ascii="宋体" w:eastAsia="宋体" w:hAnsi="宋体" w:cs="宋体"/>
                <w:kern w:val="0"/>
                <w:sz w:val="24"/>
                <w:szCs w:val="24"/>
              </w:rPr>
            </w:pPr>
          </w:p>
        </w:tc>
        <w:tc>
          <w:tcPr>
            <w:tcW w:w="1600" w:type="dxa"/>
            <w:tcBorders>
              <w:top w:val="nil"/>
              <w:left w:val="nil"/>
              <w:bottom w:val="nil"/>
              <w:right w:val="nil"/>
            </w:tcBorders>
            <w:shd w:val="clear" w:color="auto" w:fill="auto"/>
            <w:noWrap/>
            <w:vAlign w:val="center"/>
            <w:hideMark/>
          </w:tcPr>
          <w:p w:rsidR="00280D94" w:rsidRPr="00280D94" w:rsidRDefault="00280D94" w:rsidP="00280D94">
            <w:pPr>
              <w:widowControl/>
              <w:jc w:val="left"/>
              <w:rPr>
                <w:rFonts w:ascii="宋体" w:eastAsia="宋体" w:hAnsi="宋体" w:cs="宋体"/>
                <w:kern w:val="0"/>
                <w:sz w:val="24"/>
                <w:szCs w:val="24"/>
              </w:rPr>
            </w:pPr>
          </w:p>
        </w:tc>
      </w:tr>
      <w:tr w:rsidR="00280D94" w:rsidRPr="00280D94" w:rsidTr="00280D94">
        <w:trPr>
          <w:trHeight w:val="450"/>
        </w:trPr>
        <w:tc>
          <w:tcPr>
            <w:tcW w:w="563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仿宋_GB2312" w:eastAsia="仿宋_GB2312" w:hAnsi="宋体" w:cs="宋体"/>
                <w:kern w:val="0"/>
                <w:sz w:val="20"/>
              </w:rPr>
            </w:pPr>
            <w:r w:rsidRPr="00280D94">
              <w:rPr>
                <w:rFonts w:ascii="仿宋_GB2312" w:eastAsia="仿宋_GB2312" w:hAnsi="宋体" w:cs="宋体" w:hint="eastAsia"/>
                <w:kern w:val="0"/>
                <w:sz w:val="20"/>
              </w:rPr>
              <w:t>（一）简要概述部门职能与职责。</w:t>
            </w:r>
          </w:p>
        </w:tc>
        <w:tc>
          <w:tcPr>
            <w:tcW w:w="10422" w:type="dxa"/>
            <w:gridSpan w:val="1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宣传党的方针政策，负责全县新闻宣传工作，做好全县大数据平台建设，管理广播电视无线发射台工作</w:t>
            </w:r>
          </w:p>
        </w:tc>
      </w:tr>
      <w:tr w:rsidR="00280D94" w:rsidRPr="00280D94" w:rsidTr="00280D94">
        <w:trPr>
          <w:trHeight w:val="450"/>
        </w:trPr>
        <w:tc>
          <w:tcPr>
            <w:tcW w:w="563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仿宋_GB2312" w:eastAsia="仿宋_GB2312" w:hAnsi="宋体" w:cs="宋体"/>
                <w:kern w:val="0"/>
                <w:sz w:val="20"/>
              </w:rPr>
            </w:pPr>
            <w:r w:rsidRPr="00280D94">
              <w:rPr>
                <w:rFonts w:ascii="仿宋_GB2312" w:eastAsia="仿宋_GB2312" w:hAnsi="宋体" w:cs="宋体" w:hint="eastAsia"/>
                <w:kern w:val="0"/>
                <w:sz w:val="20"/>
              </w:rPr>
              <w:t>（二）简要概述部门支出情况，按活动内容分类。</w:t>
            </w:r>
          </w:p>
        </w:tc>
        <w:tc>
          <w:tcPr>
            <w:tcW w:w="10422" w:type="dxa"/>
            <w:gridSpan w:val="1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人员经费支出440.88万元，公用经费支出10.3万元，项目支出125.68万元</w:t>
            </w:r>
          </w:p>
        </w:tc>
      </w:tr>
      <w:tr w:rsidR="00280D94" w:rsidRPr="00280D94" w:rsidTr="00280D94">
        <w:trPr>
          <w:trHeight w:val="450"/>
        </w:trPr>
        <w:tc>
          <w:tcPr>
            <w:tcW w:w="5637" w:type="dxa"/>
            <w:gridSpan w:val="5"/>
            <w:tcBorders>
              <w:top w:val="single" w:sz="4" w:space="0" w:color="auto"/>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仿宋_GB2312" w:eastAsia="仿宋_GB2312" w:hAnsi="宋体" w:cs="宋体"/>
                <w:kern w:val="0"/>
                <w:sz w:val="20"/>
              </w:rPr>
            </w:pPr>
            <w:r w:rsidRPr="00280D94">
              <w:rPr>
                <w:rFonts w:ascii="仿宋_GB2312" w:eastAsia="仿宋_GB2312" w:hAnsi="宋体" w:cs="宋体" w:hint="eastAsia"/>
                <w:kern w:val="0"/>
                <w:sz w:val="20"/>
              </w:rPr>
              <w:t>（三）简要概述当年市委市政府下达的重点工作。</w:t>
            </w:r>
          </w:p>
        </w:tc>
        <w:tc>
          <w:tcPr>
            <w:tcW w:w="10422" w:type="dxa"/>
            <w:gridSpan w:val="1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无</w:t>
            </w:r>
          </w:p>
        </w:tc>
      </w:tr>
      <w:tr w:rsidR="00280D94" w:rsidRPr="00280D94" w:rsidTr="00280D94">
        <w:trPr>
          <w:trHeight w:val="795"/>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一级</w:t>
            </w:r>
            <w:r w:rsidRPr="00280D94">
              <w:rPr>
                <w:rFonts w:ascii="楷体_GB2312" w:eastAsia="楷体_GB2312" w:hAnsi="宋体" w:cs="宋体" w:hint="eastAsia"/>
                <w:b/>
                <w:bCs/>
                <w:kern w:val="0"/>
                <w:sz w:val="20"/>
              </w:rPr>
              <w:br/>
              <w:t>指标</w:t>
            </w:r>
          </w:p>
        </w:tc>
        <w:tc>
          <w:tcPr>
            <w:tcW w:w="70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二级</w:t>
            </w:r>
            <w:r w:rsidRPr="00280D94">
              <w:rPr>
                <w:rFonts w:ascii="楷体_GB2312" w:eastAsia="楷体_GB2312" w:hAnsi="宋体" w:cs="宋体" w:hint="eastAsia"/>
                <w:b/>
                <w:bCs/>
                <w:kern w:val="0"/>
                <w:sz w:val="20"/>
              </w:rPr>
              <w:br/>
              <w:t>指标</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分值</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指标说明</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评分标准</w:t>
            </w:r>
          </w:p>
        </w:tc>
        <w:tc>
          <w:tcPr>
            <w:tcW w:w="1134"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指标值计算公式和数据获取方式</w:t>
            </w:r>
          </w:p>
        </w:tc>
        <w:tc>
          <w:tcPr>
            <w:tcW w:w="708"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年初目标值</w:t>
            </w:r>
          </w:p>
        </w:tc>
        <w:tc>
          <w:tcPr>
            <w:tcW w:w="851"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实际完成值</w:t>
            </w:r>
          </w:p>
        </w:tc>
        <w:tc>
          <w:tcPr>
            <w:tcW w:w="850"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得分</w:t>
            </w:r>
          </w:p>
        </w:tc>
        <w:tc>
          <w:tcPr>
            <w:tcW w:w="131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未完成原因分析与改进措施</w:t>
            </w:r>
          </w:p>
        </w:tc>
        <w:tc>
          <w:tcPr>
            <w:tcW w:w="160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绩效指标分析与建议</w:t>
            </w:r>
          </w:p>
        </w:tc>
      </w:tr>
      <w:tr w:rsidR="00280D94" w:rsidRPr="00280D94" w:rsidTr="00280D94">
        <w:trPr>
          <w:trHeight w:val="3204"/>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投入</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w:t>
            </w:r>
            <w:r w:rsidRPr="00280D94">
              <w:rPr>
                <w:rFonts w:ascii="楷体_GB2312" w:eastAsia="楷体_GB2312" w:hAnsi="宋体" w:cs="宋体" w:hint="eastAsia"/>
                <w:kern w:val="0"/>
                <w:sz w:val="20"/>
              </w:rPr>
              <w:br/>
              <w:t>完成率</w:t>
            </w:r>
            <w:r w:rsidRPr="00280D94">
              <w:rPr>
                <w:rFonts w:ascii="楷体_GB2312" w:eastAsia="楷体_GB2312" w:hAnsi="宋体" w:cs="宋体" w:hint="eastAsia"/>
                <w:kern w:val="0"/>
                <w:sz w:val="20"/>
              </w:rPr>
              <w:br/>
              <w:t>（10分）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10</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预算完成率=（预算完成数/预算数）×100%，用以反映和考核部门（单位）预算完成程度。</w:t>
            </w:r>
            <w:r w:rsidRPr="00280D94">
              <w:rPr>
                <w:rFonts w:ascii="楷体_GB2312" w:eastAsia="楷体_GB2312" w:hAnsi="宋体" w:cs="宋体" w:hint="eastAsia"/>
                <w:kern w:val="0"/>
                <w:sz w:val="20"/>
              </w:rPr>
              <w:br/>
              <w:t>预算完成数：部门（单位）本年度实际完成的预算数。</w:t>
            </w:r>
            <w:r w:rsidRPr="00280D94">
              <w:rPr>
                <w:rFonts w:ascii="楷体_GB2312" w:eastAsia="楷体_GB2312" w:hAnsi="宋体" w:cs="宋体" w:hint="eastAsia"/>
                <w:kern w:val="0"/>
                <w:sz w:val="20"/>
              </w:rPr>
              <w:br/>
              <w:t>预算数：财政部门批复的本年度部门（单位）预算数。</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预算完成率＝100%的，得10分。</w:t>
            </w:r>
            <w:r w:rsidRPr="00280D94">
              <w:rPr>
                <w:rFonts w:ascii="楷体_GB2312" w:eastAsia="楷体_GB2312" w:hAnsi="宋体" w:cs="宋体" w:hint="eastAsia"/>
                <w:kern w:val="0"/>
                <w:sz w:val="20"/>
              </w:rPr>
              <w:br/>
              <w:t>预算完成率≥95%的，得9分。</w:t>
            </w:r>
            <w:r w:rsidRPr="00280D94">
              <w:rPr>
                <w:rFonts w:ascii="楷体_GB2312" w:eastAsia="楷体_GB2312" w:hAnsi="宋体" w:cs="宋体" w:hint="eastAsia"/>
                <w:kern w:val="0"/>
                <w:sz w:val="20"/>
              </w:rPr>
              <w:br/>
              <w:t>预算完成率在90%（含）和95%之间，得8分。</w:t>
            </w:r>
            <w:r w:rsidRPr="00280D94">
              <w:rPr>
                <w:rFonts w:ascii="楷体_GB2312" w:eastAsia="楷体_GB2312" w:hAnsi="宋体" w:cs="宋体" w:hint="eastAsia"/>
                <w:kern w:val="0"/>
                <w:sz w:val="20"/>
              </w:rPr>
              <w:br/>
              <w:t>预算完成率在85%（含）和90%之间，得7分。</w:t>
            </w:r>
            <w:r w:rsidRPr="00280D94">
              <w:rPr>
                <w:rFonts w:ascii="楷体_GB2312" w:eastAsia="楷体_GB2312" w:hAnsi="宋体" w:cs="宋体" w:hint="eastAsia"/>
                <w:kern w:val="0"/>
                <w:sz w:val="20"/>
              </w:rPr>
              <w:br/>
              <w:t>预算完成率在80%（含）和85%之间，得6分。</w:t>
            </w:r>
            <w:r w:rsidRPr="00280D94">
              <w:rPr>
                <w:rFonts w:ascii="楷体_GB2312" w:eastAsia="楷体_GB2312" w:hAnsi="宋体" w:cs="宋体" w:hint="eastAsia"/>
                <w:kern w:val="0"/>
                <w:sz w:val="20"/>
              </w:rPr>
              <w:br/>
              <w:t>预算完成率在70%（含）和80%之间，得4分。</w:t>
            </w:r>
            <w:r w:rsidRPr="00280D94">
              <w:rPr>
                <w:rFonts w:ascii="楷体_GB2312" w:eastAsia="楷体_GB2312" w:hAnsi="宋体" w:cs="宋体" w:hint="eastAsia"/>
                <w:kern w:val="0"/>
                <w:sz w:val="20"/>
              </w:rPr>
              <w:br/>
              <w:t>预算完成率＜70%的，得0分。</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2019年决算取数。预算完成率=（财政拨款支出/财政拨款收入）*100%</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righ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100%</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righ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100%</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10</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已完成</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 xml:space="preserve">　</w:t>
            </w:r>
          </w:p>
        </w:tc>
      </w:tr>
      <w:tr w:rsidR="00280D94" w:rsidRPr="00280D94" w:rsidTr="00280D94">
        <w:trPr>
          <w:trHeight w:val="2475"/>
        </w:trPr>
        <w:tc>
          <w:tcPr>
            <w:tcW w:w="534"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700"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预算调整率</w:t>
            </w:r>
            <w:r w:rsidRPr="00280D94">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预算调整率=（预算调整数/预算数）×100%，用以反映和考核部门（单位）预算的调整程度。</w:t>
            </w:r>
            <w:r w:rsidRPr="00280D94">
              <w:rPr>
                <w:rFonts w:ascii="楷体_GB2312" w:eastAsia="楷体_GB2312" w:hAnsi="宋体" w:cs="宋体" w:hint="eastAsia"/>
                <w:kern w:val="0"/>
                <w:sz w:val="20"/>
              </w:rPr>
              <w:br/>
              <w:t>预算调整数：部门（单位）在本年度内涉及预算的追加、追减或结构调整的资金总和（因落实国家政策、发生不可抗力、上级部门或本级党委政府临时交办而产生的调整除外）。</w:t>
            </w:r>
            <w:r w:rsidRPr="00280D94">
              <w:rPr>
                <w:rFonts w:ascii="楷体_GB2312" w:eastAsia="楷体_GB2312" w:hAnsi="宋体" w:cs="宋体" w:hint="eastAsia"/>
                <w:kern w:val="0"/>
                <w:sz w:val="20"/>
              </w:rPr>
              <w:br/>
              <w:t>预算包括一般公共预算与政府性基金预算。</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预算调整率绝对值≤5%，得5分。</w:t>
            </w:r>
            <w:r w:rsidRPr="00280D94">
              <w:rPr>
                <w:rFonts w:ascii="楷体_GB2312" w:eastAsia="楷体_GB2312" w:hAnsi="宋体" w:cs="宋体" w:hint="eastAsia"/>
                <w:kern w:val="0"/>
                <w:sz w:val="20"/>
              </w:rPr>
              <w:br/>
              <w:t>预算调整率绝对值＞5%的，每增加0.1个百分点扣0.1分，扣完为止。</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2019年决算取数。预算调整率=（预算调整数/预算数）</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100%</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Arial" w:eastAsia="宋体" w:hAnsi="Arial" w:cs="Arial"/>
                <w:color w:val="000000"/>
                <w:kern w:val="0"/>
                <w:sz w:val="20"/>
              </w:rPr>
            </w:pPr>
            <w:r w:rsidRPr="00280D94">
              <w:rPr>
                <w:rFonts w:ascii="Arial" w:eastAsia="宋体" w:hAnsi="Arial" w:cs="Arial"/>
                <w:color w:val="000000"/>
                <w:kern w:val="0"/>
                <w:sz w:val="20"/>
              </w:rPr>
              <w:t>≤</w:t>
            </w:r>
            <w:r w:rsidRPr="00280D94">
              <w:rPr>
                <w:rFonts w:ascii="楷体_GB2312" w:eastAsia="楷体_GB2312" w:hAnsi="Arial" w:cs="Arial" w:hint="eastAsia"/>
                <w:color w:val="000000"/>
                <w:kern w:val="0"/>
                <w:sz w:val="20"/>
              </w:rPr>
              <w:t>5%</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righ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172%</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0</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加强年初预算管理，提高财政预算精确度。</w:t>
            </w:r>
          </w:p>
        </w:tc>
        <w:tc>
          <w:tcPr>
            <w:tcW w:w="160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预算调整主要为项目预算追加，建议年初增加部门项目预算。</w:t>
            </w:r>
          </w:p>
        </w:tc>
      </w:tr>
      <w:tr w:rsidR="00280D94" w:rsidRPr="00280D94" w:rsidTr="00280D94">
        <w:trPr>
          <w:trHeight w:val="979"/>
        </w:trPr>
        <w:tc>
          <w:tcPr>
            <w:tcW w:w="534"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一级</w:t>
            </w:r>
            <w:r w:rsidRPr="00280D94">
              <w:rPr>
                <w:rFonts w:ascii="楷体_GB2312" w:eastAsia="楷体_GB2312" w:hAnsi="宋体" w:cs="宋体" w:hint="eastAsia"/>
                <w:b/>
                <w:bCs/>
                <w:kern w:val="0"/>
                <w:sz w:val="20"/>
              </w:rPr>
              <w:br/>
              <w:t>指标</w:t>
            </w:r>
          </w:p>
        </w:tc>
        <w:tc>
          <w:tcPr>
            <w:tcW w:w="70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二级</w:t>
            </w:r>
            <w:r w:rsidRPr="00280D94">
              <w:rPr>
                <w:rFonts w:ascii="楷体_GB2312" w:eastAsia="楷体_GB2312" w:hAnsi="宋体" w:cs="宋体" w:hint="eastAsia"/>
                <w:b/>
                <w:bCs/>
                <w:kern w:val="0"/>
                <w:sz w:val="20"/>
              </w:rPr>
              <w:br/>
              <w:t>指标</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三级指标</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分值</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指标说明</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评分标准</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指标值计算公式和数据获取方式</w:t>
            </w:r>
          </w:p>
        </w:tc>
        <w:tc>
          <w:tcPr>
            <w:tcW w:w="708"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年初目标值</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实际完成值</w:t>
            </w:r>
          </w:p>
        </w:tc>
        <w:tc>
          <w:tcPr>
            <w:tcW w:w="850"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得分</w:t>
            </w:r>
          </w:p>
        </w:tc>
        <w:tc>
          <w:tcPr>
            <w:tcW w:w="131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未完成原因分析与改进措施</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绩效指标分析与建议</w:t>
            </w:r>
          </w:p>
        </w:tc>
      </w:tr>
      <w:tr w:rsidR="00280D94" w:rsidRPr="00280D94" w:rsidTr="00280D94">
        <w:trPr>
          <w:trHeight w:val="2235"/>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投入</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预算执行（25分）</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支出进度率</w:t>
            </w:r>
            <w:r w:rsidRPr="00280D94">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支出进度率=（实际支出/支出预算）×100%，用以反映和考核部门（单位）预算执行的及时性和均衡性程度。</w:t>
            </w:r>
            <w:r w:rsidRPr="00280D94">
              <w:rPr>
                <w:rFonts w:ascii="楷体_GB2312" w:eastAsia="楷体_GB2312" w:hAnsi="宋体" w:cs="宋体" w:hint="eastAsia"/>
                <w:kern w:val="0"/>
                <w:sz w:val="20"/>
              </w:rPr>
              <w:br/>
              <w:t>半年支出进度＝部门上半年实际支出/（上年结余结转+本年部门预算安排+上半年执行中追加追减）*100%。</w:t>
            </w:r>
            <w:r w:rsidRPr="00280D94">
              <w:rPr>
                <w:rFonts w:ascii="楷体_GB2312" w:eastAsia="楷体_GB2312" w:hAnsi="宋体" w:cs="宋体" w:hint="eastAsia"/>
                <w:kern w:val="0"/>
                <w:sz w:val="20"/>
              </w:rPr>
              <w:br/>
              <w:t>前三季度支出进度＝部门前三季度实际支出/（上年结余结转+本年部门预算安排+前三季度执行中追加追减）*100%。</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半年进度：进度率≥45%，得2分；进度率在40%（含）和45%之间，得1分；进度率＜40%，得0分。</w:t>
            </w:r>
            <w:r w:rsidRPr="00280D94">
              <w:rPr>
                <w:rFonts w:ascii="楷体_GB2312" w:eastAsia="楷体_GB2312" w:hAnsi="宋体" w:cs="宋体" w:hint="eastAsia"/>
                <w:kern w:val="0"/>
                <w:sz w:val="20"/>
              </w:rPr>
              <w:br/>
              <w:t>前三季度进度：进度率≥75%，得3分；进度率在60%（含）和75%之间，得2分；进度率＜60%，得0分。</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国库集中支付系统。支出进度率=（实际支出/支出预算）</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100%</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半年支出进度</w:t>
            </w:r>
            <w:r w:rsidRPr="00280D94">
              <w:rPr>
                <w:rFonts w:ascii="Arial" w:eastAsia="楷体_GB2312" w:hAnsi="Arial" w:cs="Arial"/>
                <w:color w:val="000000"/>
                <w:kern w:val="0"/>
                <w:sz w:val="20"/>
              </w:rPr>
              <w:t>≥</w:t>
            </w:r>
            <w:r w:rsidRPr="00280D94">
              <w:rPr>
                <w:rFonts w:ascii="楷体_GB2312" w:eastAsia="楷体_GB2312" w:hAnsi="宋体" w:cs="宋体" w:hint="eastAsia"/>
                <w:color w:val="000000"/>
                <w:kern w:val="0"/>
                <w:sz w:val="20"/>
              </w:rPr>
              <w:t>50%，第三季度支出进度</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50%。</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半年支出进度</w:t>
            </w:r>
            <w:r w:rsidRPr="00280D94">
              <w:rPr>
                <w:rFonts w:ascii="Arial" w:eastAsia="楷体_GB2312" w:hAnsi="Arial" w:cs="Arial"/>
                <w:color w:val="000000"/>
                <w:kern w:val="0"/>
                <w:sz w:val="20"/>
              </w:rPr>
              <w:t>≥</w:t>
            </w:r>
            <w:r w:rsidRPr="00280D94">
              <w:rPr>
                <w:rFonts w:ascii="楷体_GB2312" w:eastAsia="楷体_GB2312" w:hAnsi="宋体" w:cs="宋体" w:hint="eastAsia"/>
                <w:color w:val="000000"/>
                <w:kern w:val="0"/>
                <w:sz w:val="20"/>
              </w:rPr>
              <w:t>50%，第三季度支出进度</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50%。</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5</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已完成</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 xml:space="preserve">　</w:t>
            </w:r>
          </w:p>
        </w:tc>
      </w:tr>
      <w:tr w:rsidR="00280D94" w:rsidRPr="00280D94" w:rsidTr="00280D94">
        <w:trPr>
          <w:trHeight w:val="1530"/>
        </w:trPr>
        <w:tc>
          <w:tcPr>
            <w:tcW w:w="534"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700"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预算编制准确率（5分）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部门预算中除财政拨款外的其他收入预算与决算差异率。</w:t>
            </w:r>
            <w:r w:rsidRPr="00280D94">
              <w:rPr>
                <w:rFonts w:ascii="楷体_GB2312" w:eastAsia="楷体_GB2312" w:hAnsi="宋体" w:cs="宋体" w:hint="eastAsia"/>
                <w:kern w:val="0"/>
                <w:sz w:val="20"/>
              </w:rPr>
              <w:br/>
              <w:t>预算编制准确率＝其他收入决算数/其他收入预算数×100%-100%。</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预算编制准确率≤20%，得5分。</w:t>
            </w:r>
            <w:r w:rsidRPr="00280D94">
              <w:rPr>
                <w:rFonts w:ascii="楷体_GB2312" w:eastAsia="楷体_GB2312" w:hAnsi="宋体" w:cs="宋体" w:hint="eastAsia"/>
                <w:kern w:val="0"/>
                <w:sz w:val="20"/>
              </w:rPr>
              <w:br/>
              <w:t>预算编制准确率在20%和40%（含）之间，得3分。</w:t>
            </w:r>
            <w:r w:rsidRPr="00280D94">
              <w:rPr>
                <w:rFonts w:ascii="楷体_GB2312" w:eastAsia="楷体_GB2312" w:hAnsi="宋体" w:cs="宋体" w:hint="eastAsia"/>
                <w:kern w:val="0"/>
                <w:sz w:val="20"/>
              </w:rPr>
              <w:br/>
              <w:t>预算编制准确率＞40%，得0分。</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2019年初预算和决算数。预算编制准确率</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20%</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预算编制准确率</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20%</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预算编制准确率</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20%</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5</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已完成</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 xml:space="preserve">　</w:t>
            </w:r>
          </w:p>
        </w:tc>
      </w:tr>
      <w:tr w:rsidR="00280D94" w:rsidRPr="00280D94" w:rsidTr="00280D94">
        <w:trPr>
          <w:trHeight w:val="1782"/>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过程</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预算管理（15分）</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“三公经费”控制率</w:t>
            </w:r>
            <w:r w:rsidRPr="00280D94">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“三公经费”控制率=（“三公经费”实际支出数/“三公经费”预算安排数）×100%，用以反映和考核部门（单位）对“三公经费”的实际控制程度。</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三公经费控制率 ≤100%，得5分，每增加0.1个百分点扣0.5分，扣完为止。</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2019年预算和决算数。三公经费</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控制率=（</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三公经费</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实际支出数/</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三公经费</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预算安排数）</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100%</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三公经费控制率</w:t>
            </w:r>
            <w:r w:rsidRPr="00280D94">
              <w:rPr>
                <w:rFonts w:ascii="宋体" w:eastAsia="宋体" w:hAnsi="宋体" w:cs="宋体" w:hint="eastAsia"/>
                <w:color w:val="000000"/>
                <w:kern w:val="0"/>
                <w:sz w:val="20"/>
              </w:rPr>
              <w:t>≤</w:t>
            </w:r>
            <w:r w:rsidRPr="00280D94">
              <w:rPr>
                <w:rFonts w:ascii="楷体_GB2312" w:eastAsia="楷体_GB2312" w:hAnsi="宋体" w:cs="宋体" w:hint="eastAsia"/>
                <w:color w:val="000000"/>
                <w:kern w:val="0"/>
                <w:sz w:val="20"/>
              </w:rPr>
              <w:t>100%</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righ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76%</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5</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已完成</w:t>
            </w:r>
          </w:p>
        </w:tc>
        <w:tc>
          <w:tcPr>
            <w:tcW w:w="1600" w:type="dxa"/>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kern w:val="0"/>
                <w:sz w:val="20"/>
              </w:rPr>
            </w:pPr>
            <w:r w:rsidRPr="00280D94">
              <w:rPr>
                <w:rFonts w:ascii="仿宋_GB2312" w:eastAsia="仿宋_GB2312" w:hAnsi="宋体" w:cs="宋体" w:hint="eastAsia"/>
                <w:kern w:val="0"/>
                <w:sz w:val="20"/>
              </w:rPr>
              <w:t xml:space="preserve">　</w:t>
            </w:r>
          </w:p>
        </w:tc>
      </w:tr>
      <w:tr w:rsidR="00280D94" w:rsidRPr="00280D94" w:rsidTr="00280D94">
        <w:trPr>
          <w:trHeight w:val="1782"/>
        </w:trPr>
        <w:tc>
          <w:tcPr>
            <w:tcW w:w="534"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700"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资产管理规范性</w:t>
            </w:r>
            <w:r w:rsidRPr="00280D94">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部门（单位）资产管理是否规范，用以反映和考核部门（单位）资产管理情况。</w:t>
            </w:r>
            <w:r w:rsidRPr="00280D94">
              <w:rPr>
                <w:rFonts w:ascii="楷体_GB2312" w:eastAsia="楷体_GB2312" w:hAnsi="宋体" w:cs="宋体" w:hint="eastAsia"/>
                <w:kern w:val="0"/>
                <w:sz w:val="20"/>
              </w:rPr>
              <w:br/>
              <w:t>1.新增资产配置按预算执行。</w:t>
            </w:r>
            <w:r w:rsidRPr="00280D94">
              <w:rPr>
                <w:rFonts w:ascii="楷体_GB2312" w:eastAsia="楷体_GB2312" w:hAnsi="宋体" w:cs="宋体" w:hint="eastAsia"/>
                <w:kern w:val="0"/>
                <w:sz w:val="20"/>
              </w:rPr>
              <w:br/>
              <w:t>2.资产有偿使用、处置按规定程序审批。</w:t>
            </w:r>
            <w:r w:rsidRPr="00280D94">
              <w:rPr>
                <w:rFonts w:ascii="楷体_GB2312" w:eastAsia="楷体_GB2312" w:hAnsi="宋体" w:cs="宋体" w:hint="eastAsia"/>
                <w:kern w:val="0"/>
                <w:sz w:val="20"/>
              </w:rPr>
              <w:br/>
              <w:t>3.资产收益及时、足额上缴财政。</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全部符合5分，有1项不符扣2分,扣完为止。</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按照蓝田县财政局关于行政事业单位国有资产管理规定</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资产管理严格按照规定执行</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资产管理严格按照规定执行</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5</w:t>
            </w:r>
          </w:p>
        </w:tc>
        <w:tc>
          <w:tcPr>
            <w:tcW w:w="131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color w:val="000000"/>
                <w:kern w:val="0"/>
                <w:sz w:val="20"/>
              </w:rPr>
            </w:pPr>
            <w:r w:rsidRPr="00280D94">
              <w:rPr>
                <w:rFonts w:ascii="仿宋_GB2312" w:eastAsia="仿宋_GB2312" w:hAnsi="宋体" w:cs="宋体" w:hint="eastAsia"/>
                <w:color w:val="000000"/>
                <w:kern w:val="0"/>
                <w:sz w:val="20"/>
              </w:rPr>
              <w:t>已完成</w:t>
            </w:r>
          </w:p>
        </w:tc>
        <w:tc>
          <w:tcPr>
            <w:tcW w:w="160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加快资产购置和处置审批，提高资产管理效率。</w:t>
            </w:r>
          </w:p>
        </w:tc>
      </w:tr>
      <w:tr w:rsidR="00280D94" w:rsidRPr="00280D94" w:rsidTr="00280D94">
        <w:trPr>
          <w:trHeight w:val="1782"/>
        </w:trPr>
        <w:tc>
          <w:tcPr>
            <w:tcW w:w="534" w:type="dxa"/>
            <w:tcBorders>
              <w:top w:val="nil"/>
              <w:left w:val="nil"/>
              <w:bottom w:val="nil"/>
              <w:right w:val="nil"/>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p>
        </w:tc>
        <w:tc>
          <w:tcPr>
            <w:tcW w:w="700" w:type="dxa"/>
            <w:tcBorders>
              <w:top w:val="nil"/>
              <w:left w:val="nil"/>
              <w:bottom w:val="nil"/>
              <w:right w:val="nil"/>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p>
        </w:tc>
        <w:tc>
          <w:tcPr>
            <w:tcW w:w="616" w:type="dxa"/>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417" w:type="dxa"/>
            <w:tcBorders>
              <w:top w:val="nil"/>
              <w:left w:val="nil"/>
              <w:bottom w:val="nil"/>
              <w:right w:val="nil"/>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p>
        </w:tc>
        <w:tc>
          <w:tcPr>
            <w:tcW w:w="3370" w:type="dxa"/>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3969" w:type="dxa"/>
            <w:gridSpan w:val="2"/>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1134" w:type="dxa"/>
            <w:gridSpan w:val="2"/>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708" w:type="dxa"/>
            <w:gridSpan w:val="2"/>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851" w:type="dxa"/>
            <w:gridSpan w:val="2"/>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850" w:type="dxa"/>
            <w:gridSpan w:val="2"/>
            <w:tcBorders>
              <w:top w:val="nil"/>
              <w:left w:val="nil"/>
              <w:bottom w:val="nil"/>
              <w:right w:val="nil"/>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p>
        </w:tc>
        <w:tc>
          <w:tcPr>
            <w:tcW w:w="1310" w:type="dxa"/>
            <w:tcBorders>
              <w:top w:val="nil"/>
              <w:left w:val="nil"/>
              <w:bottom w:val="nil"/>
              <w:right w:val="nil"/>
            </w:tcBorders>
            <w:shd w:val="clear" w:color="auto" w:fill="auto"/>
            <w:noWrap/>
            <w:vAlign w:val="center"/>
            <w:hideMark/>
          </w:tcPr>
          <w:p w:rsidR="00280D94" w:rsidRPr="00280D94" w:rsidRDefault="00280D94" w:rsidP="00280D94">
            <w:pPr>
              <w:widowControl/>
              <w:jc w:val="left"/>
              <w:rPr>
                <w:rFonts w:ascii="宋体" w:eastAsia="宋体" w:hAnsi="宋体" w:cs="宋体"/>
                <w:kern w:val="0"/>
                <w:sz w:val="24"/>
                <w:szCs w:val="24"/>
              </w:rPr>
            </w:pPr>
          </w:p>
        </w:tc>
        <w:tc>
          <w:tcPr>
            <w:tcW w:w="1600" w:type="dxa"/>
            <w:tcBorders>
              <w:top w:val="nil"/>
              <w:left w:val="nil"/>
              <w:bottom w:val="nil"/>
              <w:right w:val="nil"/>
            </w:tcBorders>
            <w:shd w:val="clear" w:color="auto" w:fill="auto"/>
            <w:noWrap/>
            <w:vAlign w:val="center"/>
            <w:hideMark/>
          </w:tcPr>
          <w:p w:rsidR="00280D94" w:rsidRPr="00280D94" w:rsidRDefault="00280D94" w:rsidP="00280D94">
            <w:pPr>
              <w:widowControl/>
              <w:jc w:val="left"/>
              <w:rPr>
                <w:rFonts w:ascii="宋体" w:eastAsia="宋体" w:hAnsi="宋体" w:cs="宋体"/>
                <w:kern w:val="0"/>
                <w:sz w:val="24"/>
                <w:szCs w:val="24"/>
              </w:rPr>
            </w:pPr>
          </w:p>
        </w:tc>
      </w:tr>
      <w:tr w:rsidR="00280D94" w:rsidRPr="00280D94" w:rsidTr="00280D94">
        <w:trPr>
          <w:trHeight w:val="795"/>
        </w:trPr>
        <w:tc>
          <w:tcPr>
            <w:tcW w:w="53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一级</w:t>
            </w:r>
            <w:r w:rsidRPr="00280D94">
              <w:rPr>
                <w:rFonts w:ascii="楷体_GB2312" w:eastAsia="楷体_GB2312" w:hAnsi="宋体" w:cs="宋体" w:hint="eastAsia"/>
                <w:b/>
                <w:bCs/>
                <w:kern w:val="0"/>
                <w:sz w:val="20"/>
              </w:rPr>
              <w:br/>
              <w:t>指标</w:t>
            </w:r>
          </w:p>
        </w:tc>
        <w:tc>
          <w:tcPr>
            <w:tcW w:w="70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二级</w:t>
            </w:r>
            <w:r w:rsidRPr="00280D94">
              <w:rPr>
                <w:rFonts w:ascii="楷体_GB2312" w:eastAsia="楷体_GB2312" w:hAnsi="宋体" w:cs="宋体" w:hint="eastAsia"/>
                <w:b/>
                <w:bCs/>
                <w:kern w:val="0"/>
                <w:sz w:val="20"/>
              </w:rPr>
              <w:br/>
              <w:t>指标</w:t>
            </w:r>
          </w:p>
        </w:tc>
        <w:tc>
          <w:tcPr>
            <w:tcW w:w="616"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三级指标</w:t>
            </w:r>
          </w:p>
        </w:tc>
        <w:tc>
          <w:tcPr>
            <w:tcW w:w="417"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分值</w:t>
            </w:r>
          </w:p>
        </w:tc>
        <w:tc>
          <w:tcPr>
            <w:tcW w:w="337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指标说明</w:t>
            </w:r>
          </w:p>
        </w:tc>
        <w:tc>
          <w:tcPr>
            <w:tcW w:w="3969"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评分标准</w:t>
            </w:r>
          </w:p>
        </w:tc>
        <w:tc>
          <w:tcPr>
            <w:tcW w:w="1134"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指标值计算公式和数据获取方式</w:t>
            </w:r>
          </w:p>
        </w:tc>
        <w:tc>
          <w:tcPr>
            <w:tcW w:w="708"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年初目标值</w:t>
            </w:r>
          </w:p>
        </w:tc>
        <w:tc>
          <w:tcPr>
            <w:tcW w:w="851"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实际完成值</w:t>
            </w:r>
          </w:p>
        </w:tc>
        <w:tc>
          <w:tcPr>
            <w:tcW w:w="850" w:type="dxa"/>
            <w:gridSpan w:val="2"/>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b/>
                <w:bCs/>
                <w:kern w:val="0"/>
                <w:sz w:val="20"/>
              </w:rPr>
            </w:pPr>
            <w:r w:rsidRPr="00280D94">
              <w:rPr>
                <w:rFonts w:ascii="楷体_GB2312" w:eastAsia="楷体_GB2312" w:hAnsi="宋体" w:cs="宋体" w:hint="eastAsia"/>
                <w:b/>
                <w:bCs/>
                <w:kern w:val="0"/>
                <w:sz w:val="20"/>
              </w:rPr>
              <w:t>得分</w:t>
            </w:r>
          </w:p>
        </w:tc>
        <w:tc>
          <w:tcPr>
            <w:tcW w:w="131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未完成原因分析与改进措施</w:t>
            </w:r>
          </w:p>
        </w:tc>
        <w:tc>
          <w:tcPr>
            <w:tcW w:w="1600" w:type="dxa"/>
            <w:tcBorders>
              <w:top w:val="single" w:sz="4" w:space="0" w:color="auto"/>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仿宋_GB2312" w:eastAsia="仿宋_GB2312" w:hAnsi="宋体" w:cs="宋体"/>
                <w:b/>
                <w:bCs/>
                <w:kern w:val="0"/>
                <w:sz w:val="20"/>
              </w:rPr>
            </w:pPr>
            <w:r w:rsidRPr="00280D94">
              <w:rPr>
                <w:rFonts w:ascii="仿宋_GB2312" w:eastAsia="仿宋_GB2312" w:hAnsi="宋体" w:cs="宋体" w:hint="eastAsia"/>
                <w:b/>
                <w:bCs/>
                <w:kern w:val="0"/>
                <w:sz w:val="20"/>
              </w:rPr>
              <w:t>绩效指标分析与建议</w:t>
            </w:r>
          </w:p>
        </w:tc>
      </w:tr>
      <w:tr w:rsidR="00280D94" w:rsidRPr="00280D94" w:rsidTr="00280D94">
        <w:trPr>
          <w:trHeight w:val="2880"/>
        </w:trPr>
        <w:tc>
          <w:tcPr>
            <w:tcW w:w="534" w:type="dxa"/>
            <w:tcBorders>
              <w:top w:val="nil"/>
              <w:left w:val="single" w:sz="4" w:space="0" w:color="auto"/>
              <w:bottom w:val="single" w:sz="4" w:space="0" w:color="auto"/>
              <w:right w:val="single" w:sz="4" w:space="0" w:color="auto"/>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过程</w:t>
            </w:r>
          </w:p>
        </w:tc>
        <w:tc>
          <w:tcPr>
            <w:tcW w:w="70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预算管理（15分）</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资金使用合规性</w:t>
            </w:r>
            <w:r w:rsidRPr="00280D94">
              <w:rPr>
                <w:rFonts w:ascii="楷体_GB2312" w:eastAsia="楷体_GB2312" w:hAnsi="宋体" w:cs="宋体" w:hint="eastAsia"/>
                <w:kern w:val="0"/>
                <w:sz w:val="20"/>
              </w:rPr>
              <w:br/>
              <w:t>（5分）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5</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部门（单位）使用预算资金是否符合相关的预算财务管理制度的规定，用以反映和考核部门（单位）预算资金的规范运行情况。</w:t>
            </w:r>
            <w:r w:rsidRPr="00280D94">
              <w:rPr>
                <w:rFonts w:ascii="楷体_GB2312" w:eastAsia="楷体_GB2312" w:hAnsi="宋体" w:cs="宋体" w:hint="eastAsia"/>
                <w:kern w:val="0"/>
                <w:sz w:val="20"/>
              </w:rPr>
              <w:br/>
              <w:t>1.符合国家财经法规和财务管理制度规定以及有关专项资金管理办法的规定；</w:t>
            </w:r>
            <w:r w:rsidRPr="00280D94">
              <w:rPr>
                <w:rFonts w:ascii="楷体_GB2312" w:eastAsia="楷体_GB2312" w:hAnsi="宋体" w:cs="宋体" w:hint="eastAsia"/>
                <w:kern w:val="0"/>
                <w:sz w:val="20"/>
              </w:rPr>
              <w:br/>
              <w:t>2.资金的拨付有完整的审批程序和手续；</w:t>
            </w:r>
            <w:r w:rsidRPr="00280D94">
              <w:rPr>
                <w:rFonts w:ascii="楷体_GB2312" w:eastAsia="楷体_GB2312" w:hAnsi="宋体" w:cs="宋体" w:hint="eastAsia"/>
                <w:kern w:val="0"/>
                <w:sz w:val="20"/>
              </w:rPr>
              <w:br/>
              <w:t>3.重大项目开支经过评估论证；</w:t>
            </w:r>
            <w:r w:rsidRPr="00280D94">
              <w:rPr>
                <w:rFonts w:ascii="楷体_GB2312" w:eastAsia="楷体_GB2312" w:hAnsi="宋体" w:cs="宋体" w:hint="eastAsia"/>
                <w:kern w:val="0"/>
                <w:sz w:val="20"/>
              </w:rPr>
              <w:br/>
              <w:t>4.符合部门预算批复的用途；</w:t>
            </w:r>
            <w:r w:rsidRPr="00280D94">
              <w:rPr>
                <w:rFonts w:ascii="楷体_GB2312" w:eastAsia="楷体_GB2312" w:hAnsi="宋体" w:cs="宋体" w:hint="eastAsia"/>
                <w:kern w:val="0"/>
                <w:sz w:val="20"/>
              </w:rPr>
              <w:br/>
              <w:t>5.不存在截留、挤占、挪用、虚列支出等情况。</w:t>
            </w:r>
          </w:p>
        </w:tc>
        <w:tc>
          <w:tcPr>
            <w:tcW w:w="3969" w:type="dxa"/>
            <w:gridSpan w:val="2"/>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全部符合5分,有1项不符扣2分。</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根据本年度资产实际情况分析</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资金使用严格按照相关法律法规执行</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资金使用严格按照相关法律法规执行</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5</w:t>
            </w:r>
          </w:p>
        </w:tc>
        <w:tc>
          <w:tcPr>
            <w:tcW w:w="1310" w:type="dxa"/>
            <w:tcBorders>
              <w:top w:val="nil"/>
              <w:left w:val="nil"/>
              <w:bottom w:val="single" w:sz="8" w:space="0" w:color="auto"/>
              <w:right w:val="single" w:sz="8" w:space="0" w:color="auto"/>
            </w:tcBorders>
            <w:shd w:val="clear" w:color="auto" w:fill="auto"/>
            <w:noWrap/>
            <w:vAlign w:val="center"/>
            <w:hideMark/>
          </w:tcPr>
          <w:p w:rsidR="00280D94" w:rsidRPr="00280D94" w:rsidRDefault="00280D94" w:rsidP="00280D94">
            <w:pPr>
              <w:widowControl/>
              <w:jc w:val="center"/>
              <w:rPr>
                <w:rFonts w:ascii="仿宋" w:eastAsia="仿宋" w:hAnsi="仿宋" w:cs="宋体"/>
                <w:color w:val="000000"/>
                <w:kern w:val="0"/>
                <w:sz w:val="20"/>
              </w:rPr>
            </w:pPr>
            <w:r w:rsidRPr="00280D94">
              <w:rPr>
                <w:rFonts w:ascii="仿宋" w:eastAsia="仿宋" w:hAnsi="仿宋" w:cs="宋体" w:hint="eastAsia"/>
                <w:color w:val="000000"/>
                <w:kern w:val="0"/>
                <w:sz w:val="20"/>
              </w:rPr>
              <w:t>已完成</w:t>
            </w:r>
          </w:p>
        </w:tc>
        <w:tc>
          <w:tcPr>
            <w:tcW w:w="160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预算资金.符合国家财经法规和财务管理制度规定以及有关专项资金管理办法的规定；资金的拨付有完整的审批程序和手续；.重大项目开支经过评估论证；符合部门预算批复的用途；不存在截留、挤占、挪用、虚列支出等情况。</w:t>
            </w:r>
          </w:p>
        </w:tc>
      </w:tr>
      <w:tr w:rsidR="00280D94" w:rsidRPr="00280D94" w:rsidTr="00280D94">
        <w:trPr>
          <w:trHeight w:val="1635"/>
        </w:trPr>
        <w:tc>
          <w:tcPr>
            <w:tcW w:w="534" w:type="dxa"/>
            <w:vMerge w:val="restart"/>
            <w:tcBorders>
              <w:top w:val="nil"/>
              <w:left w:val="single" w:sz="4" w:space="0" w:color="auto"/>
              <w:bottom w:val="single" w:sz="4" w:space="0" w:color="auto"/>
              <w:right w:val="single" w:sz="4" w:space="0" w:color="auto"/>
            </w:tcBorders>
            <w:shd w:val="clear" w:color="auto" w:fill="auto"/>
            <w:noWrap/>
            <w:textDirection w:val="tbRlV"/>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lastRenderedPageBreak/>
              <w:t>效果</w:t>
            </w:r>
          </w:p>
        </w:tc>
        <w:tc>
          <w:tcPr>
            <w:tcW w:w="700" w:type="dxa"/>
            <w:vMerge w:val="restart"/>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履职尽责（60分）</w:t>
            </w: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项目产出</w:t>
            </w:r>
            <w:r w:rsidRPr="00280D94">
              <w:rPr>
                <w:rFonts w:ascii="楷体_GB2312" w:eastAsia="楷体_GB2312" w:hAnsi="宋体" w:cs="宋体" w:hint="eastAsia"/>
                <w:kern w:val="0"/>
                <w:sz w:val="20"/>
              </w:rPr>
              <w:br/>
              <w:t>（40分）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40</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 xml:space="preserve">　</w:t>
            </w:r>
          </w:p>
        </w:tc>
        <w:tc>
          <w:tcPr>
            <w:tcW w:w="3969" w:type="dxa"/>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1.若为定性指标，根据“三档”原则分别按照指标分值的100-80%（含）、80-50%（含）、50-10%来记分；</w:t>
            </w:r>
            <w:r w:rsidRPr="00280D94">
              <w:rPr>
                <w:rFonts w:ascii="楷体_GB2312" w:eastAsia="楷体_GB2312" w:hAnsi="宋体" w:cs="宋体" w:hint="eastAsia"/>
                <w:kern w:val="0"/>
                <w:sz w:val="20"/>
              </w:rPr>
              <w:b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2019年决算数并与年初预算目标绩效表对比</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定性指标部分完成,定量指标全部完成。</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定性指标部分完成，定量指标全部完成。</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35</w:t>
            </w:r>
          </w:p>
        </w:tc>
        <w:tc>
          <w:tcPr>
            <w:tcW w:w="1310" w:type="dxa"/>
            <w:tcBorders>
              <w:top w:val="nil"/>
              <w:left w:val="nil"/>
              <w:bottom w:val="single" w:sz="8" w:space="0" w:color="auto"/>
              <w:right w:val="single" w:sz="8" w:space="0" w:color="auto"/>
            </w:tcBorders>
            <w:shd w:val="clear" w:color="auto" w:fill="auto"/>
            <w:noWrap/>
            <w:vAlign w:val="center"/>
            <w:hideMark/>
          </w:tcPr>
          <w:p w:rsidR="00280D94" w:rsidRPr="00280D94" w:rsidRDefault="00280D94" w:rsidP="00280D94">
            <w:pPr>
              <w:widowControl/>
              <w:jc w:val="center"/>
              <w:rPr>
                <w:rFonts w:ascii="仿宋" w:eastAsia="仿宋" w:hAnsi="仿宋" w:cs="宋体"/>
                <w:color w:val="000000"/>
                <w:kern w:val="0"/>
                <w:sz w:val="20"/>
              </w:rPr>
            </w:pPr>
            <w:r w:rsidRPr="00280D94">
              <w:rPr>
                <w:rFonts w:ascii="仿宋" w:eastAsia="仿宋" w:hAnsi="仿宋" w:cs="宋体" w:hint="eastAsia"/>
                <w:color w:val="000000"/>
                <w:kern w:val="0"/>
                <w:sz w:val="20"/>
              </w:rPr>
              <w:t>已完成</w:t>
            </w:r>
          </w:p>
        </w:tc>
        <w:tc>
          <w:tcPr>
            <w:tcW w:w="160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我单位绩效目标自评表含定量指标和定性指标。本年度数量指标、时效指标、成本指标、效益指标完成情况良好。</w:t>
            </w:r>
          </w:p>
        </w:tc>
      </w:tr>
      <w:tr w:rsidR="00280D94" w:rsidRPr="00280D94" w:rsidTr="00280D94">
        <w:trPr>
          <w:trHeight w:val="1635"/>
        </w:trPr>
        <w:tc>
          <w:tcPr>
            <w:tcW w:w="534"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700" w:type="dxa"/>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616"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项目效益</w:t>
            </w:r>
            <w:r w:rsidRPr="00280D94">
              <w:rPr>
                <w:rFonts w:ascii="楷体_GB2312" w:eastAsia="楷体_GB2312" w:hAnsi="宋体" w:cs="宋体" w:hint="eastAsia"/>
                <w:kern w:val="0"/>
                <w:sz w:val="20"/>
              </w:rPr>
              <w:br/>
              <w:t>（20分）</w:t>
            </w:r>
          </w:p>
        </w:tc>
        <w:tc>
          <w:tcPr>
            <w:tcW w:w="417"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kern w:val="0"/>
                <w:sz w:val="20"/>
              </w:rPr>
            </w:pPr>
            <w:r w:rsidRPr="00280D94">
              <w:rPr>
                <w:rFonts w:ascii="楷体_GB2312" w:eastAsia="楷体_GB2312" w:hAnsi="宋体" w:cs="宋体" w:hint="eastAsia"/>
                <w:kern w:val="0"/>
                <w:sz w:val="20"/>
              </w:rPr>
              <w:t>20</w:t>
            </w:r>
          </w:p>
        </w:tc>
        <w:tc>
          <w:tcPr>
            <w:tcW w:w="3370" w:type="dxa"/>
            <w:tcBorders>
              <w:top w:val="nil"/>
              <w:left w:val="nil"/>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kern w:val="0"/>
                <w:sz w:val="20"/>
              </w:rPr>
            </w:pPr>
            <w:r w:rsidRPr="00280D94">
              <w:rPr>
                <w:rFonts w:ascii="楷体_GB2312" w:eastAsia="楷体_GB2312" w:hAnsi="宋体" w:cs="宋体" w:hint="eastAsia"/>
                <w:kern w:val="0"/>
                <w:sz w:val="20"/>
              </w:rPr>
              <w:t xml:space="preserve">　</w:t>
            </w:r>
          </w:p>
        </w:tc>
        <w:tc>
          <w:tcPr>
            <w:tcW w:w="3969" w:type="dxa"/>
            <w:gridSpan w:val="2"/>
            <w:vMerge/>
            <w:tcBorders>
              <w:top w:val="nil"/>
              <w:left w:val="single" w:sz="4" w:space="0" w:color="auto"/>
              <w:bottom w:val="single" w:sz="4" w:space="0" w:color="auto"/>
              <w:right w:val="single" w:sz="4" w:space="0" w:color="auto"/>
            </w:tcBorders>
            <w:vAlign w:val="center"/>
            <w:hideMark/>
          </w:tcPr>
          <w:p w:rsidR="00280D94" w:rsidRPr="00280D94" w:rsidRDefault="00280D94" w:rsidP="00280D94">
            <w:pPr>
              <w:widowControl/>
              <w:jc w:val="left"/>
              <w:rPr>
                <w:rFonts w:ascii="楷体_GB2312" w:eastAsia="楷体_GB2312" w:hAnsi="宋体" w:cs="宋体"/>
                <w:kern w:val="0"/>
                <w:sz w:val="20"/>
              </w:rPr>
            </w:pPr>
          </w:p>
        </w:tc>
        <w:tc>
          <w:tcPr>
            <w:tcW w:w="1134"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根据工作实际与年初预算目标绩效表对比</w:t>
            </w:r>
          </w:p>
        </w:tc>
        <w:tc>
          <w:tcPr>
            <w:tcW w:w="708"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定性指标全部完成。</w:t>
            </w:r>
          </w:p>
        </w:tc>
        <w:tc>
          <w:tcPr>
            <w:tcW w:w="851"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定性指标全部完成。</w:t>
            </w:r>
          </w:p>
        </w:tc>
        <w:tc>
          <w:tcPr>
            <w:tcW w:w="850" w:type="dxa"/>
            <w:gridSpan w:val="2"/>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center"/>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18</w:t>
            </w:r>
          </w:p>
        </w:tc>
        <w:tc>
          <w:tcPr>
            <w:tcW w:w="1310" w:type="dxa"/>
            <w:tcBorders>
              <w:top w:val="nil"/>
              <w:left w:val="nil"/>
              <w:bottom w:val="single" w:sz="8" w:space="0" w:color="auto"/>
              <w:right w:val="single" w:sz="8" w:space="0" w:color="auto"/>
            </w:tcBorders>
            <w:shd w:val="clear" w:color="auto" w:fill="auto"/>
            <w:noWrap/>
            <w:vAlign w:val="center"/>
            <w:hideMark/>
          </w:tcPr>
          <w:p w:rsidR="00280D94" w:rsidRPr="00280D94" w:rsidRDefault="00280D94" w:rsidP="00280D94">
            <w:pPr>
              <w:widowControl/>
              <w:jc w:val="center"/>
              <w:rPr>
                <w:rFonts w:ascii="仿宋" w:eastAsia="仿宋" w:hAnsi="仿宋" w:cs="宋体"/>
                <w:color w:val="000000"/>
                <w:kern w:val="0"/>
                <w:sz w:val="20"/>
              </w:rPr>
            </w:pPr>
            <w:r w:rsidRPr="00280D94">
              <w:rPr>
                <w:rFonts w:ascii="仿宋" w:eastAsia="仿宋" w:hAnsi="仿宋" w:cs="宋体" w:hint="eastAsia"/>
                <w:color w:val="000000"/>
                <w:kern w:val="0"/>
                <w:sz w:val="20"/>
              </w:rPr>
              <w:t>已完成</w:t>
            </w:r>
          </w:p>
        </w:tc>
        <w:tc>
          <w:tcPr>
            <w:tcW w:w="1600" w:type="dxa"/>
            <w:tcBorders>
              <w:top w:val="nil"/>
              <w:left w:val="nil"/>
              <w:bottom w:val="single" w:sz="8" w:space="0" w:color="auto"/>
              <w:right w:val="single" w:sz="8" w:space="0" w:color="auto"/>
            </w:tcBorders>
            <w:shd w:val="clear" w:color="auto" w:fill="auto"/>
            <w:vAlign w:val="center"/>
            <w:hideMark/>
          </w:tcPr>
          <w:p w:rsidR="00280D94" w:rsidRPr="00280D94" w:rsidRDefault="00280D94" w:rsidP="00280D94">
            <w:pPr>
              <w:widowControl/>
              <w:jc w:val="left"/>
              <w:rPr>
                <w:rFonts w:ascii="楷体_GB2312" w:eastAsia="楷体_GB2312" w:hAnsi="宋体" w:cs="宋体"/>
                <w:color w:val="000000"/>
                <w:kern w:val="0"/>
                <w:sz w:val="20"/>
              </w:rPr>
            </w:pPr>
            <w:r w:rsidRPr="00280D94">
              <w:rPr>
                <w:rFonts w:ascii="楷体_GB2312" w:eastAsia="楷体_GB2312" w:hAnsi="宋体" w:cs="宋体" w:hint="eastAsia"/>
                <w:color w:val="000000"/>
                <w:kern w:val="0"/>
                <w:sz w:val="20"/>
              </w:rPr>
              <w:t>我单位绩效目标自评表含定量指标和定性指标。本年度数量指标、时效指标、成本指标、效益指标完成情况良好。</w:t>
            </w:r>
          </w:p>
        </w:tc>
      </w:tr>
      <w:tr w:rsidR="00280D94" w:rsidRPr="00280D94" w:rsidTr="00280D94">
        <w:trPr>
          <w:trHeight w:val="1395"/>
        </w:trPr>
        <w:tc>
          <w:tcPr>
            <w:tcW w:w="16059" w:type="dxa"/>
            <w:gridSpan w:val="17"/>
            <w:tcBorders>
              <w:top w:val="single" w:sz="4" w:space="0" w:color="auto"/>
              <w:left w:val="single" w:sz="4" w:space="0" w:color="auto"/>
              <w:bottom w:val="single" w:sz="4" w:space="0" w:color="auto"/>
              <w:right w:val="single" w:sz="4" w:space="0" w:color="auto"/>
            </w:tcBorders>
            <w:shd w:val="clear" w:color="auto" w:fill="auto"/>
            <w:vAlign w:val="center"/>
            <w:hideMark/>
          </w:tcPr>
          <w:p w:rsidR="00280D94" w:rsidRPr="00280D94" w:rsidRDefault="00280D94" w:rsidP="00280D94">
            <w:pPr>
              <w:widowControl/>
              <w:jc w:val="left"/>
              <w:rPr>
                <w:rFonts w:ascii="宋体" w:eastAsia="宋体" w:hAnsi="宋体" w:cs="宋体"/>
                <w:kern w:val="0"/>
                <w:sz w:val="20"/>
              </w:rPr>
            </w:pPr>
            <w:r w:rsidRPr="00280D94">
              <w:rPr>
                <w:rFonts w:ascii="宋体" w:eastAsia="宋体" w:hAnsi="宋体" w:cs="宋体" w:hint="eastAsia"/>
                <w:kern w:val="0"/>
                <w:sz w:val="20"/>
              </w:rPr>
              <w:t>备注：</w:t>
            </w:r>
            <w:r w:rsidRPr="00280D94">
              <w:rPr>
                <w:rFonts w:ascii="宋体" w:eastAsia="宋体" w:hAnsi="宋体" w:cs="宋体" w:hint="eastAsia"/>
                <w:kern w:val="0"/>
                <w:sz w:val="20"/>
              </w:rPr>
              <w:br/>
              <w:t>1.“项目产出”和“项目效果”直接细化成部门年初绩效目标中的指标，并根据重要程度赋权。</w:t>
            </w:r>
            <w:r w:rsidRPr="00280D94">
              <w:rPr>
                <w:rFonts w:ascii="宋体" w:eastAsia="宋体" w:hAnsi="宋体" w:cs="宋体" w:hint="eastAsia"/>
                <w:kern w:val="0"/>
                <w:sz w:val="20"/>
              </w:rPr>
              <w:b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rsidR="00926DEC" w:rsidRDefault="00926DEC">
      <w:pPr>
        <w:widowControl/>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926DEC">
      <w:pPr>
        <w:rPr>
          <w:rFonts w:ascii="黑体" w:eastAsia="黑体" w:hAnsi="黑体"/>
          <w:color w:val="000000"/>
          <w:kern w:val="0"/>
          <w:szCs w:val="32"/>
        </w:rPr>
        <w:sectPr w:rsidR="00926DEC">
          <w:pgSz w:w="16838" w:h="11906" w:orient="landscape"/>
          <w:pgMar w:top="1800" w:right="1440" w:bottom="1800" w:left="1440" w:header="851" w:footer="992" w:gutter="0"/>
          <w:cols w:space="425"/>
          <w:docGrid w:type="lines" w:linePitch="312"/>
        </w:sectPr>
      </w:pPr>
    </w:p>
    <w:p w:rsidR="00926DEC" w:rsidRDefault="00803916">
      <w:pPr>
        <w:ind w:firstLineChars="200" w:firstLine="640"/>
        <w:rPr>
          <w:rFonts w:ascii="黑体" w:eastAsia="黑体" w:hAnsi="黑体"/>
          <w:szCs w:val="32"/>
        </w:rPr>
      </w:pPr>
      <w:r>
        <w:rPr>
          <w:rFonts w:ascii="黑体" w:eastAsia="黑体" w:hAnsi="黑体" w:hint="eastAsia"/>
          <w:color w:val="000000"/>
          <w:kern w:val="0"/>
          <w:szCs w:val="32"/>
        </w:rPr>
        <w:lastRenderedPageBreak/>
        <w:t>十一、其他重要事项说明</w:t>
      </w:r>
    </w:p>
    <w:p w:rsidR="00926DEC" w:rsidRDefault="00803916" w:rsidP="00B27939">
      <w:pPr>
        <w:widowControl/>
        <w:ind w:firstLineChars="200" w:firstLine="643"/>
        <w:jc w:val="left"/>
      </w:pPr>
      <w:r>
        <w:rPr>
          <w:rFonts w:ascii="楷体_GB2312" w:eastAsia="楷体_GB2312" w:hAnsi="宋体" w:cs="楷体_GB2312"/>
          <w:b/>
          <w:color w:val="000000"/>
          <w:kern w:val="0"/>
          <w:szCs w:val="32"/>
        </w:rPr>
        <w:t>（一）机关运行经费支出情况</w:t>
      </w:r>
      <w:r>
        <w:rPr>
          <w:rFonts w:ascii="楷体_GB2312" w:eastAsia="楷体_GB2312" w:hAnsi="宋体" w:cs="楷体_GB2312" w:hint="eastAsia"/>
          <w:b/>
          <w:color w:val="000000"/>
          <w:kern w:val="0"/>
          <w:szCs w:val="32"/>
        </w:rPr>
        <w:t>说明</w:t>
      </w:r>
      <w:r>
        <w:rPr>
          <w:rFonts w:ascii="楷体_GB2312" w:eastAsia="楷体_GB2312" w:hAnsi="宋体" w:cs="楷体_GB2312"/>
          <w:b/>
          <w:color w:val="000000"/>
          <w:kern w:val="0"/>
          <w:szCs w:val="32"/>
        </w:rPr>
        <w:t xml:space="preserve">。 </w:t>
      </w:r>
    </w:p>
    <w:p w:rsidR="00926DEC" w:rsidRDefault="00803916" w:rsidP="00B67808">
      <w:pPr>
        <w:widowControl/>
        <w:ind w:firstLineChars="200" w:firstLine="620"/>
        <w:jc w:val="left"/>
        <w:rPr>
          <w:rFonts w:ascii="仿宋_GB2312" w:eastAsia="仿宋_GB2312" w:hAnsi="宋体" w:cs="仿宋_GB2312"/>
          <w:color w:val="000000"/>
          <w:kern w:val="0"/>
          <w:szCs w:val="32"/>
        </w:rPr>
      </w:pPr>
      <w:r>
        <w:rPr>
          <w:rFonts w:ascii="仿宋_GB2312" w:eastAsia="仿宋_GB2312" w:hAnsi="仿宋_GB2312" w:cs="仿宋_GB2312"/>
          <w:color w:val="000000"/>
          <w:kern w:val="0"/>
          <w:sz w:val="31"/>
          <w:szCs w:val="31"/>
        </w:rPr>
        <w:t>2019年</w:t>
      </w:r>
      <w:r>
        <w:rPr>
          <w:rFonts w:ascii="仿宋_GB2312" w:eastAsia="仿宋_GB2312" w:hAnsi="仿宋_GB2312" w:cs="仿宋_GB2312" w:hint="eastAsia"/>
          <w:color w:val="000000"/>
          <w:kern w:val="0"/>
          <w:sz w:val="31"/>
          <w:szCs w:val="31"/>
        </w:rPr>
        <w:t>度</w:t>
      </w:r>
      <w:r>
        <w:rPr>
          <w:rFonts w:ascii="仿宋_GB2312" w:eastAsia="仿宋_GB2312" w:hAnsi="仿宋_GB2312" w:cs="仿宋_GB2312"/>
          <w:color w:val="000000"/>
          <w:kern w:val="0"/>
          <w:sz w:val="31"/>
          <w:szCs w:val="31"/>
        </w:rPr>
        <w:t>机关运行经费</w:t>
      </w:r>
      <w:r>
        <w:rPr>
          <w:rFonts w:ascii="仿宋_GB2312" w:eastAsia="仿宋_GB2312" w:hAnsi="宋体" w:cs="仿宋_GB2312"/>
          <w:color w:val="000000"/>
          <w:kern w:val="0"/>
          <w:szCs w:val="32"/>
        </w:rPr>
        <w:t>预算为</w:t>
      </w:r>
      <w:r w:rsidR="00B67808">
        <w:rPr>
          <w:rFonts w:ascii="仿宋_GB2312" w:eastAsia="仿宋_GB2312" w:hAnsi="宋体" w:cs="仿宋_GB2312" w:hint="eastAsia"/>
          <w:color w:val="000000"/>
          <w:kern w:val="0"/>
          <w:szCs w:val="32"/>
        </w:rPr>
        <w:t>10.3</w:t>
      </w:r>
      <w:r>
        <w:rPr>
          <w:rFonts w:ascii="仿宋_GB2312" w:eastAsia="仿宋_GB2312" w:hAnsi="宋体" w:cs="仿宋_GB2312"/>
          <w:color w:val="000000"/>
          <w:kern w:val="0"/>
          <w:szCs w:val="32"/>
        </w:rPr>
        <w:t>万元，支出决算为</w:t>
      </w:r>
      <w:r w:rsidR="00B67808">
        <w:rPr>
          <w:rFonts w:ascii="仿宋_GB2312" w:eastAsia="仿宋_GB2312" w:hAnsi="宋体" w:cs="仿宋_GB2312" w:hint="eastAsia"/>
          <w:color w:val="000000"/>
          <w:kern w:val="0"/>
          <w:szCs w:val="32"/>
        </w:rPr>
        <w:t>10.3</w:t>
      </w:r>
      <w:r>
        <w:rPr>
          <w:rFonts w:ascii="仿宋_GB2312" w:eastAsia="仿宋_GB2312" w:hAnsi="宋体" w:cs="仿宋_GB2312"/>
          <w:color w:val="000000"/>
          <w:kern w:val="0"/>
          <w:szCs w:val="32"/>
        </w:rPr>
        <w:t>万元，完成预算的</w:t>
      </w:r>
      <w:r w:rsidR="00B67808">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%。决算数</w:t>
      </w:r>
      <w:r w:rsidR="00B67808">
        <w:rPr>
          <w:rFonts w:ascii="仿宋_GB2312" w:eastAsia="仿宋_GB2312" w:hAnsi="宋体" w:cs="仿宋_GB2312" w:hint="eastAsia"/>
          <w:color w:val="000000"/>
          <w:kern w:val="0"/>
          <w:szCs w:val="32"/>
        </w:rPr>
        <w:t>与</w:t>
      </w:r>
      <w:r>
        <w:rPr>
          <w:rFonts w:ascii="仿宋_GB2312" w:eastAsia="仿宋_GB2312" w:hAnsi="宋体" w:cs="仿宋_GB2312"/>
          <w:color w:val="000000"/>
          <w:kern w:val="0"/>
          <w:szCs w:val="32"/>
        </w:rPr>
        <w:t>预算数</w:t>
      </w:r>
      <w:r>
        <w:rPr>
          <w:rFonts w:ascii="仿宋_GB2312" w:eastAsia="仿宋_GB2312" w:hAnsi="宋体" w:cs="仿宋_GB2312" w:hint="eastAsia"/>
          <w:color w:val="000000"/>
          <w:kern w:val="0"/>
          <w:szCs w:val="32"/>
        </w:rPr>
        <w:t>减少（增加）</w:t>
      </w:r>
      <w:r w:rsidR="00B67808">
        <w:rPr>
          <w:rFonts w:ascii="仿宋_GB2312" w:eastAsia="仿宋_GB2312" w:hAnsi="宋体" w:cs="仿宋_GB2312" w:hint="eastAsia"/>
          <w:color w:val="000000"/>
          <w:kern w:val="0"/>
          <w:szCs w:val="32"/>
        </w:rPr>
        <w:t>0</w:t>
      </w:r>
      <w:r>
        <w:rPr>
          <w:rFonts w:ascii="仿宋_GB2312" w:eastAsia="仿宋_GB2312" w:hAnsi="宋体" w:cs="仿宋_GB2312" w:hint="eastAsia"/>
          <w:color w:val="000000"/>
          <w:kern w:val="0"/>
          <w:szCs w:val="32"/>
        </w:rPr>
        <w:t>万元，</w:t>
      </w:r>
      <w:r>
        <w:rPr>
          <w:rFonts w:ascii="仿宋_GB2312" w:eastAsia="仿宋_GB2312" w:hAnsi="宋体" w:cs="仿宋_GB2312"/>
          <w:color w:val="000000"/>
          <w:kern w:val="0"/>
          <w:szCs w:val="32"/>
        </w:rPr>
        <w:t>主要原因是</w:t>
      </w:r>
      <w:r w:rsidR="00B67808">
        <w:rPr>
          <w:rFonts w:ascii="仿宋_GB2312" w:eastAsia="仿宋_GB2312" w:hAnsi="宋体" w:cs="仿宋_GB2312" w:hint="eastAsia"/>
          <w:color w:val="000000"/>
          <w:kern w:val="0"/>
          <w:szCs w:val="32"/>
        </w:rPr>
        <w:t>决算数与预算数持平</w:t>
      </w:r>
      <w:r>
        <w:rPr>
          <w:rFonts w:ascii="仿宋_GB2312" w:eastAsia="仿宋_GB2312" w:hAnsi="宋体" w:cs="仿宋_GB2312" w:hint="eastAsia"/>
          <w:color w:val="000000"/>
          <w:kern w:val="0"/>
          <w:szCs w:val="32"/>
        </w:rPr>
        <w:t>。</w:t>
      </w:r>
    </w:p>
    <w:p w:rsidR="00926DEC" w:rsidRDefault="00803916" w:rsidP="00B27939">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（二）政府采购支出情况说明。</w:t>
      </w:r>
    </w:p>
    <w:p w:rsidR="00926DEC" w:rsidRDefault="00803916">
      <w:pPr>
        <w:widowControl/>
        <w:ind w:firstLineChars="200" w:firstLine="640"/>
        <w:jc w:val="left"/>
        <w:rPr>
          <w:rFonts w:ascii="仿宋_GB2312" w:eastAsia="仿宋_GB2312" w:hAnsi="仿宋_GB2312" w:cs="仿宋_GB2312"/>
          <w:szCs w:val="32"/>
        </w:rPr>
      </w:pPr>
      <w:r>
        <w:rPr>
          <w:rFonts w:ascii="仿宋_GB2312" w:eastAsia="仿宋_GB2312" w:hAnsi="仿宋_GB2312" w:cs="仿宋_GB2312" w:hint="eastAsia"/>
          <w:szCs w:val="32"/>
        </w:rPr>
        <w:t>2019年度本部门政府采购支出总额共</w:t>
      </w:r>
      <w:r w:rsidR="005E6C39">
        <w:rPr>
          <w:rFonts w:ascii="仿宋_GB2312" w:eastAsia="仿宋_GB2312" w:hAnsi="仿宋_GB2312" w:cs="仿宋_GB2312" w:hint="eastAsia"/>
          <w:szCs w:val="32"/>
        </w:rPr>
        <w:t>96.84</w:t>
      </w:r>
      <w:r>
        <w:rPr>
          <w:rFonts w:ascii="仿宋_GB2312" w:eastAsia="仿宋_GB2312" w:hAnsi="仿宋_GB2312" w:cs="仿宋_GB2312" w:hint="eastAsia"/>
          <w:szCs w:val="32"/>
        </w:rPr>
        <w:t>万元，其中政府采购货物类支出</w:t>
      </w:r>
      <w:r w:rsidR="005E6C39">
        <w:rPr>
          <w:rFonts w:ascii="仿宋_GB2312" w:eastAsia="仿宋_GB2312" w:hAnsi="仿宋_GB2312" w:cs="仿宋_GB2312" w:hint="eastAsia"/>
          <w:szCs w:val="32"/>
        </w:rPr>
        <w:t>16.77</w:t>
      </w:r>
      <w:r>
        <w:rPr>
          <w:rFonts w:ascii="仿宋_GB2312" w:eastAsia="仿宋_GB2312" w:hAnsi="仿宋_GB2312" w:cs="仿宋_GB2312" w:hint="eastAsia"/>
          <w:szCs w:val="32"/>
        </w:rPr>
        <w:t>万元、政府采购服务类支出</w:t>
      </w:r>
      <w:r w:rsidR="005E6C39">
        <w:rPr>
          <w:rFonts w:ascii="仿宋_GB2312" w:eastAsia="仿宋_GB2312" w:hAnsi="仿宋_GB2312" w:cs="仿宋_GB2312" w:hint="eastAsia"/>
          <w:szCs w:val="32"/>
        </w:rPr>
        <w:t>34</w:t>
      </w:r>
      <w:r>
        <w:rPr>
          <w:rFonts w:ascii="仿宋_GB2312" w:eastAsia="仿宋_GB2312" w:hAnsi="仿宋_GB2312" w:cs="仿宋_GB2312" w:hint="eastAsia"/>
          <w:szCs w:val="32"/>
        </w:rPr>
        <w:t>万元、政府采购工程类支出</w:t>
      </w:r>
      <w:r w:rsidR="005E6C39">
        <w:rPr>
          <w:rFonts w:ascii="仿宋_GB2312" w:eastAsia="仿宋_GB2312" w:hAnsi="仿宋_GB2312" w:cs="仿宋_GB2312" w:hint="eastAsia"/>
          <w:szCs w:val="32"/>
        </w:rPr>
        <w:t>46.07</w:t>
      </w:r>
      <w:r>
        <w:rPr>
          <w:rFonts w:ascii="仿宋_GB2312" w:eastAsia="仿宋_GB2312" w:hAnsi="仿宋_GB2312" w:cs="仿宋_GB2312" w:hint="eastAsia"/>
          <w:szCs w:val="32"/>
        </w:rPr>
        <w:t>万元。</w:t>
      </w:r>
      <w:r>
        <w:rPr>
          <w:rFonts w:ascii="仿宋_GB2312" w:eastAsia="仿宋_GB2312" w:hAnsi="宋体" w:cs="仿宋_GB2312"/>
          <w:color w:val="000000"/>
          <w:kern w:val="0"/>
          <w:szCs w:val="32"/>
        </w:rPr>
        <w:t>授予中小企业合同金额</w:t>
      </w:r>
      <w:r w:rsidR="005E6C39">
        <w:rPr>
          <w:rFonts w:ascii="仿宋_GB2312" w:eastAsia="仿宋_GB2312" w:hAnsi="宋体" w:cs="仿宋_GB2312" w:hint="eastAsia"/>
          <w:color w:val="000000"/>
          <w:kern w:val="0"/>
          <w:szCs w:val="32"/>
        </w:rPr>
        <w:t>96.84</w:t>
      </w:r>
      <w:r>
        <w:rPr>
          <w:rFonts w:ascii="仿宋_GB2312" w:eastAsia="仿宋_GB2312" w:hAnsi="宋体" w:cs="仿宋_GB2312"/>
          <w:color w:val="000000"/>
          <w:kern w:val="0"/>
          <w:szCs w:val="32"/>
        </w:rPr>
        <w:t>万元，占政府采购支出总额的</w:t>
      </w:r>
      <w:r w:rsidR="005E6C3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%，其中：授予小微企业合同金额</w:t>
      </w:r>
      <w:r w:rsidR="005E6C39">
        <w:rPr>
          <w:rFonts w:ascii="仿宋_GB2312" w:eastAsia="仿宋_GB2312" w:hAnsi="宋体" w:cs="仿宋_GB2312" w:hint="eastAsia"/>
          <w:color w:val="000000"/>
          <w:kern w:val="0"/>
          <w:szCs w:val="32"/>
        </w:rPr>
        <w:t>96.84</w:t>
      </w:r>
      <w:r>
        <w:rPr>
          <w:rFonts w:ascii="仿宋_GB2312" w:eastAsia="仿宋_GB2312" w:hAnsi="宋体" w:cs="仿宋_GB2312"/>
          <w:color w:val="000000"/>
          <w:kern w:val="0"/>
          <w:szCs w:val="32"/>
        </w:rPr>
        <w:t>万元，占政府采购支出总额的</w:t>
      </w:r>
      <w:r w:rsidR="005E6C39">
        <w:rPr>
          <w:rFonts w:ascii="仿宋_GB2312" w:eastAsia="仿宋_GB2312" w:hAnsi="宋体" w:cs="仿宋_GB2312" w:hint="eastAsia"/>
          <w:color w:val="000000"/>
          <w:kern w:val="0"/>
          <w:szCs w:val="32"/>
        </w:rPr>
        <w:t>100</w:t>
      </w:r>
      <w:r>
        <w:rPr>
          <w:rFonts w:ascii="仿宋_GB2312" w:eastAsia="仿宋_GB2312" w:hAnsi="宋体" w:cs="仿宋_GB2312"/>
          <w:color w:val="000000"/>
          <w:kern w:val="0"/>
          <w:szCs w:val="32"/>
        </w:rPr>
        <w:t>%</w:t>
      </w:r>
      <w:r>
        <w:rPr>
          <w:rFonts w:ascii="仿宋_GB2312" w:eastAsia="仿宋_GB2312" w:hAnsi="宋体" w:cs="仿宋_GB2312" w:hint="eastAsia"/>
          <w:color w:val="000000"/>
          <w:kern w:val="0"/>
          <w:szCs w:val="32"/>
        </w:rPr>
        <w:t>。</w:t>
      </w:r>
    </w:p>
    <w:p w:rsidR="00926DEC" w:rsidRDefault="00803916" w:rsidP="00B27939">
      <w:pPr>
        <w:widowControl/>
        <w:ind w:firstLineChars="200" w:firstLine="643"/>
        <w:jc w:val="left"/>
        <w:rPr>
          <w:rFonts w:ascii="楷体_GB2312" w:eastAsia="楷体_GB2312" w:hAnsi="宋体" w:cs="楷体_GB2312"/>
          <w:b/>
          <w:color w:val="000000"/>
          <w:kern w:val="0"/>
          <w:szCs w:val="32"/>
        </w:rPr>
      </w:pPr>
      <w:r>
        <w:rPr>
          <w:rFonts w:ascii="楷体_GB2312" w:eastAsia="楷体_GB2312" w:hAnsi="宋体" w:cs="楷体_GB2312" w:hint="eastAsia"/>
          <w:b/>
          <w:color w:val="000000"/>
          <w:kern w:val="0"/>
          <w:szCs w:val="32"/>
        </w:rPr>
        <w:t>（三）国有资产占用及购置情况说明。</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szCs w:val="32"/>
        </w:rPr>
        <w:t>截至2019年末，本部门机关及所属单位共有车辆</w:t>
      </w:r>
      <w:r w:rsidR="005E6C39">
        <w:rPr>
          <w:rFonts w:ascii="仿宋_GB2312" w:eastAsia="仿宋_GB2312" w:hAnsi="仿宋_GB2312" w:cs="仿宋_GB2312" w:hint="eastAsia"/>
          <w:szCs w:val="32"/>
        </w:rPr>
        <w:t>2</w:t>
      </w:r>
      <w:r>
        <w:rPr>
          <w:rFonts w:ascii="仿宋_GB2312" w:eastAsia="仿宋_GB2312" w:hAnsi="仿宋_GB2312" w:cs="仿宋_GB2312" w:hint="eastAsia"/>
          <w:szCs w:val="32"/>
        </w:rPr>
        <w:t>辆；单价50万元以上的通用设备</w:t>
      </w:r>
      <w:r w:rsidR="005E6C39">
        <w:rPr>
          <w:rFonts w:ascii="仿宋_GB2312" w:eastAsia="仿宋_GB2312" w:hAnsi="仿宋_GB2312" w:cs="仿宋_GB2312" w:hint="eastAsia"/>
          <w:szCs w:val="32"/>
        </w:rPr>
        <w:t>0</w:t>
      </w:r>
      <w:r>
        <w:rPr>
          <w:rFonts w:ascii="仿宋_GB2312" w:eastAsia="仿宋_GB2312" w:hAnsi="仿宋_GB2312" w:cs="仿宋_GB2312" w:hint="eastAsia"/>
          <w:szCs w:val="32"/>
        </w:rPr>
        <w:t>台（套）；单价100万元以上的专用设备</w:t>
      </w:r>
      <w:r w:rsidR="005E6C39">
        <w:rPr>
          <w:rFonts w:ascii="仿宋_GB2312" w:eastAsia="仿宋_GB2312" w:hAnsi="仿宋_GB2312" w:cs="仿宋_GB2312" w:hint="eastAsia"/>
          <w:szCs w:val="32"/>
        </w:rPr>
        <w:t>0</w:t>
      </w:r>
      <w:r>
        <w:rPr>
          <w:rFonts w:ascii="仿宋_GB2312" w:eastAsia="仿宋_GB2312" w:hAnsi="仿宋_GB2312" w:cs="仿宋_GB2312" w:hint="eastAsia"/>
          <w:szCs w:val="32"/>
        </w:rPr>
        <w:t>台（套）。201</w:t>
      </w:r>
      <w:r>
        <w:rPr>
          <w:rFonts w:ascii="仿宋_GB2312" w:eastAsia="仿宋_GB2312" w:hAnsi="仿宋_GB2312" w:cs="仿宋_GB2312"/>
          <w:szCs w:val="32"/>
        </w:rPr>
        <w:t>9</w:t>
      </w:r>
      <w:r>
        <w:rPr>
          <w:rFonts w:ascii="仿宋_GB2312" w:eastAsia="仿宋_GB2312" w:hAnsi="仿宋_GB2312" w:cs="仿宋_GB2312" w:hint="eastAsia"/>
          <w:szCs w:val="32"/>
        </w:rPr>
        <w:t>年当年购置车辆</w:t>
      </w:r>
      <w:r w:rsidR="005E6C39">
        <w:rPr>
          <w:rFonts w:ascii="仿宋_GB2312" w:eastAsia="仿宋_GB2312" w:hAnsi="仿宋_GB2312" w:cs="仿宋_GB2312" w:hint="eastAsia"/>
          <w:szCs w:val="32"/>
        </w:rPr>
        <w:t>0</w:t>
      </w:r>
      <w:r>
        <w:rPr>
          <w:rFonts w:ascii="仿宋_GB2312" w:eastAsia="仿宋_GB2312" w:hAnsi="仿宋_GB2312" w:cs="仿宋_GB2312" w:hint="eastAsia"/>
          <w:szCs w:val="32"/>
        </w:rPr>
        <w:t>辆；购置单价50万元以上的通用设备</w:t>
      </w:r>
      <w:r w:rsidR="005E6C39">
        <w:rPr>
          <w:rFonts w:ascii="仿宋_GB2312" w:eastAsia="仿宋_GB2312" w:hAnsi="仿宋_GB2312" w:cs="仿宋_GB2312" w:hint="eastAsia"/>
          <w:szCs w:val="32"/>
        </w:rPr>
        <w:t>0</w:t>
      </w:r>
      <w:r>
        <w:rPr>
          <w:rFonts w:ascii="仿宋_GB2312" w:eastAsia="仿宋_GB2312" w:hAnsi="仿宋_GB2312" w:cs="仿宋_GB2312" w:hint="eastAsia"/>
          <w:szCs w:val="32"/>
        </w:rPr>
        <w:t>台（套）；购置单价100万元以上的专用设备</w:t>
      </w:r>
      <w:r w:rsidR="005E6C39">
        <w:rPr>
          <w:rFonts w:ascii="仿宋_GB2312" w:eastAsia="仿宋_GB2312" w:hAnsi="仿宋_GB2312" w:cs="仿宋_GB2312" w:hint="eastAsia"/>
          <w:szCs w:val="32"/>
        </w:rPr>
        <w:t>0</w:t>
      </w:r>
      <w:r>
        <w:rPr>
          <w:rFonts w:ascii="仿宋_GB2312" w:eastAsia="仿宋_GB2312" w:hAnsi="仿宋_GB2312" w:cs="仿宋_GB2312" w:hint="eastAsia"/>
          <w:szCs w:val="32"/>
        </w:rPr>
        <w:t>台（套）。</w:t>
      </w:r>
    </w:p>
    <w:p w:rsidR="00926DEC" w:rsidRDefault="00803916">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926DEC" w:rsidRDefault="00803916" w:rsidP="00B27939">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1.基本支出</w:t>
      </w:r>
      <w:r>
        <w:rPr>
          <w:rFonts w:ascii="仿宋_GB2312" w:eastAsia="仿宋_GB2312" w:hAnsi="仿宋_GB2312" w:cs="仿宋_GB2312" w:hint="eastAsia"/>
          <w:szCs w:val="32"/>
        </w:rPr>
        <w:t>：指为保障机构正常运转、完成日常工作任务而发生的各项支出。</w:t>
      </w:r>
    </w:p>
    <w:p w:rsidR="00926DEC" w:rsidRDefault="00803916" w:rsidP="00B27939">
      <w:pPr>
        <w:ind w:firstLineChars="200" w:firstLine="643"/>
        <w:rPr>
          <w:rFonts w:ascii="仿宋_GB2312" w:eastAsia="仿宋_GB2312" w:hAnsi="仿宋_GB2312" w:cs="仿宋_GB2312"/>
          <w:szCs w:val="32"/>
        </w:rPr>
      </w:pPr>
      <w:r>
        <w:rPr>
          <w:rFonts w:ascii="仿宋_GB2312" w:eastAsia="仿宋_GB2312" w:hAnsi="仿宋_GB2312" w:cs="仿宋_GB2312" w:hint="eastAsia"/>
          <w:b/>
          <w:bCs/>
          <w:szCs w:val="32"/>
        </w:rPr>
        <w:t>2.项目支出</w:t>
      </w:r>
      <w:r>
        <w:rPr>
          <w:rFonts w:ascii="仿宋_GB2312" w:eastAsia="仿宋_GB2312" w:hAnsi="仿宋_GB2312" w:cs="仿宋_GB2312" w:hint="eastAsia"/>
          <w:szCs w:val="32"/>
        </w:rPr>
        <w:t>：指单位为完成特定的行政工作任务或事业发展目标所发生的各项支出。</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lastRenderedPageBreak/>
        <w:t>3.“三公”经费</w:t>
      </w:r>
      <w:r>
        <w:rPr>
          <w:rFonts w:ascii="仿宋_GB2312" w:eastAsia="仿宋_GB2312" w:hAnsi="仿宋_GB2312" w:cs="仿宋_GB2312" w:hint="eastAsia"/>
          <w:szCs w:val="32"/>
        </w:rPr>
        <w:t>：指部门使用一般公共预算财政拨款安排的因公出国（境）费、公务用车购置及运行费和公务接待费支出。</w:t>
      </w:r>
    </w:p>
    <w:p w:rsidR="00926DEC" w:rsidRDefault="00803916">
      <w:pPr>
        <w:ind w:firstLine="640"/>
        <w:rPr>
          <w:rFonts w:ascii="仿宋_GB2312" w:eastAsia="仿宋_GB2312" w:hAnsi="仿宋_GB2312" w:cs="仿宋_GB2312"/>
          <w:szCs w:val="32"/>
        </w:rPr>
      </w:pPr>
      <w:r>
        <w:rPr>
          <w:rFonts w:ascii="仿宋_GB2312" w:eastAsia="仿宋_GB2312" w:hAnsi="仿宋_GB2312" w:cs="仿宋_GB2312" w:hint="eastAsia"/>
          <w:b/>
          <w:bCs/>
          <w:szCs w:val="32"/>
        </w:rPr>
        <w:t>4.财政拨款收入</w:t>
      </w:r>
      <w:r>
        <w:rPr>
          <w:rFonts w:ascii="仿宋_GB2312" w:eastAsia="仿宋_GB2312" w:hAnsi="仿宋_GB2312" w:cs="仿宋_GB2312" w:hint="eastAsia"/>
          <w:szCs w:val="32"/>
        </w:rPr>
        <w:t>：指本级财政当年拨付的资金。</w:t>
      </w:r>
    </w:p>
    <w:p w:rsidR="008C10BC" w:rsidRDefault="008C10BC" w:rsidP="008C10BC">
      <w:pPr>
        <w:ind w:firstLine="640"/>
        <w:rPr>
          <w:rFonts w:ascii="仿宋_GB2312" w:eastAsia="仿宋_GB2312" w:hAnsi="仿宋_GB2312" w:cs="仿宋_GB2312"/>
          <w:szCs w:val="32"/>
        </w:rPr>
      </w:pPr>
      <w:r>
        <w:rPr>
          <w:rFonts w:ascii="仿宋_GB2312" w:eastAsia="仿宋_GB2312" w:hAnsi="仿宋_GB2312" w:cs="仿宋_GB2312" w:hint="eastAsia"/>
          <w:b/>
          <w:bCs/>
          <w:szCs w:val="32"/>
        </w:rPr>
        <w:t>5.调整预算数：</w:t>
      </w:r>
      <w:r>
        <w:rPr>
          <w:rFonts w:ascii="仿宋_GB2312" w:eastAsia="仿宋_GB2312" w:hAnsi="宋体" w:hint="eastAsia"/>
          <w:bCs/>
          <w:szCs w:val="32"/>
        </w:rPr>
        <w:t>填列经调整后的全年预算数，包括年初预算数和预算调增调减数</w:t>
      </w:r>
      <w:r>
        <w:rPr>
          <w:rFonts w:ascii="仿宋_GB2312" w:eastAsia="仿宋_GB2312" w:hint="eastAsia"/>
          <w:bCs/>
          <w:szCs w:val="32"/>
        </w:rPr>
        <w:t>，即：调整预算数＝年初预算数＋预算调增数－预算调减数</w:t>
      </w:r>
      <w:r>
        <w:rPr>
          <w:rFonts w:ascii="仿宋_GB2312" w:eastAsia="仿宋_GB2312" w:hAnsi="宋体" w:hint="eastAsia"/>
          <w:bCs/>
          <w:szCs w:val="32"/>
        </w:rPr>
        <w:t>。</w:t>
      </w:r>
    </w:p>
    <w:p w:rsidR="00926DEC" w:rsidRPr="008C10B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ind w:firstLineChars="200" w:firstLine="620"/>
        <w:jc w:val="left"/>
        <w:rPr>
          <w:rFonts w:ascii="仿宋_GB2312" w:eastAsia="仿宋_GB2312" w:hAnsi="仿宋_GB2312" w:cs="仿宋_GB2312"/>
          <w:color w:val="000000"/>
          <w:kern w:val="0"/>
          <w:sz w:val="31"/>
          <w:szCs w:val="31"/>
        </w:rPr>
      </w:pPr>
    </w:p>
    <w:p w:rsidR="00926DEC" w:rsidRDefault="00926DEC">
      <w:pPr>
        <w:widowControl/>
        <w:jc w:val="left"/>
        <w:rPr>
          <w:rFonts w:ascii="仿宋_GB2312" w:eastAsia="仿宋_GB2312" w:hAnsi="仿宋_GB2312" w:cs="仿宋_GB2312"/>
          <w:color w:val="000000"/>
          <w:kern w:val="0"/>
          <w:sz w:val="31"/>
          <w:szCs w:val="31"/>
        </w:rPr>
      </w:pPr>
    </w:p>
    <w:p w:rsidR="00926DEC" w:rsidRDefault="00394C38">
      <w:r>
        <w:rPr>
          <w:rFonts w:ascii="仿宋_GB2312" w:eastAsia="仿宋_GB2312" w:hAnsi="仿宋_GB2312" w:cs="仿宋_GB2312" w:hint="eastAsia"/>
          <w:color w:val="000000"/>
          <w:kern w:val="0"/>
          <w:sz w:val="31"/>
          <w:szCs w:val="31"/>
        </w:rPr>
        <w:t xml:space="preserve"> </w:t>
      </w:r>
    </w:p>
    <w:sectPr w:rsidR="00926DEC" w:rsidSect="00926DE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07DC9" w:rsidRDefault="00907DC9" w:rsidP="00803916">
      <w:r>
        <w:separator/>
      </w:r>
    </w:p>
  </w:endnote>
  <w:endnote w:type="continuationSeparator" w:id="0">
    <w:p w:rsidR="00907DC9" w:rsidRDefault="00907DC9" w:rsidP="008039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仿宋简体">
    <w:altName w:val="微软雅黑"/>
    <w:charset w:val="86"/>
    <w:family w:val="auto"/>
    <w:pitch w:val="default"/>
    <w:sig w:usb0="00000000" w:usb1="0000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altName w:val="Arial Unicode MS"/>
    <w:panose1 w:val="02010609060101010101"/>
    <w:charset w:val="86"/>
    <w:family w:val="modern"/>
    <w:pitch w:val="fixed"/>
    <w:sig w:usb0="800002BF" w:usb1="38CF7CFA" w:usb2="00000016" w:usb3="00000000" w:csb0="00040001" w:csb1="00000000"/>
  </w:font>
  <w:font w:name="楷体">
    <w:altName w:val="楷体_GB2312"/>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fixed"/>
    <w:sig w:usb0="00000001" w:usb1="080E0000" w:usb2="00000010" w:usb3="00000000" w:csb0="00040000" w:csb1="00000000"/>
  </w:font>
  <w:font w:name="Calibri Light">
    <w:altName w:val="Times New Roman"/>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07DC9" w:rsidRDefault="00907DC9" w:rsidP="00803916">
      <w:r>
        <w:separator/>
      </w:r>
    </w:p>
  </w:footnote>
  <w:footnote w:type="continuationSeparator" w:id="0">
    <w:p w:rsidR="00907DC9" w:rsidRDefault="00907DC9" w:rsidP="008039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F232710"/>
    <w:multiLevelType w:val="singleLevel"/>
    <w:tmpl w:val="9F232710"/>
    <w:lvl w:ilvl="0">
      <w:start w:val="1"/>
      <w:numFmt w:val="chineseCounting"/>
      <w:suff w:val="space"/>
      <w:lvlText w:val="第%1部分"/>
      <w:lvlJc w:val="left"/>
      <w:rPr>
        <w:rFonts w:hint="eastAsia"/>
      </w:rPr>
    </w:lvl>
  </w:abstractNum>
  <w:abstractNum w:abstractNumId="1" w15:restartNumberingAfterBreak="0">
    <w:nsid w:val="27A8EE0A"/>
    <w:multiLevelType w:val="singleLevel"/>
    <w:tmpl w:val="27A8EE0A"/>
    <w:lvl w:ilvl="0">
      <w:start w:val="2"/>
      <w:numFmt w:val="decimal"/>
      <w:lvlText w:val="%1."/>
      <w:lvlJc w:val="left"/>
      <w:pPr>
        <w:tabs>
          <w:tab w:val="left" w:pos="312"/>
        </w:tabs>
      </w:pPr>
    </w:lvl>
  </w:abstractNum>
  <w:abstractNum w:abstractNumId="2" w15:restartNumberingAfterBreak="0">
    <w:nsid w:val="39BEA4A8"/>
    <w:multiLevelType w:val="singleLevel"/>
    <w:tmpl w:val="39BEA4A8"/>
    <w:lvl w:ilvl="0">
      <w:start w:val="4"/>
      <w:numFmt w:val="chineseCounting"/>
      <w:suff w:val="space"/>
      <w:lvlText w:val="第%1部分"/>
      <w:lvlJc w:val="left"/>
      <w:rPr>
        <w:rFonts w:hint="eastAsia"/>
      </w:rPr>
    </w:lvl>
  </w:abstractNum>
  <w:abstractNum w:abstractNumId="3" w15:restartNumberingAfterBreak="0">
    <w:nsid w:val="4E290741"/>
    <w:multiLevelType w:val="singleLevel"/>
    <w:tmpl w:val="4E290741"/>
    <w:lvl w:ilvl="0">
      <w:start w:val="3"/>
      <w:numFmt w:val="decimal"/>
      <w:suff w:val="nothing"/>
      <w:lvlText w:val="%1．"/>
      <w:lvlJc w:val="left"/>
    </w:lvl>
  </w:abstractNum>
  <w:abstractNum w:abstractNumId="4" w15:restartNumberingAfterBreak="0">
    <w:nsid w:val="689AB801"/>
    <w:multiLevelType w:val="singleLevel"/>
    <w:tmpl w:val="689AB801"/>
    <w:lvl w:ilvl="0">
      <w:start w:val="6"/>
      <w:numFmt w:val="decimal"/>
      <w:lvlText w:val="%1."/>
      <w:lvlJc w:val="left"/>
      <w:pPr>
        <w:tabs>
          <w:tab w:val="left" w:pos="312"/>
        </w:tabs>
      </w:p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0306C2"/>
    <w:rsid w:val="0007773F"/>
    <w:rsid w:val="000A2E76"/>
    <w:rsid w:val="000C5F6A"/>
    <w:rsid w:val="000F061C"/>
    <w:rsid w:val="0010309B"/>
    <w:rsid w:val="00131BC2"/>
    <w:rsid w:val="001466F9"/>
    <w:rsid w:val="00150475"/>
    <w:rsid w:val="00202A02"/>
    <w:rsid w:val="00250765"/>
    <w:rsid w:val="00280D94"/>
    <w:rsid w:val="00343696"/>
    <w:rsid w:val="00347F25"/>
    <w:rsid w:val="00394C38"/>
    <w:rsid w:val="003977A6"/>
    <w:rsid w:val="003B0190"/>
    <w:rsid w:val="003B3B86"/>
    <w:rsid w:val="003E69E1"/>
    <w:rsid w:val="003F09AA"/>
    <w:rsid w:val="003F1C18"/>
    <w:rsid w:val="00403285"/>
    <w:rsid w:val="00415ED1"/>
    <w:rsid w:val="00421E08"/>
    <w:rsid w:val="0043049D"/>
    <w:rsid w:val="00430FBC"/>
    <w:rsid w:val="004657FC"/>
    <w:rsid w:val="00481661"/>
    <w:rsid w:val="004C6F2D"/>
    <w:rsid w:val="004E658F"/>
    <w:rsid w:val="00507718"/>
    <w:rsid w:val="005162FD"/>
    <w:rsid w:val="005319F1"/>
    <w:rsid w:val="00533706"/>
    <w:rsid w:val="00534904"/>
    <w:rsid w:val="00551682"/>
    <w:rsid w:val="00592FDC"/>
    <w:rsid w:val="005971FB"/>
    <w:rsid w:val="005D42D9"/>
    <w:rsid w:val="005E11CB"/>
    <w:rsid w:val="005E6C39"/>
    <w:rsid w:val="0060345A"/>
    <w:rsid w:val="006542AF"/>
    <w:rsid w:val="00660C91"/>
    <w:rsid w:val="0067266C"/>
    <w:rsid w:val="00674F7C"/>
    <w:rsid w:val="006919C2"/>
    <w:rsid w:val="006B1660"/>
    <w:rsid w:val="006E272E"/>
    <w:rsid w:val="006E57BF"/>
    <w:rsid w:val="006E7833"/>
    <w:rsid w:val="006F7894"/>
    <w:rsid w:val="006F7E0C"/>
    <w:rsid w:val="0072407B"/>
    <w:rsid w:val="00782D4F"/>
    <w:rsid w:val="007C3074"/>
    <w:rsid w:val="007C4619"/>
    <w:rsid w:val="007E6563"/>
    <w:rsid w:val="00803916"/>
    <w:rsid w:val="00805F02"/>
    <w:rsid w:val="00865DF3"/>
    <w:rsid w:val="00893FCC"/>
    <w:rsid w:val="008C10BC"/>
    <w:rsid w:val="008C5907"/>
    <w:rsid w:val="008E5206"/>
    <w:rsid w:val="008E61FE"/>
    <w:rsid w:val="008F33AF"/>
    <w:rsid w:val="00907DC9"/>
    <w:rsid w:val="00926DEC"/>
    <w:rsid w:val="00931E76"/>
    <w:rsid w:val="009509B2"/>
    <w:rsid w:val="00960651"/>
    <w:rsid w:val="00975246"/>
    <w:rsid w:val="009760A5"/>
    <w:rsid w:val="009C011F"/>
    <w:rsid w:val="009C279B"/>
    <w:rsid w:val="009C2870"/>
    <w:rsid w:val="009D4222"/>
    <w:rsid w:val="009E1156"/>
    <w:rsid w:val="00A37F78"/>
    <w:rsid w:val="00A56C82"/>
    <w:rsid w:val="00A611C7"/>
    <w:rsid w:val="00A61B68"/>
    <w:rsid w:val="00A61C0E"/>
    <w:rsid w:val="00A77A2C"/>
    <w:rsid w:val="00A85A39"/>
    <w:rsid w:val="00AB3D3B"/>
    <w:rsid w:val="00AB7AC9"/>
    <w:rsid w:val="00AF5C24"/>
    <w:rsid w:val="00B27939"/>
    <w:rsid w:val="00B364B8"/>
    <w:rsid w:val="00B5279A"/>
    <w:rsid w:val="00B540B0"/>
    <w:rsid w:val="00B545EB"/>
    <w:rsid w:val="00B67808"/>
    <w:rsid w:val="00B7235A"/>
    <w:rsid w:val="00B72C81"/>
    <w:rsid w:val="00B7616C"/>
    <w:rsid w:val="00B8000E"/>
    <w:rsid w:val="00B91CFD"/>
    <w:rsid w:val="00BA017D"/>
    <w:rsid w:val="00BC4A55"/>
    <w:rsid w:val="00C133B7"/>
    <w:rsid w:val="00C17331"/>
    <w:rsid w:val="00C566FD"/>
    <w:rsid w:val="00C61D66"/>
    <w:rsid w:val="00C751E1"/>
    <w:rsid w:val="00C81735"/>
    <w:rsid w:val="00CA2973"/>
    <w:rsid w:val="00CC6DD1"/>
    <w:rsid w:val="00CD4D62"/>
    <w:rsid w:val="00D03769"/>
    <w:rsid w:val="00D07FF2"/>
    <w:rsid w:val="00D45782"/>
    <w:rsid w:val="00D82BDF"/>
    <w:rsid w:val="00DB619D"/>
    <w:rsid w:val="00DD0FC3"/>
    <w:rsid w:val="00DE6FEA"/>
    <w:rsid w:val="00E11082"/>
    <w:rsid w:val="00E127F3"/>
    <w:rsid w:val="00E24724"/>
    <w:rsid w:val="00E517E7"/>
    <w:rsid w:val="00E5423D"/>
    <w:rsid w:val="00E93B22"/>
    <w:rsid w:val="00EA08B7"/>
    <w:rsid w:val="00EA5AFE"/>
    <w:rsid w:val="00EB45E3"/>
    <w:rsid w:val="00EE7C2A"/>
    <w:rsid w:val="00EF3B46"/>
    <w:rsid w:val="00EF48CE"/>
    <w:rsid w:val="00F11EB9"/>
    <w:rsid w:val="00F16C2B"/>
    <w:rsid w:val="00F32BC7"/>
    <w:rsid w:val="00F87576"/>
    <w:rsid w:val="00F91BCE"/>
    <w:rsid w:val="00FA3656"/>
    <w:rsid w:val="00FC5948"/>
    <w:rsid w:val="00FC6EBC"/>
    <w:rsid w:val="086C1E64"/>
    <w:rsid w:val="1AF22409"/>
    <w:rsid w:val="1D8B0C78"/>
    <w:rsid w:val="20B96E79"/>
    <w:rsid w:val="20E506C4"/>
    <w:rsid w:val="30DF4759"/>
    <w:rsid w:val="3669223E"/>
    <w:rsid w:val="3D904069"/>
    <w:rsid w:val="3FCA23EC"/>
    <w:rsid w:val="424D60E4"/>
    <w:rsid w:val="42FA4769"/>
    <w:rsid w:val="43BC1030"/>
    <w:rsid w:val="47964FBE"/>
    <w:rsid w:val="4A1752A2"/>
    <w:rsid w:val="4B18398F"/>
    <w:rsid w:val="52AC7AB3"/>
    <w:rsid w:val="54207C4C"/>
    <w:rsid w:val="596D661C"/>
    <w:rsid w:val="69A157A9"/>
    <w:rsid w:val="6B3B79EC"/>
    <w:rsid w:val="6F094735"/>
    <w:rsid w:val="73431FE5"/>
    <w:rsid w:val="778B0394"/>
    <w:rsid w:val="7B6D5E4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5050703D-A123-4FD8-915F-F1144C29A8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26DEC"/>
    <w:pPr>
      <w:widowControl w:val="0"/>
      <w:jc w:val="both"/>
    </w:pPr>
    <w:rPr>
      <w:rFonts w:ascii="Calibri" w:eastAsia="方正仿宋简体" w:hAnsi="Calibri"/>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qFormat/>
    <w:rsid w:val="00926DEC"/>
    <w:rPr>
      <w:rFonts w:ascii="宋体" w:eastAsia="宋体" w:hAnsi="Courier New"/>
      <w:sz w:val="21"/>
    </w:rPr>
  </w:style>
  <w:style w:type="table" w:styleId="a4">
    <w:name w:val="Table Grid"/>
    <w:basedOn w:val="a1"/>
    <w:qFormat/>
    <w:rsid w:val="00926DEC"/>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11">
    <w:name w:val="font11"/>
    <w:basedOn w:val="a0"/>
    <w:qFormat/>
    <w:rsid w:val="00926DEC"/>
    <w:rPr>
      <w:rFonts w:ascii="宋体" w:eastAsia="宋体" w:hAnsi="宋体" w:cs="宋体" w:hint="eastAsia"/>
      <w:b/>
      <w:color w:val="000000"/>
      <w:sz w:val="32"/>
      <w:szCs w:val="32"/>
      <w:u w:val="none"/>
    </w:rPr>
  </w:style>
  <w:style w:type="character" w:customStyle="1" w:styleId="font91">
    <w:name w:val="font91"/>
    <w:basedOn w:val="a0"/>
    <w:qFormat/>
    <w:rsid w:val="00926DEC"/>
    <w:rPr>
      <w:rFonts w:ascii="宋体" w:eastAsia="宋体" w:hAnsi="宋体" w:cs="宋体" w:hint="eastAsia"/>
      <w:color w:val="000000"/>
      <w:sz w:val="32"/>
      <w:szCs w:val="32"/>
      <w:u w:val="none"/>
    </w:rPr>
  </w:style>
  <w:style w:type="character" w:customStyle="1" w:styleId="font51">
    <w:name w:val="font51"/>
    <w:basedOn w:val="a0"/>
    <w:qFormat/>
    <w:rsid w:val="00926DEC"/>
    <w:rPr>
      <w:rFonts w:ascii="宋体" w:eastAsia="宋体" w:hAnsi="宋体" w:cs="宋体" w:hint="eastAsia"/>
      <w:color w:val="000000"/>
      <w:sz w:val="20"/>
      <w:szCs w:val="20"/>
      <w:u w:val="none"/>
    </w:rPr>
  </w:style>
  <w:style w:type="character" w:customStyle="1" w:styleId="font101">
    <w:name w:val="font101"/>
    <w:basedOn w:val="a0"/>
    <w:qFormat/>
    <w:rsid w:val="00926DEC"/>
    <w:rPr>
      <w:rFonts w:ascii="宋体" w:eastAsia="宋体" w:hAnsi="宋体" w:cs="宋体" w:hint="eastAsia"/>
      <w:color w:val="000000"/>
      <w:sz w:val="20"/>
      <w:szCs w:val="20"/>
      <w:u w:val="none"/>
    </w:rPr>
  </w:style>
  <w:style w:type="character" w:customStyle="1" w:styleId="font21">
    <w:name w:val="font21"/>
    <w:basedOn w:val="a0"/>
    <w:qFormat/>
    <w:rsid w:val="00926DEC"/>
    <w:rPr>
      <w:rFonts w:ascii="宋体" w:eastAsia="宋体" w:hAnsi="宋体" w:cs="宋体" w:hint="eastAsia"/>
      <w:color w:val="000000"/>
      <w:sz w:val="18"/>
      <w:szCs w:val="18"/>
      <w:u w:val="none"/>
    </w:rPr>
  </w:style>
  <w:style w:type="character" w:customStyle="1" w:styleId="font112">
    <w:name w:val="font112"/>
    <w:basedOn w:val="a0"/>
    <w:qFormat/>
    <w:rsid w:val="00926DEC"/>
    <w:rPr>
      <w:rFonts w:ascii="宋体" w:eastAsia="宋体" w:hAnsi="宋体" w:cs="宋体" w:hint="eastAsia"/>
      <w:color w:val="000000"/>
      <w:sz w:val="20"/>
      <w:szCs w:val="20"/>
      <w:u w:val="none"/>
    </w:rPr>
  </w:style>
  <w:style w:type="character" w:customStyle="1" w:styleId="font61">
    <w:name w:val="font61"/>
    <w:basedOn w:val="a0"/>
    <w:qFormat/>
    <w:rsid w:val="00926DEC"/>
    <w:rPr>
      <w:rFonts w:ascii="宋体" w:eastAsia="宋体" w:hAnsi="宋体" w:cs="宋体" w:hint="eastAsia"/>
      <w:color w:val="000000"/>
      <w:sz w:val="24"/>
      <w:szCs w:val="24"/>
      <w:u w:val="none"/>
    </w:rPr>
  </w:style>
  <w:style w:type="paragraph" w:styleId="a5">
    <w:name w:val="header"/>
    <w:basedOn w:val="a"/>
    <w:link w:val="a6"/>
    <w:qFormat/>
    <w:rsid w:val="0080391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qFormat/>
    <w:rsid w:val="00803916"/>
    <w:rPr>
      <w:rFonts w:ascii="Calibri" w:eastAsia="方正仿宋简体" w:hAnsi="Calibri"/>
      <w:kern w:val="2"/>
      <w:sz w:val="18"/>
      <w:szCs w:val="18"/>
    </w:rPr>
  </w:style>
  <w:style w:type="paragraph" w:styleId="a7">
    <w:name w:val="footer"/>
    <w:basedOn w:val="a"/>
    <w:link w:val="a8"/>
    <w:qFormat/>
    <w:rsid w:val="00803916"/>
    <w:pPr>
      <w:tabs>
        <w:tab w:val="center" w:pos="4153"/>
        <w:tab w:val="right" w:pos="8306"/>
      </w:tabs>
      <w:snapToGrid w:val="0"/>
      <w:jc w:val="left"/>
    </w:pPr>
    <w:rPr>
      <w:sz w:val="18"/>
      <w:szCs w:val="18"/>
    </w:rPr>
  </w:style>
  <w:style w:type="character" w:customStyle="1" w:styleId="a8">
    <w:name w:val="页脚 字符"/>
    <w:basedOn w:val="a0"/>
    <w:link w:val="a7"/>
    <w:qFormat/>
    <w:rsid w:val="00803916"/>
    <w:rPr>
      <w:rFonts w:ascii="Calibri" w:eastAsia="方正仿宋简体" w:hAnsi="Calibri"/>
      <w:kern w:val="2"/>
      <w:sz w:val="18"/>
      <w:szCs w:val="18"/>
    </w:rPr>
  </w:style>
  <w:style w:type="paragraph" w:styleId="a9">
    <w:name w:val="List Paragraph"/>
    <w:basedOn w:val="a"/>
    <w:uiPriority w:val="99"/>
    <w:unhideWhenUsed/>
    <w:rsid w:val="00B27939"/>
    <w:pPr>
      <w:ind w:firstLineChars="200" w:firstLine="420"/>
    </w:pPr>
  </w:style>
  <w:style w:type="paragraph" w:styleId="aa">
    <w:name w:val="Balloon Text"/>
    <w:basedOn w:val="a"/>
    <w:link w:val="ab"/>
    <w:rsid w:val="00B27939"/>
    <w:rPr>
      <w:sz w:val="18"/>
      <w:szCs w:val="18"/>
    </w:rPr>
  </w:style>
  <w:style w:type="character" w:customStyle="1" w:styleId="ab">
    <w:name w:val="批注框文本 字符"/>
    <w:basedOn w:val="a0"/>
    <w:link w:val="aa"/>
    <w:rsid w:val="00B27939"/>
    <w:rPr>
      <w:rFonts w:ascii="Calibri" w:eastAsia="方正仿宋简体" w:hAnsi="Calibri"/>
      <w:kern w:val="2"/>
      <w:sz w:val="18"/>
      <w:szCs w:val="18"/>
    </w:rPr>
  </w:style>
  <w:style w:type="paragraph" w:styleId="ac">
    <w:name w:val="Normal (Web)"/>
    <w:basedOn w:val="a"/>
    <w:unhideWhenUsed/>
    <w:rsid w:val="00931E76"/>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42404209">
      <w:bodyDiv w:val="1"/>
      <w:marLeft w:val="0"/>
      <w:marRight w:val="0"/>
      <w:marTop w:val="0"/>
      <w:marBottom w:val="0"/>
      <w:divBdr>
        <w:top w:val="none" w:sz="0" w:space="0" w:color="auto"/>
        <w:left w:val="none" w:sz="0" w:space="0" w:color="auto"/>
        <w:bottom w:val="none" w:sz="0" w:space="0" w:color="auto"/>
        <w:right w:val="none" w:sz="0" w:space="0" w:color="auto"/>
      </w:divBdr>
    </w:div>
    <w:div w:id="1672830815">
      <w:bodyDiv w:val="1"/>
      <w:marLeft w:val="0"/>
      <w:marRight w:val="0"/>
      <w:marTop w:val="0"/>
      <w:marBottom w:val="0"/>
      <w:divBdr>
        <w:top w:val="none" w:sz="0" w:space="0" w:color="auto"/>
        <w:left w:val="none" w:sz="0" w:space="0" w:color="auto"/>
        <w:bottom w:val="none" w:sz="0" w:space="0" w:color="auto"/>
        <w:right w:val="none" w:sz="0" w:space="0" w:color="auto"/>
      </w:divBdr>
    </w:div>
    <w:div w:id="1772698606">
      <w:bodyDiv w:val="1"/>
      <w:marLeft w:val="0"/>
      <w:marRight w:val="0"/>
      <w:marTop w:val="0"/>
      <w:marBottom w:val="0"/>
      <w:divBdr>
        <w:top w:val="none" w:sz="0" w:space="0" w:color="auto"/>
        <w:left w:val="none" w:sz="0" w:space="0" w:color="auto"/>
        <w:bottom w:val="none" w:sz="0" w:space="0" w:color="auto"/>
        <w:right w:val="none" w:sz="0" w:space="0" w:color="auto"/>
      </w:divBdr>
    </w:div>
    <w:div w:id="201942632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package" Target="embeddings/Microsoft_Excel____8.xlsx"/><Relationship Id="rId2" Type="http://schemas.openxmlformats.org/officeDocument/2006/relationships/numbering" Target="numbering.xml"/><Relationship Id="rId16" Type="http://schemas.openxmlformats.org/officeDocument/2006/relationships/image" Target="media/image1.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Excel____7.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9.4696969696970598E-2"/>
          <c:y val="9.1954022988506051E-2"/>
          <c:w val="0.69696969696970035"/>
          <c:h val="0.79885057471264065"/>
        </c:manualLayout>
      </c:layout>
      <c:barChart>
        <c:barDir val="col"/>
        <c:grouping val="clustered"/>
        <c:varyColors val="0"/>
        <c:ser>
          <c:idx val="0"/>
          <c:order val="0"/>
          <c:tx>
            <c:strRef>
              <c:f>Sheet1!$A$2</c:f>
              <c:strCache>
                <c:ptCount val="1"/>
                <c:pt idx="0">
                  <c:v>行政</c:v>
                </c:pt>
              </c:strCache>
            </c:strRef>
          </c:tx>
          <c:spPr>
            <a:solidFill>
              <a:srgbClr val="9999FF"/>
            </a:solidFill>
            <a:ln w="12675">
              <a:solidFill>
                <a:srgbClr val="000000"/>
              </a:solidFill>
              <a:prstDash val="solid"/>
            </a:ln>
          </c:spPr>
          <c:invertIfNegative val="0"/>
          <c:cat>
            <c:numRef>
              <c:f>Sheet1!$B$1:$E$1</c:f>
              <c:numCache>
                <c:formatCode>General</c:formatCode>
                <c:ptCount val="4"/>
              </c:numCache>
            </c:numRef>
          </c:cat>
          <c:val>
            <c:numRef>
              <c:f>Sheet1!$B$2:$E$2</c:f>
              <c:numCache>
                <c:formatCode>General</c:formatCode>
                <c:ptCount val="4"/>
                <c:pt idx="0">
                  <c:v>1</c:v>
                </c:pt>
              </c:numCache>
            </c:numRef>
          </c:val>
          <c:extLst>
            <c:ext xmlns:c16="http://schemas.microsoft.com/office/drawing/2014/chart" uri="{C3380CC4-5D6E-409C-BE32-E72D297353CC}">
              <c16:uniqueId val="{00000000-6CC0-4984-8249-41622C9BABD1}"/>
            </c:ext>
          </c:extLst>
        </c:ser>
        <c:ser>
          <c:idx val="1"/>
          <c:order val="1"/>
          <c:tx>
            <c:strRef>
              <c:f>Sheet1!$A$3</c:f>
              <c:strCache>
                <c:ptCount val="1"/>
                <c:pt idx="0">
                  <c:v>事业</c:v>
                </c:pt>
              </c:strCache>
            </c:strRef>
          </c:tx>
          <c:spPr>
            <a:solidFill>
              <a:srgbClr val="993366"/>
            </a:solidFill>
            <a:ln w="12675">
              <a:solidFill>
                <a:srgbClr val="000000"/>
              </a:solidFill>
              <a:prstDash val="solid"/>
            </a:ln>
          </c:spPr>
          <c:invertIfNegative val="0"/>
          <c:cat>
            <c:numRef>
              <c:f>Sheet1!$B$1:$E$1</c:f>
              <c:numCache>
                <c:formatCode>General</c:formatCode>
                <c:ptCount val="4"/>
              </c:numCache>
            </c:numRef>
          </c:cat>
          <c:val>
            <c:numRef>
              <c:f>Sheet1!$B$3:$E$3</c:f>
              <c:numCache>
                <c:formatCode>General</c:formatCode>
                <c:ptCount val="4"/>
                <c:pt idx="0">
                  <c:v>47</c:v>
                </c:pt>
              </c:numCache>
            </c:numRef>
          </c:val>
          <c:extLst>
            <c:ext xmlns:c16="http://schemas.microsoft.com/office/drawing/2014/chart" uri="{C3380CC4-5D6E-409C-BE32-E72D297353CC}">
              <c16:uniqueId val="{00000001-6CC0-4984-8249-41622C9BABD1}"/>
            </c:ext>
          </c:extLst>
        </c:ser>
        <c:ser>
          <c:idx val="2"/>
          <c:order val="2"/>
          <c:tx>
            <c:strRef>
              <c:f>Sheet1!$A$4</c:f>
              <c:strCache>
                <c:ptCount val="1"/>
                <c:pt idx="0">
                  <c:v>退休</c:v>
                </c:pt>
              </c:strCache>
            </c:strRef>
          </c:tx>
          <c:spPr>
            <a:solidFill>
              <a:srgbClr val="FFFFCC"/>
            </a:solidFill>
            <a:ln w="12675">
              <a:solidFill>
                <a:srgbClr val="000000"/>
              </a:solidFill>
              <a:prstDash val="solid"/>
            </a:ln>
          </c:spPr>
          <c:invertIfNegative val="0"/>
          <c:cat>
            <c:numRef>
              <c:f>Sheet1!$B$1:$E$1</c:f>
              <c:numCache>
                <c:formatCode>General</c:formatCode>
                <c:ptCount val="4"/>
              </c:numCache>
            </c:numRef>
          </c:cat>
          <c:val>
            <c:numRef>
              <c:f>Sheet1!$B$4:$E$4</c:f>
              <c:numCache>
                <c:formatCode>General</c:formatCode>
                <c:ptCount val="4"/>
                <c:pt idx="0">
                  <c:v>19</c:v>
                </c:pt>
              </c:numCache>
            </c:numRef>
          </c:val>
          <c:extLst>
            <c:ext xmlns:c16="http://schemas.microsoft.com/office/drawing/2014/chart" uri="{C3380CC4-5D6E-409C-BE32-E72D297353CC}">
              <c16:uniqueId val="{00000002-6CC0-4984-8249-41622C9BABD1}"/>
            </c:ext>
          </c:extLst>
        </c:ser>
        <c:dLbls>
          <c:showLegendKey val="0"/>
          <c:showVal val="0"/>
          <c:showCatName val="0"/>
          <c:showSerName val="0"/>
          <c:showPercent val="0"/>
          <c:showBubbleSize val="0"/>
        </c:dLbls>
        <c:gapWidth val="150"/>
        <c:axId val="179453312"/>
        <c:axId val="179553408"/>
      </c:barChart>
      <c:catAx>
        <c:axId val="179453312"/>
        <c:scaling>
          <c:orientation val="minMax"/>
        </c:scaling>
        <c:delete val="0"/>
        <c:axPos val="b"/>
        <c:numFmt formatCode="General" sourceLinked="1"/>
        <c:majorTickMark val="in"/>
        <c:minorTickMark val="none"/>
        <c:tickLblPos val="low"/>
        <c:spPr>
          <a:ln w="3169">
            <a:solidFill>
              <a:srgbClr val="000000"/>
            </a:solidFill>
            <a:prstDash val="solid"/>
          </a:ln>
        </c:spPr>
        <c:txPr>
          <a:bodyPr rot="0" vert="horz"/>
          <a:lstStyle/>
          <a:p>
            <a:pPr>
              <a:defRPr sz="848" b="0" i="0" u="none" strike="noStrike" baseline="0">
                <a:solidFill>
                  <a:srgbClr val="000000"/>
                </a:solidFill>
                <a:latin typeface="宋体"/>
                <a:ea typeface="宋体"/>
                <a:cs typeface="宋体"/>
              </a:defRPr>
            </a:pPr>
            <a:endParaRPr lang="zh-CN"/>
          </a:p>
        </c:txPr>
        <c:crossAx val="179553408"/>
        <c:crosses val="autoZero"/>
        <c:auto val="1"/>
        <c:lblAlgn val="ctr"/>
        <c:lblOffset val="100"/>
        <c:tickLblSkip val="1"/>
        <c:tickMarkSkip val="1"/>
        <c:noMultiLvlLbl val="0"/>
      </c:catAx>
      <c:valAx>
        <c:axId val="179553408"/>
        <c:scaling>
          <c:orientation val="minMax"/>
        </c:scaling>
        <c:delete val="0"/>
        <c:axPos val="l"/>
        <c:majorGridlines>
          <c:spPr>
            <a:ln w="3169">
              <a:solidFill>
                <a:srgbClr val="000000"/>
              </a:solidFill>
              <a:prstDash val="solid"/>
            </a:ln>
          </c:spPr>
        </c:majorGridlines>
        <c:numFmt formatCode="General" sourceLinked="1"/>
        <c:majorTickMark val="in"/>
        <c:minorTickMark val="none"/>
        <c:tickLblPos val="nextTo"/>
        <c:spPr>
          <a:ln w="3169">
            <a:solidFill>
              <a:srgbClr val="000000"/>
            </a:solidFill>
            <a:prstDash val="solid"/>
          </a:ln>
        </c:spPr>
        <c:txPr>
          <a:bodyPr rot="0" vert="horz"/>
          <a:lstStyle/>
          <a:p>
            <a:pPr>
              <a:defRPr sz="848" b="0" i="0" u="none" strike="noStrike" baseline="0">
                <a:solidFill>
                  <a:srgbClr val="000000"/>
                </a:solidFill>
                <a:latin typeface="宋体"/>
                <a:ea typeface="宋体"/>
                <a:cs typeface="宋体"/>
              </a:defRPr>
            </a:pPr>
            <a:endParaRPr lang="zh-CN"/>
          </a:p>
        </c:txPr>
        <c:crossAx val="179453312"/>
        <c:crosses val="autoZero"/>
        <c:crossBetween val="between"/>
      </c:valAx>
    </c:plotArea>
    <c:legend>
      <c:legendPos val="r"/>
      <c:layout>
        <c:manualLayout>
          <c:xMode val="edge"/>
          <c:yMode val="edge"/>
          <c:x val="0.8333333333333337"/>
          <c:y val="0.36206896551724527"/>
          <c:w val="0.13925912844512242"/>
          <c:h val="0.29755059119238891"/>
        </c:manualLayout>
      </c:layout>
      <c:overlay val="0"/>
      <c:spPr>
        <a:noFill/>
        <a:ln w="3169">
          <a:solidFill>
            <a:srgbClr val="000000"/>
          </a:solidFill>
          <a:prstDash val="solid"/>
        </a:ln>
      </c:spPr>
      <c:txPr>
        <a:bodyPr/>
        <a:lstStyle/>
        <a:p>
          <a:pPr>
            <a:defRPr sz="778"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848" b="0" i="0" u="none" strike="noStrike" baseline="0">
          <a:solidFill>
            <a:srgbClr val="000000"/>
          </a:solidFill>
          <a:latin typeface="宋体"/>
          <a:ea typeface="宋体"/>
          <a:cs typeface="宋体"/>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9"/>
          <c:y val="7.1428571428571425E-2"/>
          <c:w val="0.50359712230215758"/>
          <c:h val="0.82417582417582769"/>
        </c:manualLayout>
      </c:layout>
      <c:bar3DChart>
        <c:barDir val="col"/>
        <c:grouping val="clustered"/>
        <c:varyColors val="0"/>
        <c:ser>
          <c:idx val="0"/>
          <c:order val="0"/>
          <c:tx>
            <c:strRef>
              <c:f>Sheet1!$A$2</c:f>
              <c:strCache>
                <c:ptCount val="1"/>
                <c:pt idx="0">
                  <c:v>2018年收入</c:v>
                </c:pt>
              </c:strCache>
            </c:strRef>
          </c:tx>
          <c:spPr>
            <a:solidFill>
              <a:srgbClr val="9999FF"/>
            </a:solidFill>
            <a:ln w="15120">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456.90999999999963</c:v>
                </c:pt>
              </c:numCache>
            </c:numRef>
          </c:val>
          <c:extLst>
            <c:ext xmlns:c16="http://schemas.microsoft.com/office/drawing/2014/chart" uri="{C3380CC4-5D6E-409C-BE32-E72D297353CC}">
              <c16:uniqueId val="{00000000-4A1C-4F91-833C-0FA7BE0B600A}"/>
            </c:ext>
          </c:extLst>
        </c:ser>
        <c:ser>
          <c:idx val="1"/>
          <c:order val="1"/>
          <c:tx>
            <c:strRef>
              <c:f>Sheet1!$A$3</c:f>
              <c:strCache>
                <c:ptCount val="1"/>
                <c:pt idx="0">
                  <c:v>2019年收入</c:v>
                </c:pt>
              </c:strCache>
            </c:strRef>
          </c:tx>
          <c:spPr>
            <a:solidFill>
              <a:srgbClr val="993366"/>
            </a:solidFill>
            <a:ln w="15120">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576.87</c:v>
                </c:pt>
              </c:numCache>
            </c:numRef>
          </c:val>
          <c:extLst>
            <c:ext xmlns:c16="http://schemas.microsoft.com/office/drawing/2014/chart" uri="{C3380CC4-5D6E-409C-BE32-E72D297353CC}">
              <c16:uniqueId val="{00000001-4A1C-4F91-833C-0FA7BE0B600A}"/>
            </c:ext>
          </c:extLst>
        </c:ser>
        <c:ser>
          <c:idx val="2"/>
          <c:order val="2"/>
          <c:tx>
            <c:strRef>
              <c:f>Sheet1!$A$4</c:f>
              <c:strCache>
                <c:ptCount val="1"/>
              </c:strCache>
            </c:strRef>
          </c:tx>
          <c:spPr>
            <a:solidFill>
              <a:srgbClr val="FFFFCC"/>
            </a:solidFill>
            <a:ln w="15120">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numCache>
            </c:numRef>
          </c:val>
          <c:extLst>
            <c:ext xmlns:c16="http://schemas.microsoft.com/office/drawing/2014/chart" uri="{C3380CC4-5D6E-409C-BE32-E72D297353CC}">
              <c16:uniqueId val="{00000002-4A1C-4F91-833C-0FA7BE0B600A}"/>
            </c:ext>
          </c:extLst>
        </c:ser>
        <c:ser>
          <c:idx val="3"/>
          <c:order val="3"/>
          <c:tx>
            <c:strRef>
              <c:f>Sheet1!$A$5</c:f>
              <c:strCache>
                <c:ptCount val="1"/>
              </c:strCache>
            </c:strRef>
          </c:tx>
          <c:spPr>
            <a:solidFill>
              <a:srgbClr val="CCFFFF"/>
            </a:solidFill>
            <a:ln w="15120">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numCache>
            </c:numRef>
          </c:val>
          <c:extLst>
            <c:ext xmlns:c16="http://schemas.microsoft.com/office/drawing/2014/chart" uri="{C3380CC4-5D6E-409C-BE32-E72D297353CC}">
              <c16:uniqueId val="{00000003-4A1C-4F91-833C-0FA7BE0B600A}"/>
            </c:ext>
          </c:extLst>
        </c:ser>
        <c:ser>
          <c:idx val="4"/>
          <c:order val="4"/>
          <c:tx>
            <c:strRef>
              <c:f>Sheet1!$A$6</c:f>
              <c:strCache>
                <c:ptCount val="1"/>
              </c:strCache>
            </c:strRef>
          </c:tx>
          <c:spPr>
            <a:solidFill>
              <a:srgbClr val="660066"/>
            </a:solidFill>
            <a:ln w="15120">
              <a:solidFill>
                <a:srgbClr val="000000"/>
              </a:solidFill>
              <a:prstDash val="solid"/>
            </a:ln>
          </c:spPr>
          <c:invertIfNegative val="0"/>
          <c:cat>
            <c:numRef>
              <c:f>Sheet1!$B$1:$B$1</c:f>
              <c:numCache>
                <c:formatCode>General</c:formatCode>
                <c:ptCount val="1"/>
              </c:numCache>
            </c:numRef>
          </c:cat>
          <c:val>
            <c:numRef>
              <c:f>Sheet1!$B$6:$B$6</c:f>
              <c:numCache>
                <c:formatCode>General</c:formatCode>
                <c:ptCount val="1"/>
              </c:numCache>
            </c:numRef>
          </c:val>
          <c:extLst>
            <c:ext xmlns:c16="http://schemas.microsoft.com/office/drawing/2014/chart" uri="{C3380CC4-5D6E-409C-BE32-E72D297353CC}">
              <c16:uniqueId val="{00000004-4A1C-4F91-833C-0FA7BE0B600A}"/>
            </c:ext>
          </c:extLst>
        </c:ser>
        <c:ser>
          <c:idx val="5"/>
          <c:order val="5"/>
          <c:tx>
            <c:strRef>
              <c:f>Sheet1!$A$7</c:f>
              <c:strCache>
                <c:ptCount val="1"/>
              </c:strCache>
            </c:strRef>
          </c:tx>
          <c:spPr>
            <a:solidFill>
              <a:srgbClr val="FF8080"/>
            </a:solidFill>
            <a:ln w="15120">
              <a:solidFill>
                <a:srgbClr val="000000"/>
              </a:solidFill>
              <a:prstDash val="solid"/>
            </a:ln>
          </c:spPr>
          <c:invertIfNegative val="0"/>
          <c:cat>
            <c:numRef>
              <c:f>Sheet1!$B$1:$B$1</c:f>
              <c:numCache>
                <c:formatCode>General</c:formatCode>
                <c:ptCount val="1"/>
              </c:numCache>
            </c:numRef>
          </c:cat>
          <c:val>
            <c:numRef>
              <c:f>Sheet1!$B$7:$B$7</c:f>
              <c:numCache>
                <c:formatCode>General</c:formatCode>
                <c:ptCount val="1"/>
              </c:numCache>
            </c:numRef>
          </c:val>
          <c:extLst>
            <c:ext xmlns:c16="http://schemas.microsoft.com/office/drawing/2014/chart" uri="{C3380CC4-5D6E-409C-BE32-E72D297353CC}">
              <c16:uniqueId val="{00000005-4A1C-4F91-833C-0FA7BE0B600A}"/>
            </c:ext>
          </c:extLst>
        </c:ser>
        <c:dLbls>
          <c:showLegendKey val="0"/>
          <c:showVal val="0"/>
          <c:showCatName val="0"/>
          <c:showSerName val="0"/>
          <c:showPercent val="0"/>
          <c:showBubbleSize val="0"/>
        </c:dLbls>
        <c:gapWidth val="150"/>
        <c:gapDepth val="0"/>
        <c:shape val="box"/>
        <c:axId val="180609792"/>
        <c:axId val="180611328"/>
        <c:axId val="0"/>
      </c:bar3DChart>
      <c:catAx>
        <c:axId val="180609792"/>
        <c:scaling>
          <c:orientation val="minMax"/>
        </c:scaling>
        <c:delete val="0"/>
        <c:axPos val="b"/>
        <c:numFmt formatCode="General" sourceLinked="1"/>
        <c:majorTickMark val="in"/>
        <c:minorTickMark val="none"/>
        <c:tickLblPos val="low"/>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180611328"/>
        <c:crosses val="autoZero"/>
        <c:auto val="1"/>
        <c:lblAlgn val="ctr"/>
        <c:lblOffset val="100"/>
        <c:tickLblSkip val="1"/>
        <c:tickMarkSkip val="1"/>
        <c:noMultiLvlLbl val="0"/>
      </c:catAx>
      <c:valAx>
        <c:axId val="180611328"/>
        <c:scaling>
          <c:orientation val="minMax"/>
        </c:scaling>
        <c:delete val="0"/>
        <c:axPos val="l"/>
        <c:majorGridlines>
          <c:spPr>
            <a:ln w="3780">
              <a:solidFill>
                <a:srgbClr val="000000"/>
              </a:solidFill>
              <a:prstDash val="solid"/>
            </a:ln>
          </c:spPr>
        </c:majorGridlines>
        <c:numFmt formatCode="General" sourceLinked="1"/>
        <c:majorTickMark val="in"/>
        <c:minorTickMark val="none"/>
        <c:tickLblPos val="nextTo"/>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180609792"/>
        <c:crosses val="autoZero"/>
        <c:crossBetween val="between"/>
      </c:valAx>
      <c:spPr>
        <a:noFill/>
        <a:ln w="30240">
          <a:noFill/>
        </a:ln>
      </c:spPr>
    </c:plotArea>
    <c:legend>
      <c:legendPos val="r"/>
      <c:overlay val="0"/>
      <c:spPr>
        <a:noFill/>
        <a:ln w="3780">
          <a:solidFill>
            <a:srgbClr val="000000"/>
          </a:solidFill>
          <a:prstDash val="solid"/>
        </a:ln>
      </c:spPr>
      <c:txPr>
        <a:bodyPr/>
        <a:lstStyle/>
        <a:p>
          <a:pPr>
            <a:defRPr sz="9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071" b="0" i="0" u="none" strike="noStrike" baseline="0">
          <a:solidFill>
            <a:srgbClr val="000000"/>
          </a:solidFill>
          <a:latin typeface="宋体"/>
          <a:ea typeface="宋体"/>
          <a:cs typeface="宋体"/>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9"/>
          <c:y val="7.1428571428571425E-2"/>
          <c:w val="0.50359712230215758"/>
          <c:h val="0.82417582417582735"/>
        </c:manualLayout>
      </c:layout>
      <c:bar3DChart>
        <c:barDir val="col"/>
        <c:grouping val="clustered"/>
        <c:varyColors val="0"/>
        <c:ser>
          <c:idx val="0"/>
          <c:order val="0"/>
          <c:tx>
            <c:strRef>
              <c:f>Sheet1!$A$2</c:f>
              <c:strCache>
                <c:ptCount val="1"/>
                <c:pt idx="0">
                  <c:v>2018年支出</c:v>
                </c:pt>
              </c:strCache>
            </c:strRef>
          </c:tx>
          <c:spPr>
            <a:solidFill>
              <a:srgbClr val="9999FF"/>
            </a:solidFill>
            <a:ln w="15120">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456.90999999999963</c:v>
                </c:pt>
              </c:numCache>
            </c:numRef>
          </c:val>
          <c:extLst>
            <c:ext xmlns:c16="http://schemas.microsoft.com/office/drawing/2014/chart" uri="{C3380CC4-5D6E-409C-BE32-E72D297353CC}">
              <c16:uniqueId val="{00000000-F73E-43FE-92FD-F77196F3D773}"/>
            </c:ext>
          </c:extLst>
        </c:ser>
        <c:ser>
          <c:idx val="1"/>
          <c:order val="1"/>
          <c:tx>
            <c:strRef>
              <c:f>Sheet1!$A$3</c:f>
              <c:strCache>
                <c:ptCount val="1"/>
                <c:pt idx="0">
                  <c:v>2019年支出</c:v>
                </c:pt>
              </c:strCache>
            </c:strRef>
          </c:tx>
          <c:spPr>
            <a:solidFill>
              <a:srgbClr val="993366"/>
            </a:solidFill>
            <a:ln w="15120">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576.87</c:v>
                </c:pt>
              </c:numCache>
            </c:numRef>
          </c:val>
          <c:extLst>
            <c:ext xmlns:c16="http://schemas.microsoft.com/office/drawing/2014/chart" uri="{C3380CC4-5D6E-409C-BE32-E72D297353CC}">
              <c16:uniqueId val="{00000001-F73E-43FE-92FD-F77196F3D773}"/>
            </c:ext>
          </c:extLst>
        </c:ser>
        <c:ser>
          <c:idx val="2"/>
          <c:order val="2"/>
          <c:tx>
            <c:strRef>
              <c:f>Sheet1!$A$4</c:f>
              <c:strCache>
                <c:ptCount val="1"/>
              </c:strCache>
            </c:strRef>
          </c:tx>
          <c:spPr>
            <a:solidFill>
              <a:srgbClr val="FFFFCC"/>
            </a:solidFill>
            <a:ln w="15120">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numCache>
            </c:numRef>
          </c:val>
          <c:extLst>
            <c:ext xmlns:c16="http://schemas.microsoft.com/office/drawing/2014/chart" uri="{C3380CC4-5D6E-409C-BE32-E72D297353CC}">
              <c16:uniqueId val="{00000002-F73E-43FE-92FD-F77196F3D773}"/>
            </c:ext>
          </c:extLst>
        </c:ser>
        <c:ser>
          <c:idx val="3"/>
          <c:order val="3"/>
          <c:tx>
            <c:strRef>
              <c:f>Sheet1!$A$5</c:f>
              <c:strCache>
                <c:ptCount val="1"/>
              </c:strCache>
            </c:strRef>
          </c:tx>
          <c:spPr>
            <a:solidFill>
              <a:srgbClr val="CCFFFF"/>
            </a:solidFill>
            <a:ln w="15120">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numCache>
            </c:numRef>
          </c:val>
          <c:extLst>
            <c:ext xmlns:c16="http://schemas.microsoft.com/office/drawing/2014/chart" uri="{C3380CC4-5D6E-409C-BE32-E72D297353CC}">
              <c16:uniqueId val="{00000003-F73E-43FE-92FD-F77196F3D773}"/>
            </c:ext>
          </c:extLst>
        </c:ser>
        <c:ser>
          <c:idx val="4"/>
          <c:order val="4"/>
          <c:tx>
            <c:strRef>
              <c:f>Sheet1!$A$6</c:f>
              <c:strCache>
                <c:ptCount val="1"/>
              </c:strCache>
            </c:strRef>
          </c:tx>
          <c:spPr>
            <a:solidFill>
              <a:srgbClr val="660066"/>
            </a:solidFill>
            <a:ln w="15120">
              <a:solidFill>
                <a:srgbClr val="000000"/>
              </a:solidFill>
              <a:prstDash val="solid"/>
            </a:ln>
          </c:spPr>
          <c:invertIfNegative val="0"/>
          <c:cat>
            <c:numRef>
              <c:f>Sheet1!$B$1:$B$1</c:f>
              <c:numCache>
                <c:formatCode>General</c:formatCode>
                <c:ptCount val="1"/>
              </c:numCache>
            </c:numRef>
          </c:cat>
          <c:val>
            <c:numRef>
              <c:f>Sheet1!$B$6:$B$6</c:f>
              <c:numCache>
                <c:formatCode>General</c:formatCode>
                <c:ptCount val="1"/>
              </c:numCache>
            </c:numRef>
          </c:val>
          <c:extLst>
            <c:ext xmlns:c16="http://schemas.microsoft.com/office/drawing/2014/chart" uri="{C3380CC4-5D6E-409C-BE32-E72D297353CC}">
              <c16:uniqueId val="{00000004-F73E-43FE-92FD-F77196F3D773}"/>
            </c:ext>
          </c:extLst>
        </c:ser>
        <c:dLbls>
          <c:showLegendKey val="0"/>
          <c:showVal val="0"/>
          <c:showCatName val="0"/>
          <c:showSerName val="0"/>
          <c:showPercent val="0"/>
          <c:showBubbleSize val="0"/>
        </c:dLbls>
        <c:gapWidth val="150"/>
        <c:gapDepth val="0"/>
        <c:shape val="box"/>
        <c:axId val="226022912"/>
        <c:axId val="226024448"/>
        <c:axId val="0"/>
      </c:bar3DChart>
      <c:catAx>
        <c:axId val="226022912"/>
        <c:scaling>
          <c:orientation val="minMax"/>
        </c:scaling>
        <c:delete val="0"/>
        <c:axPos val="b"/>
        <c:numFmt formatCode="General" sourceLinked="1"/>
        <c:majorTickMark val="in"/>
        <c:minorTickMark val="none"/>
        <c:tickLblPos val="low"/>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26024448"/>
        <c:crosses val="autoZero"/>
        <c:auto val="1"/>
        <c:lblAlgn val="ctr"/>
        <c:lblOffset val="100"/>
        <c:tickLblSkip val="1"/>
        <c:tickMarkSkip val="1"/>
        <c:noMultiLvlLbl val="0"/>
      </c:catAx>
      <c:valAx>
        <c:axId val="226024448"/>
        <c:scaling>
          <c:orientation val="minMax"/>
        </c:scaling>
        <c:delete val="0"/>
        <c:axPos val="l"/>
        <c:majorGridlines>
          <c:spPr>
            <a:ln w="3780">
              <a:solidFill>
                <a:srgbClr val="000000"/>
              </a:solidFill>
              <a:prstDash val="solid"/>
            </a:ln>
          </c:spPr>
        </c:majorGridlines>
        <c:numFmt formatCode="General" sourceLinked="1"/>
        <c:majorTickMark val="in"/>
        <c:minorTickMark val="none"/>
        <c:tickLblPos val="nextTo"/>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26022912"/>
        <c:crosses val="autoZero"/>
        <c:crossBetween val="between"/>
      </c:valAx>
      <c:spPr>
        <a:noFill/>
        <a:ln w="30240">
          <a:noFill/>
        </a:ln>
      </c:spPr>
    </c:plotArea>
    <c:legend>
      <c:legendPos val="r"/>
      <c:layout>
        <c:manualLayout>
          <c:xMode val="edge"/>
          <c:yMode val="edge"/>
          <c:x val="0.65467625899280879"/>
          <c:y val="7.1428571428571425E-2"/>
          <c:w val="0.33093525179856131"/>
          <c:h val="0.85714285714285765"/>
        </c:manualLayout>
      </c:layout>
      <c:overlay val="0"/>
      <c:spPr>
        <a:noFill/>
        <a:ln w="3780">
          <a:solidFill>
            <a:srgbClr val="000000"/>
          </a:solidFill>
          <a:prstDash val="solid"/>
        </a:ln>
      </c:spPr>
      <c:txPr>
        <a:bodyPr/>
        <a:lstStyle/>
        <a:p>
          <a:pPr>
            <a:defRPr sz="9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071" b="0" i="0" u="none" strike="noStrike" baseline="0">
          <a:solidFill>
            <a:srgbClr val="000000"/>
          </a:solidFill>
          <a:latin typeface="宋体"/>
          <a:ea typeface="宋体"/>
          <a:cs typeface="宋体"/>
        </a:defRPr>
      </a:pPr>
      <a:endParaRPr lang="zh-CN"/>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年度收入构成情况</c:v>
                </c:pt>
              </c:strCache>
            </c:strRef>
          </c:tx>
          <c:dLbls>
            <c:dLbl>
              <c:idx val="2"/>
              <c:layout>
                <c:manualLayout>
                  <c:x val="-0.19030356577448038"/>
                  <c:y val="9.9780437662010515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14BE-4B4F-BD9E-59E340C64988}"/>
                </c:ext>
              </c:extLst>
            </c:dLbl>
            <c:dLbl>
              <c:idx val="3"/>
              <c:layout>
                <c:manualLayout>
                  <c:x val="-0.235451746294776"/>
                  <c:y val="-2.4058571625915192E-2"/>
                </c:manualLayout>
              </c:layout>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14BE-4B4F-BD9E-59E340C64988}"/>
                </c:ext>
              </c:extLst>
            </c:dLbl>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576.87</c:v>
                </c:pt>
                <c:pt idx="1">
                  <c:v>0</c:v>
                </c:pt>
                <c:pt idx="2">
                  <c:v>0</c:v>
                </c:pt>
                <c:pt idx="3">
                  <c:v>0</c:v>
                </c:pt>
              </c:numCache>
            </c:numRef>
          </c:val>
          <c:extLst>
            <c:ext xmlns:c16="http://schemas.microsoft.com/office/drawing/2014/chart" uri="{C3380CC4-5D6E-409C-BE32-E72D297353CC}">
              <c16:uniqueId val="{00000002-14BE-4B4F-BD9E-59E340C64988}"/>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title>
    <c:autoTitleDeleted val="0"/>
    <c:plotArea>
      <c:layout/>
      <c:pieChart>
        <c:varyColors val="1"/>
        <c:ser>
          <c:idx val="0"/>
          <c:order val="0"/>
          <c:tx>
            <c:strRef>
              <c:f>Sheet1!$B$1</c:f>
              <c:strCache>
                <c:ptCount val="1"/>
                <c:pt idx="0">
                  <c:v>支出构成情况</c:v>
                </c:pt>
              </c:strCache>
            </c:strRef>
          </c:tx>
          <c:dLbls>
            <c:spPr>
              <a:noFill/>
              <a:ln>
                <a:noFill/>
              </a:ln>
              <a:effectLst/>
            </c:spPr>
            <c:showLegendKey val="0"/>
            <c:showVal val="0"/>
            <c:showCatName val="1"/>
            <c:showSerName val="0"/>
            <c:showPercent val="1"/>
            <c:showBubbleSize val="0"/>
            <c:showLeaderLines val="1"/>
            <c:extLst>
              <c:ext xmlns:c15="http://schemas.microsoft.com/office/drawing/2012/chart" uri="{CE6537A1-D6FC-4f65-9D91-7224C49458BB}"/>
            </c:extLst>
          </c:dLbls>
          <c:cat>
            <c:strRef>
              <c:f>Sheet1!$A$2:$A$5</c:f>
              <c:strCache>
                <c:ptCount val="3"/>
                <c:pt idx="0">
                  <c:v>基本支出</c:v>
                </c:pt>
                <c:pt idx="1">
                  <c:v>项目支出</c:v>
                </c:pt>
                <c:pt idx="2">
                  <c:v>经营支出</c:v>
                </c:pt>
              </c:strCache>
            </c:strRef>
          </c:cat>
          <c:val>
            <c:numRef>
              <c:f>Sheet1!$B$2:$B$5</c:f>
              <c:numCache>
                <c:formatCode>0%</c:formatCode>
                <c:ptCount val="4"/>
                <c:pt idx="0">
                  <c:v>0.78</c:v>
                </c:pt>
                <c:pt idx="1">
                  <c:v>0.22</c:v>
                </c:pt>
                <c:pt idx="2" formatCode="General">
                  <c:v>0</c:v>
                </c:pt>
              </c:numCache>
            </c:numRef>
          </c:val>
          <c:extLst>
            <c:ext xmlns:c16="http://schemas.microsoft.com/office/drawing/2014/chart" uri="{C3380CC4-5D6E-409C-BE32-E72D297353CC}">
              <c16:uniqueId val="{00000000-CCEA-4691-872C-C02473F637BD}"/>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9"/>
          <c:y val="7.1428571428571425E-2"/>
          <c:w val="0.50359712230215758"/>
          <c:h val="0.82417582417582791"/>
        </c:manualLayout>
      </c:layout>
      <c:bar3DChart>
        <c:barDir val="col"/>
        <c:grouping val="clustered"/>
        <c:varyColors val="0"/>
        <c:ser>
          <c:idx val="0"/>
          <c:order val="0"/>
          <c:tx>
            <c:strRef>
              <c:f>Sheet1!$A$2</c:f>
              <c:strCache>
                <c:ptCount val="1"/>
                <c:pt idx="0">
                  <c:v>2018年财政拨款收入</c:v>
                </c:pt>
              </c:strCache>
            </c:strRef>
          </c:tx>
          <c:spPr>
            <a:solidFill>
              <a:srgbClr val="9999FF"/>
            </a:solidFill>
            <a:ln w="15120">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456.90999999999963</c:v>
                </c:pt>
              </c:numCache>
            </c:numRef>
          </c:val>
          <c:extLst>
            <c:ext xmlns:c16="http://schemas.microsoft.com/office/drawing/2014/chart" uri="{C3380CC4-5D6E-409C-BE32-E72D297353CC}">
              <c16:uniqueId val="{00000000-5C22-4423-AE78-4048206D79C6}"/>
            </c:ext>
          </c:extLst>
        </c:ser>
        <c:ser>
          <c:idx val="1"/>
          <c:order val="1"/>
          <c:tx>
            <c:strRef>
              <c:f>Sheet1!$A$3</c:f>
              <c:strCache>
                <c:ptCount val="1"/>
                <c:pt idx="0">
                  <c:v>2019年财政拨款收入</c:v>
                </c:pt>
              </c:strCache>
            </c:strRef>
          </c:tx>
          <c:spPr>
            <a:solidFill>
              <a:srgbClr val="993366"/>
            </a:solidFill>
            <a:ln w="15120">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576.87</c:v>
                </c:pt>
              </c:numCache>
            </c:numRef>
          </c:val>
          <c:extLst>
            <c:ext xmlns:c16="http://schemas.microsoft.com/office/drawing/2014/chart" uri="{C3380CC4-5D6E-409C-BE32-E72D297353CC}">
              <c16:uniqueId val="{00000001-5C22-4423-AE78-4048206D79C6}"/>
            </c:ext>
          </c:extLst>
        </c:ser>
        <c:ser>
          <c:idx val="2"/>
          <c:order val="2"/>
          <c:tx>
            <c:strRef>
              <c:f>Sheet1!$A$4</c:f>
              <c:strCache>
                <c:ptCount val="1"/>
              </c:strCache>
            </c:strRef>
          </c:tx>
          <c:spPr>
            <a:solidFill>
              <a:srgbClr val="FFFFCC"/>
            </a:solidFill>
            <a:ln w="15120">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numCache>
            </c:numRef>
          </c:val>
          <c:extLst>
            <c:ext xmlns:c16="http://schemas.microsoft.com/office/drawing/2014/chart" uri="{C3380CC4-5D6E-409C-BE32-E72D297353CC}">
              <c16:uniqueId val="{00000002-5C22-4423-AE78-4048206D79C6}"/>
            </c:ext>
          </c:extLst>
        </c:ser>
        <c:ser>
          <c:idx val="3"/>
          <c:order val="3"/>
          <c:tx>
            <c:strRef>
              <c:f>Sheet1!$A$5</c:f>
              <c:strCache>
                <c:ptCount val="1"/>
              </c:strCache>
            </c:strRef>
          </c:tx>
          <c:spPr>
            <a:solidFill>
              <a:srgbClr val="CCFFFF"/>
            </a:solidFill>
            <a:ln w="15120">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numCache>
            </c:numRef>
          </c:val>
          <c:extLst>
            <c:ext xmlns:c16="http://schemas.microsoft.com/office/drawing/2014/chart" uri="{C3380CC4-5D6E-409C-BE32-E72D297353CC}">
              <c16:uniqueId val="{00000003-5C22-4423-AE78-4048206D79C6}"/>
            </c:ext>
          </c:extLst>
        </c:ser>
        <c:ser>
          <c:idx val="4"/>
          <c:order val="4"/>
          <c:tx>
            <c:strRef>
              <c:f>Sheet1!$A$6</c:f>
              <c:strCache>
                <c:ptCount val="1"/>
              </c:strCache>
            </c:strRef>
          </c:tx>
          <c:spPr>
            <a:solidFill>
              <a:srgbClr val="660066"/>
            </a:solidFill>
            <a:ln w="15120">
              <a:solidFill>
                <a:srgbClr val="000000"/>
              </a:solidFill>
              <a:prstDash val="solid"/>
            </a:ln>
          </c:spPr>
          <c:invertIfNegative val="0"/>
          <c:cat>
            <c:numRef>
              <c:f>Sheet1!$B$1:$B$1</c:f>
              <c:numCache>
                <c:formatCode>General</c:formatCode>
                <c:ptCount val="1"/>
              </c:numCache>
            </c:numRef>
          </c:cat>
          <c:val>
            <c:numRef>
              <c:f>Sheet1!$B$6:$B$6</c:f>
              <c:numCache>
                <c:formatCode>General</c:formatCode>
                <c:ptCount val="1"/>
              </c:numCache>
            </c:numRef>
          </c:val>
          <c:extLst>
            <c:ext xmlns:c16="http://schemas.microsoft.com/office/drawing/2014/chart" uri="{C3380CC4-5D6E-409C-BE32-E72D297353CC}">
              <c16:uniqueId val="{00000004-5C22-4423-AE78-4048206D79C6}"/>
            </c:ext>
          </c:extLst>
        </c:ser>
        <c:ser>
          <c:idx val="5"/>
          <c:order val="5"/>
          <c:tx>
            <c:strRef>
              <c:f>Sheet1!$A$7</c:f>
              <c:strCache>
                <c:ptCount val="1"/>
              </c:strCache>
            </c:strRef>
          </c:tx>
          <c:spPr>
            <a:solidFill>
              <a:srgbClr val="FF8080"/>
            </a:solidFill>
            <a:ln w="15120">
              <a:solidFill>
                <a:srgbClr val="000000"/>
              </a:solidFill>
              <a:prstDash val="solid"/>
            </a:ln>
          </c:spPr>
          <c:invertIfNegative val="0"/>
          <c:cat>
            <c:numRef>
              <c:f>Sheet1!$B$1:$B$1</c:f>
              <c:numCache>
                <c:formatCode>General</c:formatCode>
                <c:ptCount val="1"/>
              </c:numCache>
            </c:numRef>
          </c:cat>
          <c:val>
            <c:numRef>
              <c:f>Sheet1!$B$7:$B$7</c:f>
              <c:numCache>
                <c:formatCode>General</c:formatCode>
                <c:ptCount val="1"/>
              </c:numCache>
            </c:numRef>
          </c:val>
          <c:extLst>
            <c:ext xmlns:c16="http://schemas.microsoft.com/office/drawing/2014/chart" uri="{C3380CC4-5D6E-409C-BE32-E72D297353CC}">
              <c16:uniqueId val="{00000005-5C22-4423-AE78-4048206D79C6}"/>
            </c:ext>
          </c:extLst>
        </c:ser>
        <c:dLbls>
          <c:showLegendKey val="0"/>
          <c:showVal val="0"/>
          <c:showCatName val="0"/>
          <c:showSerName val="0"/>
          <c:showPercent val="0"/>
          <c:showBubbleSize val="0"/>
        </c:dLbls>
        <c:gapWidth val="150"/>
        <c:gapDepth val="0"/>
        <c:shape val="box"/>
        <c:axId val="246592640"/>
        <c:axId val="246594176"/>
        <c:axId val="0"/>
      </c:bar3DChart>
      <c:catAx>
        <c:axId val="246592640"/>
        <c:scaling>
          <c:orientation val="minMax"/>
        </c:scaling>
        <c:delete val="0"/>
        <c:axPos val="b"/>
        <c:numFmt formatCode="General" sourceLinked="1"/>
        <c:majorTickMark val="in"/>
        <c:minorTickMark val="none"/>
        <c:tickLblPos val="low"/>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46594176"/>
        <c:crosses val="autoZero"/>
        <c:auto val="1"/>
        <c:lblAlgn val="ctr"/>
        <c:lblOffset val="100"/>
        <c:tickLblSkip val="1"/>
        <c:tickMarkSkip val="1"/>
        <c:noMultiLvlLbl val="0"/>
      </c:catAx>
      <c:valAx>
        <c:axId val="246594176"/>
        <c:scaling>
          <c:orientation val="minMax"/>
        </c:scaling>
        <c:delete val="0"/>
        <c:axPos val="l"/>
        <c:majorGridlines>
          <c:spPr>
            <a:ln w="3780">
              <a:solidFill>
                <a:srgbClr val="000000"/>
              </a:solidFill>
              <a:prstDash val="solid"/>
            </a:ln>
          </c:spPr>
        </c:majorGridlines>
        <c:numFmt formatCode="General" sourceLinked="1"/>
        <c:majorTickMark val="in"/>
        <c:minorTickMark val="none"/>
        <c:tickLblPos val="nextTo"/>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46592640"/>
        <c:crosses val="autoZero"/>
        <c:crossBetween val="between"/>
      </c:valAx>
      <c:spPr>
        <a:noFill/>
        <a:ln w="30240">
          <a:noFill/>
        </a:ln>
      </c:spPr>
    </c:plotArea>
    <c:legend>
      <c:legendPos val="r"/>
      <c:overlay val="0"/>
      <c:spPr>
        <a:noFill/>
        <a:ln w="3780">
          <a:solidFill>
            <a:srgbClr val="000000"/>
          </a:solidFill>
          <a:prstDash val="solid"/>
        </a:ln>
      </c:spPr>
      <c:txPr>
        <a:bodyPr/>
        <a:lstStyle/>
        <a:p>
          <a:pPr>
            <a:defRPr sz="9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071" b="0" i="0" u="none" strike="noStrike" baseline="0">
          <a:solidFill>
            <a:srgbClr val="000000"/>
          </a:solidFill>
          <a:latin typeface="宋体"/>
          <a:ea typeface="宋体"/>
          <a:cs typeface="宋体"/>
        </a:defRPr>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view3D>
      <c:rotX val="15"/>
      <c:hPercent val="101"/>
      <c:rotY val="20"/>
      <c:depthPercent val="100"/>
      <c:rAngAx val="1"/>
    </c:view3D>
    <c:floor>
      <c:thickness val="0"/>
      <c:spPr>
        <a:solidFill>
          <a:srgbClr val="C0C0C0"/>
        </a:solidFill>
        <a:ln w="3175">
          <a:solidFill>
            <a:srgbClr val="000000"/>
          </a:solidFill>
          <a:prstDash val="solid"/>
        </a:ln>
      </c:spPr>
    </c:floor>
    <c:sideWall>
      <c:thickness val="0"/>
      <c:spPr>
        <a:solidFill>
          <a:srgbClr val="C0C0C0"/>
        </a:solidFill>
        <a:ln w="12700">
          <a:solidFill>
            <a:srgbClr val="808080"/>
          </a:solidFill>
          <a:prstDash val="solid"/>
        </a:ln>
      </c:spPr>
    </c:sideWall>
    <c:backWall>
      <c:thickness val="0"/>
      <c:spPr>
        <a:solidFill>
          <a:srgbClr val="C0C0C0"/>
        </a:solidFill>
        <a:ln w="12700">
          <a:solidFill>
            <a:srgbClr val="808080"/>
          </a:solidFill>
          <a:prstDash val="solid"/>
        </a:ln>
      </c:spPr>
    </c:backWall>
    <c:plotArea>
      <c:layout>
        <c:manualLayout>
          <c:layoutTarget val="inner"/>
          <c:xMode val="edge"/>
          <c:yMode val="edge"/>
          <c:x val="0.11151079136690649"/>
          <c:y val="7.1428571428571425E-2"/>
          <c:w val="0.50359712230215758"/>
          <c:h val="0.82417582417582769"/>
        </c:manualLayout>
      </c:layout>
      <c:bar3DChart>
        <c:barDir val="col"/>
        <c:grouping val="clustered"/>
        <c:varyColors val="0"/>
        <c:ser>
          <c:idx val="0"/>
          <c:order val="0"/>
          <c:tx>
            <c:strRef>
              <c:f>Sheet1!$A$2</c:f>
              <c:strCache>
                <c:ptCount val="1"/>
                <c:pt idx="0">
                  <c:v>2018年财政拨款支出</c:v>
                </c:pt>
              </c:strCache>
            </c:strRef>
          </c:tx>
          <c:spPr>
            <a:solidFill>
              <a:srgbClr val="9999FF"/>
            </a:solidFill>
            <a:ln w="15120">
              <a:solidFill>
                <a:srgbClr val="000000"/>
              </a:solidFill>
              <a:prstDash val="solid"/>
            </a:ln>
          </c:spPr>
          <c:invertIfNegative val="0"/>
          <c:cat>
            <c:numRef>
              <c:f>Sheet1!$B$1:$B$1</c:f>
              <c:numCache>
                <c:formatCode>General</c:formatCode>
                <c:ptCount val="1"/>
              </c:numCache>
            </c:numRef>
          </c:cat>
          <c:val>
            <c:numRef>
              <c:f>Sheet1!$B$2:$B$2</c:f>
              <c:numCache>
                <c:formatCode>General</c:formatCode>
                <c:ptCount val="1"/>
                <c:pt idx="0">
                  <c:v>456.90999999999963</c:v>
                </c:pt>
              </c:numCache>
            </c:numRef>
          </c:val>
          <c:extLst>
            <c:ext xmlns:c16="http://schemas.microsoft.com/office/drawing/2014/chart" uri="{C3380CC4-5D6E-409C-BE32-E72D297353CC}">
              <c16:uniqueId val="{00000000-16DB-4381-B0FB-E46BF65821D0}"/>
            </c:ext>
          </c:extLst>
        </c:ser>
        <c:ser>
          <c:idx val="1"/>
          <c:order val="1"/>
          <c:tx>
            <c:strRef>
              <c:f>Sheet1!$A$3</c:f>
              <c:strCache>
                <c:ptCount val="1"/>
                <c:pt idx="0">
                  <c:v>2019年财政拨款支出</c:v>
                </c:pt>
              </c:strCache>
            </c:strRef>
          </c:tx>
          <c:spPr>
            <a:solidFill>
              <a:srgbClr val="993366"/>
            </a:solidFill>
            <a:ln w="15120">
              <a:solidFill>
                <a:srgbClr val="000000"/>
              </a:solidFill>
              <a:prstDash val="solid"/>
            </a:ln>
          </c:spPr>
          <c:invertIfNegative val="0"/>
          <c:cat>
            <c:numRef>
              <c:f>Sheet1!$B$1:$B$1</c:f>
              <c:numCache>
                <c:formatCode>General</c:formatCode>
                <c:ptCount val="1"/>
              </c:numCache>
            </c:numRef>
          </c:cat>
          <c:val>
            <c:numRef>
              <c:f>Sheet1!$B$3:$B$3</c:f>
              <c:numCache>
                <c:formatCode>General</c:formatCode>
                <c:ptCount val="1"/>
                <c:pt idx="0">
                  <c:v>576.87</c:v>
                </c:pt>
              </c:numCache>
            </c:numRef>
          </c:val>
          <c:extLst>
            <c:ext xmlns:c16="http://schemas.microsoft.com/office/drawing/2014/chart" uri="{C3380CC4-5D6E-409C-BE32-E72D297353CC}">
              <c16:uniqueId val="{00000001-16DB-4381-B0FB-E46BF65821D0}"/>
            </c:ext>
          </c:extLst>
        </c:ser>
        <c:ser>
          <c:idx val="2"/>
          <c:order val="2"/>
          <c:tx>
            <c:strRef>
              <c:f>Sheet1!$A$4</c:f>
              <c:strCache>
                <c:ptCount val="1"/>
              </c:strCache>
            </c:strRef>
          </c:tx>
          <c:spPr>
            <a:solidFill>
              <a:srgbClr val="FFFFCC"/>
            </a:solidFill>
            <a:ln w="15120">
              <a:solidFill>
                <a:srgbClr val="000000"/>
              </a:solidFill>
              <a:prstDash val="solid"/>
            </a:ln>
          </c:spPr>
          <c:invertIfNegative val="0"/>
          <c:cat>
            <c:numRef>
              <c:f>Sheet1!$B$1:$B$1</c:f>
              <c:numCache>
                <c:formatCode>General</c:formatCode>
                <c:ptCount val="1"/>
              </c:numCache>
            </c:numRef>
          </c:cat>
          <c:val>
            <c:numRef>
              <c:f>Sheet1!$B$4:$B$4</c:f>
              <c:numCache>
                <c:formatCode>General</c:formatCode>
                <c:ptCount val="1"/>
              </c:numCache>
            </c:numRef>
          </c:val>
          <c:extLst>
            <c:ext xmlns:c16="http://schemas.microsoft.com/office/drawing/2014/chart" uri="{C3380CC4-5D6E-409C-BE32-E72D297353CC}">
              <c16:uniqueId val="{00000002-16DB-4381-B0FB-E46BF65821D0}"/>
            </c:ext>
          </c:extLst>
        </c:ser>
        <c:ser>
          <c:idx val="3"/>
          <c:order val="3"/>
          <c:tx>
            <c:strRef>
              <c:f>Sheet1!$A$5</c:f>
              <c:strCache>
                <c:ptCount val="1"/>
              </c:strCache>
            </c:strRef>
          </c:tx>
          <c:spPr>
            <a:solidFill>
              <a:srgbClr val="CCFFFF"/>
            </a:solidFill>
            <a:ln w="15120">
              <a:solidFill>
                <a:srgbClr val="000000"/>
              </a:solidFill>
              <a:prstDash val="solid"/>
            </a:ln>
          </c:spPr>
          <c:invertIfNegative val="0"/>
          <c:cat>
            <c:numRef>
              <c:f>Sheet1!$B$1:$B$1</c:f>
              <c:numCache>
                <c:formatCode>General</c:formatCode>
                <c:ptCount val="1"/>
              </c:numCache>
            </c:numRef>
          </c:cat>
          <c:val>
            <c:numRef>
              <c:f>Sheet1!$B$5:$B$5</c:f>
              <c:numCache>
                <c:formatCode>General</c:formatCode>
                <c:ptCount val="1"/>
              </c:numCache>
            </c:numRef>
          </c:val>
          <c:extLst>
            <c:ext xmlns:c16="http://schemas.microsoft.com/office/drawing/2014/chart" uri="{C3380CC4-5D6E-409C-BE32-E72D297353CC}">
              <c16:uniqueId val="{00000003-16DB-4381-B0FB-E46BF65821D0}"/>
            </c:ext>
          </c:extLst>
        </c:ser>
        <c:ser>
          <c:idx val="4"/>
          <c:order val="4"/>
          <c:tx>
            <c:strRef>
              <c:f>Sheet1!$A$6</c:f>
              <c:strCache>
                <c:ptCount val="1"/>
              </c:strCache>
            </c:strRef>
          </c:tx>
          <c:spPr>
            <a:solidFill>
              <a:srgbClr val="660066"/>
            </a:solidFill>
            <a:ln w="15120">
              <a:solidFill>
                <a:srgbClr val="000000"/>
              </a:solidFill>
              <a:prstDash val="solid"/>
            </a:ln>
          </c:spPr>
          <c:invertIfNegative val="0"/>
          <c:cat>
            <c:numRef>
              <c:f>Sheet1!$B$1:$B$1</c:f>
              <c:numCache>
                <c:formatCode>General</c:formatCode>
                <c:ptCount val="1"/>
              </c:numCache>
            </c:numRef>
          </c:cat>
          <c:val>
            <c:numRef>
              <c:f>Sheet1!$B$6:$B$6</c:f>
              <c:numCache>
                <c:formatCode>General</c:formatCode>
                <c:ptCount val="1"/>
              </c:numCache>
            </c:numRef>
          </c:val>
          <c:extLst>
            <c:ext xmlns:c16="http://schemas.microsoft.com/office/drawing/2014/chart" uri="{C3380CC4-5D6E-409C-BE32-E72D297353CC}">
              <c16:uniqueId val="{00000004-16DB-4381-B0FB-E46BF65821D0}"/>
            </c:ext>
          </c:extLst>
        </c:ser>
        <c:dLbls>
          <c:showLegendKey val="0"/>
          <c:showVal val="0"/>
          <c:showCatName val="0"/>
          <c:showSerName val="0"/>
          <c:showPercent val="0"/>
          <c:showBubbleSize val="0"/>
        </c:dLbls>
        <c:gapWidth val="150"/>
        <c:gapDepth val="0"/>
        <c:shape val="box"/>
        <c:axId val="227680640"/>
        <c:axId val="227682176"/>
        <c:axId val="0"/>
      </c:bar3DChart>
      <c:catAx>
        <c:axId val="227680640"/>
        <c:scaling>
          <c:orientation val="minMax"/>
        </c:scaling>
        <c:delete val="0"/>
        <c:axPos val="b"/>
        <c:numFmt formatCode="General" sourceLinked="1"/>
        <c:majorTickMark val="in"/>
        <c:minorTickMark val="none"/>
        <c:tickLblPos val="low"/>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27682176"/>
        <c:crosses val="autoZero"/>
        <c:auto val="1"/>
        <c:lblAlgn val="ctr"/>
        <c:lblOffset val="100"/>
        <c:tickLblSkip val="1"/>
        <c:tickMarkSkip val="1"/>
        <c:noMultiLvlLbl val="0"/>
      </c:catAx>
      <c:valAx>
        <c:axId val="227682176"/>
        <c:scaling>
          <c:orientation val="minMax"/>
        </c:scaling>
        <c:delete val="0"/>
        <c:axPos val="l"/>
        <c:majorGridlines>
          <c:spPr>
            <a:ln w="3780">
              <a:solidFill>
                <a:srgbClr val="000000"/>
              </a:solidFill>
              <a:prstDash val="solid"/>
            </a:ln>
          </c:spPr>
        </c:majorGridlines>
        <c:numFmt formatCode="General" sourceLinked="1"/>
        <c:majorTickMark val="in"/>
        <c:minorTickMark val="none"/>
        <c:tickLblPos val="nextTo"/>
        <c:spPr>
          <a:ln w="3780">
            <a:solidFill>
              <a:srgbClr val="000000"/>
            </a:solidFill>
            <a:prstDash val="solid"/>
          </a:ln>
        </c:spPr>
        <c:txPr>
          <a:bodyPr rot="0" vert="horz"/>
          <a:lstStyle/>
          <a:p>
            <a:pPr>
              <a:defRPr sz="1071" b="0" i="0" u="none" strike="noStrike" baseline="0">
                <a:solidFill>
                  <a:srgbClr val="000000"/>
                </a:solidFill>
                <a:latin typeface="宋体"/>
                <a:ea typeface="宋体"/>
                <a:cs typeface="宋体"/>
              </a:defRPr>
            </a:pPr>
            <a:endParaRPr lang="zh-CN"/>
          </a:p>
        </c:txPr>
        <c:crossAx val="227680640"/>
        <c:crosses val="autoZero"/>
        <c:crossBetween val="between"/>
      </c:valAx>
      <c:spPr>
        <a:noFill/>
        <a:ln w="30240">
          <a:noFill/>
        </a:ln>
      </c:spPr>
    </c:plotArea>
    <c:legend>
      <c:legendPos val="r"/>
      <c:layout>
        <c:manualLayout>
          <c:xMode val="edge"/>
          <c:yMode val="edge"/>
          <c:x val="0.65467625899280901"/>
          <c:y val="7.1428571428571425E-2"/>
          <c:w val="0.33093525179856131"/>
          <c:h val="0.85714285714285765"/>
        </c:manualLayout>
      </c:layout>
      <c:overlay val="0"/>
      <c:spPr>
        <a:noFill/>
        <a:ln w="3780">
          <a:solidFill>
            <a:srgbClr val="000000"/>
          </a:solidFill>
          <a:prstDash val="solid"/>
        </a:ln>
      </c:spPr>
      <c:txPr>
        <a:bodyPr/>
        <a:lstStyle/>
        <a:p>
          <a:pPr>
            <a:defRPr sz="982" b="0" i="0" u="none" strike="noStrike" baseline="0">
              <a:solidFill>
                <a:srgbClr val="000000"/>
              </a:solidFill>
              <a:latin typeface="宋体"/>
              <a:ea typeface="宋体"/>
              <a:cs typeface="宋体"/>
            </a:defRPr>
          </a:pPr>
          <a:endParaRPr lang="zh-CN"/>
        </a:p>
      </c:txPr>
    </c:legend>
    <c:plotVisOnly val="1"/>
    <c:dispBlanksAs val="gap"/>
    <c:showDLblsOverMax val="0"/>
  </c:chart>
  <c:spPr>
    <a:noFill/>
    <a:ln>
      <a:noFill/>
    </a:ln>
  </c:spPr>
  <c:txPr>
    <a:bodyPr/>
    <a:lstStyle/>
    <a:p>
      <a:pPr>
        <a:defRPr sz="1071" b="0" i="0" u="none" strike="noStrike" baseline="0">
          <a:solidFill>
            <a:srgbClr val="000000"/>
          </a:solidFill>
          <a:latin typeface="宋体"/>
          <a:ea typeface="宋体"/>
          <a:cs typeface="宋体"/>
        </a:defRPr>
      </a:pPr>
      <a:endParaRPr lang="zh-CN"/>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manualLayout>
          <c:xMode val="edge"/>
          <c:yMode val="edge"/>
          <c:x val="0.17873826149771319"/>
          <c:y val="2.0639834881321057E-2"/>
        </c:manualLayout>
      </c:layout>
      <c:overlay val="0"/>
    </c:title>
    <c:autoTitleDeleted val="0"/>
    <c:plotArea>
      <c:layout/>
      <c:pieChart>
        <c:varyColors val="1"/>
        <c:ser>
          <c:idx val="0"/>
          <c:order val="0"/>
          <c:tx>
            <c:strRef>
              <c:f>Sheet1!$B$1</c:f>
              <c:strCache>
                <c:ptCount val="1"/>
                <c:pt idx="0">
                  <c:v>“三公经费”支出构成情况</c:v>
                </c:pt>
              </c:strCache>
            </c:strRef>
          </c:tx>
          <c:dLbls>
            <c:dLbl>
              <c:idx val="0"/>
              <c:delete val="1"/>
              <c:extLst>
                <c:ext xmlns:c15="http://schemas.microsoft.com/office/drawing/2012/chart" uri="{CE6537A1-D6FC-4f65-9D91-7224C49458BB}"/>
                <c:ext xmlns:c16="http://schemas.microsoft.com/office/drawing/2014/chart" uri="{C3380CC4-5D6E-409C-BE32-E72D297353CC}">
                  <c16:uniqueId val="{00000000-C2C3-43EE-82BB-99F3B9F9759C}"/>
                </c:ext>
              </c:extLst>
            </c:dLbl>
            <c:dLbl>
              <c:idx val="1"/>
              <c:delete val="1"/>
              <c:extLst>
                <c:ext xmlns:c15="http://schemas.microsoft.com/office/drawing/2012/chart" uri="{CE6537A1-D6FC-4f65-9D91-7224C49458BB}"/>
                <c:ext xmlns:c16="http://schemas.microsoft.com/office/drawing/2014/chart" uri="{C3380CC4-5D6E-409C-BE32-E72D297353CC}">
                  <c16:uniqueId val="{00000001-C2C3-43EE-82BB-99F3B9F9759C}"/>
                </c:ext>
              </c:extLst>
            </c:dLbl>
            <c:dLbl>
              <c:idx val="2"/>
              <c:delete val="1"/>
              <c:extLst>
                <c:ext xmlns:c15="http://schemas.microsoft.com/office/drawing/2012/chart" uri="{CE6537A1-D6FC-4f65-9D91-7224C49458BB}"/>
                <c:ext xmlns:c16="http://schemas.microsoft.com/office/drawing/2014/chart" uri="{C3380CC4-5D6E-409C-BE32-E72D297353CC}">
                  <c16:uniqueId val="{00000002-C2C3-43EE-82BB-99F3B9F9759C}"/>
                </c:ext>
              </c:extLst>
            </c:dLbl>
            <c:spPr>
              <a:noFill/>
              <a:ln>
                <a:noFill/>
              </a:ln>
              <a:effectLst/>
            </c:spPr>
            <c:dLblPos val="inEnd"/>
            <c:showLegendKey val="0"/>
            <c:showVal val="0"/>
            <c:showCatName val="1"/>
            <c:showSerName val="0"/>
            <c:showPercent val="1"/>
            <c:showBubbleSize val="0"/>
            <c:showLeaderLines val="1"/>
            <c:extLst>
              <c:ext xmlns:c15="http://schemas.microsoft.com/office/drawing/2012/chart" uri="{CE6537A1-D6FC-4f65-9D91-7224C49458BB}"/>
            </c:extLst>
          </c:dLbls>
          <c:cat>
            <c:strRef>
              <c:f>Sheet1!$A$2:$A$5</c:f>
              <c:strCache>
                <c:ptCount val="4"/>
                <c:pt idx="0">
                  <c:v>因“公”出国出境</c:v>
                </c:pt>
                <c:pt idx="1">
                  <c:v>公务用车购置</c:v>
                </c:pt>
                <c:pt idx="2">
                  <c:v>公务接待</c:v>
                </c:pt>
                <c:pt idx="3">
                  <c:v>公务用车运行维护费</c:v>
                </c:pt>
              </c:strCache>
            </c:strRef>
          </c:cat>
          <c:val>
            <c:numRef>
              <c:f>Sheet1!$B$2:$B$5</c:f>
              <c:numCache>
                <c:formatCode>General</c:formatCode>
                <c:ptCount val="4"/>
                <c:pt idx="0">
                  <c:v>0</c:v>
                </c:pt>
                <c:pt idx="1">
                  <c:v>0</c:v>
                </c:pt>
                <c:pt idx="2">
                  <c:v>0</c:v>
                </c:pt>
                <c:pt idx="3">
                  <c:v>1</c:v>
                </c:pt>
              </c:numCache>
            </c:numRef>
          </c:val>
          <c:extLst>
            <c:ext xmlns:c16="http://schemas.microsoft.com/office/drawing/2014/chart" uri="{C3380CC4-5D6E-409C-BE32-E72D297353CC}">
              <c16:uniqueId val="{00000003-C2C3-43EE-82BB-99F3B9F9759C}"/>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708</TotalTime>
  <Pages>34</Pages>
  <Words>2570</Words>
  <Characters>14653</Characters>
  <Application>Microsoft Office Word</Application>
  <DocSecurity>0</DocSecurity>
  <Lines>122</Lines>
  <Paragraphs>34</Paragraphs>
  <ScaleCrop>false</ScaleCrop>
  <Company>Lenovo</Company>
  <LinksUpToDate>false</LinksUpToDate>
  <CharactersWithSpaces>17189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lan'tian</cp:lastModifiedBy>
  <cp:revision>81</cp:revision>
  <cp:lastPrinted>2020-09-23T06:31:00Z</cp:lastPrinted>
  <dcterms:created xsi:type="dcterms:W3CDTF">2020-09-17T02:35:00Z</dcterms:created>
  <dcterms:modified xsi:type="dcterms:W3CDTF">2025-11-13T01:13:00Z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2052-11.8.2.8621</vt:lpwstr>
  </property>
</Properties>
</file>