
<file path=[Content_Types].xml><?xml version="1.0" encoding="utf-8"?>
<Types xmlns="http://schemas.openxmlformats.org/package/2006/content-types">
  <Default Extension="xlsx" ContentType="application/vnd.openxmlformats-officedocument.spreadsheetml.shee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9F466D"/>
    <w:p w14:paraId="19824545">
      <w:pPr>
        <w:rPr>
          <w:rFonts w:ascii="宋体" w:hAnsi="宋体" w:eastAsia="宋体"/>
          <w:szCs w:val="32"/>
        </w:rPr>
      </w:pPr>
      <w:r>
        <w:rPr>
          <w:rFonts w:hint="eastAsia" w:ascii="宋体" w:hAnsi="宋体" w:eastAsia="宋体"/>
          <w:szCs w:val="32"/>
        </w:rPr>
        <w:t>附件</w:t>
      </w:r>
    </w:p>
    <w:p w14:paraId="1BC0FB4A">
      <w:pPr>
        <w:jc w:val="center"/>
        <w:rPr>
          <w:rFonts w:ascii="宋体" w:hAnsi="宋体" w:eastAsia="宋体" w:cs="宋体"/>
          <w:b/>
          <w:bCs/>
          <w:sz w:val="44"/>
          <w:szCs w:val="44"/>
        </w:rPr>
      </w:pPr>
    </w:p>
    <w:p w14:paraId="08922B38">
      <w:pPr>
        <w:spacing w:line="440" w:lineRule="exact"/>
        <w:jc w:val="center"/>
        <w:rPr>
          <w:rFonts w:ascii="宋体" w:hAnsi="宋体" w:eastAsia="宋体" w:cs="宋体"/>
          <w:b/>
          <w:bCs/>
          <w:sz w:val="44"/>
          <w:szCs w:val="44"/>
        </w:rPr>
      </w:pPr>
    </w:p>
    <w:p w14:paraId="5D6B9F2F">
      <w:pPr>
        <w:spacing w:line="560" w:lineRule="exact"/>
        <w:jc w:val="center"/>
        <w:rPr>
          <w:rFonts w:ascii="宋体" w:hAnsi="宋体" w:eastAsia="宋体" w:cs="宋体"/>
          <w:b/>
          <w:bCs/>
          <w:sz w:val="48"/>
          <w:szCs w:val="48"/>
        </w:rPr>
      </w:pPr>
      <w:r>
        <w:rPr>
          <w:rFonts w:hint="eastAsia" w:ascii="宋体" w:hAnsi="宋体" w:eastAsia="宋体" w:cs="宋体"/>
          <w:b/>
          <w:bCs/>
          <w:sz w:val="48"/>
          <w:szCs w:val="48"/>
        </w:rPr>
        <w:t>蓝田县自然资源和规划局</w:t>
      </w:r>
    </w:p>
    <w:p w14:paraId="1479DF80">
      <w:pPr>
        <w:spacing w:line="560" w:lineRule="exact"/>
        <w:jc w:val="center"/>
        <w:rPr>
          <w:rFonts w:ascii="宋体" w:hAnsi="宋体" w:eastAsia="宋体" w:cs="宋体"/>
          <w:b/>
          <w:bCs/>
          <w:sz w:val="48"/>
          <w:szCs w:val="48"/>
        </w:rPr>
      </w:pPr>
      <w:r>
        <w:rPr>
          <w:rFonts w:ascii="宋体" w:hAnsi="宋体" w:eastAsia="宋体" w:cs="宋体"/>
          <w:b/>
          <w:bCs/>
          <w:sz w:val="48"/>
          <w:szCs w:val="48"/>
        </w:rPr>
        <w:t>2019</w:t>
      </w:r>
      <w:r>
        <w:rPr>
          <w:rFonts w:hint="eastAsia" w:ascii="宋体" w:hAnsi="宋体" w:eastAsia="宋体" w:cs="宋体"/>
          <w:b/>
          <w:bCs/>
          <w:sz w:val="48"/>
          <w:szCs w:val="48"/>
        </w:rPr>
        <w:t>年度部门决算</w:t>
      </w:r>
    </w:p>
    <w:p w14:paraId="1183E6AD">
      <w:pPr>
        <w:spacing w:line="560" w:lineRule="exact"/>
        <w:jc w:val="center"/>
        <w:rPr>
          <w:rFonts w:ascii="宋体" w:hAnsi="宋体" w:eastAsia="宋体" w:cs="宋体"/>
          <w:b/>
          <w:bCs/>
          <w:sz w:val="44"/>
          <w:szCs w:val="44"/>
        </w:rPr>
      </w:pPr>
    </w:p>
    <w:p w14:paraId="46011324">
      <w:pPr>
        <w:spacing w:line="560" w:lineRule="exact"/>
        <w:jc w:val="center"/>
        <w:rPr>
          <w:rFonts w:ascii="宋体" w:hAnsi="宋体" w:eastAsia="宋体" w:cs="宋体"/>
          <w:b/>
          <w:bCs/>
          <w:sz w:val="44"/>
          <w:szCs w:val="44"/>
        </w:rPr>
      </w:pPr>
    </w:p>
    <w:p w14:paraId="12540A80">
      <w:pPr>
        <w:spacing w:line="560" w:lineRule="exact"/>
        <w:jc w:val="center"/>
        <w:rPr>
          <w:rFonts w:ascii="宋体" w:hAnsi="宋体" w:eastAsia="宋体" w:cs="宋体"/>
          <w:b/>
          <w:bCs/>
          <w:sz w:val="44"/>
          <w:szCs w:val="44"/>
        </w:rPr>
      </w:pPr>
    </w:p>
    <w:p w14:paraId="7CBDE1D4">
      <w:pPr>
        <w:spacing w:line="560" w:lineRule="exact"/>
        <w:jc w:val="center"/>
        <w:rPr>
          <w:rFonts w:ascii="宋体" w:hAnsi="宋体" w:eastAsia="宋体" w:cs="宋体"/>
          <w:b/>
          <w:bCs/>
          <w:sz w:val="44"/>
          <w:szCs w:val="44"/>
        </w:rPr>
      </w:pPr>
    </w:p>
    <w:p w14:paraId="4D384C4D">
      <w:pPr>
        <w:spacing w:line="560" w:lineRule="exact"/>
        <w:rPr>
          <w:rFonts w:ascii="宋体" w:hAnsi="宋体" w:eastAsia="宋体" w:cs="宋体"/>
          <w:b/>
          <w:bCs/>
          <w:sz w:val="44"/>
          <w:szCs w:val="44"/>
        </w:rPr>
      </w:pPr>
    </w:p>
    <w:p w14:paraId="240B190C">
      <w:pPr>
        <w:spacing w:line="560" w:lineRule="exact"/>
        <w:rPr>
          <w:rFonts w:ascii="宋体" w:hAnsi="宋体" w:eastAsia="宋体" w:cs="宋体"/>
          <w:b/>
          <w:bCs/>
          <w:sz w:val="44"/>
          <w:szCs w:val="44"/>
        </w:rPr>
      </w:pPr>
    </w:p>
    <w:p w14:paraId="37097B2F">
      <w:pPr>
        <w:spacing w:line="560" w:lineRule="exact"/>
        <w:rPr>
          <w:rFonts w:ascii="宋体" w:hAnsi="宋体" w:eastAsia="宋体" w:cs="宋体"/>
          <w:b/>
          <w:bCs/>
          <w:sz w:val="44"/>
          <w:szCs w:val="44"/>
        </w:rPr>
      </w:pPr>
    </w:p>
    <w:p w14:paraId="0DFCAE4E">
      <w:pPr>
        <w:spacing w:line="560" w:lineRule="exact"/>
        <w:rPr>
          <w:rFonts w:ascii="宋体" w:hAnsi="宋体" w:eastAsia="宋体" w:cs="宋体"/>
          <w:b/>
          <w:bCs/>
          <w:sz w:val="44"/>
          <w:szCs w:val="44"/>
        </w:rPr>
      </w:pPr>
    </w:p>
    <w:p w14:paraId="6C17C97D">
      <w:pPr>
        <w:spacing w:line="560" w:lineRule="exact"/>
        <w:rPr>
          <w:rFonts w:ascii="宋体" w:hAnsi="宋体" w:eastAsia="宋体" w:cs="宋体"/>
          <w:b/>
          <w:bCs/>
          <w:sz w:val="44"/>
          <w:szCs w:val="44"/>
        </w:rPr>
      </w:pPr>
    </w:p>
    <w:p w14:paraId="082EE1AA">
      <w:pPr>
        <w:spacing w:line="560" w:lineRule="exact"/>
        <w:rPr>
          <w:rFonts w:ascii="宋体" w:hAnsi="宋体" w:eastAsia="宋体" w:cs="宋体"/>
          <w:b/>
          <w:bCs/>
          <w:sz w:val="44"/>
          <w:szCs w:val="44"/>
        </w:rPr>
      </w:pPr>
    </w:p>
    <w:p w14:paraId="08EB8A3F">
      <w:pPr>
        <w:spacing w:line="560" w:lineRule="exact"/>
        <w:rPr>
          <w:rFonts w:ascii="宋体" w:hAnsi="宋体" w:eastAsia="宋体" w:cs="宋体"/>
          <w:b/>
          <w:bCs/>
          <w:sz w:val="44"/>
          <w:szCs w:val="44"/>
        </w:rPr>
      </w:pPr>
    </w:p>
    <w:p w14:paraId="4C978FA5">
      <w:pPr>
        <w:spacing w:line="560" w:lineRule="exact"/>
        <w:rPr>
          <w:rFonts w:ascii="宋体" w:hAnsi="宋体" w:eastAsia="宋体" w:cs="宋体"/>
          <w:b/>
          <w:bCs/>
          <w:sz w:val="44"/>
          <w:szCs w:val="44"/>
        </w:rPr>
      </w:pPr>
    </w:p>
    <w:p w14:paraId="5AC24D95">
      <w:pPr>
        <w:spacing w:line="400" w:lineRule="exact"/>
        <w:ind w:firstLine="2570" w:firstLineChars="800"/>
        <w:rPr>
          <w:rFonts w:ascii="宋体" w:hAnsi="宋体" w:eastAsia="宋体" w:cs="宋体"/>
          <w:b/>
          <w:bCs/>
          <w:szCs w:val="32"/>
        </w:rPr>
      </w:pPr>
    </w:p>
    <w:p w14:paraId="43432B7C">
      <w:pPr>
        <w:spacing w:line="400" w:lineRule="exact"/>
        <w:ind w:firstLine="2570" w:firstLineChars="800"/>
        <w:rPr>
          <w:rFonts w:ascii="宋体" w:hAnsi="宋体" w:eastAsia="宋体" w:cs="宋体"/>
          <w:b/>
          <w:bCs/>
          <w:szCs w:val="32"/>
        </w:rPr>
      </w:pPr>
    </w:p>
    <w:p w14:paraId="21707809">
      <w:pPr>
        <w:spacing w:line="400" w:lineRule="exact"/>
        <w:ind w:firstLine="2088" w:firstLineChars="650"/>
        <w:rPr>
          <w:rFonts w:ascii="宋体" w:hAnsi="宋体" w:eastAsia="宋体" w:cs="宋体"/>
          <w:b/>
          <w:bCs/>
          <w:szCs w:val="32"/>
        </w:rPr>
      </w:pPr>
      <w:r>
        <w:rPr>
          <w:rFonts w:hint="eastAsia" w:ascii="宋体" w:hAnsi="宋体" w:eastAsia="宋体" w:cs="宋体"/>
          <w:b/>
          <w:bCs/>
          <w:szCs w:val="32"/>
        </w:rPr>
        <w:t>保密审查情况：已审查</w:t>
      </w:r>
    </w:p>
    <w:p w14:paraId="609FB062">
      <w:pPr>
        <w:spacing w:line="400" w:lineRule="exact"/>
        <w:jc w:val="center"/>
        <w:rPr>
          <w:rFonts w:ascii="宋体" w:hAnsi="宋体" w:eastAsia="宋体" w:cs="宋体"/>
          <w:b/>
          <w:bCs/>
          <w:szCs w:val="32"/>
        </w:rPr>
      </w:pPr>
    </w:p>
    <w:p w14:paraId="05CD3FD2">
      <w:pPr>
        <w:spacing w:line="400" w:lineRule="exact"/>
        <w:ind w:firstLine="2088" w:firstLineChars="650"/>
        <w:rPr>
          <w:rFonts w:ascii="宋体" w:hAnsi="宋体" w:eastAsia="宋体" w:cs="宋体"/>
          <w:b/>
          <w:bCs/>
          <w:szCs w:val="32"/>
        </w:rPr>
      </w:pPr>
      <w:r>
        <w:rPr>
          <w:rFonts w:hint="eastAsia" w:ascii="宋体" w:hAnsi="宋体" w:eastAsia="宋体" w:cs="宋体"/>
          <w:b/>
          <w:bCs/>
          <w:szCs w:val="32"/>
        </w:rPr>
        <w:t>部门主要负责人审签情况：已签审</w:t>
      </w:r>
    </w:p>
    <w:p w14:paraId="16EEB7AB">
      <w:pPr>
        <w:spacing w:line="400" w:lineRule="exact"/>
        <w:rPr>
          <w:rFonts w:ascii="宋体" w:eastAsia="宋体" w:cs="宋体"/>
          <w:b/>
          <w:bCs/>
          <w:szCs w:val="32"/>
        </w:rPr>
      </w:pPr>
    </w:p>
    <w:p w14:paraId="419FC9B3">
      <w:pPr>
        <w:spacing w:line="400" w:lineRule="exact"/>
        <w:rPr>
          <w:rFonts w:ascii="宋体" w:eastAsia="宋体" w:cs="宋体"/>
          <w:b/>
          <w:bCs/>
          <w:szCs w:val="32"/>
        </w:rPr>
      </w:pPr>
    </w:p>
    <w:p w14:paraId="42B2CF6A">
      <w:pPr>
        <w:rPr>
          <w:rFonts w:ascii="黑体" w:hAnsi="宋体" w:eastAsia="黑体"/>
          <w:b/>
          <w:color w:val="000000"/>
          <w:kern w:val="0"/>
          <w:sz w:val="56"/>
          <w:szCs w:val="56"/>
        </w:rPr>
      </w:pPr>
    </w:p>
    <w:p w14:paraId="63BA4FA4">
      <w:pPr>
        <w:jc w:val="center"/>
        <w:rPr>
          <w:rFonts w:ascii="黑体" w:hAnsi="宋体" w:eastAsia="黑体"/>
          <w:bCs/>
          <w:color w:val="000000"/>
          <w:kern w:val="0"/>
          <w:sz w:val="36"/>
          <w:szCs w:val="36"/>
        </w:rPr>
      </w:pPr>
      <w:r>
        <w:rPr>
          <w:rFonts w:hint="eastAsia" w:ascii="黑体" w:hAnsi="宋体" w:eastAsia="黑体"/>
          <w:bCs/>
          <w:color w:val="000000"/>
          <w:kern w:val="0"/>
          <w:sz w:val="36"/>
          <w:szCs w:val="36"/>
        </w:rPr>
        <w:t>目录</w:t>
      </w:r>
    </w:p>
    <w:p w14:paraId="7F2D0049">
      <w:pPr>
        <w:jc w:val="center"/>
        <w:rPr>
          <w:rFonts w:ascii="黑体" w:hAnsi="宋体" w:eastAsia="黑体"/>
          <w:bCs/>
          <w:color w:val="000000"/>
          <w:kern w:val="0"/>
          <w:sz w:val="36"/>
          <w:szCs w:val="36"/>
        </w:rPr>
      </w:pPr>
    </w:p>
    <w:p w14:paraId="53D5967F">
      <w:pPr>
        <w:widowControl/>
        <w:jc w:val="center"/>
      </w:pPr>
      <w:r>
        <w:rPr>
          <w:rFonts w:hint="eastAsia" w:ascii="黑体" w:hAnsi="宋体" w:eastAsia="黑体"/>
          <w:color w:val="000000"/>
          <w:kern w:val="0"/>
          <w:szCs w:val="32"/>
        </w:rPr>
        <w:t>第一部分</w:t>
      </w:r>
      <w:r>
        <w:rPr>
          <w:rFonts w:ascii="黑体" w:hAnsi="宋体" w:eastAsia="黑体"/>
          <w:color w:val="000000"/>
          <w:kern w:val="0"/>
          <w:szCs w:val="32"/>
        </w:rPr>
        <w:t xml:space="preserve"> </w:t>
      </w:r>
      <w:r>
        <w:rPr>
          <w:rFonts w:hint="eastAsia" w:ascii="黑体" w:hAnsi="宋体" w:eastAsia="黑体"/>
          <w:color w:val="000000"/>
          <w:kern w:val="0"/>
          <w:szCs w:val="32"/>
        </w:rPr>
        <w:t>部门概况</w:t>
      </w:r>
    </w:p>
    <w:p w14:paraId="7E5A7EF4">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14:paraId="05F2A3C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14:paraId="74502AF6">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14:paraId="7FE1CF18">
      <w:pPr>
        <w:widowControl/>
        <w:jc w:val="center"/>
      </w:pPr>
      <w:r>
        <w:rPr>
          <w:rFonts w:hint="eastAsia" w:ascii="黑体" w:hAnsi="宋体" w:eastAsia="黑体"/>
          <w:color w:val="000000"/>
          <w:kern w:val="0"/>
          <w:szCs w:val="32"/>
        </w:rPr>
        <w:t>第二部分</w:t>
      </w:r>
      <w:r>
        <w:rPr>
          <w:rFonts w:ascii="黑体" w:hAnsi="宋体" w:eastAsia="黑体"/>
          <w:color w:val="000000"/>
          <w:kern w:val="0"/>
          <w:szCs w:val="32"/>
        </w:rPr>
        <w:t xml:space="preserve">  2019</w:t>
      </w:r>
      <w:r>
        <w:rPr>
          <w:rFonts w:hint="eastAsia" w:ascii="黑体" w:hAnsi="宋体" w:eastAsia="黑体"/>
          <w:color w:val="000000"/>
          <w:kern w:val="0"/>
          <w:szCs w:val="32"/>
        </w:rPr>
        <w:t>年度部门决算表</w:t>
      </w:r>
    </w:p>
    <w:p w14:paraId="49D50D3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一、收入支出决算总表</w:t>
      </w:r>
      <w:r>
        <w:rPr>
          <w:rFonts w:ascii="仿宋" w:hAnsi="仿宋" w:eastAsia="仿宋" w:cs="楷体"/>
          <w:color w:val="000000"/>
          <w:kern w:val="0"/>
          <w:szCs w:val="32"/>
        </w:rPr>
        <w:t xml:space="preserve">     </w:t>
      </w:r>
    </w:p>
    <w:p w14:paraId="1C8FDE58">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二、收入决算总表</w:t>
      </w:r>
      <w:r>
        <w:rPr>
          <w:rFonts w:ascii="仿宋" w:hAnsi="仿宋" w:eastAsia="仿宋" w:cs="楷体"/>
          <w:color w:val="000000"/>
          <w:kern w:val="0"/>
          <w:szCs w:val="32"/>
        </w:rPr>
        <w:t xml:space="preserve">     </w:t>
      </w:r>
    </w:p>
    <w:p w14:paraId="35D6F97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三、支出决算总表</w:t>
      </w:r>
      <w:r>
        <w:rPr>
          <w:rFonts w:ascii="仿宋" w:hAnsi="仿宋" w:eastAsia="仿宋" w:cs="楷体"/>
          <w:color w:val="000000"/>
          <w:kern w:val="0"/>
          <w:szCs w:val="32"/>
        </w:rPr>
        <w:t xml:space="preserve">    </w:t>
      </w:r>
    </w:p>
    <w:p w14:paraId="1B7033F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四、财政拨款收入支出决算总表</w:t>
      </w:r>
      <w:r>
        <w:rPr>
          <w:rFonts w:ascii="仿宋" w:hAnsi="仿宋" w:eastAsia="仿宋" w:cs="楷体"/>
          <w:color w:val="000000"/>
          <w:kern w:val="0"/>
          <w:szCs w:val="32"/>
        </w:rPr>
        <w:t xml:space="preserve">    </w:t>
      </w:r>
    </w:p>
    <w:p w14:paraId="77110090">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五、一般公共预算财政拨款支出决算表</w:t>
      </w:r>
      <w:r>
        <w:rPr>
          <w:rFonts w:ascii="仿宋" w:hAnsi="仿宋" w:eastAsia="仿宋" w:cs="楷体"/>
          <w:color w:val="000000"/>
          <w:kern w:val="0"/>
          <w:szCs w:val="32"/>
        </w:rPr>
        <w:t xml:space="preserve">  </w:t>
      </w:r>
    </w:p>
    <w:p w14:paraId="2793E21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六、一般公共预算财政拨款基本支出决算表</w:t>
      </w:r>
      <w:r>
        <w:rPr>
          <w:rFonts w:ascii="仿宋" w:hAnsi="仿宋" w:eastAsia="仿宋" w:cs="楷体"/>
          <w:color w:val="000000"/>
          <w:kern w:val="0"/>
          <w:szCs w:val="32"/>
        </w:rPr>
        <w:t xml:space="preserve">    </w:t>
      </w:r>
    </w:p>
    <w:p w14:paraId="5BCCBE98">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七、一般公共预算财政拨款“三公”经费及会议费、培训费支出决算表</w:t>
      </w:r>
      <w:r>
        <w:rPr>
          <w:rFonts w:ascii="仿宋" w:hAnsi="仿宋" w:eastAsia="仿宋" w:cs="楷体"/>
          <w:color w:val="000000"/>
          <w:kern w:val="0"/>
          <w:szCs w:val="32"/>
        </w:rPr>
        <w:t xml:space="preserve">    </w:t>
      </w:r>
    </w:p>
    <w:p w14:paraId="2EE91605">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14:paraId="6F79FD28">
      <w:pPr>
        <w:widowControl/>
        <w:jc w:val="center"/>
      </w:pPr>
      <w:r>
        <w:rPr>
          <w:rFonts w:hint="eastAsia" w:ascii="黑体" w:hAnsi="宋体" w:eastAsia="黑体"/>
          <w:color w:val="000000"/>
          <w:kern w:val="0"/>
          <w:szCs w:val="32"/>
        </w:rPr>
        <w:t>第三部分</w:t>
      </w:r>
      <w:r>
        <w:rPr>
          <w:rFonts w:ascii="黑体" w:hAnsi="宋体" w:eastAsia="黑体"/>
          <w:color w:val="000000"/>
          <w:kern w:val="0"/>
          <w:szCs w:val="32"/>
        </w:rPr>
        <w:t xml:space="preserve"> 2019</w:t>
      </w:r>
      <w:r>
        <w:rPr>
          <w:rFonts w:hint="eastAsia" w:ascii="黑体" w:hAnsi="宋体" w:eastAsia="黑体"/>
          <w:color w:val="000000"/>
          <w:kern w:val="0"/>
          <w:szCs w:val="32"/>
        </w:rPr>
        <w:t>年度部门决算情况说明</w:t>
      </w:r>
    </w:p>
    <w:p w14:paraId="53C37147">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14:paraId="4A47FC0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14:paraId="05944212">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14:paraId="53E8BDEA">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14:paraId="0A3498CA">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14:paraId="50325007">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14:paraId="478DA6D7">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14:paraId="29EDF082">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14:paraId="53734548">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14:paraId="0AA6451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14:paraId="3FA65B5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14:paraId="72B743A7">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14:paraId="67848353">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14:paraId="37A4E367">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14:paraId="2F1ADA25">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14:paraId="580C67C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14:paraId="21187EC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14:paraId="7FDE4AB9">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14:paraId="2DE9F7F8">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14:paraId="4ADE09B1">
      <w:pPr>
        <w:widowControl/>
        <w:jc w:val="left"/>
        <w:rPr>
          <w:rFonts w:ascii="仿宋" w:hAnsi="仿宋" w:eastAsia="仿宋" w:cs="楷体"/>
          <w:color w:val="000000"/>
          <w:kern w:val="0"/>
          <w:szCs w:val="32"/>
        </w:rPr>
      </w:pPr>
      <w:r>
        <w:rPr>
          <w:rFonts w:ascii="仿宋" w:hAnsi="仿宋" w:eastAsia="仿宋" w:cs="楷体"/>
          <w:color w:val="000000"/>
          <w:kern w:val="0"/>
          <w:szCs w:val="32"/>
        </w:rPr>
        <w:t xml:space="preserve"> </w:t>
      </w:r>
      <w:r>
        <w:rPr>
          <w:rFonts w:hint="eastAsia" w:ascii="仿宋" w:hAnsi="仿宋" w:eastAsia="仿宋" w:cs="楷体"/>
          <w:color w:val="000000"/>
          <w:kern w:val="0"/>
          <w:szCs w:val="32"/>
        </w:rPr>
        <w:t>十一、其他重要事项说明</w:t>
      </w:r>
    </w:p>
    <w:p w14:paraId="595E825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14:paraId="5431F79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14:paraId="168F6EB4">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14:paraId="4A008E6B">
      <w:pPr>
        <w:jc w:val="center"/>
        <w:rPr>
          <w:rFonts w:ascii="黑体" w:hAnsi="宋体" w:eastAsia="黑体"/>
          <w:color w:val="000000"/>
          <w:kern w:val="0"/>
          <w:szCs w:val="32"/>
        </w:rPr>
      </w:pPr>
      <w:r>
        <w:rPr>
          <w:rFonts w:hint="eastAsia" w:ascii="黑体" w:hAnsi="宋体" w:eastAsia="黑体"/>
          <w:color w:val="000000"/>
          <w:kern w:val="0"/>
          <w:szCs w:val="32"/>
        </w:rPr>
        <w:t>第四部分</w:t>
      </w:r>
      <w:r>
        <w:rPr>
          <w:rFonts w:ascii="黑体" w:hAnsi="宋体" w:eastAsia="黑体"/>
          <w:color w:val="000000"/>
          <w:kern w:val="0"/>
          <w:szCs w:val="32"/>
        </w:rPr>
        <w:t xml:space="preserve"> </w:t>
      </w:r>
      <w:r>
        <w:rPr>
          <w:rFonts w:hint="eastAsia" w:ascii="黑体" w:hAnsi="宋体" w:eastAsia="黑体"/>
          <w:color w:val="000000"/>
          <w:kern w:val="0"/>
          <w:szCs w:val="32"/>
        </w:rPr>
        <w:t>专业名词解释</w:t>
      </w:r>
    </w:p>
    <w:p w14:paraId="24D9BA5F">
      <w:pPr>
        <w:rPr>
          <w:rFonts w:ascii="黑体" w:hAnsi="宋体" w:eastAsia="黑体"/>
          <w:color w:val="000000"/>
          <w:kern w:val="0"/>
          <w:szCs w:val="32"/>
        </w:rPr>
      </w:pPr>
    </w:p>
    <w:p w14:paraId="6144F0C7">
      <w:pPr>
        <w:jc w:val="center"/>
        <w:rPr>
          <w:rFonts w:ascii="黑体" w:hAnsi="宋体" w:eastAsia="黑体"/>
          <w:color w:val="000000"/>
          <w:kern w:val="0"/>
          <w:sz w:val="44"/>
          <w:szCs w:val="44"/>
        </w:rPr>
      </w:pPr>
    </w:p>
    <w:p w14:paraId="2280E790">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部门概况</w:t>
      </w:r>
    </w:p>
    <w:p w14:paraId="4AAA0981">
      <w:pPr>
        <w:rPr>
          <w:rFonts w:ascii="黑体" w:hAnsi="宋体" w:eastAsia="黑体"/>
          <w:color w:val="000000"/>
          <w:kern w:val="0"/>
          <w:sz w:val="44"/>
          <w:szCs w:val="44"/>
        </w:rPr>
      </w:pPr>
    </w:p>
    <w:p w14:paraId="4595E3A0">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14:paraId="31066758">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14:paraId="04732839">
      <w:pPr>
        <w:widowControl/>
        <w:shd w:val="clear" w:color="auto" w:fill="FFFFFF"/>
        <w:ind w:firstLine="480"/>
        <w:jc w:val="left"/>
        <w:rPr>
          <w:rFonts w:ascii="仿宋_GB2312" w:hAnsi="微软雅黑" w:eastAsia="仿宋_GB2312" w:cs="宋体"/>
          <w:color w:val="3D3D3C"/>
          <w:kern w:val="0"/>
          <w:szCs w:val="32"/>
        </w:rPr>
      </w:pPr>
      <w:r>
        <w:rPr>
          <w:rFonts w:hint="eastAsia" w:ascii="仿宋_GB2312" w:hAnsi="微软雅黑" w:eastAsia="仿宋_GB2312" w:cs="宋体"/>
          <w:color w:val="3D3D3C"/>
          <w:kern w:val="0"/>
          <w:szCs w:val="32"/>
        </w:rPr>
        <w:t>（一）单位主要职责</w:t>
      </w:r>
    </w:p>
    <w:p w14:paraId="21ABBCFE">
      <w:pPr>
        <w:widowControl/>
        <w:shd w:val="clear" w:color="auto" w:fill="FFFFFF"/>
        <w:ind w:firstLine="640" w:firstLineChars="200"/>
        <w:jc w:val="left"/>
        <w:rPr>
          <w:rFonts w:ascii="仿宋_GB2312" w:hAnsi="微软雅黑" w:eastAsia="仿宋_GB2312" w:cs="宋体"/>
          <w:color w:val="3D3D3C"/>
          <w:kern w:val="0"/>
          <w:szCs w:val="32"/>
        </w:rPr>
      </w:pPr>
      <w:r>
        <w:rPr>
          <w:rFonts w:hint="eastAsia" w:ascii="仿宋_GB2312" w:hAnsi="微软雅黑" w:eastAsia="仿宋_GB2312" w:cs="宋体"/>
          <w:color w:val="3D3D3C"/>
          <w:kern w:val="0"/>
          <w:szCs w:val="32"/>
        </w:rPr>
        <w:t>蓝田县自然资源和规划局负责全县土地资源与矿产资源的统一规划、管理、保护和合理利用。主要工作职责如下：</w:t>
      </w:r>
    </w:p>
    <w:p w14:paraId="17759E5C">
      <w:pPr>
        <w:widowControl/>
        <w:shd w:val="clear" w:color="auto" w:fill="FFFFFF"/>
        <w:ind w:firstLine="640" w:firstLineChars="200"/>
        <w:jc w:val="left"/>
        <w:rPr>
          <w:rFonts w:ascii="仿宋_GB2312" w:hAnsi="微软雅黑" w:eastAsia="仿宋_GB2312" w:cs="宋体"/>
          <w:color w:val="3D3D3C"/>
          <w:kern w:val="0"/>
          <w:szCs w:val="32"/>
        </w:rPr>
      </w:pPr>
      <w:r>
        <w:rPr>
          <w:rFonts w:ascii="仿宋_GB2312" w:hAnsi="微软雅黑" w:eastAsia="仿宋_GB2312" w:cs="宋体"/>
          <w:color w:val="3D3D3C"/>
          <w:kern w:val="0"/>
          <w:szCs w:val="32"/>
        </w:rPr>
        <w:t>1</w:t>
      </w:r>
      <w:r>
        <w:rPr>
          <w:rFonts w:hint="eastAsia" w:ascii="仿宋_GB2312" w:hAnsi="微软雅黑" w:eastAsia="仿宋_GB2312" w:cs="宋体"/>
          <w:color w:val="3D3D3C"/>
          <w:kern w:val="0"/>
          <w:szCs w:val="32"/>
        </w:rPr>
        <w:t>、贯彻执行国家和省、市有关土地、矿产资源方面的法律、法规、规章和政策</w:t>
      </w:r>
      <w:r>
        <w:rPr>
          <w:rFonts w:ascii="仿宋_GB2312" w:hAnsi="微软雅黑" w:eastAsia="仿宋_GB2312" w:cs="宋体"/>
          <w:color w:val="3D3D3C"/>
          <w:kern w:val="0"/>
          <w:szCs w:val="32"/>
        </w:rPr>
        <w:t>;</w:t>
      </w:r>
      <w:r>
        <w:rPr>
          <w:rFonts w:hint="eastAsia" w:ascii="仿宋_GB2312" w:hAnsi="微软雅黑" w:eastAsia="仿宋_GB2312" w:cs="宋体"/>
          <w:color w:val="3D3D3C"/>
          <w:kern w:val="0"/>
          <w:szCs w:val="32"/>
        </w:rPr>
        <w:t>研究拟定有关配套法规、政策并组织实施。</w:t>
      </w:r>
    </w:p>
    <w:p w14:paraId="3A08ED0C">
      <w:pPr>
        <w:widowControl/>
        <w:shd w:val="clear" w:color="auto" w:fill="FFFFFF"/>
        <w:ind w:firstLine="640" w:firstLineChars="200"/>
        <w:jc w:val="left"/>
        <w:rPr>
          <w:rFonts w:ascii="仿宋_GB2312" w:hAnsi="微软雅黑" w:eastAsia="仿宋_GB2312" w:cs="宋体"/>
          <w:color w:val="3D3D3C"/>
          <w:kern w:val="0"/>
          <w:szCs w:val="32"/>
        </w:rPr>
      </w:pPr>
      <w:r>
        <w:rPr>
          <w:rFonts w:ascii="仿宋_GB2312" w:hAnsi="微软雅黑" w:eastAsia="仿宋_GB2312" w:cs="宋体"/>
          <w:color w:val="3D3D3C"/>
          <w:kern w:val="0"/>
          <w:szCs w:val="32"/>
        </w:rPr>
        <w:t>2</w:t>
      </w:r>
      <w:r>
        <w:rPr>
          <w:rFonts w:hint="eastAsia" w:ascii="仿宋_GB2312" w:hAnsi="微软雅黑" w:eastAsia="仿宋_GB2312" w:cs="宋体"/>
          <w:color w:val="3D3D3C"/>
          <w:kern w:val="0"/>
          <w:szCs w:val="32"/>
        </w:rPr>
        <w:t>、编制全县国土、矿产资源勘查的中长期规则和年度计划</w:t>
      </w:r>
      <w:r>
        <w:rPr>
          <w:rFonts w:ascii="仿宋_GB2312" w:hAnsi="微软雅黑" w:eastAsia="仿宋_GB2312" w:cs="宋体"/>
          <w:color w:val="3D3D3C"/>
          <w:kern w:val="0"/>
          <w:szCs w:val="32"/>
        </w:rPr>
        <w:t xml:space="preserve"> </w:t>
      </w:r>
      <w:r>
        <w:rPr>
          <w:rFonts w:hint="eastAsia" w:ascii="仿宋_GB2312" w:hAnsi="微软雅黑" w:eastAsia="仿宋_GB2312" w:cs="宋体"/>
          <w:color w:val="3D3D3C"/>
          <w:kern w:val="0"/>
          <w:szCs w:val="32"/>
        </w:rPr>
        <w:t>；参与县城总体规划的审核。</w:t>
      </w:r>
    </w:p>
    <w:p w14:paraId="2FE8ADF8">
      <w:pPr>
        <w:widowControl/>
        <w:shd w:val="clear" w:color="auto" w:fill="FFFFFF"/>
        <w:ind w:firstLine="640" w:firstLineChars="200"/>
        <w:jc w:val="left"/>
        <w:rPr>
          <w:rFonts w:ascii="仿宋_GB2312" w:hAnsi="微软雅黑" w:eastAsia="仿宋_GB2312" w:cs="宋体"/>
          <w:color w:val="3D3D3C"/>
          <w:kern w:val="0"/>
          <w:szCs w:val="32"/>
        </w:rPr>
      </w:pPr>
      <w:r>
        <w:rPr>
          <w:rFonts w:ascii="仿宋_GB2312" w:hAnsi="微软雅黑" w:eastAsia="仿宋_GB2312" w:cs="宋体"/>
          <w:color w:val="3D3D3C"/>
          <w:kern w:val="0"/>
          <w:szCs w:val="32"/>
        </w:rPr>
        <w:t>3</w:t>
      </w:r>
      <w:r>
        <w:rPr>
          <w:rFonts w:hint="eastAsia" w:ascii="仿宋_GB2312" w:hAnsi="微软雅黑" w:eastAsia="仿宋_GB2312" w:cs="宋体"/>
          <w:color w:val="3D3D3C"/>
          <w:kern w:val="0"/>
          <w:szCs w:val="32"/>
        </w:rPr>
        <w:t>、负责县域土地利用总体规划的编制调整工作及基本农田的补划工作；组织实施耕地和基本农田保护工作；统一管理全县地籍工作，主管土地调查，地籍统计，土地评等定级，土地登记发证。土地证书年检、土地纠纷调处及权属管理；建立和维护土地利用台账。</w:t>
      </w:r>
    </w:p>
    <w:p w14:paraId="0DA6D0DF">
      <w:pPr>
        <w:widowControl/>
        <w:shd w:val="clear" w:color="auto" w:fill="FFFFFF"/>
        <w:ind w:firstLine="640" w:firstLineChars="200"/>
        <w:jc w:val="left"/>
        <w:rPr>
          <w:rFonts w:ascii="仿宋_GB2312" w:hAnsi="微软雅黑" w:eastAsia="仿宋_GB2312" w:cs="宋体"/>
          <w:color w:val="3D3D3C"/>
          <w:kern w:val="0"/>
          <w:szCs w:val="32"/>
        </w:rPr>
      </w:pPr>
      <w:r>
        <w:rPr>
          <w:rFonts w:ascii="仿宋_GB2312" w:hAnsi="微软雅黑" w:eastAsia="仿宋_GB2312" w:cs="宋体"/>
          <w:color w:val="3D3D3C"/>
          <w:kern w:val="0"/>
          <w:szCs w:val="32"/>
        </w:rPr>
        <w:t>4</w:t>
      </w:r>
      <w:r>
        <w:rPr>
          <w:rFonts w:hint="eastAsia" w:ascii="仿宋_GB2312" w:hAnsi="微软雅黑" w:eastAsia="仿宋_GB2312" w:cs="宋体"/>
          <w:color w:val="3D3D3C"/>
          <w:kern w:val="0"/>
          <w:szCs w:val="32"/>
        </w:rPr>
        <w:t>、负责全县土地开发、复垦</w:t>
      </w:r>
      <w:bookmarkStart w:id="2" w:name="_GoBack"/>
      <w:bookmarkEnd w:id="2"/>
      <w:r>
        <w:rPr>
          <w:rFonts w:hint="eastAsia" w:ascii="仿宋_GB2312" w:hAnsi="微软雅黑" w:eastAsia="仿宋_GB2312" w:cs="宋体"/>
          <w:color w:val="3D3D3C"/>
          <w:kern w:val="0"/>
          <w:szCs w:val="32"/>
        </w:rPr>
        <w:t>及整理项目的前期选址、勘测、设计、预算及申报立项等工作，对批准的项目严格按照有关技术标准要求进行项目招投标、工程实施管理，检查指导、验收复查等工作；受县政府委托，组织实施管理全县城乡建设用地增减挂钩试点项目，按时完成指标归还任务。承担全县所有建设项目的耕地补充任务，达到耕地占补平衡。</w:t>
      </w:r>
    </w:p>
    <w:p w14:paraId="774F1B66">
      <w:pPr>
        <w:widowControl/>
        <w:shd w:val="clear" w:color="auto" w:fill="FFFFFF"/>
        <w:ind w:firstLine="640" w:firstLineChars="200"/>
        <w:jc w:val="left"/>
        <w:rPr>
          <w:rFonts w:ascii="仿宋_GB2312" w:hAnsi="微软雅黑" w:eastAsia="仿宋_GB2312" w:cs="宋体"/>
          <w:color w:val="3D3D3C"/>
          <w:kern w:val="0"/>
          <w:szCs w:val="32"/>
        </w:rPr>
      </w:pPr>
      <w:r>
        <w:rPr>
          <w:rFonts w:ascii="仿宋_GB2312" w:hAnsi="微软雅黑" w:eastAsia="仿宋_GB2312" w:cs="宋体"/>
          <w:color w:val="3D3D3C"/>
          <w:kern w:val="0"/>
          <w:szCs w:val="32"/>
        </w:rPr>
        <w:t>5</w:t>
      </w:r>
      <w:r>
        <w:rPr>
          <w:rFonts w:hint="eastAsia" w:ascii="仿宋_GB2312" w:hAnsi="微软雅黑" w:eastAsia="仿宋_GB2312" w:cs="宋体"/>
          <w:color w:val="3D3D3C"/>
          <w:kern w:val="0"/>
          <w:szCs w:val="32"/>
        </w:rPr>
        <w:t>、负责建设用地的全程管理及出让土地的合同管理工作；负责临时使用土地的审批及管理工作；负责国有土地转让、出租及土地市场管理工作，做好国有企业改制、重组中土地资产收回协调、报批工作；负责农村集体建设用地的审核、报批工作；负责因房屋买卖转让宅基地的审批；负责因影响国家基础设施建设等需要对原批准建设地址迁址的审批；负责年度村民建房用地计划的执行，指导监督各乡镇规划村民建房用地，负责四荒地的认定和发证工作，负责临时用地审批工作。</w:t>
      </w:r>
    </w:p>
    <w:p w14:paraId="689BA6B7">
      <w:pPr>
        <w:widowControl/>
        <w:shd w:val="clear" w:color="auto" w:fill="FFFFFF"/>
        <w:ind w:firstLine="640" w:firstLineChars="200"/>
        <w:jc w:val="left"/>
        <w:rPr>
          <w:rFonts w:ascii="仿宋_GB2312" w:hAnsi="微软雅黑" w:eastAsia="仿宋_GB2312" w:cs="宋体"/>
          <w:color w:val="3D3D3C"/>
          <w:kern w:val="0"/>
          <w:szCs w:val="32"/>
        </w:rPr>
      </w:pPr>
      <w:r>
        <w:rPr>
          <w:rFonts w:ascii="仿宋_GB2312" w:hAnsi="微软雅黑" w:eastAsia="仿宋_GB2312" w:cs="宋体"/>
          <w:color w:val="3D3D3C"/>
          <w:kern w:val="0"/>
          <w:szCs w:val="32"/>
        </w:rPr>
        <w:t>6</w:t>
      </w:r>
      <w:r>
        <w:rPr>
          <w:rFonts w:hint="eastAsia" w:ascii="仿宋_GB2312" w:hAnsi="微软雅黑" w:eastAsia="仿宋_GB2312" w:cs="宋体"/>
          <w:color w:val="3D3D3C"/>
          <w:kern w:val="0"/>
          <w:szCs w:val="32"/>
        </w:rPr>
        <w:t>、负责国家基础设施、线性工程等建设用地的统一征收；负责统征用地的农用地转用报批工作；负责做好统征的建设用地审批中国家有关税费的收取工作；负责统征土地的供地工作。</w:t>
      </w:r>
    </w:p>
    <w:p w14:paraId="7A0AC1ED">
      <w:pPr>
        <w:widowControl/>
        <w:shd w:val="clear" w:color="auto" w:fill="FFFFFF"/>
        <w:ind w:firstLine="640" w:firstLineChars="200"/>
        <w:jc w:val="left"/>
        <w:rPr>
          <w:rFonts w:ascii="仿宋_GB2312" w:hAnsi="微软雅黑" w:eastAsia="仿宋_GB2312" w:cs="宋体"/>
          <w:color w:val="3D3D3C"/>
          <w:kern w:val="0"/>
          <w:szCs w:val="32"/>
        </w:rPr>
      </w:pPr>
      <w:r>
        <w:rPr>
          <w:rFonts w:ascii="仿宋_GB2312" w:hAnsi="微软雅黑" w:eastAsia="仿宋_GB2312" w:cs="宋体"/>
          <w:color w:val="3D3D3C"/>
          <w:kern w:val="0"/>
          <w:szCs w:val="32"/>
        </w:rPr>
        <w:t>7</w:t>
      </w:r>
      <w:r>
        <w:rPr>
          <w:rFonts w:hint="eastAsia" w:ascii="仿宋_GB2312" w:hAnsi="微软雅黑" w:eastAsia="仿宋_GB2312" w:cs="宋体"/>
          <w:color w:val="3D3D3C"/>
          <w:kern w:val="0"/>
          <w:szCs w:val="32"/>
        </w:rPr>
        <w:t>、负责拟定并实施全县土地、矿产管理办法；监督检查土地、矿产资源管理法律、法规、规章政策的宣传和政策咨询工作；负责对系统执法人员的法纪教育和违法行为的查处工作；主管土地、矿产管理法制宣传和全民国土教育工作；负责执法人员的业务培训；负责土地、矿产资源法律法规执行案件的调查取证、现场勘测等工作；依法实施行政处罚，参与土地矿产秩序治理整顿，负责全县国土资源违法案件统计等工作；承办局行政复议和应诉工作。</w:t>
      </w:r>
    </w:p>
    <w:p w14:paraId="3BD3749F">
      <w:pPr>
        <w:widowControl/>
        <w:shd w:val="clear" w:color="auto" w:fill="FFFFFF"/>
        <w:ind w:firstLine="640" w:firstLineChars="200"/>
        <w:jc w:val="left"/>
        <w:rPr>
          <w:rFonts w:ascii="仿宋_GB2312" w:hAnsi="微软雅黑" w:eastAsia="仿宋_GB2312" w:cs="宋体"/>
          <w:color w:val="3D3D3C"/>
          <w:kern w:val="0"/>
          <w:szCs w:val="32"/>
        </w:rPr>
      </w:pPr>
      <w:r>
        <w:rPr>
          <w:rFonts w:ascii="仿宋_GB2312" w:hAnsi="微软雅黑" w:eastAsia="仿宋_GB2312" w:cs="宋体"/>
          <w:color w:val="3D3D3C"/>
          <w:kern w:val="0"/>
          <w:szCs w:val="32"/>
        </w:rPr>
        <w:t>8</w:t>
      </w:r>
      <w:r>
        <w:rPr>
          <w:rFonts w:hint="eastAsia" w:ascii="仿宋_GB2312" w:hAnsi="微软雅黑" w:eastAsia="仿宋_GB2312" w:cs="宋体"/>
          <w:color w:val="3D3D3C"/>
          <w:kern w:val="0"/>
          <w:szCs w:val="32"/>
        </w:rPr>
        <w:t>、负责县域内矿产资源勘查、开发利用和保护的监督管理；负责授权内采矿权的授予、登记、变更、注销管理以及调处重大采矿权属纠纷；负责矿产资源开发利用统计年报的汇总、上报工作；管理地质资料汇交、参与矿山立项报告的审查及矿山闭坑地质报告等工作。</w:t>
      </w:r>
    </w:p>
    <w:p w14:paraId="613581C0">
      <w:pPr>
        <w:widowControl/>
        <w:shd w:val="clear" w:color="auto" w:fill="FFFFFF"/>
        <w:ind w:firstLine="480"/>
        <w:jc w:val="left"/>
        <w:rPr>
          <w:rFonts w:ascii="仿宋_GB2312" w:hAnsi="微软雅黑" w:eastAsia="仿宋_GB2312" w:cs="宋体"/>
          <w:color w:val="3D3D3C"/>
          <w:kern w:val="0"/>
          <w:szCs w:val="32"/>
        </w:rPr>
      </w:pPr>
      <w:r>
        <w:rPr>
          <w:rFonts w:ascii="仿宋_GB2312" w:hAnsi="微软雅黑" w:eastAsia="仿宋_GB2312" w:cs="宋体"/>
          <w:color w:val="3D3D3C"/>
          <w:kern w:val="0"/>
          <w:szCs w:val="32"/>
        </w:rPr>
        <w:t>9</w:t>
      </w:r>
      <w:r>
        <w:rPr>
          <w:rFonts w:hint="eastAsia" w:ascii="仿宋_GB2312" w:hAnsi="微软雅黑" w:eastAsia="仿宋_GB2312" w:cs="宋体"/>
          <w:color w:val="3D3D3C"/>
          <w:kern w:val="0"/>
          <w:szCs w:val="32"/>
        </w:rPr>
        <w:t>、负责组织、实施、协调、指导和监督滑坡、崩塌、泥石流、地面沉降与塌陷等地质灾害的防治和相关资信息的收集、汇总、上报工作；对具有重要价值的地质景观、古生物化石产地、标准地质剖面等地质遗迹组织认定与保护、指导地质灾害、评价和预报。</w:t>
      </w:r>
    </w:p>
    <w:p w14:paraId="4E1041CD">
      <w:pPr>
        <w:widowControl/>
        <w:shd w:val="clear" w:color="auto" w:fill="FFFFFF"/>
        <w:ind w:firstLine="480"/>
        <w:jc w:val="left"/>
        <w:rPr>
          <w:rFonts w:ascii="仿宋_GB2312" w:hAnsi="微软雅黑" w:eastAsia="仿宋_GB2312" w:cs="宋体"/>
          <w:color w:val="3D3D3C"/>
          <w:kern w:val="0"/>
          <w:szCs w:val="32"/>
        </w:rPr>
      </w:pPr>
      <w:r>
        <w:rPr>
          <w:rFonts w:ascii="仿宋_GB2312" w:hAnsi="微软雅黑" w:eastAsia="仿宋_GB2312" w:cs="宋体"/>
          <w:color w:val="3D3D3C"/>
          <w:kern w:val="0"/>
          <w:szCs w:val="32"/>
        </w:rPr>
        <w:t>10</w:t>
      </w:r>
      <w:r>
        <w:rPr>
          <w:rFonts w:hint="eastAsia" w:ascii="仿宋_GB2312" w:hAnsi="微软雅黑" w:eastAsia="仿宋_GB2312" w:cs="宋体"/>
          <w:color w:val="3D3D3C"/>
          <w:kern w:val="0"/>
          <w:szCs w:val="32"/>
        </w:rPr>
        <w:t>、负责会同有关部门起草不动产登记制度规范性文件和相关政策，并组织实施；负责全县土地、房屋、林地、水域滩涂养殖等不动产登记工作；负责不动产登记信息平台建设，建立信息共享机制；负责不动产登记争议调处工作；负责组织开展全县不动产登记业务培训。</w:t>
      </w:r>
    </w:p>
    <w:p w14:paraId="685A7A9B">
      <w:pPr>
        <w:widowControl/>
        <w:shd w:val="clear" w:color="auto" w:fill="FFFFFF"/>
        <w:ind w:firstLine="480"/>
        <w:jc w:val="left"/>
        <w:rPr>
          <w:rFonts w:ascii="仿宋_GB2312" w:hAnsi="微软雅黑" w:eastAsia="仿宋_GB2312" w:cs="宋体"/>
          <w:color w:val="3D3D3C"/>
          <w:kern w:val="0"/>
          <w:szCs w:val="32"/>
        </w:rPr>
      </w:pPr>
      <w:r>
        <w:rPr>
          <w:rFonts w:ascii="仿宋_GB2312" w:hAnsi="微软雅黑" w:eastAsia="仿宋_GB2312" w:cs="宋体"/>
          <w:color w:val="3D3D3C"/>
          <w:kern w:val="0"/>
          <w:szCs w:val="32"/>
        </w:rPr>
        <w:t>11</w:t>
      </w:r>
      <w:r>
        <w:rPr>
          <w:rFonts w:hint="eastAsia" w:ascii="仿宋_GB2312" w:hAnsi="微软雅黑" w:eastAsia="仿宋_GB2312" w:cs="宋体"/>
          <w:color w:val="3D3D3C"/>
          <w:kern w:val="0"/>
          <w:szCs w:val="32"/>
        </w:rPr>
        <w:t>、负责各类移民搬迁工作；会同发改部门、住建部门编制全县移民搬迁规划承担扶贫、避灾、生态及其他类型搬迁的工作统筹；组织协调政策拟定，整体推进以及建设项目资金安排和管理；负责扶贫、避灾、生态以及其他类型计划的下达，过程监督，组织参与移民搬迁的考核验收工作。根据中省市县有关要求拟定移民搬迁相关政策和具体工作制度，负责地质灾害等搬迁对象的审查、把关；负责协调扶贫、避灾、生态及其他类型搬迁中遇到的有关问题；指导和管理移民</w:t>
      </w:r>
      <w:r>
        <w:rPr>
          <w:rFonts w:ascii="仿宋_GB2312" w:hAnsi="微软雅黑" w:eastAsia="仿宋_GB2312" w:cs="宋体"/>
          <w:color w:val="3D3D3C"/>
          <w:kern w:val="0"/>
          <w:szCs w:val="32"/>
        </w:rPr>
        <w:t>(</w:t>
      </w:r>
      <w:r>
        <w:rPr>
          <w:rFonts w:hint="eastAsia" w:ascii="仿宋_GB2312" w:hAnsi="微软雅黑" w:eastAsia="仿宋_GB2312" w:cs="宋体"/>
          <w:color w:val="3D3D3C"/>
          <w:kern w:val="0"/>
          <w:szCs w:val="32"/>
        </w:rPr>
        <w:t>脱贫</w:t>
      </w:r>
      <w:r>
        <w:rPr>
          <w:rFonts w:ascii="仿宋_GB2312" w:hAnsi="微软雅黑" w:eastAsia="仿宋_GB2312" w:cs="宋体"/>
          <w:color w:val="3D3D3C"/>
          <w:kern w:val="0"/>
          <w:szCs w:val="32"/>
        </w:rPr>
        <w:t>)</w:t>
      </w:r>
      <w:r>
        <w:rPr>
          <w:rFonts w:hint="eastAsia" w:ascii="仿宋_GB2312" w:hAnsi="微软雅黑" w:eastAsia="仿宋_GB2312" w:cs="宋体"/>
          <w:color w:val="3D3D3C"/>
          <w:kern w:val="0"/>
          <w:szCs w:val="32"/>
        </w:rPr>
        <w:t>搬迁公司，负责做好各级移民搬迁工作小组交办事项的组织协调工作。</w:t>
      </w:r>
    </w:p>
    <w:p w14:paraId="607EE5A2">
      <w:pPr>
        <w:widowControl/>
        <w:shd w:val="clear" w:color="auto" w:fill="FFFFFF"/>
        <w:ind w:firstLine="480"/>
        <w:jc w:val="left"/>
        <w:rPr>
          <w:rFonts w:ascii="仿宋_GB2312" w:hAnsi="微软雅黑" w:eastAsia="仿宋_GB2312" w:cs="宋体"/>
          <w:color w:val="3D3D3C"/>
          <w:kern w:val="0"/>
          <w:szCs w:val="32"/>
        </w:rPr>
      </w:pPr>
      <w:r>
        <w:rPr>
          <w:rFonts w:ascii="仿宋_GB2312" w:hAnsi="微软雅黑" w:eastAsia="仿宋_GB2312" w:cs="宋体"/>
          <w:color w:val="3D3D3C"/>
          <w:kern w:val="0"/>
          <w:szCs w:val="32"/>
        </w:rPr>
        <w:t>12</w:t>
      </w:r>
      <w:r>
        <w:rPr>
          <w:rFonts w:hint="eastAsia" w:ascii="仿宋_GB2312" w:hAnsi="微软雅黑" w:eastAsia="仿宋_GB2312" w:cs="宋体"/>
          <w:color w:val="3D3D3C"/>
          <w:kern w:val="0"/>
          <w:szCs w:val="32"/>
        </w:rPr>
        <w:t>、承办县委、县人民政府交办的其他事项。</w:t>
      </w:r>
    </w:p>
    <w:p w14:paraId="525AD143">
      <w:pPr>
        <w:widowControl/>
        <w:ind w:firstLine="472" w:firstLineChars="147"/>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（二）内设机构</w:t>
      </w:r>
    </w:p>
    <w:p w14:paraId="62177724">
      <w:pPr>
        <w:widowControl/>
        <w:shd w:val="clear" w:color="auto" w:fill="FFFFFF"/>
        <w:ind w:firstLine="640" w:firstLineChars="200"/>
        <w:jc w:val="left"/>
        <w:rPr>
          <w:rFonts w:ascii="仿宋_GB2312" w:hAnsi="微软雅黑" w:eastAsia="仿宋_GB2312" w:cs="宋体"/>
          <w:color w:val="3D3D3C"/>
          <w:kern w:val="0"/>
          <w:szCs w:val="32"/>
        </w:rPr>
      </w:pPr>
      <w:r>
        <w:rPr>
          <w:rFonts w:hint="eastAsia" w:ascii="仿宋_GB2312" w:hAnsi="微软雅黑" w:eastAsia="仿宋_GB2312" w:cs="宋体"/>
          <w:color w:val="3D3D3C"/>
          <w:kern w:val="0"/>
          <w:szCs w:val="32"/>
        </w:rPr>
        <w:t>本部门内设机构有办公室、监察室、地籍科、地环科、用地科、土地储备中心、监察科、矿管科、土地整理中心、统征办</w:t>
      </w:r>
      <w:r>
        <w:rPr>
          <w:rFonts w:ascii="仿宋_GB2312" w:hAnsi="微软雅黑" w:eastAsia="仿宋_GB2312" w:cs="宋体"/>
          <w:color w:val="3D3D3C"/>
          <w:kern w:val="0"/>
          <w:szCs w:val="32"/>
        </w:rPr>
        <w:t>10</w:t>
      </w:r>
      <w:r>
        <w:rPr>
          <w:rFonts w:hint="eastAsia" w:ascii="仿宋_GB2312" w:hAnsi="微软雅黑" w:eastAsia="仿宋_GB2312" w:cs="宋体"/>
          <w:color w:val="3D3D3C"/>
          <w:kern w:val="0"/>
          <w:szCs w:val="32"/>
        </w:rPr>
        <w:t>个科室</w:t>
      </w:r>
      <w:r>
        <w:rPr>
          <w:rFonts w:ascii="仿宋_GB2312" w:hAnsi="微软雅黑" w:eastAsia="仿宋_GB2312" w:cs="宋体"/>
          <w:color w:val="3D3D3C"/>
          <w:kern w:val="0"/>
          <w:szCs w:val="32"/>
        </w:rPr>
        <w:t>8</w:t>
      </w:r>
      <w:r>
        <w:rPr>
          <w:rFonts w:hint="eastAsia" w:ascii="仿宋_GB2312" w:hAnsi="微软雅黑" w:eastAsia="仿宋_GB2312" w:cs="宋体"/>
          <w:color w:val="3D3D3C"/>
          <w:kern w:val="0"/>
          <w:szCs w:val="32"/>
        </w:rPr>
        <w:t>个管理所，及下属蓝田县移民（脱贫）搬迁工作领导小组办公室和蓝田县不动产登记服务中心两个事业单位。</w:t>
      </w:r>
    </w:p>
    <w:p w14:paraId="6A26E191">
      <w:pPr>
        <w:widowControl/>
        <w:jc w:val="left"/>
      </w:pPr>
      <w:r>
        <w:rPr>
          <w:rFonts w:hint="eastAsia" w:ascii="黑体" w:hAnsi="宋体" w:eastAsia="黑体"/>
          <w:color w:val="000000"/>
          <w:kern w:val="0"/>
          <w:szCs w:val="32"/>
        </w:rPr>
        <w:t>二、部门决算单位构成</w:t>
      </w:r>
    </w:p>
    <w:p w14:paraId="64524787">
      <w:pPr>
        <w:ind w:firstLine="640" w:firstLineChars="200"/>
        <w:rPr>
          <w:rFonts w:ascii="仿宋_GB2312" w:hAnsi="仿宋_GB2312" w:eastAsia="仿宋_GB2312" w:cs="仿宋_GB2312"/>
          <w:szCs w:val="32"/>
        </w:rPr>
      </w:pPr>
      <w:r>
        <w:rPr>
          <w:rFonts w:ascii="仿宋_GB2312" w:hAnsi="仿宋_GB2312" w:eastAsia="仿宋_GB2312" w:cs="仿宋_GB2312"/>
          <w:szCs w:val="32"/>
        </w:rPr>
        <w:t>2019</w:t>
      </w:r>
      <w:r>
        <w:rPr>
          <w:rFonts w:hint="eastAsia" w:ascii="仿宋_GB2312" w:hAnsi="仿宋_GB2312" w:eastAsia="仿宋_GB2312" w:cs="仿宋_GB2312"/>
          <w:szCs w:val="32"/>
        </w:rPr>
        <w:t>年度本部门决算编制范围的单位共</w:t>
      </w:r>
      <w:r>
        <w:rPr>
          <w:rFonts w:ascii="仿宋_GB2312" w:hAnsi="仿宋_GB2312" w:eastAsia="仿宋_GB2312" w:cs="仿宋_GB2312"/>
          <w:szCs w:val="32"/>
        </w:rPr>
        <w:t>3</w:t>
      </w:r>
      <w:r>
        <w:rPr>
          <w:rFonts w:hint="eastAsia" w:ascii="仿宋_GB2312" w:hAnsi="仿宋_GB2312" w:eastAsia="仿宋_GB2312" w:cs="仿宋_GB2312"/>
          <w:szCs w:val="32"/>
        </w:rPr>
        <w:t>个，包括本级及所属</w:t>
      </w:r>
      <w:r>
        <w:rPr>
          <w:rFonts w:ascii="仿宋_GB2312" w:hAnsi="仿宋_GB2312" w:eastAsia="仿宋_GB2312" w:cs="仿宋_GB2312"/>
          <w:szCs w:val="32"/>
        </w:rPr>
        <w:t>2</w:t>
      </w:r>
      <w:r>
        <w:rPr>
          <w:rFonts w:hint="eastAsia" w:ascii="仿宋_GB2312" w:hAnsi="仿宋_GB2312" w:eastAsia="仿宋_GB2312" w:cs="仿宋_GB2312"/>
          <w:szCs w:val="32"/>
        </w:rPr>
        <w:t>个</w:t>
      </w:r>
      <w:r>
        <w:rPr>
          <w:rFonts w:hint="eastAsia" w:ascii="仿宋_GB2312" w:hAnsi="仿宋_GB2312" w:eastAsia="仿宋_GB2312" w:cs="仿宋_GB2312"/>
          <w:color w:val="000000"/>
          <w:kern w:val="0"/>
          <w:sz w:val="31"/>
          <w:szCs w:val="31"/>
        </w:rPr>
        <w:t>二级预算</w:t>
      </w:r>
      <w:r>
        <w:rPr>
          <w:rFonts w:hint="eastAsia" w:ascii="仿宋_GB2312" w:hAnsi="仿宋_GB2312" w:eastAsia="仿宋_GB2312" w:cs="仿宋_GB2312"/>
          <w:szCs w:val="32"/>
        </w:rPr>
        <w:t>单位：</w:t>
      </w:r>
    </w:p>
    <w:tbl>
      <w:tblPr>
        <w:tblStyle w:val="6"/>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14:paraId="56DB9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14:paraId="411B1B54">
            <w:pPr>
              <w:jc w:val="center"/>
              <w:rPr>
                <w:rFonts w:ascii="黑体" w:hAnsi="黑体" w:eastAsia="黑体"/>
                <w:szCs w:val="32"/>
              </w:rPr>
            </w:pPr>
            <w:r>
              <w:rPr>
                <w:rFonts w:hint="eastAsia" w:ascii="黑体" w:hAnsi="黑体" w:eastAsia="黑体"/>
                <w:szCs w:val="32"/>
              </w:rPr>
              <w:t>序号</w:t>
            </w:r>
          </w:p>
        </w:tc>
        <w:tc>
          <w:tcPr>
            <w:tcW w:w="7278" w:type="dxa"/>
            <w:vAlign w:val="center"/>
          </w:tcPr>
          <w:p w14:paraId="58DDBE4D">
            <w:pPr>
              <w:jc w:val="center"/>
              <w:rPr>
                <w:rFonts w:ascii="黑体" w:hAnsi="黑体" w:eastAsia="黑体"/>
                <w:szCs w:val="32"/>
              </w:rPr>
            </w:pPr>
            <w:r>
              <w:rPr>
                <w:rFonts w:hint="eastAsia" w:ascii="黑体" w:hAnsi="黑体" w:eastAsia="黑体"/>
                <w:szCs w:val="32"/>
              </w:rPr>
              <w:t>单位名称</w:t>
            </w:r>
          </w:p>
        </w:tc>
      </w:tr>
      <w:tr w14:paraId="2D549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14:paraId="26D2AECB">
            <w:pPr>
              <w:jc w:val="center"/>
              <w:rPr>
                <w:rFonts w:ascii="仿宋_GB2312" w:hAnsi="仿宋_GB2312" w:eastAsia="仿宋_GB2312" w:cs="仿宋_GB2312"/>
                <w:szCs w:val="32"/>
              </w:rPr>
            </w:pPr>
            <w:r>
              <w:rPr>
                <w:rFonts w:ascii="仿宋_GB2312" w:hAnsi="仿宋_GB2312" w:eastAsia="仿宋_GB2312" w:cs="仿宋_GB2312"/>
                <w:szCs w:val="32"/>
              </w:rPr>
              <w:t>1</w:t>
            </w:r>
          </w:p>
        </w:tc>
        <w:tc>
          <w:tcPr>
            <w:tcW w:w="7278" w:type="dxa"/>
            <w:vAlign w:val="center"/>
          </w:tcPr>
          <w:p w14:paraId="6E3F34F9">
            <w:pPr>
              <w:rPr>
                <w:rFonts w:ascii="仿宋_GB2312" w:hAnsi="仿宋_GB2312" w:eastAsia="仿宋_GB2312" w:cs="仿宋_GB2312"/>
                <w:szCs w:val="32"/>
              </w:rPr>
            </w:pPr>
            <w:r>
              <w:rPr>
                <w:rFonts w:hint="eastAsia" w:ascii="仿宋_GB2312" w:hAnsi="仿宋_GB2312" w:eastAsia="仿宋_GB2312" w:cs="仿宋_GB2312"/>
                <w:szCs w:val="32"/>
              </w:rPr>
              <w:t>蓝田县自然资源和规划局部门本级（机关）</w:t>
            </w:r>
          </w:p>
        </w:tc>
      </w:tr>
      <w:tr w14:paraId="4296A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14:paraId="46A765FD">
            <w:pPr>
              <w:jc w:val="center"/>
              <w:rPr>
                <w:rFonts w:ascii="仿宋_GB2312" w:hAnsi="仿宋_GB2312" w:eastAsia="仿宋_GB2312" w:cs="仿宋_GB2312"/>
                <w:szCs w:val="32"/>
              </w:rPr>
            </w:pPr>
            <w:r>
              <w:rPr>
                <w:rFonts w:ascii="仿宋_GB2312" w:hAnsi="仿宋_GB2312" w:eastAsia="仿宋_GB2312" w:cs="仿宋_GB2312"/>
                <w:szCs w:val="32"/>
              </w:rPr>
              <w:t>2</w:t>
            </w:r>
          </w:p>
        </w:tc>
        <w:tc>
          <w:tcPr>
            <w:tcW w:w="7278" w:type="dxa"/>
            <w:vAlign w:val="center"/>
          </w:tcPr>
          <w:p w14:paraId="74704CF6">
            <w:pPr>
              <w:rPr>
                <w:rFonts w:ascii="仿宋_GB2312" w:hAnsi="仿宋_GB2312" w:eastAsia="仿宋_GB2312" w:cs="仿宋_GB2312"/>
                <w:szCs w:val="32"/>
              </w:rPr>
            </w:pPr>
            <w:r>
              <w:rPr>
                <w:rFonts w:hint="eastAsia" w:ascii="仿宋_GB2312" w:hAnsi="微软雅黑" w:eastAsia="仿宋_GB2312" w:cs="宋体"/>
                <w:color w:val="3D3D3C"/>
                <w:kern w:val="0"/>
                <w:szCs w:val="32"/>
              </w:rPr>
              <w:t>蓝田县移民（脱贫）搬迁工作领导小组办公室</w:t>
            </w:r>
          </w:p>
        </w:tc>
      </w:tr>
      <w:tr w14:paraId="4C695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14:paraId="25FE0C77">
            <w:pPr>
              <w:jc w:val="center"/>
              <w:rPr>
                <w:rFonts w:ascii="仿宋_GB2312" w:hAnsi="仿宋_GB2312" w:eastAsia="仿宋_GB2312" w:cs="仿宋_GB2312"/>
                <w:szCs w:val="32"/>
              </w:rPr>
            </w:pPr>
            <w:r>
              <w:rPr>
                <w:rFonts w:ascii="仿宋_GB2312" w:hAnsi="仿宋_GB2312" w:eastAsia="仿宋_GB2312" w:cs="仿宋_GB2312"/>
                <w:szCs w:val="32"/>
              </w:rPr>
              <w:t>3</w:t>
            </w:r>
          </w:p>
        </w:tc>
        <w:tc>
          <w:tcPr>
            <w:tcW w:w="7278" w:type="dxa"/>
            <w:vAlign w:val="center"/>
          </w:tcPr>
          <w:p w14:paraId="404F77A7">
            <w:pPr>
              <w:rPr>
                <w:rFonts w:ascii="仿宋_GB2312" w:hAnsi="仿宋_GB2312" w:eastAsia="仿宋_GB2312" w:cs="仿宋_GB2312"/>
                <w:szCs w:val="32"/>
              </w:rPr>
            </w:pPr>
            <w:r>
              <w:rPr>
                <w:rFonts w:hint="eastAsia" w:ascii="仿宋_GB2312" w:hAnsi="微软雅黑" w:eastAsia="仿宋_GB2312" w:cs="宋体"/>
                <w:color w:val="3D3D3C"/>
                <w:kern w:val="0"/>
                <w:szCs w:val="32"/>
              </w:rPr>
              <w:t>蓝田县不动产登记服务中心</w:t>
            </w:r>
          </w:p>
        </w:tc>
      </w:tr>
    </w:tbl>
    <w:p w14:paraId="1749250F">
      <w:pPr>
        <w:ind w:firstLine="640"/>
        <w:rPr>
          <w:rFonts w:ascii="黑体" w:hAnsi="黑体" w:eastAsia="黑体"/>
          <w:b/>
          <w:bCs/>
          <w:szCs w:val="32"/>
        </w:rPr>
      </w:pPr>
      <w:r>
        <w:rPr>
          <w:rFonts w:hint="eastAsia" w:ascii="黑体" w:hAnsi="黑体" w:eastAsia="黑体"/>
          <w:b/>
          <w:bCs/>
          <w:szCs w:val="32"/>
        </w:rPr>
        <w:t>三、部门人员情况</w:t>
      </w:r>
    </w:p>
    <w:p w14:paraId="078424B5">
      <w:pPr>
        <w:ind w:firstLine="640"/>
        <w:rPr>
          <w:rFonts w:ascii="仿宋_GB2312" w:hAnsi="仿宋_GB2312" w:eastAsia="仿宋_GB2312" w:cs="仿宋_GB2312"/>
          <w:color w:val="FF0000"/>
          <w:szCs w:val="32"/>
        </w:rPr>
      </w:pPr>
      <w:r>
        <w:rPr>
          <w:rFonts w:hint="eastAsia" w:ascii="仿宋_GB2312" w:hAnsi="仿宋_GB2312" w:eastAsia="仿宋_GB2312" w:cs="仿宋_GB2312"/>
          <w:color w:val="FF0000"/>
          <w:szCs w:val="32"/>
        </w:rPr>
        <w:drawing>
          <wp:inline distT="0" distB="0" distL="114300" distR="114300">
            <wp:extent cx="5080000" cy="3810000"/>
            <wp:effectExtent l="4445" t="4445" r="20955"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3276C7E5">
      <w:pPr>
        <w:ind w:firstLine="640"/>
        <w:rPr>
          <w:rFonts w:ascii="仿宋_GB2312" w:hAnsi="仿宋_GB2312" w:eastAsia="仿宋_GB2312" w:cs="仿宋_GB2312"/>
          <w:szCs w:val="32"/>
        </w:rPr>
      </w:pPr>
      <w:r>
        <w:rPr>
          <w:rFonts w:hint="eastAsia" w:ascii="仿宋_GB2312" w:hAnsi="仿宋_GB2312" w:eastAsia="仿宋_GB2312" w:cs="仿宋_GB2312"/>
          <w:szCs w:val="32"/>
        </w:rPr>
        <w:t>截止</w:t>
      </w:r>
      <w:r>
        <w:rPr>
          <w:rFonts w:ascii="仿宋_GB2312" w:hAnsi="仿宋_GB2312" w:eastAsia="仿宋_GB2312" w:cs="仿宋_GB2312"/>
          <w:szCs w:val="32"/>
        </w:rPr>
        <w:t>2019</w:t>
      </w:r>
      <w:r>
        <w:rPr>
          <w:rFonts w:hint="eastAsia" w:ascii="仿宋_GB2312" w:hAnsi="仿宋_GB2312" w:eastAsia="仿宋_GB2312" w:cs="仿宋_GB2312"/>
          <w:szCs w:val="32"/>
        </w:rPr>
        <w:t>年底，本部门人员编制</w:t>
      </w:r>
      <w:r>
        <w:rPr>
          <w:rFonts w:ascii="仿宋_GB2312" w:hAnsi="仿宋_GB2312" w:eastAsia="仿宋_GB2312" w:cs="仿宋_GB2312"/>
          <w:szCs w:val="32"/>
        </w:rPr>
        <w:t>149</w:t>
      </w:r>
      <w:r>
        <w:rPr>
          <w:rFonts w:hint="eastAsia" w:ascii="仿宋_GB2312" w:hAnsi="仿宋_GB2312" w:eastAsia="仿宋_GB2312" w:cs="仿宋_GB2312"/>
          <w:szCs w:val="32"/>
        </w:rPr>
        <w:t>人，其中行政编制</w:t>
      </w:r>
      <w:r>
        <w:rPr>
          <w:rFonts w:ascii="仿宋_GB2312" w:hAnsi="仿宋_GB2312" w:eastAsia="仿宋_GB2312" w:cs="仿宋_GB2312"/>
          <w:szCs w:val="32"/>
        </w:rPr>
        <w:t>14</w:t>
      </w:r>
      <w:r>
        <w:rPr>
          <w:rFonts w:hint="eastAsia" w:ascii="仿宋_GB2312" w:hAnsi="仿宋_GB2312" w:eastAsia="仿宋_GB2312" w:cs="仿宋_GB2312"/>
          <w:szCs w:val="32"/>
        </w:rPr>
        <w:t>人、事业编制</w:t>
      </w:r>
      <w:r>
        <w:rPr>
          <w:rFonts w:ascii="仿宋_GB2312" w:hAnsi="仿宋_GB2312" w:eastAsia="仿宋_GB2312" w:cs="仿宋_GB2312"/>
          <w:szCs w:val="32"/>
        </w:rPr>
        <w:t>135</w:t>
      </w:r>
      <w:r>
        <w:rPr>
          <w:rFonts w:hint="eastAsia" w:ascii="仿宋_GB2312" w:hAnsi="仿宋_GB2312" w:eastAsia="仿宋_GB2312" w:cs="仿宋_GB2312"/>
          <w:szCs w:val="32"/>
        </w:rPr>
        <w:t>人；实有人员</w:t>
      </w:r>
      <w:r>
        <w:rPr>
          <w:rFonts w:ascii="仿宋_GB2312" w:hAnsi="仿宋_GB2312" w:eastAsia="仿宋_GB2312" w:cs="仿宋_GB2312"/>
          <w:szCs w:val="32"/>
        </w:rPr>
        <w:t>158</w:t>
      </w:r>
      <w:r>
        <w:rPr>
          <w:rFonts w:hint="eastAsia" w:ascii="仿宋_GB2312" w:hAnsi="仿宋_GB2312" w:eastAsia="仿宋_GB2312" w:cs="仿宋_GB2312"/>
          <w:szCs w:val="32"/>
        </w:rPr>
        <w:t>人，其中行政</w:t>
      </w:r>
      <w:r>
        <w:rPr>
          <w:rFonts w:ascii="仿宋_GB2312" w:hAnsi="仿宋_GB2312" w:eastAsia="仿宋_GB2312" w:cs="仿宋_GB2312"/>
          <w:szCs w:val="32"/>
        </w:rPr>
        <w:t>14</w:t>
      </w:r>
      <w:r>
        <w:rPr>
          <w:rFonts w:hint="eastAsia" w:ascii="仿宋_GB2312" w:hAnsi="仿宋_GB2312" w:eastAsia="仿宋_GB2312" w:cs="仿宋_GB2312"/>
          <w:szCs w:val="32"/>
        </w:rPr>
        <w:t>人、事业</w:t>
      </w:r>
      <w:r>
        <w:rPr>
          <w:rFonts w:ascii="仿宋_GB2312" w:hAnsi="仿宋_GB2312" w:eastAsia="仿宋_GB2312" w:cs="仿宋_GB2312"/>
          <w:szCs w:val="32"/>
        </w:rPr>
        <w:t>144</w:t>
      </w:r>
      <w:r>
        <w:rPr>
          <w:rFonts w:hint="eastAsia" w:ascii="仿宋_GB2312" w:hAnsi="仿宋_GB2312" w:eastAsia="仿宋_GB2312" w:cs="仿宋_GB2312"/>
          <w:szCs w:val="32"/>
        </w:rPr>
        <w:t>人。单位管理的离退休人员</w:t>
      </w:r>
      <w:r>
        <w:rPr>
          <w:rFonts w:ascii="仿宋_GB2312" w:hAnsi="仿宋_GB2312" w:eastAsia="仿宋_GB2312" w:cs="仿宋_GB2312"/>
          <w:szCs w:val="32"/>
        </w:rPr>
        <w:t>0</w:t>
      </w:r>
      <w:r>
        <w:rPr>
          <w:rFonts w:hint="eastAsia" w:ascii="仿宋_GB2312" w:hAnsi="仿宋_GB2312" w:eastAsia="仿宋_GB2312" w:cs="仿宋_GB2312"/>
          <w:szCs w:val="32"/>
        </w:rPr>
        <w:t>人。</w:t>
      </w:r>
    </w:p>
    <w:p w14:paraId="4C82D85C">
      <w:pPr>
        <w:widowControl/>
        <w:jc w:val="center"/>
        <w:rPr>
          <w:rFonts w:ascii="黑体" w:hAnsi="宋体" w:eastAsia="黑体"/>
          <w:color w:val="000000"/>
          <w:kern w:val="0"/>
          <w:sz w:val="44"/>
          <w:szCs w:val="44"/>
        </w:rPr>
      </w:pPr>
    </w:p>
    <w:p w14:paraId="25095189">
      <w:pPr>
        <w:widowControl/>
        <w:rPr>
          <w:rFonts w:ascii="黑体" w:hAnsi="宋体" w:eastAsia="黑体"/>
          <w:color w:val="000000"/>
          <w:kern w:val="0"/>
          <w:sz w:val="44"/>
          <w:szCs w:val="44"/>
        </w:rPr>
      </w:pPr>
    </w:p>
    <w:p w14:paraId="6F646D91">
      <w:pPr>
        <w:widowControl/>
        <w:jc w:val="center"/>
        <w:rPr>
          <w:rFonts w:ascii="黑体" w:hAnsi="宋体" w:eastAsia="黑体"/>
          <w:color w:val="000000"/>
          <w:kern w:val="0"/>
          <w:sz w:val="44"/>
          <w:szCs w:val="44"/>
        </w:rPr>
      </w:pPr>
    </w:p>
    <w:p w14:paraId="2AFFD649">
      <w:pPr>
        <w:widowControl/>
        <w:ind w:firstLine="1760" w:firstLineChars="400"/>
        <w:rPr>
          <w:sz w:val="44"/>
          <w:szCs w:val="44"/>
        </w:rPr>
      </w:pPr>
      <w:r>
        <w:rPr>
          <w:rFonts w:hint="eastAsia" w:ascii="黑体" w:hAnsi="宋体" w:eastAsia="黑体"/>
          <w:color w:val="000000"/>
          <w:kern w:val="0"/>
          <w:sz w:val="44"/>
          <w:szCs w:val="44"/>
        </w:rPr>
        <w:t>第二部分</w:t>
      </w:r>
      <w:r>
        <w:rPr>
          <w:rFonts w:ascii="黑体" w:hAnsi="宋体" w:eastAsia="黑体"/>
          <w:color w:val="000000"/>
          <w:kern w:val="0"/>
          <w:sz w:val="44"/>
          <w:szCs w:val="44"/>
        </w:rPr>
        <w:t xml:space="preserve"> 2019</w:t>
      </w:r>
      <w:r>
        <w:rPr>
          <w:rFonts w:hint="eastAsia" w:ascii="黑体" w:hAnsi="宋体" w:eastAsia="黑体"/>
          <w:color w:val="000000"/>
          <w:kern w:val="0"/>
          <w:sz w:val="44"/>
          <w:szCs w:val="44"/>
        </w:rPr>
        <w:t>年度部门决算表</w:t>
      </w:r>
    </w:p>
    <w:tbl>
      <w:tblPr>
        <w:tblStyle w:val="6"/>
        <w:tblW w:w="9060" w:type="dxa"/>
        <w:tblInd w:w="0" w:type="dxa"/>
        <w:tblLayout w:type="autofit"/>
        <w:tblCellMar>
          <w:top w:w="0" w:type="dxa"/>
          <w:left w:w="0" w:type="dxa"/>
          <w:bottom w:w="0" w:type="dxa"/>
          <w:right w:w="0" w:type="dxa"/>
        </w:tblCellMar>
      </w:tblPr>
      <w:tblGrid>
        <w:gridCol w:w="518"/>
        <w:gridCol w:w="6060"/>
        <w:gridCol w:w="1000"/>
        <w:gridCol w:w="1482"/>
      </w:tblGrid>
      <w:tr w14:paraId="75E494EC">
        <w:tblPrEx>
          <w:tblCellMar>
            <w:top w:w="0" w:type="dxa"/>
            <w:left w:w="0" w:type="dxa"/>
            <w:bottom w:w="0" w:type="dxa"/>
            <w:right w:w="0" w:type="dxa"/>
          </w:tblCellMar>
        </w:tblPrEx>
        <w:trPr>
          <w:trHeight w:val="1317" w:hRule="atLeast"/>
        </w:trPr>
        <w:tc>
          <w:tcPr>
            <w:tcW w:w="9060" w:type="dxa"/>
            <w:gridSpan w:val="4"/>
            <w:tcBorders>
              <w:top w:val="nil"/>
              <w:left w:val="nil"/>
              <w:bottom w:val="nil"/>
              <w:right w:val="nil"/>
            </w:tcBorders>
            <w:shd w:val="clear" w:color="auto" w:fill="auto"/>
            <w:noWrap/>
            <w:tcMar>
              <w:top w:w="15" w:type="dxa"/>
              <w:left w:w="15" w:type="dxa"/>
              <w:right w:w="15" w:type="dxa"/>
            </w:tcMar>
            <w:vAlign w:val="center"/>
          </w:tcPr>
          <w:p w14:paraId="09610AFE">
            <w:pPr>
              <w:widowControl/>
              <w:jc w:val="center"/>
              <w:textAlignment w:val="center"/>
              <w:rPr>
                <w:rFonts w:ascii="宋体" w:hAnsi="宋体" w:eastAsia="宋体" w:cs="宋体"/>
                <w:color w:val="000000"/>
                <w:sz w:val="40"/>
                <w:szCs w:val="40"/>
              </w:rPr>
            </w:pPr>
            <w:r>
              <w:rPr>
                <w:rFonts w:hint="eastAsia" w:ascii="宋体" w:hAnsi="宋体" w:eastAsia="宋体" w:cs="宋体"/>
                <w:color w:val="000000"/>
                <w:kern w:val="0"/>
                <w:sz w:val="40"/>
                <w:szCs w:val="40"/>
              </w:rPr>
              <w:t>目录</w:t>
            </w:r>
          </w:p>
        </w:tc>
      </w:tr>
      <w:tr w14:paraId="1352EC83">
        <w:tblPrEx>
          <w:tblCellMar>
            <w:top w:w="0" w:type="dxa"/>
            <w:left w:w="0" w:type="dxa"/>
            <w:bottom w:w="0" w:type="dxa"/>
            <w:right w:w="0" w:type="dxa"/>
          </w:tblCellMar>
        </w:tblPrEx>
        <w:trPr>
          <w:trHeight w:val="657" w:hRule="atLeast"/>
        </w:trPr>
        <w:tc>
          <w:tcPr>
            <w:tcW w:w="0" w:type="auto"/>
            <w:gridSpan w:val="4"/>
            <w:tcBorders>
              <w:top w:val="nil"/>
              <w:left w:val="nil"/>
              <w:bottom w:val="single" w:color="000000" w:sz="4" w:space="0"/>
              <w:right w:val="nil"/>
            </w:tcBorders>
            <w:shd w:val="clear" w:color="auto" w:fill="auto"/>
            <w:noWrap/>
            <w:tcMar>
              <w:top w:w="15" w:type="dxa"/>
              <w:left w:w="15" w:type="dxa"/>
              <w:right w:w="15" w:type="dxa"/>
            </w:tcMar>
            <w:vAlign w:val="center"/>
          </w:tcPr>
          <w:p w14:paraId="61C5873C">
            <w:pPr>
              <w:jc w:val="left"/>
              <w:rPr>
                <w:rFonts w:ascii="宋体" w:hAnsi="宋体" w:eastAsia="宋体" w:cs="宋体"/>
                <w:color w:val="000000"/>
                <w:sz w:val="20"/>
              </w:rPr>
            </w:pPr>
          </w:p>
        </w:tc>
      </w:tr>
      <w:tr w14:paraId="3DB60BDA">
        <w:tblPrEx>
          <w:tblCellMar>
            <w:top w:w="0" w:type="dxa"/>
            <w:left w:w="0" w:type="dxa"/>
            <w:bottom w:w="0" w:type="dxa"/>
            <w:right w:w="0" w:type="dxa"/>
          </w:tblCellMar>
        </w:tblPrEx>
        <w:trPr>
          <w:trHeight w:val="871" w:hRule="atLeast"/>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CD5926">
            <w:pPr>
              <w:widowControl/>
              <w:jc w:val="center"/>
              <w:textAlignment w:val="center"/>
              <w:rPr>
                <w:rFonts w:ascii="黑体" w:hAnsi="宋体" w:eastAsia="黑体" w:cs="黑体"/>
                <w:color w:val="000000"/>
                <w:sz w:val="20"/>
              </w:rPr>
            </w:pPr>
            <w:r>
              <w:rPr>
                <w:rFonts w:hint="eastAsia" w:ascii="黑体" w:hAnsi="宋体" w:eastAsia="黑体" w:cs="黑体"/>
                <w:color w:val="000000"/>
                <w:kern w:val="0"/>
                <w:sz w:val="20"/>
              </w:rPr>
              <w:t>序号</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E08AAF">
            <w:pPr>
              <w:widowControl/>
              <w:jc w:val="center"/>
              <w:textAlignment w:val="center"/>
              <w:rPr>
                <w:rFonts w:ascii="黑体" w:hAnsi="宋体" w:eastAsia="黑体" w:cs="黑体"/>
                <w:color w:val="000000"/>
                <w:sz w:val="20"/>
              </w:rPr>
            </w:pPr>
            <w:r>
              <w:rPr>
                <w:rFonts w:hint="eastAsia" w:ascii="黑体" w:hAnsi="宋体" w:eastAsia="黑体" w:cs="黑体"/>
                <w:color w:val="000000"/>
                <w:kern w:val="0"/>
                <w:sz w:val="20"/>
              </w:rPr>
              <w:t>内容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C853D6">
            <w:pPr>
              <w:widowControl/>
              <w:jc w:val="center"/>
              <w:textAlignment w:val="center"/>
              <w:rPr>
                <w:rFonts w:ascii="黑体" w:hAnsi="宋体" w:eastAsia="黑体" w:cs="黑体"/>
                <w:color w:val="000000"/>
                <w:sz w:val="20"/>
              </w:rPr>
            </w:pPr>
            <w:r>
              <w:rPr>
                <w:rFonts w:hint="eastAsia" w:ascii="黑体" w:hAnsi="宋体" w:eastAsia="黑体" w:cs="黑体"/>
                <w:color w:val="000000"/>
                <w:kern w:val="0"/>
                <w:sz w:val="20"/>
              </w:rPr>
              <w:t>是否空表</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CAF230">
            <w:pPr>
              <w:widowControl/>
              <w:jc w:val="center"/>
              <w:textAlignment w:val="center"/>
              <w:rPr>
                <w:rFonts w:ascii="黑体" w:hAnsi="宋体" w:eastAsia="黑体" w:cs="黑体"/>
                <w:color w:val="000000"/>
                <w:sz w:val="20"/>
              </w:rPr>
            </w:pPr>
            <w:r>
              <w:rPr>
                <w:rFonts w:hint="eastAsia" w:ascii="黑体" w:hAnsi="宋体" w:eastAsia="黑体" w:cs="黑体"/>
                <w:color w:val="000000"/>
                <w:kern w:val="0"/>
                <w:sz w:val="20"/>
              </w:rPr>
              <w:t>公开空表理由</w:t>
            </w:r>
          </w:p>
        </w:tc>
      </w:tr>
      <w:tr w14:paraId="29E668B5">
        <w:tblPrEx>
          <w:tblCellMar>
            <w:top w:w="0" w:type="dxa"/>
            <w:left w:w="0" w:type="dxa"/>
            <w:bottom w:w="0" w:type="dxa"/>
            <w:right w:w="0" w:type="dxa"/>
          </w:tblCellMar>
        </w:tblPrEx>
        <w:trPr>
          <w:trHeight w:val="871" w:hRule="atLeast"/>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B42E63">
            <w:pPr>
              <w:widowControl/>
              <w:jc w:val="center"/>
              <w:textAlignment w:val="center"/>
              <w:rPr>
                <w:rFonts w:ascii="宋体" w:hAnsi="宋体" w:eastAsia="宋体" w:cs="宋体"/>
                <w:color w:val="000000"/>
                <w:sz w:val="20"/>
              </w:rPr>
            </w:pPr>
            <w:r>
              <w:rPr>
                <w:rFonts w:hint="eastAsia" w:ascii="宋体" w:hAnsi="宋体" w:eastAsia="宋体" w:cs="宋体"/>
                <w:color w:val="000000"/>
                <w:kern w:val="0"/>
                <w:sz w:val="20"/>
              </w:rPr>
              <w:t>表1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C14950">
            <w:pPr>
              <w:widowControl/>
              <w:jc w:val="left"/>
              <w:textAlignment w:val="center"/>
              <w:rPr>
                <w:rFonts w:ascii="宋体" w:hAnsi="宋体" w:eastAsia="宋体" w:cs="宋体"/>
                <w:color w:val="000000"/>
                <w:sz w:val="20"/>
              </w:rPr>
            </w:pPr>
            <w:r>
              <w:rPr>
                <w:rFonts w:hint="eastAsia" w:ascii="宋体" w:hAnsi="宋体" w:eastAsia="宋体" w:cs="宋体"/>
                <w:color w:val="000000"/>
                <w:kern w:val="0"/>
                <w:sz w:val="20"/>
              </w:rPr>
              <w:t>部门收支总体情况表</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8B59A8">
            <w:pPr>
              <w:jc w:val="center"/>
              <w:rPr>
                <w:rFonts w:ascii="宋体" w:hAnsi="宋体" w:eastAsia="宋体" w:cs="宋体"/>
                <w:color w:val="000000"/>
                <w:sz w:val="20"/>
              </w:rPr>
            </w:pPr>
            <w:r>
              <w:rPr>
                <w:rFonts w:hint="eastAsia" w:ascii="宋体" w:hAnsi="宋体" w:eastAsia="宋体" w:cs="宋体"/>
                <w:color w:val="000000"/>
                <w:sz w:val="20"/>
              </w:rPr>
              <w:t>否</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E9A3A8">
            <w:pPr>
              <w:jc w:val="left"/>
              <w:rPr>
                <w:rFonts w:ascii="宋体" w:hAnsi="宋体" w:eastAsia="宋体" w:cs="宋体"/>
                <w:color w:val="000000"/>
                <w:sz w:val="20"/>
              </w:rPr>
            </w:pPr>
          </w:p>
        </w:tc>
      </w:tr>
      <w:tr w14:paraId="13FCB68B">
        <w:tblPrEx>
          <w:tblCellMar>
            <w:top w:w="0" w:type="dxa"/>
            <w:left w:w="0" w:type="dxa"/>
            <w:bottom w:w="0" w:type="dxa"/>
            <w:right w:w="0" w:type="dxa"/>
          </w:tblCellMar>
        </w:tblPrEx>
        <w:trPr>
          <w:trHeight w:val="871" w:hRule="atLeast"/>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564A52">
            <w:pPr>
              <w:widowControl/>
              <w:jc w:val="center"/>
              <w:textAlignment w:val="center"/>
              <w:rPr>
                <w:rFonts w:ascii="宋体" w:hAnsi="宋体" w:eastAsia="宋体" w:cs="宋体"/>
                <w:color w:val="000000"/>
                <w:sz w:val="20"/>
              </w:rPr>
            </w:pPr>
            <w:r>
              <w:rPr>
                <w:rFonts w:hint="eastAsia" w:ascii="宋体" w:hAnsi="宋体" w:eastAsia="宋体" w:cs="宋体"/>
                <w:color w:val="000000"/>
                <w:kern w:val="0"/>
                <w:sz w:val="20"/>
              </w:rPr>
              <w:t>表2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AB51AA">
            <w:pPr>
              <w:widowControl/>
              <w:jc w:val="left"/>
              <w:textAlignment w:val="center"/>
              <w:rPr>
                <w:rFonts w:ascii="宋体" w:hAnsi="宋体" w:eastAsia="宋体" w:cs="宋体"/>
                <w:color w:val="000000"/>
                <w:sz w:val="20"/>
              </w:rPr>
            </w:pPr>
            <w:r>
              <w:rPr>
                <w:rFonts w:hint="eastAsia" w:ascii="宋体" w:hAnsi="宋体" w:eastAsia="宋体" w:cs="宋体"/>
                <w:color w:val="000000"/>
                <w:kern w:val="0"/>
                <w:sz w:val="20"/>
              </w:rPr>
              <w:t>部门收入总体情况表</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3BB27F">
            <w:pPr>
              <w:jc w:val="center"/>
              <w:rPr>
                <w:rFonts w:ascii="宋体" w:hAnsi="宋体" w:eastAsia="宋体" w:cs="宋体"/>
                <w:color w:val="000000"/>
                <w:sz w:val="20"/>
              </w:rPr>
            </w:pPr>
            <w:r>
              <w:rPr>
                <w:rFonts w:hint="eastAsia" w:ascii="宋体" w:hAnsi="宋体" w:eastAsia="宋体" w:cs="宋体"/>
                <w:color w:val="000000"/>
                <w:sz w:val="20"/>
              </w:rPr>
              <w:t>否</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0B467A">
            <w:pPr>
              <w:jc w:val="left"/>
              <w:rPr>
                <w:rFonts w:ascii="宋体" w:hAnsi="宋体" w:eastAsia="宋体" w:cs="宋体"/>
                <w:color w:val="000000"/>
                <w:sz w:val="20"/>
              </w:rPr>
            </w:pPr>
          </w:p>
        </w:tc>
      </w:tr>
      <w:tr w14:paraId="178A134D">
        <w:tblPrEx>
          <w:tblCellMar>
            <w:top w:w="0" w:type="dxa"/>
            <w:left w:w="0" w:type="dxa"/>
            <w:bottom w:w="0" w:type="dxa"/>
            <w:right w:w="0" w:type="dxa"/>
          </w:tblCellMar>
        </w:tblPrEx>
        <w:trPr>
          <w:trHeight w:val="871" w:hRule="atLeast"/>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503B07">
            <w:pPr>
              <w:widowControl/>
              <w:jc w:val="center"/>
              <w:textAlignment w:val="center"/>
              <w:rPr>
                <w:rFonts w:ascii="宋体" w:hAnsi="宋体" w:eastAsia="宋体" w:cs="宋体"/>
                <w:color w:val="000000"/>
                <w:sz w:val="20"/>
              </w:rPr>
            </w:pPr>
            <w:r>
              <w:rPr>
                <w:rFonts w:hint="eastAsia" w:ascii="宋体" w:hAnsi="宋体" w:eastAsia="宋体" w:cs="宋体"/>
                <w:color w:val="000000"/>
                <w:kern w:val="0"/>
                <w:sz w:val="20"/>
              </w:rPr>
              <w:t>表3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2CA634">
            <w:pPr>
              <w:widowControl/>
              <w:jc w:val="left"/>
              <w:textAlignment w:val="center"/>
              <w:rPr>
                <w:rFonts w:ascii="宋体" w:hAnsi="宋体" w:eastAsia="宋体" w:cs="宋体"/>
                <w:color w:val="000000"/>
                <w:sz w:val="20"/>
              </w:rPr>
            </w:pPr>
            <w:r>
              <w:rPr>
                <w:rFonts w:hint="eastAsia" w:ascii="宋体" w:hAnsi="宋体" w:eastAsia="宋体" w:cs="宋体"/>
                <w:color w:val="000000"/>
                <w:kern w:val="0"/>
                <w:sz w:val="20"/>
              </w:rPr>
              <w:t>部门支出总体情况表</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FA5042">
            <w:pPr>
              <w:jc w:val="center"/>
              <w:rPr>
                <w:rFonts w:ascii="宋体" w:hAnsi="宋体" w:eastAsia="宋体" w:cs="宋体"/>
                <w:color w:val="000000"/>
                <w:sz w:val="20"/>
              </w:rPr>
            </w:pPr>
            <w:r>
              <w:rPr>
                <w:rFonts w:hint="eastAsia" w:ascii="宋体" w:hAnsi="宋体" w:eastAsia="宋体" w:cs="宋体"/>
                <w:color w:val="000000"/>
                <w:sz w:val="20"/>
              </w:rPr>
              <w:t>否</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3F2055">
            <w:pPr>
              <w:jc w:val="left"/>
              <w:rPr>
                <w:rFonts w:ascii="宋体" w:hAnsi="宋体" w:eastAsia="宋体" w:cs="宋体"/>
                <w:color w:val="000000"/>
                <w:sz w:val="20"/>
              </w:rPr>
            </w:pPr>
          </w:p>
        </w:tc>
      </w:tr>
      <w:tr w14:paraId="2C85EF67">
        <w:tblPrEx>
          <w:tblCellMar>
            <w:top w:w="0" w:type="dxa"/>
            <w:left w:w="0" w:type="dxa"/>
            <w:bottom w:w="0" w:type="dxa"/>
            <w:right w:w="0" w:type="dxa"/>
          </w:tblCellMar>
        </w:tblPrEx>
        <w:trPr>
          <w:trHeight w:val="871" w:hRule="atLeast"/>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0362CE">
            <w:pPr>
              <w:widowControl/>
              <w:jc w:val="center"/>
              <w:textAlignment w:val="center"/>
              <w:rPr>
                <w:rFonts w:ascii="宋体" w:hAnsi="宋体" w:eastAsia="宋体" w:cs="宋体"/>
                <w:color w:val="000000"/>
                <w:sz w:val="20"/>
              </w:rPr>
            </w:pPr>
            <w:r>
              <w:rPr>
                <w:rFonts w:hint="eastAsia" w:ascii="宋体" w:hAnsi="宋体" w:eastAsia="宋体" w:cs="宋体"/>
                <w:color w:val="000000"/>
                <w:kern w:val="0"/>
                <w:sz w:val="20"/>
              </w:rPr>
              <w:t>表4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BE6834">
            <w:pPr>
              <w:widowControl/>
              <w:jc w:val="left"/>
              <w:textAlignment w:val="center"/>
              <w:rPr>
                <w:rFonts w:ascii="宋体" w:hAnsi="宋体" w:eastAsia="宋体" w:cs="宋体"/>
                <w:color w:val="000000"/>
                <w:sz w:val="20"/>
              </w:rPr>
            </w:pPr>
            <w:r>
              <w:rPr>
                <w:rFonts w:hint="eastAsia" w:ascii="宋体" w:hAnsi="宋体" w:eastAsia="宋体" w:cs="宋体"/>
                <w:color w:val="000000"/>
                <w:kern w:val="0"/>
                <w:sz w:val="20"/>
              </w:rPr>
              <w:t>财政拨款收支总体情况表</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1B9498">
            <w:pPr>
              <w:jc w:val="center"/>
              <w:rPr>
                <w:rFonts w:ascii="宋体" w:hAnsi="宋体" w:eastAsia="宋体" w:cs="宋体"/>
                <w:color w:val="000000"/>
                <w:sz w:val="20"/>
              </w:rPr>
            </w:pPr>
            <w:r>
              <w:rPr>
                <w:rFonts w:hint="eastAsia" w:ascii="宋体" w:hAnsi="宋体" w:eastAsia="宋体" w:cs="宋体"/>
                <w:color w:val="000000"/>
                <w:sz w:val="20"/>
              </w:rPr>
              <w:t>否</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2D0F98">
            <w:pPr>
              <w:jc w:val="left"/>
              <w:rPr>
                <w:rFonts w:ascii="宋体" w:hAnsi="宋体" w:eastAsia="宋体" w:cs="宋体"/>
                <w:color w:val="000000"/>
                <w:sz w:val="20"/>
              </w:rPr>
            </w:pPr>
          </w:p>
        </w:tc>
      </w:tr>
      <w:tr w14:paraId="52029135">
        <w:tblPrEx>
          <w:tblCellMar>
            <w:top w:w="0" w:type="dxa"/>
            <w:left w:w="0" w:type="dxa"/>
            <w:bottom w:w="0" w:type="dxa"/>
            <w:right w:w="0" w:type="dxa"/>
          </w:tblCellMar>
        </w:tblPrEx>
        <w:trPr>
          <w:trHeight w:val="871" w:hRule="atLeast"/>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CF7472">
            <w:pPr>
              <w:widowControl/>
              <w:jc w:val="center"/>
              <w:textAlignment w:val="center"/>
              <w:rPr>
                <w:rFonts w:ascii="宋体" w:hAnsi="宋体" w:eastAsia="宋体" w:cs="宋体"/>
                <w:color w:val="000000"/>
                <w:sz w:val="20"/>
              </w:rPr>
            </w:pPr>
            <w:r>
              <w:rPr>
                <w:rFonts w:hint="eastAsia" w:ascii="宋体" w:hAnsi="宋体" w:eastAsia="宋体" w:cs="宋体"/>
                <w:color w:val="000000"/>
                <w:kern w:val="0"/>
                <w:sz w:val="20"/>
              </w:rPr>
              <w:t>表5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DBAE7D">
            <w:pPr>
              <w:widowControl/>
              <w:jc w:val="left"/>
              <w:textAlignment w:val="center"/>
              <w:rPr>
                <w:rFonts w:ascii="宋体" w:hAnsi="宋体" w:eastAsia="宋体" w:cs="宋体"/>
                <w:color w:val="000000"/>
                <w:sz w:val="20"/>
              </w:rPr>
            </w:pPr>
            <w:r>
              <w:rPr>
                <w:rFonts w:hint="eastAsia" w:ascii="宋体" w:hAnsi="宋体" w:eastAsia="宋体" w:cs="宋体"/>
                <w:color w:val="000000"/>
                <w:kern w:val="0"/>
                <w:sz w:val="20"/>
              </w:rPr>
              <w:t>一般公共预算支出情况表（按功能分类科目）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88E6B3">
            <w:pPr>
              <w:jc w:val="center"/>
              <w:rPr>
                <w:rFonts w:ascii="宋体" w:hAnsi="宋体" w:eastAsia="宋体" w:cs="宋体"/>
                <w:color w:val="000000"/>
                <w:sz w:val="20"/>
              </w:rPr>
            </w:pPr>
            <w:r>
              <w:rPr>
                <w:rFonts w:hint="eastAsia" w:ascii="宋体" w:hAnsi="宋体" w:eastAsia="宋体" w:cs="宋体"/>
                <w:color w:val="000000"/>
                <w:sz w:val="20"/>
              </w:rPr>
              <w:t>否</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A11464">
            <w:pPr>
              <w:jc w:val="left"/>
              <w:rPr>
                <w:rFonts w:ascii="宋体" w:hAnsi="宋体" w:eastAsia="宋体" w:cs="宋体"/>
                <w:color w:val="000000"/>
                <w:sz w:val="20"/>
              </w:rPr>
            </w:pPr>
          </w:p>
        </w:tc>
      </w:tr>
      <w:tr w14:paraId="728E8560">
        <w:tblPrEx>
          <w:tblCellMar>
            <w:top w:w="0" w:type="dxa"/>
            <w:left w:w="0" w:type="dxa"/>
            <w:bottom w:w="0" w:type="dxa"/>
            <w:right w:w="0" w:type="dxa"/>
          </w:tblCellMar>
        </w:tblPrEx>
        <w:trPr>
          <w:trHeight w:val="871" w:hRule="atLeast"/>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85946A">
            <w:pPr>
              <w:widowControl/>
              <w:jc w:val="center"/>
              <w:textAlignment w:val="center"/>
              <w:rPr>
                <w:rFonts w:ascii="宋体" w:hAnsi="宋体" w:eastAsia="宋体" w:cs="宋体"/>
                <w:color w:val="000000"/>
                <w:sz w:val="20"/>
              </w:rPr>
            </w:pPr>
            <w:r>
              <w:rPr>
                <w:rFonts w:hint="eastAsia" w:ascii="宋体" w:hAnsi="宋体" w:eastAsia="宋体" w:cs="宋体"/>
                <w:color w:val="000000"/>
                <w:kern w:val="0"/>
                <w:sz w:val="20"/>
              </w:rPr>
              <w:t>表6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159EB7">
            <w:pPr>
              <w:widowControl/>
              <w:jc w:val="left"/>
              <w:textAlignment w:val="center"/>
              <w:rPr>
                <w:rFonts w:ascii="宋体" w:hAnsi="宋体" w:eastAsia="宋体" w:cs="宋体"/>
                <w:color w:val="000000"/>
                <w:sz w:val="20"/>
              </w:rPr>
            </w:pPr>
            <w:r>
              <w:rPr>
                <w:rFonts w:hint="eastAsia" w:ascii="宋体" w:hAnsi="宋体" w:eastAsia="宋体" w:cs="宋体"/>
                <w:color w:val="000000"/>
                <w:kern w:val="0"/>
                <w:sz w:val="20"/>
              </w:rPr>
              <w:t>一般公共预算基本支出情况表（按经济分类科目）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E91D35">
            <w:pPr>
              <w:jc w:val="center"/>
              <w:rPr>
                <w:rFonts w:ascii="宋体" w:hAnsi="宋体" w:eastAsia="宋体" w:cs="宋体"/>
                <w:color w:val="000000"/>
                <w:sz w:val="20"/>
              </w:rPr>
            </w:pPr>
            <w:r>
              <w:rPr>
                <w:rFonts w:hint="eastAsia" w:ascii="宋体" w:hAnsi="宋体" w:eastAsia="宋体" w:cs="宋体"/>
                <w:color w:val="000000"/>
                <w:sz w:val="20"/>
              </w:rPr>
              <w:t>否</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AFF00C">
            <w:pPr>
              <w:jc w:val="left"/>
              <w:rPr>
                <w:rFonts w:ascii="宋体" w:hAnsi="宋体" w:eastAsia="宋体" w:cs="宋体"/>
                <w:color w:val="000000"/>
                <w:sz w:val="20"/>
              </w:rPr>
            </w:pPr>
          </w:p>
        </w:tc>
      </w:tr>
      <w:tr w14:paraId="0AF2587C">
        <w:tblPrEx>
          <w:tblCellMar>
            <w:top w:w="0" w:type="dxa"/>
            <w:left w:w="0" w:type="dxa"/>
            <w:bottom w:w="0" w:type="dxa"/>
            <w:right w:w="0" w:type="dxa"/>
          </w:tblCellMar>
        </w:tblPrEx>
        <w:trPr>
          <w:trHeight w:val="871" w:hRule="atLeast"/>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3EF4F2">
            <w:pPr>
              <w:widowControl/>
              <w:jc w:val="center"/>
              <w:textAlignment w:val="center"/>
              <w:rPr>
                <w:rFonts w:ascii="宋体" w:hAnsi="宋体" w:eastAsia="宋体" w:cs="宋体"/>
                <w:color w:val="000000"/>
                <w:sz w:val="20"/>
              </w:rPr>
            </w:pPr>
            <w:r>
              <w:rPr>
                <w:rFonts w:hint="eastAsia" w:ascii="宋体" w:hAnsi="宋体" w:eastAsia="宋体" w:cs="宋体"/>
                <w:color w:val="000000"/>
                <w:kern w:val="0"/>
                <w:sz w:val="20"/>
              </w:rPr>
              <w:t>表7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FABFF8">
            <w:pPr>
              <w:widowControl/>
              <w:jc w:val="left"/>
              <w:textAlignment w:val="center"/>
              <w:rPr>
                <w:rFonts w:ascii="宋体" w:hAnsi="宋体" w:eastAsia="宋体" w:cs="宋体"/>
                <w:color w:val="000000"/>
                <w:sz w:val="20"/>
              </w:rPr>
            </w:pPr>
            <w:r>
              <w:rPr>
                <w:rFonts w:hint="eastAsia" w:ascii="宋体" w:hAnsi="宋体" w:eastAsia="宋体" w:cs="宋体"/>
                <w:color w:val="000000"/>
                <w:kern w:val="0"/>
                <w:sz w:val="20"/>
              </w:rPr>
              <w:t>一般公共预算“三公”经费及会议费、培训费支出情况表</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6AAC7D">
            <w:pPr>
              <w:jc w:val="center"/>
              <w:rPr>
                <w:rFonts w:ascii="宋体" w:hAnsi="宋体" w:eastAsia="宋体" w:cs="宋体"/>
                <w:color w:val="000000"/>
                <w:sz w:val="20"/>
              </w:rPr>
            </w:pPr>
            <w:r>
              <w:rPr>
                <w:rFonts w:hint="eastAsia" w:ascii="宋体" w:hAnsi="宋体" w:eastAsia="宋体" w:cs="宋体"/>
                <w:color w:val="000000"/>
                <w:sz w:val="20"/>
              </w:rPr>
              <w:t>否</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73E696">
            <w:pPr>
              <w:jc w:val="left"/>
              <w:rPr>
                <w:rFonts w:ascii="宋体" w:hAnsi="宋体" w:eastAsia="宋体" w:cs="宋体"/>
                <w:color w:val="000000"/>
                <w:sz w:val="20"/>
              </w:rPr>
            </w:pPr>
          </w:p>
        </w:tc>
      </w:tr>
      <w:tr w14:paraId="523D959A">
        <w:tblPrEx>
          <w:tblCellMar>
            <w:top w:w="0" w:type="dxa"/>
            <w:left w:w="0" w:type="dxa"/>
            <w:bottom w:w="0" w:type="dxa"/>
            <w:right w:w="0" w:type="dxa"/>
          </w:tblCellMar>
        </w:tblPrEx>
        <w:trPr>
          <w:trHeight w:val="917" w:hRule="atLeast"/>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F23606">
            <w:pPr>
              <w:widowControl/>
              <w:jc w:val="center"/>
              <w:textAlignment w:val="center"/>
              <w:rPr>
                <w:rFonts w:ascii="宋体" w:hAnsi="宋体" w:eastAsia="宋体" w:cs="宋体"/>
                <w:color w:val="000000"/>
                <w:sz w:val="20"/>
              </w:rPr>
            </w:pPr>
            <w:r>
              <w:rPr>
                <w:rFonts w:hint="eastAsia" w:ascii="宋体" w:hAnsi="宋体" w:eastAsia="宋体" w:cs="宋体"/>
                <w:color w:val="000000"/>
                <w:kern w:val="0"/>
                <w:sz w:val="20"/>
              </w:rPr>
              <w:t>表8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731102">
            <w:pPr>
              <w:widowControl/>
              <w:jc w:val="left"/>
              <w:textAlignment w:val="center"/>
              <w:rPr>
                <w:rFonts w:ascii="宋体" w:hAnsi="宋体" w:eastAsia="宋体" w:cs="宋体"/>
                <w:color w:val="000000"/>
                <w:sz w:val="20"/>
              </w:rPr>
            </w:pPr>
            <w:r>
              <w:rPr>
                <w:rFonts w:hint="eastAsia" w:ascii="宋体" w:hAnsi="宋体" w:eastAsia="宋体" w:cs="宋体"/>
                <w:color w:val="000000"/>
                <w:kern w:val="0"/>
                <w:sz w:val="20"/>
              </w:rPr>
              <w:t>政府性基金预算收支情况表</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3F8182">
            <w:pPr>
              <w:jc w:val="center"/>
              <w:rPr>
                <w:rFonts w:ascii="宋体" w:hAnsi="宋体" w:eastAsia="宋体" w:cs="宋体"/>
                <w:color w:val="000000"/>
                <w:sz w:val="20"/>
              </w:rPr>
            </w:pPr>
            <w:r>
              <w:rPr>
                <w:rFonts w:hint="eastAsia" w:ascii="宋体" w:hAnsi="宋体" w:eastAsia="宋体" w:cs="宋体"/>
                <w:color w:val="000000"/>
                <w:sz w:val="20"/>
              </w:rPr>
              <w:t>否</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442B4A">
            <w:pPr>
              <w:jc w:val="left"/>
              <w:rPr>
                <w:rFonts w:ascii="宋体" w:hAnsi="宋体" w:eastAsia="宋体" w:cs="宋体"/>
                <w:color w:val="000000"/>
                <w:sz w:val="20"/>
              </w:rPr>
            </w:pPr>
          </w:p>
        </w:tc>
      </w:tr>
    </w:tbl>
    <w:p w14:paraId="3750F963">
      <w:pPr>
        <w:widowControl/>
        <w:rPr>
          <w:rFonts w:ascii="黑体" w:hAnsi="宋体" w:eastAsia="黑体"/>
          <w:color w:val="000000"/>
          <w:kern w:val="0"/>
          <w:sz w:val="44"/>
          <w:szCs w:val="44"/>
        </w:rPr>
      </w:pPr>
    </w:p>
    <w:p w14:paraId="09CB6584">
      <w:pPr>
        <w:widowControl/>
        <w:rPr>
          <w:rFonts w:ascii="黑体" w:hAnsi="宋体" w:eastAsia="黑体"/>
          <w:color w:val="000000"/>
          <w:kern w:val="0"/>
          <w:sz w:val="44"/>
          <w:szCs w:val="44"/>
        </w:rPr>
      </w:pPr>
    </w:p>
    <w:p w14:paraId="37CF05AE">
      <w:pPr>
        <w:widowControl/>
        <w:jc w:val="center"/>
        <w:textAlignment w:val="center"/>
        <w:rPr>
          <w:rFonts w:ascii="宋体" w:eastAsia="宋体" w:cs="宋体"/>
          <w:b/>
          <w:color w:val="000000"/>
          <w:kern w:val="0"/>
          <w:sz w:val="40"/>
          <w:szCs w:val="40"/>
        </w:rPr>
      </w:pPr>
      <w:r>
        <w:rPr>
          <w:rFonts w:ascii="宋体" w:eastAsia="宋体" w:cs="宋体"/>
          <w:b/>
          <w:color w:val="000000"/>
          <w:kern w:val="0"/>
          <w:sz w:val="40"/>
          <w:szCs w:val="40"/>
        </w:rPr>
        <w:br w:type="page"/>
      </w:r>
    </w:p>
    <w:tbl>
      <w:tblPr>
        <w:tblStyle w:val="6"/>
        <w:tblW w:w="10140" w:type="dxa"/>
        <w:tblInd w:w="0" w:type="dxa"/>
        <w:tblLayout w:type="fixed"/>
        <w:tblCellMar>
          <w:top w:w="0" w:type="dxa"/>
          <w:left w:w="0" w:type="dxa"/>
          <w:bottom w:w="0" w:type="dxa"/>
          <w:right w:w="0" w:type="dxa"/>
        </w:tblCellMar>
      </w:tblPr>
      <w:tblGrid>
        <w:gridCol w:w="220"/>
        <w:gridCol w:w="220"/>
        <w:gridCol w:w="220"/>
        <w:gridCol w:w="2529"/>
        <w:gridCol w:w="1289"/>
        <w:gridCol w:w="712"/>
        <w:gridCol w:w="978"/>
        <w:gridCol w:w="915"/>
        <w:gridCol w:w="444"/>
        <w:gridCol w:w="231"/>
        <w:gridCol w:w="460"/>
        <w:gridCol w:w="422"/>
        <w:gridCol w:w="44"/>
        <w:gridCol w:w="461"/>
        <w:gridCol w:w="468"/>
        <w:gridCol w:w="527"/>
      </w:tblGrid>
      <w:tr w14:paraId="6FB21F56">
        <w:tblPrEx>
          <w:tblCellMar>
            <w:top w:w="0" w:type="dxa"/>
            <w:left w:w="0" w:type="dxa"/>
            <w:bottom w:w="0" w:type="dxa"/>
            <w:right w:w="0" w:type="dxa"/>
          </w:tblCellMar>
        </w:tblPrEx>
        <w:trPr>
          <w:gridAfter w:val="4"/>
          <w:wAfter w:w="1500" w:type="dxa"/>
          <w:trHeight w:val="694" w:hRule="atLeast"/>
        </w:trPr>
        <w:tc>
          <w:tcPr>
            <w:tcW w:w="8640" w:type="dxa"/>
            <w:gridSpan w:val="12"/>
            <w:tcBorders>
              <w:top w:val="nil"/>
              <w:left w:val="nil"/>
              <w:bottom w:val="nil"/>
              <w:right w:val="nil"/>
            </w:tcBorders>
            <w:shd w:val="clear" w:color="auto" w:fill="auto"/>
            <w:noWrap/>
            <w:tcMar>
              <w:top w:w="15" w:type="dxa"/>
              <w:left w:w="15" w:type="dxa"/>
              <w:right w:w="15" w:type="dxa"/>
            </w:tcMar>
            <w:vAlign w:val="bottom"/>
          </w:tcPr>
          <w:p w14:paraId="626E0EE5">
            <w:pPr>
              <w:widowControl/>
              <w:jc w:val="center"/>
              <w:textAlignment w:val="bottom"/>
              <w:rPr>
                <w:rFonts w:ascii="宋体" w:hAnsi="宋体" w:eastAsia="宋体" w:cs="宋体"/>
                <w:color w:val="000000"/>
                <w:sz w:val="44"/>
                <w:szCs w:val="44"/>
              </w:rPr>
            </w:pPr>
            <w:r>
              <w:rPr>
                <w:rFonts w:hint="eastAsia" w:ascii="宋体" w:hAnsi="宋体" w:eastAsia="宋体" w:cs="宋体"/>
                <w:color w:val="000000"/>
                <w:kern w:val="0"/>
                <w:sz w:val="44"/>
                <w:szCs w:val="44"/>
              </w:rPr>
              <w:t>部门收支总体情况表</w:t>
            </w:r>
          </w:p>
        </w:tc>
      </w:tr>
      <w:tr w14:paraId="5644F754">
        <w:tblPrEx>
          <w:tblCellMar>
            <w:top w:w="0" w:type="dxa"/>
            <w:left w:w="0" w:type="dxa"/>
            <w:bottom w:w="0" w:type="dxa"/>
            <w:right w:w="0" w:type="dxa"/>
          </w:tblCellMar>
        </w:tblPrEx>
        <w:trPr>
          <w:gridAfter w:val="4"/>
          <w:wAfter w:w="1500" w:type="dxa"/>
          <w:trHeight w:val="355" w:hRule="atLeast"/>
        </w:trPr>
        <w:tc>
          <w:tcPr>
            <w:tcW w:w="3189" w:type="dxa"/>
            <w:gridSpan w:val="4"/>
            <w:tcBorders>
              <w:top w:val="nil"/>
              <w:left w:val="nil"/>
              <w:bottom w:val="nil"/>
              <w:right w:val="nil"/>
            </w:tcBorders>
            <w:shd w:val="clear" w:color="auto" w:fill="auto"/>
            <w:noWrap/>
            <w:tcMar>
              <w:top w:w="15" w:type="dxa"/>
              <w:left w:w="15" w:type="dxa"/>
              <w:right w:w="15" w:type="dxa"/>
            </w:tcMar>
            <w:vAlign w:val="bottom"/>
          </w:tcPr>
          <w:p w14:paraId="58E04168">
            <w:pPr>
              <w:rPr>
                <w:rFonts w:ascii="Arial" w:hAnsi="Arial" w:cs="Arial"/>
                <w:color w:val="000000"/>
                <w:sz w:val="20"/>
              </w:rPr>
            </w:pPr>
          </w:p>
        </w:tc>
        <w:tc>
          <w:tcPr>
            <w:tcW w:w="1289" w:type="dxa"/>
            <w:tcBorders>
              <w:top w:val="nil"/>
              <w:left w:val="nil"/>
              <w:bottom w:val="nil"/>
              <w:right w:val="nil"/>
            </w:tcBorders>
            <w:shd w:val="clear" w:color="auto" w:fill="auto"/>
            <w:noWrap/>
            <w:tcMar>
              <w:top w:w="15" w:type="dxa"/>
              <w:left w:w="15" w:type="dxa"/>
              <w:right w:w="15" w:type="dxa"/>
            </w:tcMar>
            <w:vAlign w:val="bottom"/>
          </w:tcPr>
          <w:p w14:paraId="1D24EB4C">
            <w:pPr>
              <w:rPr>
                <w:rFonts w:ascii="Arial" w:hAnsi="Arial" w:cs="Arial"/>
                <w:color w:val="000000"/>
                <w:sz w:val="20"/>
              </w:rPr>
            </w:pPr>
          </w:p>
        </w:tc>
        <w:tc>
          <w:tcPr>
            <w:tcW w:w="3049" w:type="dxa"/>
            <w:gridSpan w:val="4"/>
            <w:tcBorders>
              <w:top w:val="nil"/>
              <w:left w:val="nil"/>
              <w:bottom w:val="nil"/>
              <w:right w:val="nil"/>
            </w:tcBorders>
            <w:shd w:val="clear" w:color="auto" w:fill="auto"/>
            <w:noWrap/>
            <w:tcMar>
              <w:top w:w="15" w:type="dxa"/>
              <w:left w:w="15" w:type="dxa"/>
              <w:right w:w="15" w:type="dxa"/>
            </w:tcMar>
            <w:vAlign w:val="bottom"/>
          </w:tcPr>
          <w:p w14:paraId="4E2D7BFD">
            <w:pPr>
              <w:rPr>
                <w:rFonts w:ascii="Arial" w:hAnsi="Arial" w:cs="Arial"/>
                <w:color w:val="000000"/>
                <w:sz w:val="20"/>
              </w:rPr>
            </w:pPr>
          </w:p>
        </w:tc>
        <w:tc>
          <w:tcPr>
            <w:tcW w:w="1113" w:type="dxa"/>
            <w:gridSpan w:val="3"/>
            <w:tcBorders>
              <w:top w:val="nil"/>
              <w:left w:val="nil"/>
              <w:bottom w:val="nil"/>
              <w:right w:val="nil"/>
            </w:tcBorders>
            <w:shd w:val="clear" w:color="auto" w:fill="auto"/>
            <w:noWrap/>
            <w:tcMar>
              <w:top w:w="15" w:type="dxa"/>
              <w:left w:w="15" w:type="dxa"/>
              <w:right w:w="15" w:type="dxa"/>
            </w:tcMar>
            <w:vAlign w:val="bottom"/>
          </w:tcPr>
          <w:p w14:paraId="3ADEDBA6">
            <w:pPr>
              <w:widowControl/>
              <w:jc w:val="right"/>
              <w:textAlignment w:val="bottom"/>
              <w:rPr>
                <w:rFonts w:ascii="宋体" w:hAnsi="宋体" w:eastAsia="宋体" w:cs="宋体"/>
                <w:color w:val="000000"/>
                <w:sz w:val="20"/>
              </w:rPr>
            </w:pPr>
            <w:r>
              <w:rPr>
                <w:rFonts w:hint="eastAsia" w:ascii="宋体" w:hAnsi="宋体" w:eastAsia="宋体" w:cs="宋体"/>
                <w:color w:val="000000"/>
                <w:kern w:val="0"/>
                <w:sz w:val="20"/>
              </w:rPr>
              <w:t>01表</w:t>
            </w:r>
          </w:p>
        </w:tc>
      </w:tr>
      <w:tr w14:paraId="57E0B855">
        <w:tblPrEx>
          <w:tblCellMar>
            <w:top w:w="0" w:type="dxa"/>
            <w:left w:w="0" w:type="dxa"/>
            <w:bottom w:w="0" w:type="dxa"/>
            <w:right w:w="0" w:type="dxa"/>
          </w:tblCellMar>
        </w:tblPrEx>
        <w:trPr>
          <w:gridAfter w:val="4"/>
          <w:wAfter w:w="1500" w:type="dxa"/>
          <w:trHeight w:val="355" w:hRule="atLeast"/>
        </w:trPr>
        <w:tc>
          <w:tcPr>
            <w:tcW w:w="4478" w:type="dxa"/>
            <w:gridSpan w:val="5"/>
            <w:tcBorders>
              <w:top w:val="nil"/>
              <w:left w:val="nil"/>
              <w:bottom w:val="nil"/>
              <w:right w:val="nil"/>
            </w:tcBorders>
            <w:shd w:val="clear" w:color="auto" w:fill="auto"/>
            <w:noWrap/>
            <w:tcMar>
              <w:top w:w="15" w:type="dxa"/>
              <w:left w:w="15" w:type="dxa"/>
              <w:right w:w="15" w:type="dxa"/>
            </w:tcMar>
            <w:vAlign w:val="bottom"/>
          </w:tcPr>
          <w:p w14:paraId="26291238">
            <w:pPr>
              <w:widowControl/>
              <w:jc w:val="center"/>
              <w:textAlignment w:val="bottom"/>
              <w:rPr>
                <w:rFonts w:ascii="宋体" w:hAnsi="宋体" w:eastAsia="宋体" w:cs="宋体"/>
                <w:color w:val="000000"/>
                <w:sz w:val="20"/>
              </w:rPr>
            </w:pPr>
            <w:r>
              <w:rPr>
                <w:rFonts w:hint="eastAsia" w:ascii="宋体" w:hAnsi="宋体" w:eastAsia="宋体" w:cs="宋体"/>
                <w:color w:val="000000"/>
                <w:kern w:val="0"/>
                <w:sz w:val="20"/>
              </w:rPr>
              <w:t>编制部门：西安市蓝田县自然资源和规划局（汇总）</w:t>
            </w:r>
          </w:p>
        </w:tc>
        <w:tc>
          <w:tcPr>
            <w:tcW w:w="3049" w:type="dxa"/>
            <w:gridSpan w:val="4"/>
            <w:tcBorders>
              <w:top w:val="nil"/>
              <w:left w:val="nil"/>
              <w:bottom w:val="nil"/>
              <w:right w:val="nil"/>
            </w:tcBorders>
            <w:shd w:val="clear" w:color="auto" w:fill="auto"/>
            <w:noWrap/>
            <w:tcMar>
              <w:top w:w="15" w:type="dxa"/>
              <w:left w:w="15" w:type="dxa"/>
              <w:right w:w="15" w:type="dxa"/>
            </w:tcMar>
            <w:vAlign w:val="bottom"/>
          </w:tcPr>
          <w:p w14:paraId="0B0A69B1">
            <w:pPr>
              <w:widowControl/>
              <w:jc w:val="center"/>
              <w:textAlignment w:val="bottom"/>
              <w:rPr>
                <w:rFonts w:ascii="宋体" w:hAnsi="宋体" w:eastAsia="宋体" w:cs="宋体"/>
                <w:color w:val="000000"/>
                <w:sz w:val="20"/>
              </w:rPr>
            </w:pPr>
            <w:r>
              <w:rPr>
                <w:rFonts w:hint="eastAsia" w:ascii="宋体" w:hAnsi="宋体" w:eastAsia="宋体" w:cs="宋体"/>
                <w:color w:val="000000"/>
                <w:kern w:val="0"/>
                <w:sz w:val="20"/>
              </w:rPr>
              <w:t>2019年</w:t>
            </w:r>
          </w:p>
        </w:tc>
        <w:tc>
          <w:tcPr>
            <w:tcW w:w="1113" w:type="dxa"/>
            <w:gridSpan w:val="3"/>
            <w:tcBorders>
              <w:top w:val="nil"/>
              <w:left w:val="nil"/>
              <w:bottom w:val="nil"/>
              <w:right w:val="nil"/>
            </w:tcBorders>
            <w:shd w:val="clear" w:color="auto" w:fill="auto"/>
            <w:noWrap/>
            <w:tcMar>
              <w:top w:w="15" w:type="dxa"/>
              <w:left w:w="15" w:type="dxa"/>
              <w:right w:w="15" w:type="dxa"/>
            </w:tcMar>
            <w:vAlign w:val="bottom"/>
          </w:tcPr>
          <w:p w14:paraId="218F93C9">
            <w:pPr>
              <w:widowControl/>
              <w:jc w:val="right"/>
              <w:textAlignment w:val="bottom"/>
              <w:rPr>
                <w:rFonts w:ascii="宋体" w:hAnsi="宋体" w:eastAsia="宋体" w:cs="宋体"/>
                <w:color w:val="000000"/>
                <w:sz w:val="20"/>
              </w:rPr>
            </w:pPr>
            <w:r>
              <w:rPr>
                <w:rFonts w:hint="eastAsia" w:ascii="宋体" w:hAnsi="宋体" w:eastAsia="宋体" w:cs="宋体"/>
                <w:color w:val="000000"/>
                <w:kern w:val="0"/>
                <w:sz w:val="20"/>
              </w:rPr>
              <w:t>单位：万元</w:t>
            </w:r>
          </w:p>
        </w:tc>
      </w:tr>
      <w:tr w14:paraId="30CF26E1">
        <w:tblPrEx>
          <w:tblCellMar>
            <w:top w:w="0" w:type="dxa"/>
            <w:left w:w="0" w:type="dxa"/>
            <w:bottom w:w="0" w:type="dxa"/>
            <w:right w:w="0" w:type="dxa"/>
          </w:tblCellMar>
        </w:tblPrEx>
        <w:trPr>
          <w:gridAfter w:val="4"/>
          <w:wAfter w:w="1500" w:type="dxa"/>
          <w:trHeight w:val="366" w:hRule="atLeast"/>
        </w:trPr>
        <w:tc>
          <w:tcPr>
            <w:tcW w:w="447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44259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收入</w:t>
            </w:r>
          </w:p>
        </w:tc>
        <w:tc>
          <w:tcPr>
            <w:tcW w:w="4162" w:type="dxa"/>
            <w:gridSpan w:val="7"/>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45A5202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支出</w:t>
            </w:r>
          </w:p>
        </w:tc>
      </w:tr>
      <w:tr w14:paraId="00A64666">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3152B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项目</w:t>
            </w:r>
          </w:p>
        </w:tc>
        <w:tc>
          <w:tcPr>
            <w:tcW w:w="128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618E77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决算数</w:t>
            </w: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901ADB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项目</w:t>
            </w:r>
          </w:p>
        </w:tc>
        <w:tc>
          <w:tcPr>
            <w:tcW w:w="1113" w:type="dxa"/>
            <w:gridSpan w:val="3"/>
            <w:tcBorders>
              <w:top w:val="nil"/>
              <w:left w:val="nil"/>
              <w:bottom w:val="single" w:color="000000" w:sz="4" w:space="0"/>
              <w:right w:val="single" w:color="000000" w:sz="8" w:space="0"/>
            </w:tcBorders>
            <w:shd w:val="clear" w:color="FFFFFF" w:fill="C0C0C0"/>
            <w:noWrap/>
            <w:tcMar>
              <w:top w:w="15" w:type="dxa"/>
              <w:left w:w="15" w:type="dxa"/>
              <w:right w:w="15" w:type="dxa"/>
            </w:tcMar>
            <w:vAlign w:val="center"/>
          </w:tcPr>
          <w:p w14:paraId="42F7EF9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决算数</w:t>
            </w:r>
          </w:p>
        </w:tc>
      </w:tr>
      <w:tr w14:paraId="736FC5DC">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9A086A">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1、一般公共预算财政拨款</w:t>
            </w: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6947A4">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9,096.62</w:t>
            </w: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F0D9279">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1、一般公共服务支出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27C6A66">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6F40EBD5">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B1D510">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2、政府性基金预算财政拨款</w:t>
            </w: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C42856">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4,160.59</w:t>
            </w: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2FC3984">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2、外交支出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A204103">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57AA432E">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C466D4">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 xml:space="preserve">3、国有资本经营预算财政拨款 </w:t>
            </w: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0C295B">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DB3E9AF">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3、国防支出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33FC94B">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7CF20014">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A6ABEE">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4、上级补助收入</w:t>
            </w: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A640D2">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41471C7">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4、公共安全支出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4EFBE9C">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553968BD">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4A8110">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5、事业收入</w:t>
            </w: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A40003">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7C13F6F">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5、教育支出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DC03E52">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445456D8">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943437">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6、经营收入</w:t>
            </w: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7A7391">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3D003CC">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6、科学技术支出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5998ED9">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1FCFCE96">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CDD1F1">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7、附属单位上缴收入</w:t>
            </w: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CED54F">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8EA32C8">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7、文化旅游体育与传媒支出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0F69C74">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5D2EF302">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CABFD7">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8、其他收入</w:t>
            </w: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C03D8D">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C6DAB78">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8、社会保障和就业支出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A29AF92">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156.68</w:t>
            </w:r>
          </w:p>
        </w:tc>
      </w:tr>
      <w:tr w14:paraId="0166EC3C">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F22067">
            <w:pPr>
              <w:jc w:val="left"/>
              <w:rPr>
                <w:rFonts w:ascii="宋体" w:hAnsi="宋体" w:eastAsia="宋体" w:cs="宋体"/>
                <w:color w:val="000000"/>
                <w:sz w:val="22"/>
                <w:szCs w:val="22"/>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79BECF">
            <w:pPr>
              <w:jc w:val="right"/>
              <w:rPr>
                <w:rFonts w:ascii="宋体" w:hAnsi="宋体" w:eastAsia="宋体" w:cs="宋体"/>
                <w:color w:val="000000"/>
                <w:sz w:val="22"/>
                <w:szCs w:val="22"/>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7A088E9">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9、卫生健康支出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FB4F2D9">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37.45</w:t>
            </w:r>
          </w:p>
        </w:tc>
      </w:tr>
      <w:tr w14:paraId="6386A5AB">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DFF769">
            <w:pPr>
              <w:jc w:val="left"/>
              <w:rPr>
                <w:rFonts w:ascii="宋体" w:hAnsi="宋体" w:eastAsia="宋体" w:cs="宋体"/>
                <w:color w:val="000000"/>
                <w:sz w:val="22"/>
                <w:szCs w:val="22"/>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5E0995">
            <w:pPr>
              <w:jc w:val="right"/>
              <w:rPr>
                <w:rFonts w:ascii="宋体" w:hAnsi="宋体" w:eastAsia="宋体" w:cs="宋体"/>
                <w:color w:val="000000"/>
                <w:sz w:val="22"/>
                <w:szCs w:val="22"/>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E111D0C">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10、节能环保支出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33613E3">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41E844F8">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A774C7">
            <w:pPr>
              <w:jc w:val="left"/>
              <w:rPr>
                <w:rFonts w:ascii="宋体" w:hAnsi="宋体" w:eastAsia="宋体" w:cs="宋体"/>
                <w:color w:val="000000"/>
                <w:sz w:val="22"/>
                <w:szCs w:val="22"/>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1B4156">
            <w:pPr>
              <w:jc w:val="right"/>
              <w:rPr>
                <w:rFonts w:ascii="宋体" w:hAnsi="宋体" w:eastAsia="宋体" w:cs="宋体"/>
                <w:color w:val="000000"/>
                <w:sz w:val="22"/>
                <w:szCs w:val="22"/>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160D1B1">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11、城乡社区支出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0A5C555">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8,188.21</w:t>
            </w:r>
          </w:p>
        </w:tc>
      </w:tr>
      <w:tr w14:paraId="58DE6EBD">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CF2C4F">
            <w:pPr>
              <w:jc w:val="left"/>
              <w:rPr>
                <w:rFonts w:ascii="宋体" w:hAnsi="宋体" w:eastAsia="宋体" w:cs="宋体"/>
                <w:color w:val="000000"/>
                <w:sz w:val="22"/>
                <w:szCs w:val="22"/>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B0DFB6">
            <w:pPr>
              <w:jc w:val="right"/>
              <w:rPr>
                <w:rFonts w:ascii="宋体" w:hAnsi="宋体" w:eastAsia="宋体" w:cs="宋体"/>
                <w:color w:val="000000"/>
                <w:sz w:val="22"/>
                <w:szCs w:val="22"/>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D089D1D">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12、农林水支出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EE57AE0">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2,434.14</w:t>
            </w:r>
          </w:p>
        </w:tc>
      </w:tr>
      <w:tr w14:paraId="4E027C0A">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06A41D">
            <w:pPr>
              <w:jc w:val="left"/>
              <w:rPr>
                <w:rFonts w:ascii="宋体" w:hAnsi="宋体" w:eastAsia="宋体" w:cs="宋体"/>
                <w:color w:val="000000"/>
                <w:sz w:val="22"/>
                <w:szCs w:val="22"/>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A20B56">
            <w:pPr>
              <w:jc w:val="right"/>
              <w:rPr>
                <w:rFonts w:ascii="宋体" w:hAnsi="宋体" w:eastAsia="宋体" w:cs="宋体"/>
                <w:color w:val="000000"/>
                <w:sz w:val="22"/>
                <w:szCs w:val="22"/>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D67FBB9">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13、交通运输支出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8BDA2BC">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13548A12">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48D124">
            <w:pPr>
              <w:jc w:val="left"/>
              <w:rPr>
                <w:rFonts w:ascii="宋体" w:hAnsi="宋体" w:eastAsia="宋体" w:cs="宋体"/>
                <w:color w:val="000000"/>
                <w:sz w:val="22"/>
                <w:szCs w:val="22"/>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4E2AC5">
            <w:pPr>
              <w:jc w:val="right"/>
              <w:rPr>
                <w:rFonts w:ascii="宋体" w:hAnsi="宋体" w:eastAsia="宋体" w:cs="宋体"/>
                <w:color w:val="000000"/>
                <w:sz w:val="22"/>
                <w:szCs w:val="22"/>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F9D4A49">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14、资源勘探信息等支出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6C2A310">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00C68891">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467C18">
            <w:pPr>
              <w:jc w:val="left"/>
              <w:rPr>
                <w:rFonts w:ascii="宋体" w:hAnsi="宋体" w:eastAsia="宋体" w:cs="宋体"/>
                <w:color w:val="000000"/>
                <w:sz w:val="22"/>
                <w:szCs w:val="22"/>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9B858F">
            <w:pPr>
              <w:jc w:val="right"/>
              <w:rPr>
                <w:rFonts w:ascii="宋体" w:hAnsi="宋体" w:eastAsia="宋体" w:cs="宋体"/>
                <w:color w:val="000000"/>
                <w:sz w:val="22"/>
                <w:szCs w:val="22"/>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2B7EA91">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15、商业服务业等支出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CF5FEB7">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501EED8D">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20100D">
            <w:pPr>
              <w:jc w:val="left"/>
              <w:rPr>
                <w:rFonts w:ascii="宋体" w:hAnsi="宋体" w:eastAsia="宋体" w:cs="宋体"/>
                <w:color w:val="000000"/>
                <w:sz w:val="22"/>
                <w:szCs w:val="22"/>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6E6FD9">
            <w:pPr>
              <w:jc w:val="right"/>
              <w:rPr>
                <w:rFonts w:ascii="宋体" w:hAnsi="宋体" w:eastAsia="宋体" w:cs="宋体"/>
                <w:color w:val="000000"/>
                <w:sz w:val="22"/>
                <w:szCs w:val="22"/>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538B6D4">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16、金融支出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3EF1F7E">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6ABFFD93">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7B9D4C">
            <w:pPr>
              <w:jc w:val="left"/>
              <w:rPr>
                <w:rFonts w:ascii="宋体" w:hAnsi="宋体" w:eastAsia="宋体" w:cs="宋体"/>
                <w:color w:val="000000"/>
                <w:sz w:val="22"/>
                <w:szCs w:val="22"/>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1D71EC">
            <w:pPr>
              <w:jc w:val="right"/>
              <w:rPr>
                <w:rFonts w:ascii="宋体" w:hAnsi="宋体" w:eastAsia="宋体" w:cs="宋体"/>
                <w:color w:val="000000"/>
                <w:sz w:val="22"/>
                <w:szCs w:val="22"/>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D54DBA5">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17、援助其他地区支出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78DBF37">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1328AA03">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9D3429">
            <w:pPr>
              <w:jc w:val="left"/>
              <w:rPr>
                <w:rFonts w:ascii="宋体" w:hAnsi="宋体" w:eastAsia="宋体" w:cs="宋体"/>
                <w:color w:val="000000"/>
                <w:sz w:val="22"/>
                <w:szCs w:val="22"/>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2E5EE9">
            <w:pPr>
              <w:jc w:val="right"/>
              <w:rPr>
                <w:rFonts w:ascii="宋体" w:hAnsi="宋体" w:eastAsia="宋体" w:cs="宋体"/>
                <w:color w:val="000000"/>
                <w:sz w:val="22"/>
                <w:szCs w:val="22"/>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9753185">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18、自然资源海洋气象等支出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7D77AC8">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2,423.73</w:t>
            </w:r>
          </w:p>
        </w:tc>
      </w:tr>
      <w:tr w14:paraId="41491F09">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07AFB2">
            <w:pPr>
              <w:jc w:val="left"/>
              <w:rPr>
                <w:rFonts w:ascii="宋体" w:hAnsi="宋体" w:eastAsia="宋体" w:cs="宋体"/>
                <w:color w:val="000000"/>
                <w:sz w:val="22"/>
                <w:szCs w:val="22"/>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2A8CC9">
            <w:pPr>
              <w:jc w:val="right"/>
              <w:rPr>
                <w:rFonts w:ascii="宋体" w:hAnsi="宋体" w:eastAsia="宋体" w:cs="宋体"/>
                <w:color w:val="000000"/>
                <w:sz w:val="22"/>
                <w:szCs w:val="22"/>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E330039">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19、住房保障支出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1F204DC">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06159C64">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DAB46A">
            <w:pPr>
              <w:jc w:val="left"/>
              <w:rPr>
                <w:rFonts w:ascii="宋体" w:hAnsi="宋体" w:eastAsia="宋体" w:cs="宋体"/>
                <w:color w:val="000000"/>
                <w:sz w:val="22"/>
                <w:szCs w:val="22"/>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38CD1A">
            <w:pPr>
              <w:jc w:val="right"/>
              <w:rPr>
                <w:rFonts w:ascii="宋体" w:hAnsi="宋体" w:eastAsia="宋体" w:cs="宋体"/>
                <w:color w:val="000000"/>
                <w:sz w:val="22"/>
                <w:szCs w:val="22"/>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052A2F5">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20、粮油物资储备支出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E6C8E42">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1BDDDC3E">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B10FF9">
            <w:pPr>
              <w:jc w:val="left"/>
              <w:rPr>
                <w:rFonts w:ascii="宋体" w:hAnsi="宋体" w:eastAsia="宋体" w:cs="宋体"/>
                <w:color w:val="000000"/>
                <w:sz w:val="22"/>
                <w:szCs w:val="22"/>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8459F3">
            <w:pPr>
              <w:jc w:val="right"/>
              <w:rPr>
                <w:rFonts w:ascii="宋体" w:hAnsi="宋体" w:eastAsia="宋体" w:cs="宋体"/>
                <w:color w:val="000000"/>
                <w:sz w:val="22"/>
                <w:szCs w:val="22"/>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A840263">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21、灾害防治及应急管理支出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0C9F59C">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17.00</w:t>
            </w:r>
          </w:p>
        </w:tc>
      </w:tr>
      <w:tr w14:paraId="6C39553A">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782858">
            <w:pPr>
              <w:jc w:val="left"/>
              <w:rPr>
                <w:rFonts w:ascii="宋体" w:hAnsi="宋体" w:eastAsia="宋体" w:cs="宋体"/>
                <w:color w:val="000000"/>
                <w:sz w:val="20"/>
              </w:rPr>
            </w:pP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AEFFD1">
            <w:pPr>
              <w:jc w:val="right"/>
              <w:rPr>
                <w:rFonts w:ascii="宋体" w:hAnsi="宋体" w:eastAsia="宋体" w:cs="宋体"/>
                <w:color w:val="000000"/>
                <w:sz w:val="20"/>
              </w:rPr>
            </w:pP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E12CFAA">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22、其他支出</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C04E922">
            <w:pPr>
              <w:widowControl/>
              <w:jc w:val="right"/>
              <w:textAlignment w:val="center"/>
              <w:rPr>
                <w:rFonts w:ascii="宋体" w:hAnsi="宋体" w:eastAsia="宋体" w:cs="宋体"/>
                <w:color w:val="000000"/>
                <w:sz w:val="20"/>
              </w:rPr>
            </w:pPr>
            <w:r>
              <w:rPr>
                <w:rFonts w:hint="eastAsia" w:ascii="宋体" w:hAnsi="宋体" w:eastAsia="宋体" w:cs="宋体"/>
                <w:color w:val="000000"/>
                <w:kern w:val="0"/>
                <w:sz w:val="20"/>
              </w:rPr>
              <w:t>0.00</w:t>
            </w:r>
          </w:p>
        </w:tc>
      </w:tr>
      <w:tr w14:paraId="12631F4A">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048B7D">
            <w:pPr>
              <w:widowControl/>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本年收入合计</w:t>
            </w: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BC404A">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13,257.21</w:t>
            </w: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6AA3440">
            <w:pPr>
              <w:widowControl/>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本年支出合计</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F1CFC57">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13,257.21</w:t>
            </w:r>
          </w:p>
        </w:tc>
      </w:tr>
      <w:tr w14:paraId="68DBCB10">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D4C9C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用事业基金弥补收支差额</w:t>
            </w: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F7511D">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C71124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 xml:space="preserve">结余分配 </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557A70F">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3529A1C3">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0C2FB1">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 xml:space="preserve">       年初结转和结余</w:t>
            </w:r>
          </w:p>
        </w:tc>
        <w:tc>
          <w:tcPr>
            <w:tcW w:w="12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F928DA">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c>
          <w:tcPr>
            <w:tcW w:w="3049"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FFD560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年末结转和结余</w:t>
            </w:r>
          </w:p>
        </w:tc>
        <w:tc>
          <w:tcPr>
            <w:tcW w:w="1113" w:type="dxa"/>
            <w:gridSpan w:val="3"/>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B5B987A">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0.00</w:t>
            </w:r>
          </w:p>
        </w:tc>
      </w:tr>
      <w:tr w14:paraId="2E81ABB6">
        <w:tblPrEx>
          <w:tblCellMar>
            <w:top w:w="0" w:type="dxa"/>
            <w:left w:w="0" w:type="dxa"/>
            <w:bottom w:w="0" w:type="dxa"/>
            <w:right w:w="0" w:type="dxa"/>
          </w:tblCellMar>
        </w:tblPrEx>
        <w:trPr>
          <w:gridAfter w:val="4"/>
          <w:wAfter w:w="1500" w:type="dxa"/>
          <w:trHeight w:val="366" w:hRule="atLeast"/>
        </w:trPr>
        <w:tc>
          <w:tcPr>
            <w:tcW w:w="3189" w:type="dxa"/>
            <w:gridSpan w:val="4"/>
            <w:tcBorders>
              <w:top w:val="nil"/>
              <w:left w:val="single" w:color="000000" w:sz="4" w:space="0"/>
              <w:bottom w:val="single" w:color="000000" w:sz="8" w:space="0"/>
              <w:right w:val="single" w:color="000000" w:sz="4" w:space="0"/>
            </w:tcBorders>
            <w:shd w:val="clear" w:color="FFFFFF" w:fill="C0C0C0"/>
            <w:noWrap/>
            <w:tcMar>
              <w:top w:w="15" w:type="dxa"/>
              <w:left w:w="15" w:type="dxa"/>
              <w:right w:w="15" w:type="dxa"/>
            </w:tcMar>
            <w:vAlign w:val="center"/>
          </w:tcPr>
          <w:p w14:paraId="74872DD8">
            <w:pPr>
              <w:widowControl/>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收入总计</w:t>
            </w:r>
          </w:p>
        </w:tc>
        <w:tc>
          <w:tcPr>
            <w:tcW w:w="1289"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00A2263C">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13,257.21</w:t>
            </w:r>
          </w:p>
        </w:tc>
        <w:tc>
          <w:tcPr>
            <w:tcW w:w="3049" w:type="dxa"/>
            <w:gridSpan w:val="4"/>
            <w:tcBorders>
              <w:top w:val="nil"/>
              <w:left w:val="nil"/>
              <w:bottom w:val="single" w:color="000000" w:sz="8" w:space="0"/>
              <w:right w:val="single" w:color="000000" w:sz="4" w:space="0"/>
            </w:tcBorders>
            <w:shd w:val="clear" w:color="FFFFFF" w:fill="C0C0C0"/>
            <w:noWrap/>
            <w:tcMar>
              <w:top w:w="15" w:type="dxa"/>
              <w:left w:w="15" w:type="dxa"/>
              <w:right w:w="15" w:type="dxa"/>
            </w:tcMar>
            <w:vAlign w:val="center"/>
          </w:tcPr>
          <w:p w14:paraId="7A13199C">
            <w:pPr>
              <w:widowControl/>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支出总计</w:t>
            </w:r>
          </w:p>
        </w:tc>
        <w:tc>
          <w:tcPr>
            <w:tcW w:w="1113" w:type="dxa"/>
            <w:gridSpan w:val="3"/>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14:paraId="7087A00B">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13,257.21</w:t>
            </w:r>
          </w:p>
        </w:tc>
      </w:tr>
      <w:tr w14:paraId="2811E3B0">
        <w:tblPrEx>
          <w:tblCellMar>
            <w:top w:w="0" w:type="dxa"/>
            <w:left w:w="0" w:type="dxa"/>
            <w:bottom w:w="0" w:type="dxa"/>
            <w:right w:w="0" w:type="dxa"/>
          </w:tblCellMar>
        </w:tblPrEx>
        <w:trPr>
          <w:gridAfter w:val="4"/>
          <w:wAfter w:w="1500" w:type="dxa"/>
          <w:trHeight w:val="755" w:hRule="atLeast"/>
        </w:trPr>
        <w:tc>
          <w:tcPr>
            <w:tcW w:w="8640" w:type="dxa"/>
            <w:gridSpan w:val="12"/>
            <w:tcBorders>
              <w:top w:val="nil"/>
              <w:left w:val="nil"/>
              <w:bottom w:val="nil"/>
              <w:right w:val="nil"/>
            </w:tcBorders>
            <w:shd w:val="clear" w:color="auto" w:fill="auto"/>
            <w:tcMar>
              <w:top w:w="15" w:type="dxa"/>
              <w:left w:w="15" w:type="dxa"/>
              <w:right w:w="15" w:type="dxa"/>
            </w:tcMar>
            <w:vAlign w:val="center"/>
          </w:tcPr>
          <w:p w14:paraId="3018B289">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注：本表反映部门本年度的总收支和年末结转结余情况。本表金额转换为万元时，因四舍五入可能存在尾差。</w:t>
            </w:r>
          </w:p>
        </w:tc>
      </w:tr>
      <w:tr w14:paraId="4CA1E454">
        <w:tblPrEx>
          <w:tblCellMar>
            <w:top w:w="0" w:type="dxa"/>
            <w:left w:w="0" w:type="dxa"/>
            <w:bottom w:w="0" w:type="dxa"/>
            <w:right w:w="0" w:type="dxa"/>
          </w:tblCellMar>
        </w:tblPrEx>
        <w:trPr>
          <w:trHeight w:val="540" w:hRule="atLeast"/>
        </w:trPr>
        <w:tc>
          <w:tcPr>
            <w:tcW w:w="10140" w:type="dxa"/>
            <w:gridSpan w:val="16"/>
            <w:tcBorders>
              <w:top w:val="nil"/>
              <w:left w:val="nil"/>
              <w:bottom w:val="nil"/>
              <w:right w:val="nil"/>
            </w:tcBorders>
            <w:shd w:val="clear" w:color="auto" w:fill="auto"/>
            <w:noWrap/>
            <w:tcMar>
              <w:top w:w="15" w:type="dxa"/>
              <w:left w:w="15" w:type="dxa"/>
              <w:right w:w="15" w:type="dxa"/>
            </w:tcMar>
            <w:vAlign w:val="bottom"/>
          </w:tcPr>
          <w:p w14:paraId="10997B58">
            <w:pPr>
              <w:widowControl/>
              <w:jc w:val="center"/>
              <w:textAlignment w:val="bottom"/>
              <w:rPr>
                <w:rFonts w:ascii="宋体" w:hAnsi="宋体" w:eastAsia="宋体" w:cs="宋体"/>
                <w:color w:val="000000"/>
                <w:kern w:val="0"/>
                <w:sz w:val="44"/>
                <w:szCs w:val="44"/>
              </w:rPr>
            </w:pPr>
          </w:p>
          <w:p w14:paraId="47AB8FFE">
            <w:pPr>
              <w:widowControl/>
              <w:jc w:val="center"/>
              <w:textAlignment w:val="bottom"/>
              <w:rPr>
                <w:rFonts w:ascii="宋体" w:hAnsi="宋体" w:eastAsia="宋体" w:cs="宋体"/>
                <w:color w:val="000000"/>
                <w:sz w:val="44"/>
                <w:szCs w:val="44"/>
              </w:rPr>
            </w:pPr>
            <w:r>
              <w:rPr>
                <w:rFonts w:hint="eastAsia" w:ascii="宋体" w:hAnsi="宋体" w:eastAsia="宋体" w:cs="宋体"/>
                <w:color w:val="000000"/>
                <w:kern w:val="0"/>
                <w:sz w:val="44"/>
                <w:szCs w:val="44"/>
              </w:rPr>
              <w:t>部门收入总体情况表</w:t>
            </w:r>
          </w:p>
        </w:tc>
      </w:tr>
      <w:tr w14:paraId="21EEBA5A">
        <w:tblPrEx>
          <w:tblCellMar>
            <w:top w:w="0" w:type="dxa"/>
            <w:left w:w="0" w:type="dxa"/>
            <w:bottom w:w="0" w:type="dxa"/>
            <w:right w:w="0" w:type="dxa"/>
          </w:tblCellMar>
        </w:tblPrEx>
        <w:trPr>
          <w:trHeight w:val="255" w:hRule="atLeast"/>
        </w:trPr>
        <w:tc>
          <w:tcPr>
            <w:tcW w:w="220" w:type="dxa"/>
            <w:tcBorders>
              <w:top w:val="nil"/>
              <w:left w:val="nil"/>
              <w:bottom w:val="nil"/>
              <w:right w:val="nil"/>
            </w:tcBorders>
            <w:shd w:val="clear" w:color="auto" w:fill="auto"/>
            <w:noWrap/>
            <w:tcMar>
              <w:top w:w="15" w:type="dxa"/>
              <w:left w:w="15" w:type="dxa"/>
              <w:right w:w="15" w:type="dxa"/>
            </w:tcMar>
            <w:vAlign w:val="bottom"/>
          </w:tcPr>
          <w:p w14:paraId="067BA3AF">
            <w:pPr>
              <w:jc w:val="center"/>
              <w:rPr>
                <w:rFonts w:ascii="Arial" w:hAnsi="Arial" w:cs="Arial"/>
                <w:color w:val="000000"/>
                <w:sz w:val="20"/>
              </w:rPr>
            </w:pPr>
          </w:p>
        </w:tc>
        <w:tc>
          <w:tcPr>
            <w:tcW w:w="220" w:type="dxa"/>
            <w:tcBorders>
              <w:top w:val="nil"/>
              <w:left w:val="nil"/>
              <w:bottom w:val="nil"/>
              <w:right w:val="nil"/>
            </w:tcBorders>
            <w:shd w:val="clear" w:color="auto" w:fill="auto"/>
            <w:noWrap/>
            <w:tcMar>
              <w:top w:w="15" w:type="dxa"/>
              <w:left w:w="15" w:type="dxa"/>
              <w:right w:w="15" w:type="dxa"/>
            </w:tcMar>
            <w:vAlign w:val="bottom"/>
          </w:tcPr>
          <w:p w14:paraId="3FD19465">
            <w:pPr>
              <w:jc w:val="center"/>
              <w:rPr>
                <w:rFonts w:ascii="Arial" w:hAnsi="Arial" w:cs="Arial"/>
                <w:color w:val="000000"/>
                <w:sz w:val="20"/>
              </w:rPr>
            </w:pPr>
          </w:p>
        </w:tc>
        <w:tc>
          <w:tcPr>
            <w:tcW w:w="220" w:type="dxa"/>
            <w:tcBorders>
              <w:top w:val="nil"/>
              <w:left w:val="nil"/>
              <w:bottom w:val="nil"/>
              <w:right w:val="nil"/>
            </w:tcBorders>
            <w:shd w:val="clear" w:color="auto" w:fill="auto"/>
            <w:noWrap/>
            <w:tcMar>
              <w:top w:w="15" w:type="dxa"/>
              <w:left w:w="15" w:type="dxa"/>
              <w:right w:w="15" w:type="dxa"/>
            </w:tcMar>
            <w:vAlign w:val="bottom"/>
          </w:tcPr>
          <w:p w14:paraId="38BDE848">
            <w:pPr>
              <w:jc w:val="center"/>
              <w:rPr>
                <w:rFonts w:ascii="Arial" w:hAnsi="Arial" w:cs="Arial"/>
                <w:color w:val="000000"/>
                <w:sz w:val="20"/>
              </w:rPr>
            </w:pPr>
          </w:p>
        </w:tc>
        <w:tc>
          <w:tcPr>
            <w:tcW w:w="4530" w:type="dxa"/>
            <w:gridSpan w:val="3"/>
            <w:tcBorders>
              <w:top w:val="nil"/>
              <w:left w:val="nil"/>
              <w:bottom w:val="nil"/>
              <w:right w:val="nil"/>
            </w:tcBorders>
            <w:shd w:val="clear" w:color="auto" w:fill="auto"/>
            <w:noWrap/>
            <w:tcMar>
              <w:top w:w="15" w:type="dxa"/>
              <w:left w:w="15" w:type="dxa"/>
              <w:right w:w="15" w:type="dxa"/>
            </w:tcMar>
            <w:vAlign w:val="bottom"/>
          </w:tcPr>
          <w:p w14:paraId="4C88B338">
            <w:pPr>
              <w:jc w:val="center"/>
              <w:rPr>
                <w:rFonts w:ascii="Arial" w:hAnsi="Arial" w:cs="Arial"/>
                <w:color w:val="000000"/>
                <w:sz w:val="20"/>
              </w:rPr>
            </w:pPr>
          </w:p>
        </w:tc>
        <w:tc>
          <w:tcPr>
            <w:tcW w:w="978" w:type="dxa"/>
            <w:tcBorders>
              <w:top w:val="nil"/>
              <w:left w:val="nil"/>
              <w:bottom w:val="nil"/>
              <w:right w:val="nil"/>
            </w:tcBorders>
            <w:shd w:val="clear" w:color="auto" w:fill="auto"/>
            <w:noWrap/>
            <w:tcMar>
              <w:top w:w="15" w:type="dxa"/>
              <w:left w:w="15" w:type="dxa"/>
              <w:right w:w="15" w:type="dxa"/>
            </w:tcMar>
            <w:vAlign w:val="bottom"/>
          </w:tcPr>
          <w:p w14:paraId="57311190">
            <w:pPr>
              <w:jc w:val="center"/>
              <w:rPr>
                <w:rFonts w:ascii="Arial" w:hAnsi="Arial" w:cs="Arial"/>
                <w:color w:val="000000"/>
                <w:sz w:val="20"/>
              </w:rPr>
            </w:pPr>
          </w:p>
        </w:tc>
        <w:tc>
          <w:tcPr>
            <w:tcW w:w="915" w:type="dxa"/>
            <w:tcBorders>
              <w:top w:val="nil"/>
              <w:left w:val="nil"/>
              <w:bottom w:val="nil"/>
              <w:right w:val="nil"/>
            </w:tcBorders>
            <w:shd w:val="clear" w:color="auto" w:fill="auto"/>
            <w:noWrap/>
            <w:tcMar>
              <w:top w:w="15" w:type="dxa"/>
              <w:left w:w="15" w:type="dxa"/>
              <w:right w:w="15" w:type="dxa"/>
            </w:tcMar>
            <w:vAlign w:val="bottom"/>
          </w:tcPr>
          <w:p w14:paraId="003104CE">
            <w:pPr>
              <w:jc w:val="center"/>
              <w:rPr>
                <w:rFonts w:ascii="Arial" w:hAnsi="Arial" w:cs="Arial"/>
                <w:color w:val="000000"/>
                <w:sz w:val="20"/>
              </w:rPr>
            </w:pPr>
          </w:p>
        </w:tc>
        <w:tc>
          <w:tcPr>
            <w:tcW w:w="675" w:type="dxa"/>
            <w:gridSpan w:val="2"/>
            <w:tcBorders>
              <w:top w:val="nil"/>
              <w:left w:val="nil"/>
              <w:bottom w:val="nil"/>
              <w:right w:val="nil"/>
            </w:tcBorders>
            <w:shd w:val="clear" w:color="auto" w:fill="auto"/>
            <w:noWrap/>
            <w:tcMar>
              <w:top w:w="15" w:type="dxa"/>
              <w:left w:w="15" w:type="dxa"/>
              <w:right w:w="15" w:type="dxa"/>
            </w:tcMar>
            <w:vAlign w:val="bottom"/>
          </w:tcPr>
          <w:p w14:paraId="3D523C13">
            <w:pPr>
              <w:jc w:val="center"/>
              <w:rPr>
                <w:rFonts w:ascii="Arial" w:hAnsi="Arial" w:cs="Arial"/>
                <w:color w:val="000000"/>
                <w:sz w:val="20"/>
              </w:rPr>
            </w:pPr>
          </w:p>
        </w:tc>
        <w:tc>
          <w:tcPr>
            <w:tcW w:w="460" w:type="dxa"/>
            <w:tcBorders>
              <w:top w:val="nil"/>
              <w:left w:val="nil"/>
              <w:bottom w:val="nil"/>
              <w:right w:val="nil"/>
            </w:tcBorders>
            <w:shd w:val="clear" w:color="auto" w:fill="auto"/>
            <w:noWrap/>
            <w:tcMar>
              <w:top w:w="15" w:type="dxa"/>
              <w:left w:w="15" w:type="dxa"/>
              <w:right w:w="15" w:type="dxa"/>
            </w:tcMar>
            <w:vAlign w:val="bottom"/>
          </w:tcPr>
          <w:p w14:paraId="02112F0F">
            <w:pPr>
              <w:jc w:val="center"/>
              <w:rPr>
                <w:rFonts w:ascii="Arial" w:hAnsi="Arial" w:cs="Arial"/>
                <w:color w:val="000000"/>
                <w:sz w:val="20"/>
              </w:rPr>
            </w:pPr>
          </w:p>
        </w:tc>
        <w:tc>
          <w:tcPr>
            <w:tcW w:w="466" w:type="dxa"/>
            <w:gridSpan w:val="2"/>
            <w:tcBorders>
              <w:top w:val="nil"/>
              <w:left w:val="nil"/>
              <w:bottom w:val="nil"/>
              <w:right w:val="nil"/>
            </w:tcBorders>
            <w:shd w:val="clear" w:color="auto" w:fill="auto"/>
            <w:noWrap/>
            <w:tcMar>
              <w:top w:w="15" w:type="dxa"/>
              <w:left w:w="15" w:type="dxa"/>
              <w:right w:w="15" w:type="dxa"/>
            </w:tcMar>
            <w:vAlign w:val="bottom"/>
          </w:tcPr>
          <w:p w14:paraId="357C93C0">
            <w:pPr>
              <w:jc w:val="center"/>
              <w:rPr>
                <w:rFonts w:ascii="Arial" w:hAnsi="Arial" w:cs="Arial"/>
                <w:color w:val="000000"/>
                <w:sz w:val="20"/>
              </w:rPr>
            </w:pPr>
          </w:p>
        </w:tc>
        <w:tc>
          <w:tcPr>
            <w:tcW w:w="461" w:type="dxa"/>
            <w:tcBorders>
              <w:top w:val="nil"/>
              <w:left w:val="nil"/>
              <w:bottom w:val="nil"/>
              <w:right w:val="nil"/>
            </w:tcBorders>
            <w:shd w:val="clear" w:color="auto" w:fill="auto"/>
            <w:noWrap/>
            <w:tcMar>
              <w:top w:w="15" w:type="dxa"/>
              <w:left w:w="15" w:type="dxa"/>
              <w:right w:w="15" w:type="dxa"/>
            </w:tcMar>
            <w:vAlign w:val="bottom"/>
          </w:tcPr>
          <w:p w14:paraId="278989A0">
            <w:pPr>
              <w:jc w:val="center"/>
              <w:rPr>
                <w:rFonts w:ascii="Arial" w:hAnsi="Arial" w:cs="Arial"/>
                <w:color w:val="000000"/>
                <w:sz w:val="20"/>
              </w:rPr>
            </w:pPr>
          </w:p>
        </w:tc>
        <w:tc>
          <w:tcPr>
            <w:tcW w:w="468" w:type="dxa"/>
            <w:tcBorders>
              <w:top w:val="nil"/>
              <w:left w:val="nil"/>
              <w:bottom w:val="nil"/>
              <w:right w:val="nil"/>
            </w:tcBorders>
            <w:shd w:val="clear" w:color="auto" w:fill="auto"/>
            <w:noWrap/>
            <w:tcMar>
              <w:top w:w="15" w:type="dxa"/>
              <w:left w:w="15" w:type="dxa"/>
              <w:right w:w="15" w:type="dxa"/>
            </w:tcMar>
            <w:vAlign w:val="bottom"/>
          </w:tcPr>
          <w:p w14:paraId="3327A37E">
            <w:pPr>
              <w:jc w:val="center"/>
              <w:rPr>
                <w:rFonts w:ascii="Arial" w:hAnsi="Arial" w:cs="Arial"/>
                <w:color w:val="000000"/>
                <w:sz w:val="20"/>
              </w:rPr>
            </w:pPr>
          </w:p>
        </w:tc>
        <w:tc>
          <w:tcPr>
            <w:tcW w:w="527" w:type="dxa"/>
            <w:tcBorders>
              <w:top w:val="nil"/>
              <w:left w:val="nil"/>
              <w:bottom w:val="nil"/>
              <w:right w:val="nil"/>
            </w:tcBorders>
            <w:shd w:val="clear" w:color="auto" w:fill="auto"/>
            <w:noWrap/>
            <w:tcMar>
              <w:top w:w="15" w:type="dxa"/>
              <w:left w:w="15" w:type="dxa"/>
              <w:right w:w="15" w:type="dxa"/>
            </w:tcMar>
            <w:vAlign w:val="bottom"/>
          </w:tcPr>
          <w:p w14:paraId="10DBBCCC">
            <w:pPr>
              <w:widowControl/>
              <w:jc w:val="center"/>
              <w:textAlignment w:val="bottom"/>
              <w:rPr>
                <w:rFonts w:ascii="宋体" w:hAnsi="宋体" w:eastAsia="宋体" w:cs="宋体"/>
                <w:color w:val="000000"/>
                <w:sz w:val="20"/>
              </w:rPr>
            </w:pPr>
            <w:r>
              <w:rPr>
                <w:rFonts w:hint="eastAsia" w:ascii="宋体" w:hAnsi="宋体" w:eastAsia="宋体" w:cs="宋体"/>
                <w:color w:val="000000"/>
                <w:kern w:val="0"/>
                <w:sz w:val="20"/>
              </w:rPr>
              <w:t>02表</w:t>
            </w:r>
          </w:p>
        </w:tc>
      </w:tr>
      <w:tr w14:paraId="58750AF9">
        <w:tblPrEx>
          <w:tblCellMar>
            <w:top w:w="0" w:type="dxa"/>
            <w:left w:w="0" w:type="dxa"/>
            <w:bottom w:w="0" w:type="dxa"/>
            <w:right w:w="0" w:type="dxa"/>
          </w:tblCellMar>
        </w:tblPrEx>
        <w:trPr>
          <w:trHeight w:val="255" w:hRule="atLeast"/>
        </w:trPr>
        <w:tc>
          <w:tcPr>
            <w:tcW w:w="6168" w:type="dxa"/>
            <w:gridSpan w:val="7"/>
            <w:tcBorders>
              <w:top w:val="nil"/>
              <w:left w:val="nil"/>
              <w:bottom w:val="nil"/>
              <w:right w:val="nil"/>
            </w:tcBorders>
            <w:shd w:val="clear" w:color="auto" w:fill="auto"/>
            <w:noWrap/>
            <w:tcMar>
              <w:top w:w="15" w:type="dxa"/>
              <w:left w:w="15" w:type="dxa"/>
              <w:right w:w="15" w:type="dxa"/>
            </w:tcMar>
            <w:vAlign w:val="bottom"/>
          </w:tcPr>
          <w:p w14:paraId="6FC1149B">
            <w:pPr>
              <w:widowControl/>
              <w:jc w:val="center"/>
              <w:textAlignment w:val="bottom"/>
              <w:rPr>
                <w:rFonts w:ascii="宋体" w:hAnsi="宋体" w:eastAsia="宋体" w:cs="宋体"/>
                <w:color w:val="000000"/>
                <w:sz w:val="18"/>
                <w:szCs w:val="18"/>
              </w:rPr>
            </w:pPr>
            <w:r>
              <w:rPr>
                <w:rFonts w:hint="eastAsia" w:ascii="宋体" w:hAnsi="宋体" w:eastAsia="宋体" w:cs="宋体"/>
                <w:color w:val="000000"/>
                <w:kern w:val="0"/>
                <w:sz w:val="18"/>
                <w:szCs w:val="18"/>
              </w:rPr>
              <w:t>编制部门：西安市蓝田县自然资源和规划局（汇总）</w:t>
            </w:r>
          </w:p>
        </w:tc>
        <w:tc>
          <w:tcPr>
            <w:tcW w:w="915" w:type="dxa"/>
            <w:tcBorders>
              <w:top w:val="nil"/>
              <w:left w:val="nil"/>
              <w:bottom w:val="nil"/>
              <w:right w:val="nil"/>
            </w:tcBorders>
            <w:shd w:val="clear" w:color="auto" w:fill="auto"/>
            <w:noWrap/>
            <w:tcMar>
              <w:top w:w="15" w:type="dxa"/>
              <w:left w:w="15" w:type="dxa"/>
              <w:right w:w="15" w:type="dxa"/>
            </w:tcMar>
            <w:vAlign w:val="bottom"/>
          </w:tcPr>
          <w:p w14:paraId="169AE407">
            <w:pPr>
              <w:jc w:val="center"/>
              <w:rPr>
                <w:rFonts w:ascii="Arial" w:hAnsi="Arial" w:cs="Arial"/>
                <w:color w:val="000000"/>
                <w:sz w:val="18"/>
                <w:szCs w:val="18"/>
              </w:rPr>
            </w:pPr>
          </w:p>
        </w:tc>
        <w:tc>
          <w:tcPr>
            <w:tcW w:w="675" w:type="dxa"/>
            <w:gridSpan w:val="2"/>
            <w:tcBorders>
              <w:top w:val="nil"/>
              <w:left w:val="nil"/>
              <w:bottom w:val="nil"/>
              <w:right w:val="nil"/>
            </w:tcBorders>
            <w:shd w:val="clear" w:color="auto" w:fill="auto"/>
            <w:noWrap/>
            <w:tcMar>
              <w:top w:w="15" w:type="dxa"/>
              <w:left w:w="15" w:type="dxa"/>
              <w:right w:w="15" w:type="dxa"/>
            </w:tcMar>
            <w:vAlign w:val="bottom"/>
          </w:tcPr>
          <w:p w14:paraId="18037BF7">
            <w:pPr>
              <w:widowControl/>
              <w:jc w:val="center"/>
              <w:textAlignment w:val="bottom"/>
              <w:rPr>
                <w:rFonts w:ascii="宋体" w:hAnsi="宋体" w:eastAsia="宋体" w:cs="宋体"/>
                <w:color w:val="000000"/>
                <w:sz w:val="18"/>
                <w:szCs w:val="18"/>
              </w:rPr>
            </w:pPr>
            <w:r>
              <w:rPr>
                <w:rFonts w:hint="eastAsia" w:ascii="宋体" w:hAnsi="宋体" w:eastAsia="宋体" w:cs="宋体"/>
                <w:color w:val="000000"/>
                <w:kern w:val="0"/>
                <w:sz w:val="18"/>
                <w:szCs w:val="18"/>
              </w:rPr>
              <w:t>2019年</w:t>
            </w:r>
          </w:p>
        </w:tc>
        <w:tc>
          <w:tcPr>
            <w:tcW w:w="460" w:type="dxa"/>
            <w:tcBorders>
              <w:top w:val="nil"/>
              <w:left w:val="nil"/>
              <w:bottom w:val="nil"/>
              <w:right w:val="nil"/>
            </w:tcBorders>
            <w:shd w:val="clear" w:color="auto" w:fill="auto"/>
            <w:noWrap/>
            <w:tcMar>
              <w:top w:w="15" w:type="dxa"/>
              <w:left w:w="15" w:type="dxa"/>
              <w:right w:w="15" w:type="dxa"/>
            </w:tcMar>
            <w:vAlign w:val="bottom"/>
          </w:tcPr>
          <w:p w14:paraId="72797B4A">
            <w:pPr>
              <w:jc w:val="center"/>
              <w:rPr>
                <w:rFonts w:ascii="Arial" w:hAnsi="Arial" w:cs="Arial"/>
                <w:color w:val="000000"/>
                <w:sz w:val="18"/>
                <w:szCs w:val="18"/>
              </w:rPr>
            </w:pPr>
          </w:p>
        </w:tc>
        <w:tc>
          <w:tcPr>
            <w:tcW w:w="466" w:type="dxa"/>
            <w:gridSpan w:val="2"/>
            <w:tcBorders>
              <w:top w:val="nil"/>
              <w:left w:val="nil"/>
              <w:bottom w:val="nil"/>
              <w:right w:val="nil"/>
            </w:tcBorders>
            <w:shd w:val="clear" w:color="auto" w:fill="auto"/>
            <w:noWrap/>
            <w:tcMar>
              <w:top w:w="15" w:type="dxa"/>
              <w:left w:w="15" w:type="dxa"/>
              <w:right w:w="15" w:type="dxa"/>
            </w:tcMar>
            <w:vAlign w:val="bottom"/>
          </w:tcPr>
          <w:p w14:paraId="3BDA2CA4">
            <w:pPr>
              <w:jc w:val="center"/>
              <w:rPr>
                <w:rFonts w:ascii="Arial" w:hAnsi="Arial" w:cs="Arial"/>
                <w:color w:val="000000"/>
                <w:sz w:val="18"/>
                <w:szCs w:val="18"/>
              </w:rPr>
            </w:pPr>
          </w:p>
        </w:tc>
        <w:tc>
          <w:tcPr>
            <w:tcW w:w="461" w:type="dxa"/>
            <w:tcBorders>
              <w:top w:val="nil"/>
              <w:left w:val="nil"/>
              <w:bottom w:val="nil"/>
              <w:right w:val="nil"/>
            </w:tcBorders>
            <w:shd w:val="clear" w:color="auto" w:fill="auto"/>
            <w:noWrap/>
            <w:tcMar>
              <w:top w:w="15" w:type="dxa"/>
              <w:left w:w="15" w:type="dxa"/>
              <w:right w:w="15" w:type="dxa"/>
            </w:tcMar>
            <w:vAlign w:val="bottom"/>
          </w:tcPr>
          <w:p w14:paraId="68461606">
            <w:pPr>
              <w:jc w:val="center"/>
              <w:rPr>
                <w:rFonts w:ascii="Arial" w:hAnsi="Arial" w:cs="Arial"/>
                <w:color w:val="000000"/>
                <w:sz w:val="18"/>
                <w:szCs w:val="18"/>
              </w:rPr>
            </w:pPr>
          </w:p>
        </w:tc>
        <w:tc>
          <w:tcPr>
            <w:tcW w:w="995" w:type="dxa"/>
            <w:gridSpan w:val="2"/>
            <w:tcBorders>
              <w:top w:val="nil"/>
              <w:left w:val="nil"/>
              <w:bottom w:val="nil"/>
              <w:right w:val="nil"/>
            </w:tcBorders>
            <w:shd w:val="clear" w:color="auto" w:fill="auto"/>
            <w:noWrap/>
            <w:tcMar>
              <w:top w:w="15" w:type="dxa"/>
              <w:left w:w="15" w:type="dxa"/>
              <w:right w:w="15" w:type="dxa"/>
            </w:tcMar>
            <w:vAlign w:val="bottom"/>
          </w:tcPr>
          <w:p w14:paraId="282BE39E">
            <w:pPr>
              <w:widowControl/>
              <w:jc w:val="center"/>
              <w:textAlignment w:val="bottom"/>
              <w:rPr>
                <w:rFonts w:ascii="宋体" w:hAnsi="宋体" w:eastAsia="宋体" w:cs="宋体"/>
                <w:color w:val="000000"/>
                <w:sz w:val="18"/>
                <w:szCs w:val="18"/>
              </w:rPr>
            </w:pPr>
            <w:r>
              <w:rPr>
                <w:rFonts w:hint="eastAsia" w:ascii="宋体" w:hAnsi="宋体" w:eastAsia="宋体" w:cs="宋体"/>
                <w:color w:val="000000"/>
                <w:kern w:val="0"/>
                <w:sz w:val="18"/>
                <w:szCs w:val="18"/>
              </w:rPr>
              <w:t>单位：万元</w:t>
            </w:r>
          </w:p>
        </w:tc>
      </w:tr>
      <w:tr w14:paraId="61BFF593">
        <w:tblPrEx>
          <w:tblCellMar>
            <w:top w:w="0" w:type="dxa"/>
            <w:left w:w="0" w:type="dxa"/>
            <w:bottom w:w="0" w:type="dxa"/>
            <w:right w:w="0" w:type="dxa"/>
          </w:tblCellMar>
        </w:tblPrEx>
        <w:trPr>
          <w:trHeight w:val="308" w:hRule="atLeast"/>
        </w:trPr>
        <w:tc>
          <w:tcPr>
            <w:tcW w:w="5190" w:type="dxa"/>
            <w:gridSpan w:val="6"/>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2D42C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项目</w:t>
            </w:r>
          </w:p>
        </w:tc>
        <w:tc>
          <w:tcPr>
            <w:tcW w:w="978"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E74F8C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本年收入合计</w:t>
            </w:r>
          </w:p>
        </w:tc>
        <w:tc>
          <w:tcPr>
            <w:tcW w:w="915"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C19EF5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财政拨款收入</w:t>
            </w:r>
          </w:p>
        </w:tc>
        <w:tc>
          <w:tcPr>
            <w:tcW w:w="675" w:type="dxa"/>
            <w:gridSpan w:val="2"/>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8B59E8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上级补助收入</w:t>
            </w:r>
          </w:p>
        </w:tc>
        <w:tc>
          <w:tcPr>
            <w:tcW w:w="926" w:type="dxa"/>
            <w:gridSpan w:val="3"/>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405C4B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事业收入</w:t>
            </w:r>
          </w:p>
        </w:tc>
        <w:tc>
          <w:tcPr>
            <w:tcW w:w="461"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5D15DB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经营收入</w:t>
            </w:r>
          </w:p>
        </w:tc>
        <w:tc>
          <w:tcPr>
            <w:tcW w:w="468"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92D07B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附属单位上缴收入</w:t>
            </w:r>
          </w:p>
        </w:tc>
        <w:tc>
          <w:tcPr>
            <w:tcW w:w="527" w:type="dxa"/>
            <w:vMerge w:val="restart"/>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58190DD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其他收入</w:t>
            </w:r>
          </w:p>
        </w:tc>
      </w:tr>
      <w:tr w14:paraId="7264C4BA">
        <w:tblPrEx>
          <w:tblCellMar>
            <w:top w:w="0" w:type="dxa"/>
            <w:left w:w="0" w:type="dxa"/>
            <w:bottom w:w="0" w:type="dxa"/>
            <w:right w:w="0" w:type="dxa"/>
          </w:tblCellMar>
        </w:tblPrEx>
        <w:trPr>
          <w:trHeight w:val="312" w:hRule="atLeast"/>
        </w:trPr>
        <w:tc>
          <w:tcPr>
            <w:tcW w:w="660" w:type="dxa"/>
            <w:gridSpan w:val="3"/>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468E6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功能分类科目编码</w:t>
            </w:r>
          </w:p>
        </w:tc>
        <w:tc>
          <w:tcPr>
            <w:tcW w:w="4530" w:type="dxa"/>
            <w:gridSpan w:val="3"/>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4A32F2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科目名称</w:t>
            </w:r>
          </w:p>
        </w:tc>
        <w:tc>
          <w:tcPr>
            <w:tcW w:w="978"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E343DEC">
            <w:pPr>
              <w:jc w:val="center"/>
              <w:rPr>
                <w:rFonts w:ascii="宋体" w:hAnsi="宋体" w:eastAsia="宋体" w:cs="宋体"/>
                <w:color w:val="000000"/>
                <w:sz w:val="18"/>
                <w:szCs w:val="18"/>
              </w:rPr>
            </w:pPr>
          </w:p>
        </w:tc>
        <w:tc>
          <w:tcPr>
            <w:tcW w:w="91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C140DB6">
            <w:pPr>
              <w:jc w:val="center"/>
              <w:rPr>
                <w:rFonts w:ascii="宋体" w:hAnsi="宋体" w:eastAsia="宋体" w:cs="宋体"/>
                <w:color w:val="000000"/>
                <w:sz w:val="18"/>
                <w:szCs w:val="18"/>
              </w:rPr>
            </w:pPr>
          </w:p>
        </w:tc>
        <w:tc>
          <w:tcPr>
            <w:tcW w:w="675"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C12C832">
            <w:pPr>
              <w:jc w:val="center"/>
              <w:rPr>
                <w:rFonts w:ascii="宋体" w:hAnsi="宋体" w:eastAsia="宋体" w:cs="宋体"/>
                <w:color w:val="000000"/>
                <w:sz w:val="18"/>
                <w:szCs w:val="18"/>
              </w:rPr>
            </w:pPr>
          </w:p>
        </w:tc>
        <w:tc>
          <w:tcPr>
            <w:tcW w:w="926" w:type="dxa"/>
            <w:gridSpan w:val="3"/>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9F2FB4D">
            <w:pPr>
              <w:jc w:val="center"/>
              <w:rPr>
                <w:rFonts w:ascii="宋体" w:hAnsi="宋体" w:eastAsia="宋体" w:cs="宋体"/>
                <w:color w:val="000000"/>
                <w:sz w:val="18"/>
                <w:szCs w:val="18"/>
              </w:rPr>
            </w:pPr>
          </w:p>
        </w:tc>
        <w:tc>
          <w:tcPr>
            <w:tcW w:w="461"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DECC5FB">
            <w:pPr>
              <w:jc w:val="center"/>
              <w:rPr>
                <w:rFonts w:ascii="宋体" w:hAnsi="宋体" w:eastAsia="宋体" w:cs="宋体"/>
                <w:color w:val="000000"/>
                <w:sz w:val="18"/>
                <w:szCs w:val="18"/>
              </w:rPr>
            </w:pPr>
          </w:p>
        </w:tc>
        <w:tc>
          <w:tcPr>
            <w:tcW w:w="468"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AD010E8">
            <w:pPr>
              <w:jc w:val="center"/>
              <w:rPr>
                <w:rFonts w:ascii="宋体" w:hAnsi="宋体" w:eastAsia="宋体" w:cs="宋体"/>
                <w:color w:val="000000"/>
                <w:sz w:val="18"/>
                <w:szCs w:val="18"/>
              </w:rPr>
            </w:pPr>
          </w:p>
        </w:tc>
        <w:tc>
          <w:tcPr>
            <w:tcW w:w="527"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6D16DE94">
            <w:pPr>
              <w:jc w:val="center"/>
              <w:rPr>
                <w:rFonts w:ascii="宋体" w:hAnsi="宋体" w:eastAsia="宋体" w:cs="宋体"/>
                <w:color w:val="000000"/>
                <w:sz w:val="18"/>
                <w:szCs w:val="18"/>
              </w:rPr>
            </w:pPr>
          </w:p>
        </w:tc>
      </w:tr>
      <w:tr w14:paraId="76BC7FAB">
        <w:tblPrEx>
          <w:tblCellMar>
            <w:top w:w="0" w:type="dxa"/>
            <w:left w:w="0" w:type="dxa"/>
            <w:bottom w:w="0" w:type="dxa"/>
            <w:right w:w="0" w:type="dxa"/>
          </w:tblCellMar>
        </w:tblPrEx>
        <w:trPr>
          <w:trHeight w:val="312" w:hRule="atLeast"/>
        </w:trPr>
        <w:tc>
          <w:tcPr>
            <w:tcW w:w="660" w:type="dxa"/>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A1614E">
            <w:pPr>
              <w:jc w:val="center"/>
              <w:rPr>
                <w:rFonts w:ascii="宋体" w:hAnsi="宋体" w:eastAsia="宋体" w:cs="宋体"/>
                <w:color w:val="000000"/>
                <w:sz w:val="18"/>
                <w:szCs w:val="18"/>
              </w:rPr>
            </w:pPr>
          </w:p>
        </w:tc>
        <w:tc>
          <w:tcPr>
            <w:tcW w:w="4530" w:type="dxa"/>
            <w:gridSpan w:val="3"/>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5389FD6">
            <w:pPr>
              <w:jc w:val="center"/>
              <w:rPr>
                <w:rFonts w:ascii="宋体" w:hAnsi="宋体" w:eastAsia="宋体" w:cs="宋体"/>
                <w:color w:val="000000"/>
                <w:sz w:val="18"/>
                <w:szCs w:val="18"/>
              </w:rPr>
            </w:pPr>
          </w:p>
        </w:tc>
        <w:tc>
          <w:tcPr>
            <w:tcW w:w="978"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216C6AC">
            <w:pPr>
              <w:jc w:val="center"/>
              <w:rPr>
                <w:rFonts w:ascii="宋体" w:hAnsi="宋体" w:eastAsia="宋体" w:cs="宋体"/>
                <w:color w:val="000000"/>
                <w:sz w:val="18"/>
                <w:szCs w:val="18"/>
              </w:rPr>
            </w:pPr>
          </w:p>
        </w:tc>
        <w:tc>
          <w:tcPr>
            <w:tcW w:w="91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9EE7FAB">
            <w:pPr>
              <w:jc w:val="center"/>
              <w:rPr>
                <w:rFonts w:ascii="宋体" w:hAnsi="宋体" w:eastAsia="宋体" w:cs="宋体"/>
                <w:color w:val="000000"/>
                <w:sz w:val="18"/>
                <w:szCs w:val="18"/>
              </w:rPr>
            </w:pPr>
          </w:p>
        </w:tc>
        <w:tc>
          <w:tcPr>
            <w:tcW w:w="675"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A3E1C05">
            <w:pPr>
              <w:jc w:val="center"/>
              <w:rPr>
                <w:rFonts w:ascii="宋体" w:hAnsi="宋体" w:eastAsia="宋体" w:cs="宋体"/>
                <w:color w:val="000000"/>
                <w:sz w:val="18"/>
                <w:szCs w:val="18"/>
              </w:rPr>
            </w:pPr>
          </w:p>
        </w:tc>
        <w:tc>
          <w:tcPr>
            <w:tcW w:w="46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A01B6C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小计</w:t>
            </w:r>
          </w:p>
        </w:tc>
        <w:tc>
          <w:tcPr>
            <w:tcW w:w="466" w:type="dxa"/>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5846D3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其中：教育收费</w:t>
            </w:r>
          </w:p>
        </w:tc>
        <w:tc>
          <w:tcPr>
            <w:tcW w:w="461"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7CE3544">
            <w:pPr>
              <w:jc w:val="center"/>
              <w:rPr>
                <w:rFonts w:ascii="宋体" w:hAnsi="宋体" w:eastAsia="宋体" w:cs="宋体"/>
                <w:color w:val="000000"/>
                <w:sz w:val="18"/>
                <w:szCs w:val="18"/>
              </w:rPr>
            </w:pPr>
          </w:p>
        </w:tc>
        <w:tc>
          <w:tcPr>
            <w:tcW w:w="468"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F1DD067">
            <w:pPr>
              <w:jc w:val="center"/>
              <w:rPr>
                <w:rFonts w:ascii="宋体" w:hAnsi="宋体" w:eastAsia="宋体" w:cs="宋体"/>
                <w:color w:val="000000"/>
                <w:sz w:val="18"/>
                <w:szCs w:val="18"/>
              </w:rPr>
            </w:pPr>
          </w:p>
        </w:tc>
        <w:tc>
          <w:tcPr>
            <w:tcW w:w="527"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381864F0">
            <w:pPr>
              <w:jc w:val="center"/>
              <w:rPr>
                <w:rFonts w:ascii="宋体" w:hAnsi="宋体" w:eastAsia="宋体" w:cs="宋体"/>
                <w:color w:val="000000"/>
                <w:sz w:val="18"/>
                <w:szCs w:val="18"/>
              </w:rPr>
            </w:pPr>
          </w:p>
        </w:tc>
      </w:tr>
      <w:tr w14:paraId="5DCFBA1E">
        <w:tblPrEx>
          <w:tblCellMar>
            <w:top w:w="0" w:type="dxa"/>
            <w:left w:w="0" w:type="dxa"/>
            <w:bottom w:w="0" w:type="dxa"/>
            <w:right w:w="0" w:type="dxa"/>
          </w:tblCellMar>
        </w:tblPrEx>
        <w:trPr>
          <w:trHeight w:val="420" w:hRule="atLeast"/>
        </w:trPr>
        <w:tc>
          <w:tcPr>
            <w:tcW w:w="660" w:type="dxa"/>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7CD3AE">
            <w:pPr>
              <w:jc w:val="center"/>
              <w:rPr>
                <w:rFonts w:ascii="宋体" w:hAnsi="宋体" w:eastAsia="宋体" w:cs="宋体"/>
                <w:color w:val="000000"/>
                <w:sz w:val="18"/>
                <w:szCs w:val="18"/>
              </w:rPr>
            </w:pPr>
          </w:p>
        </w:tc>
        <w:tc>
          <w:tcPr>
            <w:tcW w:w="4530" w:type="dxa"/>
            <w:gridSpan w:val="3"/>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3223F47">
            <w:pPr>
              <w:jc w:val="center"/>
              <w:rPr>
                <w:rFonts w:ascii="宋体" w:hAnsi="宋体" w:eastAsia="宋体" w:cs="宋体"/>
                <w:color w:val="000000"/>
                <w:sz w:val="18"/>
                <w:szCs w:val="18"/>
              </w:rPr>
            </w:pPr>
          </w:p>
        </w:tc>
        <w:tc>
          <w:tcPr>
            <w:tcW w:w="978"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2D52524">
            <w:pPr>
              <w:jc w:val="center"/>
              <w:rPr>
                <w:rFonts w:ascii="宋体" w:hAnsi="宋体" w:eastAsia="宋体" w:cs="宋体"/>
                <w:color w:val="000000"/>
                <w:sz w:val="18"/>
                <w:szCs w:val="18"/>
              </w:rPr>
            </w:pPr>
          </w:p>
        </w:tc>
        <w:tc>
          <w:tcPr>
            <w:tcW w:w="91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2FEE71B">
            <w:pPr>
              <w:jc w:val="center"/>
              <w:rPr>
                <w:rFonts w:ascii="宋体" w:hAnsi="宋体" w:eastAsia="宋体" w:cs="宋体"/>
                <w:color w:val="000000"/>
                <w:sz w:val="18"/>
                <w:szCs w:val="18"/>
              </w:rPr>
            </w:pPr>
          </w:p>
        </w:tc>
        <w:tc>
          <w:tcPr>
            <w:tcW w:w="675"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6F69439">
            <w:pPr>
              <w:jc w:val="center"/>
              <w:rPr>
                <w:rFonts w:ascii="宋体" w:hAnsi="宋体" w:eastAsia="宋体" w:cs="宋体"/>
                <w:color w:val="000000"/>
                <w:sz w:val="18"/>
                <w:szCs w:val="18"/>
              </w:rPr>
            </w:pPr>
          </w:p>
        </w:tc>
        <w:tc>
          <w:tcPr>
            <w:tcW w:w="4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323C8DB">
            <w:pPr>
              <w:jc w:val="center"/>
              <w:rPr>
                <w:rFonts w:ascii="宋体" w:hAnsi="宋体" w:eastAsia="宋体" w:cs="宋体"/>
                <w:color w:val="000000"/>
                <w:sz w:val="18"/>
                <w:szCs w:val="18"/>
              </w:rPr>
            </w:pPr>
          </w:p>
        </w:tc>
        <w:tc>
          <w:tcPr>
            <w:tcW w:w="466"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0C3F52B">
            <w:pPr>
              <w:jc w:val="center"/>
              <w:rPr>
                <w:rFonts w:ascii="宋体" w:hAnsi="宋体" w:eastAsia="宋体" w:cs="宋体"/>
                <w:color w:val="000000"/>
                <w:sz w:val="18"/>
                <w:szCs w:val="18"/>
              </w:rPr>
            </w:pPr>
          </w:p>
        </w:tc>
        <w:tc>
          <w:tcPr>
            <w:tcW w:w="461"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EA40B43">
            <w:pPr>
              <w:jc w:val="center"/>
              <w:rPr>
                <w:rFonts w:ascii="宋体" w:hAnsi="宋体" w:eastAsia="宋体" w:cs="宋体"/>
                <w:color w:val="000000"/>
                <w:sz w:val="18"/>
                <w:szCs w:val="18"/>
              </w:rPr>
            </w:pPr>
          </w:p>
        </w:tc>
        <w:tc>
          <w:tcPr>
            <w:tcW w:w="468"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E305E1C">
            <w:pPr>
              <w:jc w:val="center"/>
              <w:rPr>
                <w:rFonts w:ascii="宋体" w:hAnsi="宋体" w:eastAsia="宋体" w:cs="宋体"/>
                <w:color w:val="000000"/>
                <w:sz w:val="18"/>
                <w:szCs w:val="18"/>
              </w:rPr>
            </w:pPr>
          </w:p>
        </w:tc>
        <w:tc>
          <w:tcPr>
            <w:tcW w:w="527"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50C6D98D">
            <w:pPr>
              <w:jc w:val="center"/>
              <w:rPr>
                <w:rFonts w:ascii="宋体" w:hAnsi="宋体" w:eastAsia="宋体" w:cs="宋体"/>
                <w:color w:val="000000"/>
                <w:sz w:val="18"/>
                <w:szCs w:val="18"/>
              </w:rPr>
            </w:pPr>
          </w:p>
        </w:tc>
      </w:tr>
      <w:tr w14:paraId="250B95FB">
        <w:tblPrEx>
          <w:tblCellMar>
            <w:top w:w="0" w:type="dxa"/>
            <w:left w:w="0" w:type="dxa"/>
            <w:bottom w:w="0" w:type="dxa"/>
            <w:right w:w="0" w:type="dxa"/>
          </w:tblCellMar>
        </w:tblPrEx>
        <w:trPr>
          <w:trHeight w:val="308" w:hRule="atLeast"/>
        </w:trPr>
        <w:tc>
          <w:tcPr>
            <w:tcW w:w="5190" w:type="dxa"/>
            <w:gridSpan w:val="6"/>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B9D72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合计</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CA1B3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13,257.21</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50D60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13,257.21</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76147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D66AB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D8CBC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8F219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0E48E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00F1D6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28B94DBE">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AC003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208</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304FC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社会保障和就业支出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F9F1F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156.68</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212B2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156.68</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21E9C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67654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8EFC6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7D68C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DA2C1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6296F6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2181B95E">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4F951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20805</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C1E21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行政事业单位离退休</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2F409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156.68</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25C0A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156.68</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864F5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7AAF4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07BDD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C1973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D498F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C71026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029FBBD7">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5B6E6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2080505</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93F70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机关事业单位基本养老保险缴费支出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03282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156.68</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DB752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156.68</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7A2F0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E87EA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21C83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66FDA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D77B2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19251B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49CF34AC">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36333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210</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221DE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卫生健康支出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D7156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37.45</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222C6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37.45</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8AB47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67C82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3EC38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50998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6A090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B1163B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07A2CCD7">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AD352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21011</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BFB1F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行政事业单位医疗</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F328B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34.50</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DED54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34.50</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98A46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7AF5F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083BF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7A29A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3E7B8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4E0B00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2DC407CA">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A7B8A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2101101</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B5063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行政单位医疗</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CA93D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27.72</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7FFF8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27.72</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64672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ECD99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9EA0D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3CD94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2E32F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BF3A2F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7D88056A">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5294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2101102</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88CEB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事业单位医疗</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CD255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4.99</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0A3E6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4.99</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34487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B88A9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3EAAA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46BA5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95471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511763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5D8A7424">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B2C14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2101103</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7B3E0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公务员医疗补助</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41998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1.79</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140C0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1.79</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7E7CB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8D6BC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4B301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F481A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7EB9A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81BC85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66EDC124">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A654A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21099</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A16EE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其他卫生健康支出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D4560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2.95</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6126F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2.95</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895D0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2634E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36337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63AA1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5B193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01B35F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62782329">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01B8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2109901</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493FF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其他卫生健康支出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303B0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2.95</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670F2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2.95</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A2EC9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F9E79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92F46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E43A9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69722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2F68B4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1EE07814">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4646F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212</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5AB0A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城乡社区支出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4BE16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8,188.21</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56E0C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8,188.21</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F89C2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DB393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D86AD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A55B4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2FD64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2B6ED2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219896D9">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859EE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21203</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11EC4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城乡社区公共设施</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4E151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3,956.46</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AA9AD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3,956.46</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A31AE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6923C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11E1A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699CD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A6676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D272F4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24B1B271">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AB52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2120303</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2599D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小城镇基础设施建设</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784DB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3,772.06</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2CB50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3,772.06</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674F7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90832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E36F9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196B6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3B498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6E45E2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21BE8216">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A250A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2120399</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00C94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其他城乡社区公共设施支出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C9568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184.40</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1C6FE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184.40</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D7D06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49077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F5092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ACDC8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9C50B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EF7B03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0C47B3CF">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2424B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21208</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8B48C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国有土地使用权出让收入及对应专项债务收入安排的支出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49EED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4,160.59</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EE172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4,160.59</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729B5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2CB7F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B0658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3E4B1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B8E80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6EB0EF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210DA587">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4FDAE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2120899</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C53A9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其他国有土地使用权出让收入安排的支出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FD12B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4,160.59</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7C501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4,160.59</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8EAF9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FE536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5061C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AA0EF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73240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09D3E7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7C740B95">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8F5AE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21299</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A3D3A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其他城乡社区支出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B56FD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71.16</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932E7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71.16</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AA253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5BDC7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47D21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2E0EE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94309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03E925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56EDF196">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2BA84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2129901</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76762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其他城乡社区支出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6AE70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71.16</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E5DB5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71.16</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C4F11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25363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CDB60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3B428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EC86E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91EA78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54D2D49D">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55D44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213</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48CD8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农林水支出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75920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2,434.14</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C7037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2,434.14</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386A4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7675C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6ABC3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85B90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042FE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11969F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75196E96">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B5D1B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21305</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70496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扶贫</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EE132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2,434.14</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93A1E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2,434.14</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F57BA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803B6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613EF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067AD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E4066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296C99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1BBC902E">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A408E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2130504</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818FF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农村基础设施建设</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7AA5D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2,434.14</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40890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2,434.14</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2629D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500A7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7619C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50989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9777D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525430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7B63B621">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45775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220</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F83AD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自然资源海洋气象等支出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1DFFD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2,423.73</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C9A97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2,423.73</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3CB26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FF4F1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630CD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8D428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84E37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4900E8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186CF1F2">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04529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22001</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6D835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自然资源事务</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1B21B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2,423.73</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8D354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2,423.73</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A2849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97E2C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49A5C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0E5BE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07750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5F24A7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0307DEDA">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C4E39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2200101</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01849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行政运行</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DF10F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228.11</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1051E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228.11</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28AF0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F34B8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A8C3C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94459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603F1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451319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6A983CC6">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1463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2200102</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B8467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一般行政管理事务</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B1193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308.05</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7273B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308.05</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A00AE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CC756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C07A3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3464E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AACF7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EA26FE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7452BECB">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89D80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2200104</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AA028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自然资源规划及管理</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50819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113.46</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4ED42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113.46</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6F8F0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05E5A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BAE8F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6D442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86AFC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FCC91B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1EFCB449">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4DD48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2200105</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86F7F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土地资源调查</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A3F3A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26.50</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436AE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26.50</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4A6C1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EE200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4C19F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94407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D7633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D43A7B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4FC2C075">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ED65C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2200106</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89A19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土地资源利用与保护</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9F0F7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12.29</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01679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12.29</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66F27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E5721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6CFBA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D3071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A9F48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4707AB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4178B120">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D762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2200112</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C11F7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土地资源储备支出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FA068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470.71</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92D08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470.71</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96D0D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8C33C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E82E4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57499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9AD07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BA19E7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7E982CB4">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A892B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2200114</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3EEC9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地质矿产资源利用与保护</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44303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201.54</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A6888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201.54</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19AA1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AF5C8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DE8C7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68FE6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AF28B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5E9061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79285B7E">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2B266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2200150</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D32E7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事业运行</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8C9E1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1,011.42</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87415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1,011.42</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58F5B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BF505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146AA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ACFE6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AF158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8DF44A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5AD86DC6">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BBE81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2200199</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76965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其他自然资源事务支出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4B485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51.65</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1CC04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51.65</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4E46D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E988A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F6F81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355D8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0B0B4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40EC07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0D48091E">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49BAF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224</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07C0D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灾害防治及应急管理支出</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699CB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17.00</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CBDE3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17.00</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E2A10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DD674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9B1C7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3A7D6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D46B3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BB6E0C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7C64C946">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96306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22406</w:t>
            </w:r>
          </w:p>
        </w:tc>
        <w:tc>
          <w:tcPr>
            <w:tcW w:w="453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4230B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自然灾害防治</w:t>
            </w:r>
          </w:p>
        </w:tc>
        <w:tc>
          <w:tcPr>
            <w:tcW w:w="97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A6030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17.00</w:t>
            </w:r>
          </w:p>
        </w:tc>
        <w:tc>
          <w:tcPr>
            <w:tcW w:w="9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C125D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17.00</w:t>
            </w:r>
          </w:p>
        </w:tc>
        <w:tc>
          <w:tcPr>
            <w:tcW w:w="67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C2AFA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9C630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C0AFC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56409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50556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F74F1E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1D7CBF39">
        <w:tblPrEx>
          <w:tblCellMar>
            <w:top w:w="0" w:type="dxa"/>
            <w:left w:w="0" w:type="dxa"/>
            <w:bottom w:w="0" w:type="dxa"/>
            <w:right w:w="0" w:type="dxa"/>
          </w:tblCellMar>
        </w:tblPrEx>
        <w:trPr>
          <w:trHeight w:val="308" w:hRule="atLeast"/>
        </w:trPr>
        <w:tc>
          <w:tcPr>
            <w:tcW w:w="660" w:type="dxa"/>
            <w:gridSpan w:val="3"/>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6B3CABA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2240601</w:t>
            </w:r>
          </w:p>
        </w:tc>
        <w:tc>
          <w:tcPr>
            <w:tcW w:w="4530" w:type="dxa"/>
            <w:gridSpan w:val="3"/>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50DDE11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地质灾害防治</w:t>
            </w:r>
          </w:p>
        </w:tc>
        <w:tc>
          <w:tcPr>
            <w:tcW w:w="978"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7339BEE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17.00</w:t>
            </w:r>
          </w:p>
        </w:tc>
        <w:tc>
          <w:tcPr>
            <w:tcW w:w="915"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2700916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17.00</w:t>
            </w:r>
          </w:p>
        </w:tc>
        <w:tc>
          <w:tcPr>
            <w:tcW w:w="675" w:type="dxa"/>
            <w:gridSpan w:val="2"/>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48B064C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0"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3FEED2B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6" w:type="dxa"/>
            <w:gridSpan w:val="2"/>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161B76D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1"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7385ACC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468"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3FCA533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c>
          <w:tcPr>
            <w:tcW w:w="527"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14:paraId="11D9D46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0.00</w:t>
            </w:r>
          </w:p>
        </w:tc>
      </w:tr>
      <w:tr w14:paraId="6635738B">
        <w:tblPrEx>
          <w:tblCellMar>
            <w:top w:w="0" w:type="dxa"/>
            <w:left w:w="0" w:type="dxa"/>
            <w:bottom w:w="0" w:type="dxa"/>
            <w:right w:w="0" w:type="dxa"/>
          </w:tblCellMar>
        </w:tblPrEx>
        <w:trPr>
          <w:trHeight w:val="308" w:hRule="atLeast"/>
        </w:trPr>
        <w:tc>
          <w:tcPr>
            <w:tcW w:w="10140" w:type="dxa"/>
            <w:gridSpan w:val="16"/>
            <w:tcBorders>
              <w:top w:val="nil"/>
              <w:left w:val="nil"/>
              <w:bottom w:val="nil"/>
              <w:right w:val="nil"/>
            </w:tcBorders>
            <w:shd w:val="clear" w:color="auto" w:fill="auto"/>
            <w:noWrap/>
            <w:tcMar>
              <w:top w:w="15" w:type="dxa"/>
              <w:left w:w="15" w:type="dxa"/>
              <w:right w:w="15" w:type="dxa"/>
            </w:tcMar>
            <w:vAlign w:val="center"/>
          </w:tcPr>
          <w:p w14:paraId="23900DA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注：本表反映部门本年度取得的各项收入情况。本表金额转换为万元时，因四舍五入可能存在尾差。</w:t>
            </w:r>
          </w:p>
        </w:tc>
      </w:tr>
    </w:tbl>
    <w:p w14:paraId="099370D4"/>
    <w:p w14:paraId="546C03EA"/>
    <w:p w14:paraId="3782D3E6"/>
    <w:p w14:paraId="1A2BC613"/>
    <w:p w14:paraId="41617EEA"/>
    <w:p w14:paraId="3663555C"/>
    <w:p w14:paraId="517C639C"/>
    <w:p w14:paraId="5611D821"/>
    <w:p w14:paraId="542032A3"/>
    <w:p w14:paraId="75DD1618"/>
    <w:p w14:paraId="4D4BB852"/>
    <w:p w14:paraId="772AA2B2"/>
    <w:p w14:paraId="09515BBC"/>
    <w:p w14:paraId="06C06EDF"/>
    <w:p w14:paraId="2BD67A29"/>
    <w:p w14:paraId="16E3FB3E"/>
    <w:p w14:paraId="441EAB96"/>
    <w:p w14:paraId="05A5E369"/>
    <w:p w14:paraId="24058305"/>
    <w:tbl>
      <w:tblPr>
        <w:tblStyle w:val="6"/>
        <w:tblW w:w="8730" w:type="dxa"/>
        <w:jc w:val="center"/>
        <w:tblLayout w:type="autofit"/>
        <w:tblCellMar>
          <w:top w:w="0" w:type="dxa"/>
          <w:left w:w="0" w:type="dxa"/>
          <w:bottom w:w="0" w:type="dxa"/>
          <w:right w:w="0" w:type="dxa"/>
        </w:tblCellMar>
      </w:tblPr>
      <w:tblGrid>
        <w:gridCol w:w="195"/>
        <w:gridCol w:w="196"/>
        <w:gridCol w:w="199"/>
        <w:gridCol w:w="4030"/>
        <w:gridCol w:w="1020"/>
        <w:gridCol w:w="780"/>
        <w:gridCol w:w="885"/>
        <w:gridCol w:w="643"/>
        <w:gridCol w:w="643"/>
        <w:gridCol w:w="635"/>
      </w:tblGrid>
      <w:tr w14:paraId="283AE199">
        <w:trPr>
          <w:trHeight w:val="540" w:hRule="atLeast"/>
          <w:jc w:val="center"/>
        </w:trPr>
        <w:tc>
          <w:tcPr>
            <w:tcW w:w="8744" w:type="dxa"/>
            <w:gridSpan w:val="10"/>
            <w:tcBorders>
              <w:top w:val="nil"/>
              <w:left w:val="nil"/>
              <w:bottom w:val="nil"/>
              <w:right w:val="nil"/>
            </w:tcBorders>
            <w:shd w:val="clear" w:color="auto" w:fill="auto"/>
            <w:noWrap/>
            <w:tcMar>
              <w:top w:w="15" w:type="dxa"/>
              <w:left w:w="15" w:type="dxa"/>
              <w:right w:w="15" w:type="dxa"/>
            </w:tcMar>
            <w:vAlign w:val="bottom"/>
          </w:tcPr>
          <w:p w14:paraId="5DC33DF4">
            <w:pPr>
              <w:widowControl/>
              <w:jc w:val="center"/>
              <w:textAlignment w:val="bottom"/>
              <w:rPr>
                <w:rFonts w:ascii="宋体" w:hAnsi="宋体" w:eastAsia="宋体" w:cs="宋体"/>
                <w:color w:val="000000"/>
                <w:sz w:val="44"/>
                <w:szCs w:val="44"/>
              </w:rPr>
            </w:pPr>
            <w:r>
              <w:rPr>
                <w:rFonts w:hint="eastAsia" w:ascii="宋体" w:hAnsi="宋体" w:eastAsia="宋体" w:cs="宋体"/>
                <w:color w:val="000000"/>
                <w:kern w:val="0"/>
                <w:sz w:val="44"/>
                <w:szCs w:val="44"/>
              </w:rPr>
              <w:t>部门支出总体情况表</w:t>
            </w:r>
          </w:p>
        </w:tc>
      </w:tr>
      <w:tr w14:paraId="615BF896">
        <w:tblPrEx>
          <w:tblCellMar>
            <w:top w:w="0" w:type="dxa"/>
            <w:left w:w="0" w:type="dxa"/>
            <w:bottom w:w="0" w:type="dxa"/>
            <w:right w:w="0" w:type="dxa"/>
          </w:tblCellMar>
        </w:tblPrEx>
        <w:trPr>
          <w:trHeight w:val="225" w:hRule="atLeast"/>
          <w:jc w:val="center"/>
        </w:trPr>
        <w:tc>
          <w:tcPr>
            <w:tcW w:w="0" w:type="auto"/>
            <w:tcBorders>
              <w:top w:val="nil"/>
              <w:left w:val="nil"/>
              <w:bottom w:val="nil"/>
              <w:right w:val="nil"/>
            </w:tcBorders>
            <w:shd w:val="clear" w:color="auto" w:fill="auto"/>
            <w:noWrap/>
            <w:tcMar>
              <w:top w:w="15" w:type="dxa"/>
              <w:left w:w="15" w:type="dxa"/>
              <w:right w:w="15" w:type="dxa"/>
            </w:tcMar>
            <w:vAlign w:val="bottom"/>
          </w:tcPr>
          <w:p w14:paraId="3D91CDB1">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59495C44">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72827EF8">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5885A921">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2395CF5D">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2142A2FA">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31E21B91">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54DC085B">
            <w:pPr>
              <w:rPr>
                <w:rFonts w:ascii="Arial" w:hAnsi="Arial" w:cs="Arial"/>
                <w:color w:val="000000"/>
                <w:sz w:val="16"/>
                <w:szCs w:val="16"/>
              </w:rPr>
            </w:pPr>
          </w:p>
        </w:tc>
        <w:tc>
          <w:tcPr>
            <w:tcW w:w="0" w:type="auto"/>
            <w:gridSpan w:val="2"/>
            <w:tcBorders>
              <w:top w:val="nil"/>
              <w:left w:val="nil"/>
              <w:bottom w:val="nil"/>
              <w:right w:val="nil"/>
            </w:tcBorders>
            <w:shd w:val="clear" w:color="auto" w:fill="auto"/>
            <w:noWrap/>
            <w:tcMar>
              <w:top w:w="15" w:type="dxa"/>
              <w:left w:w="15" w:type="dxa"/>
              <w:right w:w="15" w:type="dxa"/>
            </w:tcMar>
            <w:vAlign w:val="bottom"/>
          </w:tcPr>
          <w:p w14:paraId="11D3EFEB">
            <w:pPr>
              <w:widowControl/>
              <w:jc w:val="right"/>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03表</w:t>
            </w:r>
          </w:p>
        </w:tc>
      </w:tr>
      <w:tr w14:paraId="42237F1A">
        <w:tblPrEx>
          <w:tblCellMar>
            <w:top w:w="0" w:type="dxa"/>
            <w:left w:w="0" w:type="dxa"/>
            <w:bottom w:w="0" w:type="dxa"/>
            <w:right w:w="0" w:type="dxa"/>
          </w:tblCellMar>
        </w:tblPrEx>
        <w:trPr>
          <w:trHeight w:val="225" w:hRule="atLeast"/>
          <w:jc w:val="center"/>
        </w:trPr>
        <w:tc>
          <w:tcPr>
            <w:tcW w:w="0" w:type="auto"/>
            <w:gridSpan w:val="4"/>
            <w:tcBorders>
              <w:top w:val="nil"/>
              <w:left w:val="nil"/>
              <w:bottom w:val="nil"/>
              <w:right w:val="nil"/>
            </w:tcBorders>
            <w:shd w:val="clear" w:color="auto" w:fill="auto"/>
            <w:noWrap/>
            <w:tcMar>
              <w:top w:w="15" w:type="dxa"/>
              <w:left w:w="15" w:type="dxa"/>
              <w:right w:w="15" w:type="dxa"/>
            </w:tcMar>
            <w:vAlign w:val="bottom"/>
          </w:tcPr>
          <w:p w14:paraId="10DEA582">
            <w:pPr>
              <w:widowControl/>
              <w:jc w:val="left"/>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编制部门：西安市蓝田县自然资源和规划局（汇总）</w:t>
            </w:r>
          </w:p>
        </w:tc>
        <w:tc>
          <w:tcPr>
            <w:tcW w:w="0" w:type="auto"/>
            <w:tcBorders>
              <w:top w:val="nil"/>
              <w:left w:val="nil"/>
              <w:bottom w:val="nil"/>
              <w:right w:val="nil"/>
            </w:tcBorders>
            <w:shd w:val="clear" w:color="auto" w:fill="auto"/>
            <w:noWrap/>
            <w:tcMar>
              <w:top w:w="15" w:type="dxa"/>
              <w:left w:w="15" w:type="dxa"/>
              <w:right w:w="15" w:type="dxa"/>
            </w:tcMar>
            <w:vAlign w:val="bottom"/>
          </w:tcPr>
          <w:p w14:paraId="265CE729">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5DE09A82">
            <w:pPr>
              <w:widowControl/>
              <w:jc w:val="center"/>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2019年</w:t>
            </w:r>
          </w:p>
        </w:tc>
        <w:tc>
          <w:tcPr>
            <w:tcW w:w="0" w:type="auto"/>
            <w:tcBorders>
              <w:top w:val="nil"/>
              <w:left w:val="nil"/>
              <w:bottom w:val="nil"/>
              <w:right w:val="nil"/>
            </w:tcBorders>
            <w:shd w:val="clear" w:color="auto" w:fill="auto"/>
            <w:noWrap/>
            <w:tcMar>
              <w:top w:w="15" w:type="dxa"/>
              <w:left w:w="15" w:type="dxa"/>
              <w:right w:w="15" w:type="dxa"/>
            </w:tcMar>
            <w:vAlign w:val="bottom"/>
          </w:tcPr>
          <w:p w14:paraId="4451D6C5">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669B75B6">
            <w:pPr>
              <w:rPr>
                <w:rFonts w:ascii="Arial" w:hAnsi="Arial" w:cs="Arial"/>
                <w:color w:val="000000"/>
                <w:sz w:val="16"/>
                <w:szCs w:val="16"/>
              </w:rPr>
            </w:pPr>
          </w:p>
        </w:tc>
        <w:tc>
          <w:tcPr>
            <w:tcW w:w="0" w:type="auto"/>
            <w:gridSpan w:val="2"/>
            <w:tcBorders>
              <w:top w:val="nil"/>
              <w:left w:val="nil"/>
              <w:bottom w:val="nil"/>
              <w:right w:val="nil"/>
            </w:tcBorders>
            <w:shd w:val="clear" w:color="auto" w:fill="auto"/>
            <w:noWrap/>
            <w:tcMar>
              <w:top w:w="15" w:type="dxa"/>
              <w:left w:w="15" w:type="dxa"/>
              <w:right w:w="15" w:type="dxa"/>
            </w:tcMar>
            <w:vAlign w:val="bottom"/>
          </w:tcPr>
          <w:p w14:paraId="12F7D080">
            <w:pPr>
              <w:widowControl/>
              <w:jc w:val="right"/>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单位：万元</w:t>
            </w:r>
          </w:p>
        </w:tc>
      </w:tr>
      <w:tr w14:paraId="1DBB25A4">
        <w:tblPrEx>
          <w:tblCellMar>
            <w:top w:w="0" w:type="dxa"/>
            <w:left w:w="0" w:type="dxa"/>
            <w:bottom w:w="0" w:type="dxa"/>
            <w:right w:w="0" w:type="dxa"/>
          </w:tblCellMar>
        </w:tblPrEx>
        <w:trPr>
          <w:trHeight w:val="308" w:hRule="atLeast"/>
          <w:jc w:val="center"/>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DFCB47">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项目</w:t>
            </w:r>
          </w:p>
        </w:tc>
        <w:tc>
          <w:tcPr>
            <w:tcW w:w="1020"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A1DAB28">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本年支出合计</w:t>
            </w:r>
          </w:p>
        </w:tc>
        <w:tc>
          <w:tcPr>
            <w:tcW w:w="780"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A3BDB67">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基本支出</w:t>
            </w:r>
          </w:p>
        </w:tc>
        <w:tc>
          <w:tcPr>
            <w:tcW w:w="885"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33F19E8">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项目支出</w:t>
            </w:r>
          </w:p>
        </w:tc>
        <w:tc>
          <w:tcPr>
            <w:tcW w:w="675"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8007039">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上缴上级支出</w:t>
            </w:r>
          </w:p>
        </w:tc>
        <w:tc>
          <w:tcPr>
            <w:tcW w:w="675"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1D62816">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经营支出</w:t>
            </w:r>
          </w:p>
        </w:tc>
        <w:tc>
          <w:tcPr>
            <w:tcW w:w="645" w:type="dxa"/>
            <w:vMerge w:val="restart"/>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25002AFF">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对附属单位补助支出</w:t>
            </w:r>
          </w:p>
        </w:tc>
      </w:tr>
      <w:tr w14:paraId="096BE145">
        <w:tblPrEx>
          <w:tblCellMar>
            <w:top w:w="0" w:type="dxa"/>
            <w:left w:w="0" w:type="dxa"/>
            <w:bottom w:w="0" w:type="dxa"/>
            <w:right w:w="0" w:type="dxa"/>
          </w:tblCellMar>
        </w:tblPrEx>
        <w:trPr>
          <w:trHeight w:val="312" w:hRule="atLeast"/>
          <w:jc w:val="center"/>
        </w:trPr>
        <w:tc>
          <w:tcPr>
            <w:tcW w:w="734" w:type="dxa"/>
            <w:gridSpan w:val="3"/>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A13290">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B6EF878">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科目名称</w:t>
            </w:r>
          </w:p>
        </w:tc>
        <w:tc>
          <w:tcPr>
            <w:tcW w:w="102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23BFE24">
            <w:pPr>
              <w:jc w:val="center"/>
              <w:rPr>
                <w:rFonts w:ascii="宋体" w:hAnsi="宋体" w:eastAsia="宋体" w:cs="宋体"/>
                <w:color w:val="000000"/>
                <w:sz w:val="16"/>
                <w:szCs w:val="16"/>
              </w:rPr>
            </w:pPr>
          </w:p>
        </w:tc>
        <w:tc>
          <w:tcPr>
            <w:tcW w:w="78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F9B0E30">
            <w:pPr>
              <w:jc w:val="center"/>
              <w:rPr>
                <w:rFonts w:ascii="宋体" w:hAnsi="宋体" w:eastAsia="宋体" w:cs="宋体"/>
                <w:color w:val="000000"/>
                <w:sz w:val="16"/>
                <w:szCs w:val="16"/>
              </w:rPr>
            </w:pPr>
          </w:p>
        </w:tc>
        <w:tc>
          <w:tcPr>
            <w:tcW w:w="88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326915B">
            <w:pPr>
              <w:jc w:val="center"/>
              <w:rPr>
                <w:rFonts w:ascii="宋体" w:hAnsi="宋体" w:eastAsia="宋体" w:cs="宋体"/>
                <w:color w:val="000000"/>
                <w:sz w:val="16"/>
                <w:szCs w:val="16"/>
              </w:rPr>
            </w:pPr>
          </w:p>
        </w:tc>
        <w:tc>
          <w:tcPr>
            <w:tcW w:w="67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1B4C2D1">
            <w:pPr>
              <w:jc w:val="center"/>
              <w:rPr>
                <w:rFonts w:ascii="宋体" w:hAnsi="宋体" w:eastAsia="宋体" w:cs="宋体"/>
                <w:color w:val="000000"/>
                <w:sz w:val="16"/>
                <w:szCs w:val="16"/>
              </w:rPr>
            </w:pPr>
          </w:p>
        </w:tc>
        <w:tc>
          <w:tcPr>
            <w:tcW w:w="67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D1868D8">
            <w:pPr>
              <w:jc w:val="center"/>
              <w:rPr>
                <w:rFonts w:ascii="宋体" w:hAnsi="宋体" w:eastAsia="宋体" w:cs="宋体"/>
                <w:color w:val="000000"/>
                <w:sz w:val="16"/>
                <w:szCs w:val="16"/>
              </w:rPr>
            </w:pPr>
          </w:p>
        </w:tc>
        <w:tc>
          <w:tcPr>
            <w:tcW w:w="645"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07C5187E">
            <w:pPr>
              <w:jc w:val="center"/>
              <w:rPr>
                <w:rFonts w:ascii="宋体" w:hAnsi="宋体" w:eastAsia="宋体" w:cs="宋体"/>
                <w:color w:val="000000"/>
                <w:sz w:val="16"/>
                <w:szCs w:val="16"/>
              </w:rPr>
            </w:pPr>
          </w:p>
        </w:tc>
      </w:tr>
      <w:tr w14:paraId="6D6BB3EC">
        <w:tblPrEx>
          <w:tblCellMar>
            <w:top w:w="0" w:type="dxa"/>
            <w:left w:w="0" w:type="dxa"/>
            <w:bottom w:w="0" w:type="dxa"/>
            <w:right w:w="0" w:type="dxa"/>
          </w:tblCellMar>
        </w:tblPrEx>
        <w:trPr>
          <w:trHeight w:val="312" w:hRule="atLeast"/>
          <w:jc w:val="center"/>
        </w:trPr>
        <w:tc>
          <w:tcPr>
            <w:tcW w:w="734" w:type="dxa"/>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CFBDD8">
            <w:pPr>
              <w:jc w:val="center"/>
              <w:rPr>
                <w:rFonts w:ascii="宋体" w:hAnsi="宋体" w:eastAsia="宋体" w:cs="宋体"/>
                <w:color w:val="000000"/>
                <w:sz w:val="16"/>
                <w:szCs w:val="16"/>
              </w:rPr>
            </w:pPr>
          </w:p>
        </w:tc>
        <w:tc>
          <w:tcPr>
            <w:tcW w:w="0" w:type="auto"/>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543EBBB">
            <w:pPr>
              <w:jc w:val="center"/>
              <w:rPr>
                <w:rFonts w:ascii="宋体" w:hAnsi="宋体" w:eastAsia="宋体" w:cs="宋体"/>
                <w:color w:val="000000"/>
                <w:sz w:val="16"/>
                <w:szCs w:val="16"/>
              </w:rPr>
            </w:pPr>
          </w:p>
        </w:tc>
        <w:tc>
          <w:tcPr>
            <w:tcW w:w="102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4A81489">
            <w:pPr>
              <w:jc w:val="center"/>
              <w:rPr>
                <w:rFonts w:ascii="宋体" w:hAnsi="宋体" w:eastAsia="宋体" w:cs="宋体"/>
                <w:color w:val="000000"/>
                <w:sz w:val="16"/>
                <w:szCs w:val="16"/>
              </w:rPr>
            </w:pPr>
          </w:p>
        </w:tc>
        <w:tc>
          <w:tcPr>
            <w:tcW w:w="78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0760586">
            <w:pPr>
              <w:jc w:val="center"/>
              <w:rPr>
                <w:rFonts w:ascii="宋体" w:hAnsi="宋体" w:eastAsia="宋体" w:cs="宋体"/>
                <w:color w:val="000000"/>
                <w:sz w:val="16"/>
                <w:szCs w:val="16"/>
              </w:rPr>
            </w:pPr>
          </w:p>
        </w:tc>
        <w:tc>
          <w:tcPr>
            <w:tcW w:w="88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2546695">
            <w:pPr>
              <w:jc w:val="center"/>
              <w:rPr>
                <w:rFonts w:ascii="宋体" w:hAnsi="宋体" w:eastAsia="宋体" w:cs="宋体"/>
                <w:color w:val="000000"/>
                <w:sz w:val="16"/>
                <w:szCs w:val="16"/>
              </w:rPr>
            </w:pPr>
          </w:p>
        </w:tc>
        <w:tc>
          <w:tcPr>
            <w:tcW w:w="67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1B0D4BC">
            <w:pPr>
              <w:jc w:val="center"/>
              <w:rPr>
                <w:rFonts w:ascii="宋体" w:hAnsi="宋体" w:eastAsia="宋体" w:cs="宋体"/>
                <w:color w:val="000000"/>
                <w:sz w:val="16"/>
                <w:szCs w:val="16"/>
              </w:rPr>
            </w:pPr>
          </w:p>
        </w:tc>
        <w:tc>
          <w:tcPr>
            <w:tcW w:w="67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CD81385">
            <w:pPr>
              <w:jc w:val="center"/>
              <w:rPr>
                <w:rFonts w:ascii="宋体" w:hAnsi="宋体" w:eastAsia="宋体" w:cs="宋体"/>
                <w:color w:val="000000"/>
                <w:sz w:val="16"/>
                <w:szCs w:val="16"/>
              </w:rPr>
            </w:pPr>
          </w:p>
        </w:tc>
        <w:tc>
          <w:tcPr>
            <w:tcW w:w="645"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16CE73D0">
            <w:pPr>
              <w:jc w:val="center"/>
              <w:rPr>
                <w:rFonts w:ascii="宋体" w:hAnsi="宋体" w:eastAsia="宋体" w:cs="宋体"/>
                <w:color w:val="000000"/>
                <w:sz w:val="16"/>
                <w:szCs w:val="16"/>
              </w:rPr>
            </w:pPr>
          </w:p>
        </w:tc>
      </w:tr>
      <w:tr w14:paraId="7C37512B">
        <w:tblPrEx>
          <w:tblCellMar>
            <w:top w:w="0" w:type="dxa"/>
            <w:left w:w="0" w:type="dxa"/>
            <w:bottom w:w="0" w:type="dxa"/>
            <w:right w:w="0" w:type="dxa"/>
          </w:tblCellMar>
        </w:tblPrEx>
        <w:trPr>
          <w:trHeight w:val="312" w:hRule="atLeast"/>
          <w:jc w:val="center"/>
        </w:trPr>
        <w:tc>
          <w:tcPr>
            <w:tcW w:w="734" w:type="dxa"/>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575197">
            <w:pPr>
              <w:jc w:val="center"/>
              <w:rPr>
                <w:rFonts w:ascii="宋体" w:hAnsi="宋体" w:eastAsia="宋体" w:cs="宋体"/>
                <w:color w:val="000000"/>
                <w:sz w:val="16"/>
                <w:szCs w:val="16"/>
              </w:rPr>
            </w:pPr>
          </w:p>
        </w:tc>
        <w:tc>
          <w:tcPr>
            <w:tcW w:w="0" w:type="auto"/>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AE0F080">
            <w:pPr>
              <w:jc w:val="center"/>
              <w:rPr>
                <w:rFonts w:ascii="宋体" w:hAnsi="宋体" w:eastAsia="宋体" w:cs="宋体"/>
                <w:color w:val="000000"/>
                <w:sz w:val="16"/>
                <w:szCs w:val="16"/>
              </w:rPr>
            </w:pPr>
          </w:p>
        </w:tc>
        <w:tc>
          <w:tcPr>
            <w:tcW w:w="102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DB39810">
            <w:pPr>
              <w:jc w:val="center"/>
              <w:rPr>
                <w:rFonts w:ascii="宋体" w:hAnsi="宋体" w:eastAsia="宋体" w:cs="宋体"/>
                <w:color w:val="000000"/>
                <w:sz w:val="16"/>
                <w:szCs w:val="16"/>
              </w:rPr>
            </w:pPr>
          </w:p>
        </w:tc>
        <w:tc>
          <w:tcPr>
            <w:tcW w:w="78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5B9DB28">
            <w:pPr>
              <w:jc w:val="center"/>
              <w:rPr>
                <w:rFonts w:ascii="宋体" w:hAnsi="宋体" w:eastAsia="宋体" w:cs="宋体"/>
                <w:color w:val="000000"/>
                <w:sz w:val="16"/>
                <w:szCs w:val="16"/>
              </w:rPr>
            </w:pPr>
          </w:p>
        </w:tc>
        <w:tc>
          <w:tcPr>
            <w:tcW w:w="88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D9A5C70">
            <w:pPr>
              <w:jc w:val="center"/>
              <w:rPr>
                <w:rFonts w:ascii="宋体" w:hAnsi="宋体" w:eastAsia="宋体" w:cs="宋体"/>
                <w:color w:val="000000"/>
                <w:sz w:val="16"/>
                <w:szCs w:val="16"/>
              </w:rPr>
            </w:pPr>
          </w:p>
        </w:tc>
        <w:tc>
          <w:tcPr>
            <w:tcW w:w="67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E77B147">
            <w:pPr>
              <w:jc w:val="center"/>
              <w:rPr>
                <w:rFonts w:ascii="宋体" w:hAnsi="宋体" w:eastAsia="宋体" w:cs="宋体"/>
                <w:color w:val="000000"/>
                <w:sz w:val="16"/>
                <w:szCs w:val="16"/>
              </w:rPr>
            </w:pPr>
          </w:p>
        </w:tc>
        <w:tc>
          <w:tcPr>
            <w:tcW w:w="67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58E3998">
            <w:pPr>
              <w:jc w:val="center"/>
              <w:rPr>
                <w:rFonts w:ascii="宋体" w:hAnsi="宋体" w:eastAsia="宋体" w:cs="宋体"/>
                <w:color w:val="000000"/>
                <w:sz w:val="16"/>
                <w:szCs w:val="16"/>
              </w:rPr>
            </w:pPr>
          </w:p>
        </w:tc>
        <w:tc>
          <w:tcPr>
            <w:tcW w:w="645"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35DBCE2E">
            <w:pPr>
              <w:jc w:val="center"/>
              <w:rPr>
                <w:rFonts w:ascii="宋体" w:hAnsi="宋体" w:eastAsia="宋体" w:cs="宋体"/>
                <w:color w:val="000000"/>
                <w:sz w:val="16"/>
                <w:szCs w:val="16"/>
              </w:rPr>
            </w:pPr>
          </w:p>
        </w:tc>
      </w:tr>
      <w:tr w14:paraId="2B05F37F">
        <w:tblPrEx>
          <w:tblCellMar>
            <w:top w:w="0" w:type="dxa"/>
            <w:left w:w="0" w:type="dxa"/>
            <w:bottom w:w="0" w:type="dxa"/>
            <w:right w:w="0" w:type="dxa"/>
          </w:tblCellMar>
        </w:tblPrEx>
        <w:trPr>
          <w:trHeight w:val="308" w:hRule="atLeast"/>
          <w:jc w:val="center"/>
        </w:trPr>
        <w:tc>
          <w:tcPr>
            <w:tcW w:w="0" w:type="auto"/>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E022C3">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合计</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CF0DA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13,257.21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2FE66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1,433.65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BF4D0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11,823.56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7EF80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06A8D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B35A5F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71DBA898">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26342">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FCB05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社会保障和就业支出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32233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37B06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5B0A8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DA748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3B470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13A478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269357FE">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6D0C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20805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6A5A3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行政事业单位离退休</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A17EC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A1F18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51B1F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1327E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C90E4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E25D40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1D6DB709">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AC393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2080505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0493D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机关事业单位基本养老保险缴费支出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3C00C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59870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6670E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E0D74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31DAA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122A3F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731C152D">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D95D93">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053CD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卫生健康支出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2ECCB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37.45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1BDBA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37.45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91B8A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D65B1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005DA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FEDAD8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1BA66560">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C75E6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21011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16E68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行政事业单位医疗</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5058E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34.50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495DA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34.50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D5C62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A9093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15206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59FD12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11CC88B0">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7E0242">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2101101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2EF7B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行政单位医疗</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82A6F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27.72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89453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27.72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1FF98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DD667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9F34B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5B0122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539A7F55">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CBA71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2101102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CE0C7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事业单位医疗</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C4DBD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4.99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4DA0E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4.99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EC537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9C269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A3E48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0D98F9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29D7AC5F">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6BEF2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2101103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A510A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公务员医疗补助</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483FD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DBFB9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669CB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8448F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3E420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9F187F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375330AF">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B91513">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21099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564AF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其他卫生健康支出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B89C4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2.95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EE2C1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2.95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61F5A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AEC43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35191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87521D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21A9AAFE">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1B33AD">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2109901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DEB99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其他卫生健康支出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E5817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2.95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FE348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2.95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3E4F9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3AFEA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2B0B7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46F848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34C5667B">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82D00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DB2D4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城乡社区支出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7FEA4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8,188.21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C195F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0E3A3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8,188.21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CFFFD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06F2C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B4A49B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2EF0C1F3">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78550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21203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826784">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城乡社区公共设施</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68445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3,956.46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FD08C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2B46F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3,956.46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42525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818EC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E329AD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13038C19">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0060FD">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2120303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F7818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小城镇基础设施建设</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28B97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3,772.06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3E427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08F7E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3,772.06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2DA58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73079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AAD9EB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54287D67">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D3AD7C">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2120399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931C8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其他城乡社区公共设施支出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4EF59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184.40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77745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9887A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184.40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7E848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CB57C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70ED6C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13125D77">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113E1">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21208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F75F9D">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国有土地使用权出让收入及对应专项债务收入安排的支出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1477C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57AA3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E7050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947AE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DEC91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50219C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022DE9A0">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37BB7B">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2120899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FD7E7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其他国有土地使用权出让收入安排的支出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7454B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2E29B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018A2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049AC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F9B7B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11B242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54234687">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07B97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21299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823923">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其他城乡社区支出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2C833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71.16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637BF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E12E0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71.16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E4B63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A29F4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3FE9C7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13C87DA0">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E34831">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2129901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9A970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其他城乡社区支出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CF9F9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71.16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58E98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8B06C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71.16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A7E00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B4F09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ED827B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20A263E2">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009C4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158C83">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农林水支出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4CB79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D25CA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81B66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0A5EA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AF388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41D6EE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24159DE3">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1806C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21305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CB3B3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扶贫</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F4423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DCCFA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36B30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5B481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E3716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4F9A61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4A83A43E">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0E9A1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2130504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330C04">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农村基础设施建设</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3A01F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E790C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4948C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799CD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117C3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36C5B4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4F79DCC9">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859F4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B39A3D">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自然资源海洋气象等支出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86727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2,423.73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2551F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1,239.53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2CC1A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1,184.20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73EA6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6E702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872AFA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26A1D1D3">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6CDE3C">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73EC4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自然资源事务</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CF446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2,423.73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98F7D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1,239.53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AEAD2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1,184.20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77A66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10179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29D0B8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0BB88EB3">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9DA33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49A24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行政运行</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1808D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228.11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D9934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228.11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2BA90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382D5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902F0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6B7330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3454285C">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66E12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2200102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FDA09C">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一般行政管理事务</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BB29B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308.05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9DBD0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F0D99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308.05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423A7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98835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163E5F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503C6BFB">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E4FA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2200104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2F464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自然资源规划及管理</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29F73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113.46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C8898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D4D34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113.46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F1A19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DC3BB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A8FC20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32119A41">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E877EB">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2200105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826EB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土地资源调查</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FF87A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26.50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26730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05EA8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26.50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48089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110E4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31175B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1633EF25">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257CB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2200106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2A39A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土地资源利用与保护</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7E306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12.29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11BC9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C06FE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12.29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DF7AD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2076A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0A0A3D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10439948">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6C903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2200112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C50B1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土地资源储备支出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7D709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470.71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78ACD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05C2F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470.71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77FE9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A6212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921C75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3C452E99">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82FF6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2200114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7AF0A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地质矿产资源利用与保护</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F8F3D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201.54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A1926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D8F0A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201.54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57384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C2FB9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5DECC5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419F3FB2">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C294D3">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2200150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AFF42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事业运行</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8A268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1,011.42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08D98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1,011.42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AC804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1DBD1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CF4A5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9EE357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72637D17">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34532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2200199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C697B4">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其他自然资源事务支出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C2140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51.65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8B5D9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CC45A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51.65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FF44A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01515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1B06BC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617541F8">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55E1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5DCCE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灾害防治及应急管理支出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ED89D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8E3A6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DED77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E4E61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19AA9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F126B3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0A3914AB">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45A3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22406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FDC86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自然灾害防治</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7D617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2AD0A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82BCC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6DB08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8AE3E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248929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5B190856">
        <w:tblPrEx>
          <w:tblCellMar>
            <w:top w:w="0" w:type="dxa"/>
            <w:left w:w="0" w:type="dxa"/>
            <w:bottom w:w="0" w:type="dxa"/>
            <w:right w:w="0" w:type="dxa"/>
          </w:tblCellMar>
        </w:tblPrEx>
        <w:trPr>
          <w:trHeight w:val="308" w:hRule="atLeast"/>
          <w:jc w:val="center"/>
        </w:trPr>
        <w:tc>
          <w:tcPr>
            <w:tcW w:w="0" w:type="auto"/>
            <w:gridSpan w:val="3"/>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73C02D5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2240601</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63EC0C3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地质灾害防治</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27B5448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2B5E9B1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46251EF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2146E26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1AC3F32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14:paraId="056DF2B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61A7A0BE">
        <w:tblPrEx>
          <w:tblCellMar>
            <w:top w:w="0" w:type="dxa"/>
            <w:left w:w="0" w:type="dxa"/>
            <w:bottom w:w="0" w:type="dxa"/>
            <w:right w:w="0" w:type="dxa"/>
          </w:tblCellMar>
        </w:tblPrEx>
        <w:trPr>
          <w:trHeight w:val="308" w:hRule="atLeast"/>
          <w:jc w:val="center"/>
        </w:trPr>
        <w:tc>
          <w:tcPr>
            <w:tcW w:w="0" w:type="auto"/>
            <w:gridSpan w:val="10"/>
            <w:tcBorders>
              <w:top w:val="nil"/>
              <w:left w:val="nil"/>
              <w:bottom w:val="nil"/>
              <w:right w:val="nil"/>
            </w:tcBorders>
            <w:shd w:val="clear" w:color="auto" w:fill="auto"/>
            <w:noWrap/>
            <w:tcMar>
              <w:top w:w="15" w:type="dxa"/>
              <w:left w:w="15" w:type="dxa"/>
              <w:right w:w="15" w:type="dxa"/>
            </w:tcMar>
            <w:vAlign w:val="center"/>
          </w:tcPr>
          <w:p w14:paraId="55C56AE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注：本表反映部门本年度各项支出情况。本表金额转换为万元时，因四舍五入可能存在尾差。</w:t>
            </w:r>
          </w:p>
        </w:tc>
      </w:tr>
    </w:tbl>
    <w:p w14:paraId="0D1958D4"/>
    <w:p w14:paraId="0475219C"/>
    <w:p w14:paraId="1873E7BB"/>
    <w:p w14:paraId="23DF4A8B"/>
    <w:p w14:paraId="567D02A4"/>
    <w:p w14:paraId="0AF5B680"/>
    <w:p w14:paraId="52CDEC92"/>
    <w:p w14:paraId="07D6CFC2"/>
    <w:p w14:paraId="3B4825FF"/>
    <w:p w14:paraId="2077A73F"/>
    <w:p w14:paraId="6371C38F"/>
    <w:p w14:paraId="410B8B20"/>
    <w:p w14:paraId="7609E9D1"/>
    <w:p w14:paraId="32E2F6A5"/>
    <w:p w14:paraId="4745637F"/>
    <w:p w14:paraId="0FDA8052"/>
    <w:p w14:paraId="17157741"/>
    <w:p w14:paraId="65A469F2"/>
    <w:p w14:paraId="1657246A"/>
    <w:p w14:paraId="68557D01"/>
    <w:tbl>
      <w:tblPr>
        <w:tblStyle w:val="6"/>
        <w:tblW w:w="9476" w:type="dxa"/>
        <w:jc w:val="center"/>
        <w:tblLayout w:type="autofit"/>
        <w:tblCellMar>
          <w:top w:w="0" w:type="dxa"/>
          <w:left w:w="0" w:type="dxa"/>
          <w:bottom w:w="0" w:type="dxa"/>
          <w:right w:w="0" w:type="dxa"/>
        </w:tblCellMar>
      </w:tblPr>
      <w:tblGrid>
        <w:gridCol w:w="196"/>
        <w:gridCol w:w="196"/>
        <w:gridCol w:w="43"/>
        <w:gridCol w:w="156"/>
        <w:gridCol w:w="2534"/>
        <w:gridCol w:w="829"/>
        <w:gridCol w:w="191"/>
        <w:gridCol w:w="772"/>
        <w:gridCol w:w="946"/>
        <w:gridCol w:w="768"/>
        <w:gridCol w:w="152"/>
        <w:gridCol w:w="674"/>
        <w:gridCol w:w="94"/>
        <w:gridCol w:w="725"/>
        <w:gridCol w:w="221"/>
        <w:gridCol w:w="736"/>
        <w:gridCol w:w="243"/>
      </w:tblGrid>
      <w:tr w14:paraId="191D612F">
        <w:tblPrEx>
          <w:tblCellMar>
            <w:top w:w="0" w:type="dxa"/>
            <w:left w:w="0" w:type="dxa"/>
            <w:bottom w:w="0" w:type="dxa"/>
            <w:right w:w="0" w:type="dxa"/>
          </w:tblCellMar>
        </w:tblPrEx>
        <w:trPr>
          <w:gridBefore w:val="3"/>
          <w:gridAfter w:val="1"/>
          <w:wBefore w:w="435" w:type="dxa"/>
          <w:wAfter w:w="243" w:type="dxa"/>
          <w:trHeight w:val="659" w:hRule="atLeast"/>
          <w:jc w:val="center"/>
        </w:trPr>
        <w:tc>
          <w:tcPr>
            <w:tcW w:w="8798" w:type="dxa"/>
            <w:gridSpan w:val="13"/>
            <w:tcBorders>
              <w:top w:val="nil"/>
              <w:left w:val="nil"/>
              <w:bottom w:val="nil"/>
              <w:right w:val="nil"/>
            </w:tcBorders>
            <w:shd w:val="clear" w:color="auto" w:fill="auto"/>
            <w:noWrap/>
            <w:tcMar>
              <w:top w:w="15" w:type="dxa"/>
              <w:left w:w="15" w:type="dxa"/>
              <w:right w:w="15" w:type="dxa"/>
            </w:tcMar>
            <w:vAlign w:val="bottom"/>
          </w:tcPr>
          <w:p w14:paraId="0D195D64">
            <w:pPr>
              <w:widowControl/>
              <w:jc w:val="center"/>
              <w:textAlignment w:val="bottom"/>
              <w:rPr>
                <w:rFonts w:ascii="宋体" w:hAnsi="宋体" w:eastAsia="宋体" w:cs="宋体"/>
                <w:color w:val="000000"/>
                <w:sz w:val="44"/>
                <w:szCs w:val="44"/>
              </w:rPr>
            </w:pPr>
            <w:r>
              <w:rPr>
                <w:rFonts w:hint="eastAsia" w:ascii="宋体" w:hAnsi="宋体" w:eastAsia="宋体" w:cs="宋体"/>
                <w:color w:val="000000"/>
                <w:kern w:val="0"/>
                <w:sz w:val="44"/>
                <w:szCs w:val="44"/>
              </w:rPr>
              <w:t>财政拨款收支总体情况表</w:t>
            </w:r>
          </w:p>
        </w:tc>
      </w:tr>
      <w:tr w14:paraId="5DD65C93">
        <w:tblPrEx>
          <w:tblCellMar>
            <w:top w:w="0" w:type="dxa"/>
            <w:left w:w="0" w:type="dxa"/>
            <w:bottom w:w="0" w:type="dxa"/>
            <w:right w:w="0" w:type="dxa"/>
          </w:tblCellMar>
        </w:tblPrEx>
        <w:trPr>
          <w:gridBefore w:val="3"/>
          <w:gridAfter w:val="1"/>
          <w:wBefore w:w="435" w:type="dxa"/>
          <w:wAfter w:w="243" w:type="dxa"/>
          <w:trHeight w:val="337" w:hRule="atLeast"/>
          <w:jc w:val="center"/>
        </w:trPr>
        <w:tc>
          <w:tcPr>
            <w:tcW w:w="2690" w:type="dxa"/>
            <w:gridSpan w:val="2"/>
            <w:tcBorders>
              <w:top w:val="nil"/>
              <w:left w:val="nil"/>
              <w:bottom w:val="nil"/>
              <w:right w:val="nil"/>
            </w:tcBorders>
            <w:shd w:val="clear" w:color="auto" w:fill="auto"/>
            <w:noWrap/>
            <w:tcMar>
              <w:top w:w="15" w:type="dxa"/>
              <w:left w:w="15" w:type="dxa"/>
              <w:right w:w="15" w:type="dxa"/>
            </w:tcMar>
            <w:vAlign w:val="bottom"/>
          </w:tcPr>
          <w:p w14:paraId="5BCCDF7D">
            <w:pPr>
              <w:rPr>
                <w:rFonts w:ascii="Arial" w:hAnsi="Arial" w:cs="Arial"/>
                <w:color w:val="000000"/>
                <w:sz w:val="16"/>
                <w:szCs w:val="16"/>
              </w:rPr>
            </w:pPr>
          </w:p>
        </w:tc>
        <w:tc>
          <w:tcPr>
            <w:tcW w:w="1020" w:type="dxa"/>
            <w:gridSpan w:val="2"/>
            <w:tcBorders>
              <w:top w:val="nil"/>
              <w:left w:val="nil"/>
              <w:bottom w:val="nil"/>
              <w:right w:val="nil"/>
            </w:tcBorders>
            <w:shd w:val="clear" w:color="auto" w:fill="auto"/>
            <w:noWrap/>
            <w:tcMar>
              <w:top w:w="15" w:type="dxa"/>
              <w:left w:w="15" w:type="dxa"/>
              <w:right w:w="15" w:type="dxa"/>
            </w:tcMar>
            <w:vAlign w:val="bottom"/>
          </w:tcPr>
          <w:p w14:paraId="557C75B2">
            <w:pPr>
              <w:rPr>
                <w:rFonts w:ascii="Arial" w:hAnsi="Arial" w:cs="Arial"/>
                <w:color w:val="000000"/>
                <w:sz w:val="16"/>
                <w:szCs w:val="16"/>
              </w:rPr>
            </w:pPr>
          </w:p>
        </w:tc>
        <w:tc>
          <w:tcPr>
            <w:tcW w:w="2486" w:type="dxa"/>
            <w:gridSpan w:val="3"/>
            <w:tcBorders>
              <w:top w:val="nil"/>
              <w:left w:val="nil"/>
              <w:bottom w:val="nil"/>
              <w:right w:val="nil"/>
            </w:tcBorders>
            <w:shd w:val="clear" w:color="auto" w:fill="auto"/>
            <w:noWrap/>
            <w:tcMar>
              <w:top w:w="15" w:type="dxa"/>
              <w:left w:w="15" w:type="dxa"/>
              <w:right w:w="15" w:type="dxa"/>
            </w:tcMar>
            <w:vAlign w:val="bottom"/>
          </w:tcPr>
          <w:p w14:paraId="4BA92BE5">
            <w:pPr>
              <w:rPr>
                <w:rFonts w:ascii="Arial" w:hAnsi="Arial" w:cs="Arial"/>
                <w:color w:val="000000"/>
                <w:sz w:val="16"/>
                <w:szCs w:val="16"/>
              </w:rPr>
            </w:pPr>
          </w:p>
        </w:tc>
        <w:tc>
          <w:tcPr>
            <w:tcW w:w="826" w:type="dxa"/>
            <w:gridSpan w:val="2"/>
            <w:tcBorders>
              <w:top w:val="nil"/>
              <w:left w:val="nil"/>
              <w:bottom w:val="nil"/>
              <w:right w:val="nil"/>
            </w:tcBorders>
            <w:shd w:val="clear" w:color="auto" w:fill="auto"/>
            <w:noWrap/>
            <w:tcMar>
              <w:top w:w="15" w:type="dxa"/>
              <w:left w:w="15" w:type="dxa"/>
              <w:right w:w="15" w:type="dxa"/>
            </w:tcMar>
            <w:vAlign w:val="bottom"/>
          </w:tcPr>
          <w:p w14:paraId="30AA25D6">
            <w:pPr>
              <w:rPr>
                <w:rFonts w:ascii="Arial" w:hAnsi="Arial" w:cs="Arial"/>
                <w:color w:val="000000"/>
                <w:sz w:val="16"/>
                <w:szCs w:val="16"/>
              </w:rPr>
            </w:pPr>
          </w:p>
        </w:tc>
        <w:tc>
          <w:tcPr>
            <w:tcW w:w="819" w:type="dxa"/>
            <w:gridSpan w:val="2"/>
            <w:tcBorders>
              <w:top w:val="nil"/>
              <w:left w:val="nil"/>
              <w:bottom w:val="nil"/>
              <w:right w:val="nil"/>
            </w:tcBorders>
            <w:shd w:val="clear" w:color="auto" w:fill="auto"/>
            <w:noWrap/>
            <w:tcMar>
              <w:top w:w="15" w:type="dxa"/>
              <w:left w:w="15" w:type="dxa"/>
              <w:right w:w="15" w:type="dxa"/>
            </w:tcMar>
            <w:vAlign w:val="bottom"/>
          </w:tcPr>
          <w:p w14:paraId="4277E4ED">
            <w:pPr>
              <w:rPr>
                <w:rFonts w:ascii="Arial" w:hAnsi="Arial" w:cs="Arial"/>
                <w:color w:val="000000"/>
                <w:sz w:val="16"/>
                <w:szCs w:val="16"/>
              </w:rPr>
            </w:pPr>
          </w:p>
        </w:tc>
        <w:tc>
          <w:tcPr>
            <w:tcW w:w="957" w:type="dxa"/>
            <w:gridSpan w:val="2"/>
            <w:tcBorders>
              <w:top w:val="nil"/>
              <w:left w:val="nil"/>
              <w:bottom w:val="nil"/>
              <w:right w:val="nil"/>
            </w:tcBorders>
            <w:shd w:val="clear" w:color="auto" w:fill="auto"/>
            <w:noWrap/>
            <w:tcMar>
              <w:top w:w="15" w:type="dxa"/>
              <w:left w:w="15" w:type="dxa"/>
              <w:right w:w="15" w:type="dxa"/>
            </w:tcMar>
            <w:vAlign w:val="bottom"/>
          </w:tcPr>
          <w:p w14:paraId="081E4986">
            <w:pPr>
              <w:widowControl/>
              <w:jc w:val="right"/>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04表</w:t>
            </w:r>
          </w:p>
        </w:tc>
      </w:tr>
      <w:tr w14:paraId="238DE062">
        <w:tblPrEx>
          <w:tblCellMar>
            <w:top w:w="0" w:type="dxa"/>
            <w:left w:w="0" w:type="dxa"/>
            <w:bottom w:w="0" w:type="dxa"/>
            <w:right w:w="0" w:type="dxa"/>
          </w:tblCellMar>
        </w:tblPrEx>
        <w:trPr>
          <w:gridBefore w:val="3"/>
          <w:gridAfter w:val="1"/>
          <w:wBefore w:w="435" w:type="dxa"/>
          <w:wAfter w:w="243" w:type="dxa"/>
          <w:trHeight w:val="337" w:hRule="atLeast"/>
          <w:jc w:val="center"/>
        </w:trPr>
        <w:tc>
          <w:tcPr>
            <w:tcW w:w="3710" w:type="dxa"/>
            <w:gridSpan w:val="4"/>
            <w:tcBorders>
              <w:top w:val="nil"/>
              <w:left w:val="nil"/>
              <w:bottom w:val="nil"/>
              <w:right w:val="nil"/>
            </w:tcBorders>
            <w:shd w:val="clear" w:color="auto" w:fill="auto"/>
            <w:noWrap/>
            <w:tcMar>
              <w:top w:w="15" w:type="dxa"/>
              <w:left w:w="15" w:type="dxa"/>
              <w:right w:w="15" w:type="dxa"/>
            </w:tcMar>
            <w:vAlign w:val="bottom"/>
          </w:tcPr>
          <w:p w14:paraId="6A876662">
            <w:pPr>
              <w:widowControl/>
              <w:jc w:val="center"/>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编制部门：西安市蓝田县自然资源和规划局（汇总）</w:t>
            </w:r>
          </w:p>
        </w:tc>
        <w:tc>
          <w:tcPr>
            <w:tcW w:w="2486" w:type="dxa"/>
            <w:gridSpan w:val="3"/>
            <w:tcBorders>
              <w:top w:val="nil"/>
              <w:left w:val="nil"/>
              <w:bottom w:val="nil"/>
              <w:right w:val="nil"/>
            </w:tcBorders>
            <w:shd w:val="clear" w:color="auto" w:fill="auto"/>
            <w:noWrap/>
            <w:tcMar>
              <w:top w:w="15" w:type="dxa"/>
              <w:left w:w="15" w:type="dxa"/>
              <w:right w:w="15" w:type="dxa"/>
            </w:tcMar>
            <w:vAlign w:val="bottom"/>
          </w:tcPr>
          <w:p w14:paraId="3F8D0278">
            <w:pPr>
              <w:widowControl/>
              <w:jc w:val="center"/>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2019年</w:t>
            </w:r>
          </w:p>
        </w:tc>
        <w:tc>
          <w:tcPr>
            <w:tcW w:w="826" w:type="dxa"/>
            <w:gridSpan w:val="2"/>
            <w:tcBorders>
              <w:top w:val="nil"/>
              <w:left w:val="nil"/>
              <w:bottom w:val="nil"/>
              <w:right w:val="nil"/>
            </w:tcBorders>
            <w:shd w:val="clear" w:color="auto" w:fill="auto"/>
            <w:noWrap/>
            <w:tcMar>
              <w:top w:w="15" w:type="dxa"/>
              <w:left w:w="15" w:type="dxa"/>
              <w:right w:w="15" w:type="dxa"/>
            </w:tcMar>
            <w:vAlign w:val="bottom"/>
          </w:tcPr>
          <w:p w14:paraId="08FF4137">
            <w:pPr>
              <w:rPr>
                <w:rFonts w:ascii="Arial" w:hAnsi="Arial" w:cs="Arial"/>
                <w:color w:val="000000"/>
                <w:sz w:val="16"/>
                <w:szCs w:val="16"/>
              </w:rPr>
            </w:pPr>
          </w:p>
        </w:tc>
        <w:tc>
          <w:tcPr>
            <w:tcW w:w="819" w:type="dxa"/>
            <w:gridSpan w:val="2"/>
            <w:tcBorders>
              <w:top w:val="nil"/>
              <w:left w:val="nil"/>
              <w:bottom w:val="nil"/>
              <w:right w:val="nil"/>
            </w:tcBorders>
            <w:shd w:val="clear" w:color="auto" w:fill="auto"/>
            <w:noWrap/>
            <w:tcMar>
              <w:top w:w="15" w:type="dxa"/>
              <w:left w:w="15" w:type="dxa"/>
              <w:right w:w="15" w:type="dxa"/>
            </w:tcMar>
            <w:vAlign w:val="bottom"/>
          </w:tcPr>
          <w:p w14:paraId="50900F1A">
            <w:pPr>
              <w:rPr>
                <w:rFonts w:ascii="Arial" w:hAnsi="Arial" w:cs="Arial"/>
                <w:color w:val="000000"/>
                <w:sz w:val="16"/>
                <w:szCs w:val="16"/>
              </w:rPr>
            </w:pPr>
          </w:p>
        </w:tc>
        <w:tc>
          <w:tcPr>
            <w:tcW w:w="957" w:type="dxa"/>
            <w:gridSpan w:val="2"/>
            <w:tcBorders>
              <w:top w:val="nil"/>
              <w:left w:val="nil"/>
              <w:bottom w:val="nil"/>
              <w:right w:val="nil"/>
            </w:tcBorders>
            <w:shd w:val="clear" w:color="auto" w:fill="auto"/>
            <w:noWrap/>
            <w:tcMar>
              <w:top w:w="15" w:type="dxa"/>
              <w:left w:w="15" w:type="dxa"/>
              <w:right w:w="15" w:type="dxa"/>
            </w:tcMar>
            <w:vAlign w:val="bottom"/>
          </w:tcPr>
          <w:p w14:paraId="426EF649">
            <w:pPr>
              <w:widowControl/>
              <w:jc w:val="right"/>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单位：万元</w:t>
            </w:r>
          </w:p>
        </w:tc>
      </w:tr>
      <w:tr w14:paraId="2C971AE5">
        <w:tblPrEx>
          <w:tblCellMar>
            <w:top w:w="0" w:type="dxa"/>
            <w:left w:w="0" w:type="dxa"/>
            <w:bottom w:w="0" w:type="dxa"/>
            <w:right w:w="0" w:type="dxa"/>
          </w:tblCellMar>
        </w:tblPrEx>
        <w:trPr>
          <w:gridBefore w:val="3"/>
          <w:gridAfter w:val="1"/>
          <w:wBefore w:w="435" w:type="dxa"/>
          <w:wAfter w:w="243" w:type="dxa"/>
          <w:trHeight w:val="347" w:hRule="atLeast"/>
          <w:jc w:val="center"/>
        </w:trPr>
        <w:tc>
          <w:tcPr>
            <w:tcW w:w="3710" w:type="dxa"/>
            <w:gridSpan w:val="4"/>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3456AD">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收     入</w:t>
            </w:r>
          </w:p>
        </w:tc>
        <w:tc>
          <w:tcPr>
            <w:tcW w:w="5088" w:type="dxa"/>
            <w:gridSpan w:val="9"/>
            <w:tcBorders>
              <w:top w:val="single" w:color="000000" w:sz="4" w:space="0"/>
              <w:left w:val="nil"/>
              <w:bottom w:val="single" w:color="000000" w:sz="4" w:space="0"/>
              <w:right w:val="single" w:color="000000" w:sz="8" w:space="0"/>
            </w:tcBorders>
            <w:shd w:val="clear" w:color="FFFFFF" w:fill="C0C0C0"/>
            <w:noWrap/>
            <w:tcMar>
              <w:top w:w="15" w:type="dxa"/>
              <w:left w:w="15" w:type="dxa"/>
              <w:right w:w="15" w:type="dxa"/>
            </w:tcMar>
            <w:vAlign w:val="center"/>
          </w:tcPr>
          <w:p w14:paraId="6C04D5E5">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支     出</w:t>
            </w:r>
          </w:p>
        </w:tc>
      </w:tr>
      <w:tr w14:paraId="7E9DD7AA">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A26543">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项    目</w:t>
            </w:r>
          </w:p>
        </w:tc>
        <w:tc>
          <w:tcPr>
            <w:tcW w:w="1020" w:type="dxa"/>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A43C7D9">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决算数</w:t>
            </w:r>
          </w:p>
        </w:tc>
        <w:tc>
          <w:tcPr>
            <w:tcW w:w="2486" w:type="dxa"/>
            <w:gridSpan w:val="3"/>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64ACB66">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项目</w:t>
            </w:r>
          </w:p>
        </w:tc>
        <w:tc>
          <w:tcPr>
            <w:tcW w:w="2602" w:type="dxa"/>
            <w:gridSpan w:val="6"/>
            <w:tcBorders>
              <w:top w:val="nil"/>
              <w:left w:val="nil"/>
              <w:bottom w:val="single" w:color="000000" w:sz="4" w:space="0"/>
              <w:right w:val="single" w:color="000000" w:sz="8" w:space="0"/>
            </w:tcBorders>
            <w:shd w:val="clear" w:color="FFFFFF" w:fill="C0C0C0"/>
            <w:noWrap/>
            <w:tcMar>
              <w:top w:w="15" w:type="dxa"/>
              <w:left w:w="15" w:type="dxa"/>
              <w:right w:w="15" w:type="dxa"/>
            </w:tcMar>
            <w:vAlign w:val="center"/>
          </w:tcPr>
          <w:p w14:paraId="078295C4">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决算数</w:t>
            </w:r>
          </w:p>
        </w:tc>
      </w:tr>
      <w:tr w14:paraId="3DA57269">
        <w:tblPrEx>
          <w:tblCellMar>
            <w:top w:w="0" w:type="dxa"/>
            <w:left w:w="0" w:type="dxa"/>
            <w:bottom w:w="0" w:type="dxa"/>
            <w:right w:w="0" w:type="dxa"/>
          </w:tblCellMar>
        </w:tblPrEx>
        <w:trPr>
          <w:gridBefore w:val="3"/>
          <w:gridAfter w:val="1"/>
          <w:wBefore w:w="435" w:type="dxa"/>
          <w:wAfter w:w="243" w:type="dxa"/>
          <w:trHeight w:val="992" w:hRule="atLeast"/>
          <w:jc w:val="center"/>
        </w:trPr>
        <w:tc>
          <w:tcPr>
            <w:tcW w:w="2690"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F3C0E2">
            <w:pPr>
              <w:jc w:val="center"/>
              <w:rPr>
                <w:rFonts w:ascii="宋体" w:hAnsi="宋体" w:eastAsia="宋体" w:cs="宋体"/>
                <w:color w:val="000000"/>
                <w:sz w:val="16"/>
                <w:szCs w:val="16"/>
              </w:rPr>
            </w:pPr>
          </w:p>
        </w:tc>
        <w:tc>
          <w:tcPr>
            <w:tcW w:w="1020"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EB0496D">
            <w:pPr>
              <w:jc w:val="center"/>
              <w:rPr>
                <w:rFonts w:ascii="宋体" w:hAnsi="宋体" w:eastAsia="宋体" w:cs="宋体"/>
                <w:color w:val="000000"/>
                <w:sz w:val="16"/>
                <w:szCs w:val="16"/>
              </w:rPr>
            </w:pPr>
          </w:p>
        </w:tc>
        <w:tc>
          <w:tcPr>
            <w:tcW w:w="2486" w:type="dxa"/>
            <w:gridSpan w:val="3"/>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4202DFC">
            <w:pPr>
              <w:jc w:val="center"/>
              <w:rPr>
                <w:rFonts w:ascii="宋体" w:hAnsi="宋体" w:eastAsia="宋体" w:cs="宋体"/>
                <w:color w:val="000000"/>
                <w:sz w:val="16"/>
                <w:szCs w:val="16"/>
              </w:rPr>
            </w:pPr>
          </w:p>
        </w:tc>
        <w:tc>
          <w:tcPr>
            <w:tcW w:w="826" w:type="dxa"/>
            <w:gridSpan w:val="2"/>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C6229E4">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合计</w:t>
            </w:r>
          </w:p>
        </w:tc>
        <w:tc>
          <w:tcPr>
            <w:tcW w:w="819" w:type="dxa"/>
            <w:gridSpan w:val="2"/>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395F72A">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一般公共预算财政拨款</w:t>
            </w:r>
          </w:p>
        </w:tc>
        <w:tc>
          <w:tcPr>
            <w:tcW w:w="957" w:type="dxa"/>
            <w:gridSpan w:val="2"/>
            <w:tcBorders>
              <w:top w:val="nil"/>
              <w:left w:val="nil"/>
              <w:bottom w:val="single" w:color="000000" w:sz="4" w:space="0"/>
              <w:right w:val="single" w:color="000000" w:sz="8" w:space="0"/>
            </w:tcBorders>
            <w:shd w:val="clear" w:color="FFFFFF" w:fill="C0C0C0"/>
            <w:tcMar>
              <w:top w:w="15" w:type="dxa"/>
              <w:left w:w="15" w:type="dxa"/>
              <w:right w:w="15" w:type="dxa"/>
            </w:tcMar>
            <w:vAlign w:val="center"/>
          </w:tcPr>
          <w:p w14:paraId="7828BB3B">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政府性基金预算财政拨款</w:t>
            </w:r>
          </w:p>
        </w:tc>
      </w:tr>
      <w:tr w14:paraId="26867F55">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72321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1、一般公共预算财政拨款</w:t>
            </w: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ED699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9,096.62</w:t>
            </w: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501245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1、一般公共服务支出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957D3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3A852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F5387E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424DBD52">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31E96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2、政府性基金预算财政拨款</w:t>
            </w: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DF6B6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694F7D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2、外交支出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3605E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45076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F9D9F0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60A3E398">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AE79C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3、国有资本经营预算收入</w:t>
            </w: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386C6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254C5E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3、国防支出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285E1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92246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E42349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69E64D51">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62C8F5">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DB5D62">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00412E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4、公共安全支出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D29AD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571EB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E829E5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00AA470C">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6612A9">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495106">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F34BD4D">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5、教育支出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C02A7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D7D27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BEE356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67A03EF7">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3D9220">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D135B1">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DD1572C">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6、科学技术支出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FC712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12D9A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EDA268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64CFFF90">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09F296">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DC34EB">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28F8C2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7、文化旅游体育与传媒支出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AF7A7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6F184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3CB0F6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01B09A14">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1DADA4">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6AC922">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66E2D7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8、社会保障和就业支出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DD27C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E7562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8564A1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7BC5B65C">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EA504D">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B4430C">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E9FCCB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9、卫生健康支出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314DF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37.45</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78877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37.45</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2F13DD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6C529CB3">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95496F">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79004A">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DDBCF72">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10、节能环保支出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7889A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489AD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89E208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13FC2091">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842370">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08BE21">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563ED5B">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11、城乡社区支出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211D4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8,188.21</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EDA2A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4,027.62</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7C41D4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r>
      <w:tr w14:paraId="724516DD">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D7462A">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10EA3F">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87FC6F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12、农林水支出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138F9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7EDCB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12E89B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6FD29EA6">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82DFAD">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B0FF2B">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363A6E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13、交通运输支出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34F2A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11922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08D18B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64E45FDD">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208531">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4D707A">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89EAE8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14、资源勘探信息等支出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426CE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250CD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1AE2E6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333FF44F">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2F608E">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49DDB7">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64D810C">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15、商业服务业等支出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C7AA5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72C44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09EDA3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03E9F734">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D2014D">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A0A02B">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3192B2B">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16、金融支出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40FD9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BC908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960CC2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1638D7E2">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444216">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084182">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D16FCB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17、援助其他地区支出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7413D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CFC58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4C4DE3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7F37EDBD">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DC2067">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2FAD19">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CB0932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18、自然资源海洋气象等支出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8A8FE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2,423.73</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3D844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2,423.73</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84494A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30CED0EC">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49EAD5">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601378">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6528681">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19、住房保障支出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45BE8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FFE6F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A22A12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2F8438A3">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36DEAB">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2E84C2">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FEB8E21">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20、粮油物资储备支出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A370F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F1B1A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BDF362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2807B30C">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6CF6F6">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1B81B3">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7613B6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21、灾害防治及应急管理支出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52E56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C2946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671A84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7EDE1FB7">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EDBFE5">
            <w:pPr>
              <w:jc w:val="left"/>
              <w:rPr>
                <w:rFonts w:ascii="宋体" w:hAnsi="宋体" w:eastAsia="宋体" w:cs="宋体"/>
                <w:color w:val="000000"/>
                <w:sz w:val="16"/>
                <w:szCs w:val="16"/>
              </w:rPr>
            </w:pP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C7F94D">
            <w:pPr>
              <w:jc w:val="right"/>
              <w:rPr>
                <w:rFonts w:ascii="宋体" w:hAnsi="宋体" w:eastAsia="宋体" w:cs="宋体"/>
                <w:color w:val="000000"/>
                <w:sz w:val="16"/>
                <w:szCs w:val="16"/>
              </w:rPr>
            </w:pP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730EE3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22、其他支出</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4A443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B0314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357988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5AC3D279">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F5310A">
            <w:pPr>
              <w:widowControl/>
              <w:jc w:val="center"/>
              <w:textAlignment w:val="center"/>
              <w:rPr>
                <w:rFonts w:ascii="宋体" w:hAnsi="宋体" w:eastAsia="宋体" w:cs="宋体"/>
                <w:b/>
                <w:color w:val="000000"/>
                <w:sz w:val="16"/>
                <w:szCs w:val="16"/>
              </w:rPr>
            </w:pPr>
            <w:r>
              <w:rPr>
                <w:rFonts w:hint="eastAsia" w:ascii="宋体" w:hAnsi="宋体" w:eastAsia="宋体" w:cs="宋体"/>
                <w:b/>
                <w:color w:val="000000"/>
                <w:kern w:val="0"/>
                <w:sz w:val="16"/>
                <w:szCs w:val="16"/>
              </w:rPr>
              <w:t>本年收入合计</w:t>
            </w: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3DA52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13,257.21</w:t>
            </w: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2A256FB">
            <w:pPr>
              <w:widowControl/>
              <w:jc w:val="center"/>
              <w:textAlignment w:val="center"/>
              <w:rPr>
                <w:rFonts w:ascii="宋体" w:hAnsi="宋体" w:eastAsia="宋体" w:cs="宋体"/>
                <w:b/>
                <w:color w:val="000000"/>
                <w:sz w:val="16"/>
                <w:szCs w:val="16"/>
              </w:rPr>
            </w:pPr>
            <w:r>
              <w:rPr>
                <w:rFonts w:hint="eastAsia" w:ascii="宋体" w:hAnsi="宋体" w:eastAsia="宋体" w:cs="宋体"/>
                <w:b/>
                <w:color w:val="000000"/>
                <w:kern w:val="0"/>
                <w:sz w:val="16"/>
                <w:szCs w:val="16"/>
              </w:rPr>
              <w:t>本年支出合计</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44CC7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13,257.21</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ADCF7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9,096.62</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0EF23B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r>
      <w:tr w14:paraId="7E47A7FB">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F5B13D">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年初财政拨款结转和结余</w:t>
            </w: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BD0D4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C7EB4B2">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年末财政拨款结转和结余</w:t>
            </w: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D65EE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3863F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4C6BB6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01E13E30">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4B32EB">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一、一般公共预算财政拨款</w:t>
            </w: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2E470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3906078">
            <w:pPr>
              <w:jc w:val="center"/>
              <w:rPr>
                <w:rFonts w:ascii="宋体" w:hAnsi="宋体" w:eastAsia="宋体" w:cs="宋体"/>
                <w:b/>
                <w:color w:val="000000"/>
                <w:sz w:val="16"/>
                <w:szCs w:val="16"/>
              </w:rPr>
            </w:pP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1FE60F">
            <w:pPr>
              <w:jc w:val="right"/>
              <w:rPr>
                <w:rFonts w:ascii="宋体" w:hAnsi="宋体" w:eastAsia="宋体" w:cs="宋体"/>
                <w:color w:val="000000"/>
                <w:sz w:val="16"/>
                <w:szCs w:val="16"/>
              </w:rPr>
            </w:pP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F44C48">
            <w:pPr>
              <w:jc w:val="right"/>
              <w:rPr>
                <w:rFonts w:ascii="宋体" w:hAnsi="宋体" w:eastAsia="宋体" w:cs="宋体"/>
                <w:color w:val="000000"/>
                <w:sz w:val="16"/>
                <w:szCs w:val="16"/>
              </w:rPr>
            </w:pP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3FC0B3E">
            <w:pPr>
              <w:jc w:val="right"/>
              <w:rPr>
                <w:rFonts w:ascii="宋体" w:hAnsi="宋体" w:eastAsia="宋体" w:cs="宋体"/>
                <w:color w:val="000000"/>
                <w:sz w:val="16"/>
                <w:szCs w:val="16"/>
              </w:rPr>
            </w:pPr>
          </w:p>
        </w:tc>
      </w:tr>
      <w:tr w14:paraId="27857236">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60A6F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二、政府性基金预算财政拨款</w:t>
            </w:r>
          </w:p>
        </w:tc>
        <w:tc>
          <w:tcPr>
            <w:tcW w:w="10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0FDA6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2486" w:type="dxa"/>
            <w:gridSpan w:val="3"/>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750E739">
            <w:pPr>
              <w:jc w:val="left"/>
              <w:rPr>
                <w:rFonts w:ascii="宋体" w:hAnsi="宋体" w:eastAsia="宋体" w:cs="宋体"/>
                <w:color w:val="000000"/>
                <w:sz w:val="16"/>
                <w:szCs w:val="16"/>
              </w:rPr>
            </w:pPr>
          </w:p>
        </w:tc>
        <w:tc>
          <w:tcPr>
            <w:tcW w:w="82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05DCC8">
            <w:pPr>
              <w:jc w:val="right"/>
              <w:rPr>
                <w:rFonts w:ascii="宋体" w:hAnsi="宋体" w:eastAsia="宋体" w:cs="宋体"/>
                <w:color w:val="000000"/>
                <w:sz w:val="16"/>
                <w:szCs w:val="16"/>
              </w:rPr>
            </w:pPr>
          </w:p>
        </w:tc>
        <w:tc>
          <w:tcPr>
            <w:tcW w:w="819"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49A583">
            <w:pPr>
              <w:jc w:val="right"/>
              <w:rPr>
                <w:rFonts w:ascii="宋体" w:hAnsi="宋体" w:eastAsia="宋体" w:cs="宋体"/>
                <w:color w:val="000000"/>
                <w:sz w:val="16"/>
                <w:szCs w:val="16"/>
              </w:rPr>
            </w:pPr>
          </w:p>
        </w:tc>
        <w:tc>
          <w:tcPr>
            <w:tcW w:w="957"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41CEBC3">
            <w:pPr>
              <w:jc w:val="right"/>
              <w:rPr>
                <w:rFonts w:ascii="宋体" w:hAnsi="宋体" w:eastAsia="宋体" w:cs="宋体"/>
                <w:color w:val="000000"/>
                <w:sz w:val="16"/>
                <w:szCs w:val="16"/>
              </w:rPr>
            </w:pPr>
          </w:p>
        </w:tc>
      </w:tr>
      <w:tr w14:paraId="5084BC82">
        <w:tblPrEx>
          <w:tblCellMar>
            <w:top w:w="0" w:type="dxa"/>
            <w:left w:w="0" w:type="dxa"/>
            <w:bottom w:w="0" w:type="dxa"/>
            <w:right w:w="0" w:type="dxa"/>
          </w:tblCellMar>
        </w:tblPrEx>
        <w:trPr>
          <w:gridBefore w:val="3"/>
          <w:gridAfter w:val="1"/>
          <w:wBefore w:w="435" w:type="dxa"/>
          <w:wAfter w:w="243" w:type="dxa"/>
          <w:trHeight w:val="347" w:hRule="atLeast"/>
          <w:jc w:val="center"/>
        </w:trPr>
        <w:tc>
          <w:tcPr>
            <w:tcW w:w="2690" w:type="dxa"/>
            <w:gridSpan w:val="2"/>
            <w:tcBorders>
              <w:top w:val="nil"/>
              <w:left w:val="single" w:color="000000" w:sz="4" w:space="0"/>
              <w:bottom w:val="single" w:color="000000" w:sz="8" w:space="0"/>
              <w:right w:val="single" w:color="000000" w:sz="4" w:space="0"/>
            </w:tcBorders>
            <w:shd w:val="clear" w:color="FFFFFF" w:fill="C0C0C0"/>
            <w:noWrap/>
            <w:tcMar>
              <w:top w:w="15" w:type="dxa"/>
              <w:left w:w="15" w:type="dxa"/>
              <w:right w:w="15" w:type="dxa"/>
            </w:tcMar>
            <w:vAlign w:val="center"/>
          </w:tcPr>
          <w:p w14:paraId="6E8ABF50">
            <w:pPr>
              <w:widowControl/>
              <w:jc w:val="center"/>
              <w:textAlignment w:val="center"/>
              <w:rPr>
                <w:rFonts w:ascii="宋体" w:hAnsi="宋体" w:eastAsia="宋体" w:cs="宋体"/>
                <w:b/>
                <w:color w:val="000000"/>
                <w:sz w:val="16"/>
                <w:szCs w:val="16"/>
              </w:rPr>
            </w:pPr>
            <w:r>
              <w:rPr>
                <w:rFonts w:hint="eastAsia" w:ascii="宋体" w:hAnsi="宋体" w:eastAsia="宋体" w:cs="宋体"/>
                <w:b/>
                <w:color w:val="000000"/>
                <w:kern w:val="0"/>
                <w:sz w:val="16"/>
                <w:szCs w:val="16"/>
              </w:rPr>
              <w:t>总计</w:t>
            </w:r>
          </w:p>
        </w:tc>
        <w:tc>
          <w:tcPr>
            <w:tcW w:w="1020" w:type="dxa"/>
            <w:gridSpan w:val="2"/>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3B8E285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13,257.21</w:t>
            </w:r>
          </w:p>
        </w:tc>
        <w:tc>
          <w:tcPr>
            <w:tcW w:w="2486" w:type="dxa"/>
            <w:gridSpan w:val="3"/>
            <w:tcBorders>
              <w:top w:val="nil"/>
              <w:left w:val="nil"/>
              <w:bottom w:val="single" w:color="000000" w:sz="8" w:space="0"/>
              <w:right w:val="single" w:color="000000" w:sz="4" w:space="0"/>
            </w:tcBorders>
            <w:shd w:val="clear" w:color="FFFFFF" w:fill="C0C0C0"/>
            <w:noWrap/>
            <w:tcMar>
              <w:top w:w="15" w:type="dxa"/>
              <w:left w:w="15" w:type="dxa"/>
              <w:right w:w="15" w:type="dxa"/>
            </w:tcMar>
            <w:vAlign w:val="center"/>
          </w:tcPr>
          <w:p w14:paraId="03B6A2E6">
            <w:pPr>
              <w:widowControl/>
              <w:jc w:val="center"/>
              <w:textAlignment w:val="center"/>
              <w:rPr>
                <w:rFonts w:ascii="宋体" w:hAnsi="宋体" w:eastAsia="宋体" w:cs="宋体"/>
                <w:b/>
                <w:color w:val="000000"/>
                <w:sz w:val="16"/>
                <w:szCs w:val="16"/>
              </w:rPr>
            </w:pPr>
            <w:r>
              <w:rPr>
                <w:rFonts w:hint="eastAsia" w:ascii="宋体" w:hAnsi="宋体" w:eastAsia="宋体" w:cs="宋体"/>
                <w:b/>
                <w:color w:val="000000"/>
                <w:kern w:val="0"/>
                <w:sz w:val="16"/>
                <w:szCs w:val="16"/>
              </w:rPr>
              <w:t>总计</w:t>
            </w:r>
          </w:p>
        </w:tc>
        <w:tc>
          <w:tcPr>
            <w:tcW w:w="826" w:type="dxa"/>
            <w:gridSpan w:val="2"/>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2D4A34C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13,257.21</w:t>
            </w:r>
          </w:p>
        </w:tc>
        <w:tc>
          <w:tcPr>
            <w:tcW w:w="819" w:type="dxa"/>
            <w:gridSpan w:val="2"/>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4EFF4CB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9,096.62</w:t>
            </w:r>
          </w:p>
        </w:tc>
        <w:tc>
          <w:tcPr>
            <w:tcW w:w="957" w:type="dxa"/>
            <w:gridSpan w:val="2"/>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14:paraId="7852E4F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r>
      <w:tr w14:paraId="45B280B1">
        <w:tblPrEx>
          <w:tblCellMar>
            <w:top w:w="0" w:type="dxa"/>
            <w:left w:w="0" w:type="dxa"/>
            <w:bottom w:w="0" w:type="dxa"/>
            <w:right w:w="0" w:type="dxa"/>
          </w:tblCellMar>
        </w:tblPrEx>
        <w:trPr>
          <w:gridBefore w:val="3"/>
          <w:gridAfter w:val="1"/>
          <w:wBefore w:w="435" w:type="dxa"/>
          <w:wAfter w:w="243" w:type="dxa"/>
          <w:trHeight w:val="680" w:hRule="atLeast"/>
          <w:jc w:val="center"/>
        </w:trPr>
        <w:tc>
          <w:tcPr>
            <w:tcW w:w="8798" w:type="dxa"/>
            <w:gridSpan w:val="13"/>
            <w:tcBorders>
              <w:top w:val="nil"/>
              <w:left w:val="nil"/>
              <w:bottom w:val="nil"/>
              <w:right w:val="nil"/>
            </w:tcBorders>
            <w:shd w:val="clear" w:color="auto" w:fill="auto"/>
            <w:tcMar>
              <w:top w:w="15" w:type="dxa"/>
              <w:left w:w="15" w:type="dxa"/>
              <w:right w:w="15" w:type="dxa"/>
            </w:tcMar>
            <w:vAlign w:val="center"/>
          </w:tcPr>
          <w:p w14:paraId="372C2C8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注：本表反映部门本年度一般公共预算财政拨款和政府性基金预算财政拨款的总收支和年末结转结余情况。本表金额转换为万元时，因四舍五入可能存在尾差。</w:t>
            </w:r>
          </w:p>
        </w:tc>
      </w:tr>
      <w:tr w14:paraId="5B5DE39D">
        <w:tblPrEx>
          <w:tblCellMar>
            <w:top w:w="0" w:type="dxa"/>
            <w:left w:w="0" w:type="dxa"/>
            <w:bottom w:w="0" w:type="dxa"/>
            <w:right w:w="0" w:type="dxa"/>
          </w:tblCellMar>
        </w:tblPrEx>
        <w:trPr>
          <w:trHeight w:val="540" w:hRule="atLeast"/>
          <w:jc w:val="center"/>
        </w:trPr>
        <w:tc>
          <w:tcPr>
            <w:tcW w:w="9476" w:type="dxa"/>
            <w:gridSpan w:val="17"/>
            <w:tcBorders>
              <w:top w:val="nil"/>
              <w:left w:val="nil"/>
              <w:bottom w:val="nil"/>
              <w:right w:val="nil"/>
            </w:tcBorders>
            <w:shd w:val="clear" w:color="auto" w:fill="auto"/>
            <w:noWrap/>
            <w:tcMar>
              <w:top w:w="15" w:type="dxa"/>
              <w:left w:w="15" w:type="dxa"/>
              <w:right w:w="15" w:type="dxa"/>
            </w:tcMar>
            <w:vAlign w:val="bottom"/>
          </w:tcPr>
          <w:p w14:paraId="54B469FA">
            <w:pPr>
              <w:widowControl/>
              <w:jc w:val="center"/>
              <w:textAlignment w:val="bottom"/>
              <w:rPr>
                <w:rFonts w:ascii="宋体" w:hAnsi="宋体" w:eastAsia="宋体" w:cs="宋体"/>
                <w:color w:val="000000"/>
                <w:sz w:val="44"/>
                <w:szCs w:val="44"/>
              </w:rPr>
            </w:pPr>
            <w:r>
              <w:rPr>
                <w:rFonts w:hint="eastAsia" w:ascii="宋体" w:hAnsi="宋体" w:eastAsia="宋体" w:cs="宋体"/>
                <w:color w:val="000000"/>
                <w:kern w:val="0"/>
                <w:sz w:val="44"/>
                <w:szCs w:val="44"/>
              </w:rPr>
              <w:t>一般公共预算支出情况表（按功能分类科目）</w:t>
            </w:r>
          </w:p>
        </w:tc>
      </w:tr>
      <w:tr w14:paraId="51EC21AB">
        <w:tblPrEx>
          <w:tblCellMar>
            <w:top w:w="0" w:type="dxa"/>
            <w:left w:w="0" w:type="dxa"/>
            <w:bottom w:w="0" w:type="dxa"/>
            <w:right w:w="0" w:type="dxa"/>
          </w:tblCellMar>
        </w:tblPrEx>
        <w:trPr>
          <w:trHeight w:val="255" w:hRule="atLeast"/>
          <w:jc w:val="center"/>
        </w:trPr>
        <w:tc>
          <w:tcPr>
            <w:tcW w:w="196" w:type="dxa"/>
            <w:tcBorders>
              <w:top w:val="nil"/>
              <w:left w:val="nil"/>
              <w:bottom w:val="nil"/>
              <w:right w:val="nil"/>
            </w:tcBorders>
            <w:shd w:val="clear" w:color="auto" w:fill="auto"/>
            <w:noWrap/>
            <w:tcMar>
              <w:top w:w="15" w:type="dxa"/>
              <w:left w:w="15" w:type="dxa"/>
              <w:right w:w="15" w:type="dxa"/>
            </w:tcMar>
            <w:vAlign w:val="bottom"/>
          </w:tcPr>
          <w:p w14:paraId="44B8B8A8">
            <w:pPr>
              <w:rPr>
                <w:rFonts w:ascii="Arial" w:hAnsi="Arial" w:cs="Arial"/>
                <w:color w:val="000000"/>
                <w:sz w:val="20"/>
              </w:rPr>
            </w:pPr>
          </w:p>
        </w:tc>
        <w:tc>
          <w:tcPr>
            <w:tcW w:w="196" w:type="dxa"/>
            <w:tcBorders>
              <w:top w:val="nil"/>
              <w:left w:val="nil"/>
              <w:bottom w:val="nil"/>
              <w:right w:val="nil"/>
            </w:tcBorders>
            <w:shd w:val="clear" w:color="auto" w:fill="auto"/>
            <w:noWrap/>
            <w:tcMar>
              <w:top w:w="15" w:type="dxa"/>
              <w:left w:w="15" w:type="dxa"/>
              <w:right w:w="15" w:type="dxa"/>
            </w:tcMar>
            <w:vAlign w:val="bottom"/>
          </w:tcPr>
          <w:p w14:paraId="289AF37E">
            <w:pPr>
              <w:rPr>
                <w:rFonts w:ascii="Arial" w:hAnsi="Arial" w:cs="Arial"/>
                <w:color w:val="000000"/>
                <w:sz w:val="20"/>
              </w:rPr>
            </w:pPr>
          </w:p>
        </w:tc>
        <w:tc>
          <w:tcPr>
            <w:tcW w:w="199" w:type="dxa"/>
            <w:gridSpan w:val="2"/>
            <w:tcBorders>
              <w:top w:val="nil"/>
              <w:left w:val="nil"/>
              <w:bottom w:val="nil"/>
              <w:right w:val="nil"/>
            </w:tcBorders>
            <w:shd w:val="clear" w:color="auto" w:fill="auto"/>
            <w:noWrap/>
            <w:tcMar>
              <w:top w:w="15" w:type="dxa"/>
              <w:left w:w="15" w:type="dxa"/>
              <w:right w:w="15" w:type="dxa"/>
            </w:tcMar>
            <w:vAlign w:val="bottom"/>
          </w:tcPr>
          <w:p w14:paraId="1205BCE4">
            <w:pPr>
              <w:rPr>
                <w:rFonts w:ascii="Arial" w:hAnsi="Arial" w:cs="Arial"/>
                <w:color w:val="000000"/>
                <w:sz w:val="20"/>
              </w:rPr>
            </w:pPr>
          </w:p>
        </w:tc>
        <w:tc>
          <w:tcPr>
            <w:tcW w:w="3363" w:type="dxa"/>
            <w:gridSpan w:val="2"/>
            <w:tcBorders>
              <w:top w:val="nil"/>
              <w:left w:val="nil"/>
              <w:bottom w:val="nil"/>
              <w:right w:val="nil"/>
            </w:tcBorders>
            <w:shd w:val="clear" w:color="auto" w:fill="auto"/>
            <w:noWrap/>
            <w:tcMar>
              <w:top w:w="15" w:type="dxa"/>
              <w:left w:w="15" w:type="dxa"/>
              <w:right w:w="15" w:type="dxa"/>
            </w:tcMar>
            <w:vAlign w:val="bottom"/>
          </w:tcPr>
          <w:p w14:paraId="50D7E4F8">
            <w:pPr>
              <w:rPr>
                <w:rFonts w:ascii="Arial" w:hAnsi="Arial" w:cs="Arial"/>
                <w:color w:val="000000"/>
                <w:sz w:val="20"/>
              </w:rPr>
            </w:pPr>
          </w:p>
        </w:tc>
        <w:tc>
          <w:tcPr>
            <w:tcW w:w="963" w:type="dxa"/>
            <w:gridSpan w:val="2"/>
            <w:tcBorders>
              <w:top w:val="nil"/>
              <w:left w:val="nil"/>
              <w:bottom w:val="nil"/>
              <w:right w:val="nil"/>
            </w:tcBorders>
            <w:shd w:val="clear" w:color="auto" w:fill="auto"/>
            <w:noWrap/>
            <w:tcMar>
              <w:top w:w="15" w:type="dxa"/>
              <w:left w:w="15" w:type="dxa"/>
              <w:right w:w="15" w:type="dxa"/>
            </w:tcMar>
            <w:vAlign w:val="bottom"/>
          </w:tcPr>
          <w:p w14:paraId="7CD570DE">
            <w:pPr>
              <w:rPr>
                <w:rFonts w:ascii="Arial" w:hAnsi="Arial" w:cs="Arial"/>
                <w:color w:val="000000"/>
                <w:sz w:val="20"/>
              </w:rPr>
            </w:pPr>
          </w:p>
        </w:tc>
        <w:tc>
          <w:tcPr>
            <w:tcW w:w="946" w:type="dxa"/>
            <w:tcBorders>
              <w:top w:val="nil"/>
              <w:left w:val="nil"/>
              <w:bottom w:val="nil"/>
              <w:right w:val="nil"/>
            </w:tcBorders>
            <w:shd w:val="clear" w:color="auto" w:fill="auto"/>
            <w:noWrap/>
            <w:tcMar>
              <w:top w:w="15" w:type="dxa"/>
              <w:left w:w="15" w:type="dxa"/>
              <w:right w:w="15" w:type="dxa"/>
            </w:tcMar>
            <w:vAlign w:val="bottom"/>
          </w:tcPr>
          <w:p w14:paraId="1323F638">
            <w:pPr>
              <w:rPr>
                <w:rFonts w:ascii="Arial" w:hAnsi="Arial" w:cs="Arial"/>
                <w:color w:val="000000"/>
                <w:sz w:val="20"/>
              </w:rPr>
            </w:pPr>
          </w:p>
        </w:tc>
        <w:tc>
          <w:tcPr>
            <w:tcW w:w="920" w:type="dxa"/>
            <w:gridSpan w:val="2"/>
            <w:tcBorders>
              <w:top w:val="nil"/>
              <w:left w:val="nil"/>
              <w:bottom w:val="nil"/>
              <w:right w:val="nil"/>
            </w:tcBorders>
            <w:shd w:val="clear" w:color="auto" w:fill="auto"/>
            <w:noWrap/>
            <w:tcMar>
              <w:top w:w="15" w:type="dxa"/>
              <w:left w:w="15" w:type="dxa"/>
              <w:right w:w="15" w:type="dxa"/>
            </w:tcMar>
            <w:vAlign w:val="bottom"/>
          </w:tcPr>
          <w:p w14:paraId="0187CDD0">
            <w:pPr>
              <w:rPr>
                <w:rFonts w:ascii="Arial" w:hAnsi="Arial" w:cs="Arial"/>
                <w:color w:val="000000"/>
                <w:sz w:val="20"/>
              </w:rPr>
            </w:pPr>
          </w:p>
        </w:tc>
        <w:tc>
          <w:tcPr>
            <w:tcW w:w="768" w:type="dxa"/>
            <w:gridSpan w:val="2"/>
            <w:tcBorders>
              <w:top w:val="nil"/>
              <w:left w:val="nil"/>
              <w:bottom w:val="nil"/>
              <w:right w:val="nil"/>
            </w:tcBorders>
            <w:shd w:val="clear" w:color="auto" w:fill="auto"/>
            <w:noWrap/>
            <w:tcMar>
              <w:top w:w="15" w:type="dxa"/>
              <w:left w:w="15" w:type="dxa"/>
              <w:right w:w="15" w:type="dxa"/>
            </w:tcMar>
            <w:vAlign w:val="bottom"/>
          </w:tcPr>
          <w:p w14:paraId="50DF8795">
            <w:pPr>
              <w:rPr>
                <w:rFonts w:ascii="Arial" w:hAnsi="Arial" w:cs="Arial"/>
                <w:color w:val="000000"/>
                <w:sz w:val="20"/>
              </w:rPr>
            </w:pPr>
          </w:p>
        </w:tc>
        <w:tc>
          <w:tcPr>
            <w:tcW w:w="946" w:type="dxa"/>
            <w:gridSpan w:val="2"/>
            <w:tcBorders>
              <w:top w:val="nil"/>
              <w:left w:val="nil"/>
              <w:bottom w:val="nil"/>
              <w:right w:val="nil"/>
            </w:tcBorders>
            <w:shd w:val="clear" w:color="auto" w:fill="auto"/>
            <w:noWrap/>
            <w:tcMar>
              <w:top w:w="15" w:type="dxa"/>
              <w:left w:w="15" w:type="dxa"/>
              <w:right w:w="15" w:type="dxa"/>
            </w:tcMar>
            <w:vAlign w:val="bottom"/>
          </w:tcPr>
          <w:p w14:paraId="20E4041E">
            <w:pPr>
              <w:rPr>
                <w:rFonts w:ascii="Arial" w:hAnsi="Arial" w:cs="Arial"/>
                <w:color w:val="000000"/>
                <w:sz w:val="20"/>
              </w:rPr>
            </w:pPr>
          </w:p>
        </w:tc>
        <w:tc>
          <w:tcPr>
            <w:tcW w:w="979" w:type="dxa"/>
            <w:gridSpan w:val="2"/>
            <w:tcBorders>
              <w:top w:val="nil"/>
              <w:left w:val="nil"/>
              <w:bottom w:val="nil"/>
              <w:right w:val="nil"/>
            </w:tcBorders>
            <w:shd w:val="clear" w:color="auto" w:fill="auto"/>
            <w:noWrap/>
            <w:tcMar>
              <w:top w:w="15" w:type="dxa"/>
              <w:left w:w="15" w:type="dxa"/>
              <w:right w:w="15" w:type="dxa"/>
            </w:tcMar>
            <w:vAlign w:val="bottom"/>
          </w:tcPr>
          <w:p w14:paraId="457F344D">
            <w:pPr>
              <w:widowControl/>
              <w:jc w:val="right"/>
              <w:textAlignment w:val="bottom"/>
              <w:rPr>
                <w:rFonts w:ascii="宋体" w:hAnsi="宋体" w:eastAsia="宋体" w:cs="宋体"/>
                <w:color w:val="000000"/>
                <w:sz w:val="20"/>
              </w:rPr>
            </w:pPr>
            <w:r>
              <w:rPr>
                <w:rFonts w:hint="eastAsia" w:ascii="宋体" w:hAnsi="宋体" w:eastAsia="宋体" w:cs="宋体"/>
                <w:color w:val="000000"/>
                <w:kern w:val="0"/>
                <w:sz w:val="20"/>
              </w:rPr>
              <w:t>05表</w:t>
            </w:r>
          </w:p>
        </w:tc>
      </w:tr>
      <w:tr w14:paraId="69B85A54">
        <w:tblPrEx>
          <w:tblCellMar>
            <w:top w:w="0" w:type="dxa"/>
            <w:left w:w="0" w:type="dxa"/>
            <w:bottom w:w="0" w:type="dxa"/>
            <w:right w:w="0" w:type="dxa"/>
          </w:tblCellMar>
        </w:tblPrEx>
        <w:trPr>
          <w:trHeight w:val="255" w:hRule="atLeast"/>
          <w:jc w:val="center"/>
        </w:trPr>
        <w:tc>
          <w:tcPr>
            <w:tcW w:w="4917" w:type="dxa"/>
            <w:gridSpan w:val="8"/>
            <w:tcBorders>
              <w:top w:val="nil"/>
              <w:left w:val="nil"/>
              <w:bottom w:val="nil"/>
              <w:right w:val="nil"/>
            </w:tcBorders>
            <w:shd w:val="clear" w:color="auto" w:fill="auto"/>
            <w:noWrap/>
            <w:tcMar>
              <w:top w:w="15" w:type="dxa"/>
              <w:left w:w="15" w:type="dxa"/>
              <w:right w:w="15" w:type="dxa"/>
            </w:tcMar>
            <w:vAlign w:val="bottom"/>
          </w:tcPr>
          <w:p w14:paraId="1B62B258">
            <w:pPr>
              <w:widowControl/>
              <w:jc w:val="left"/>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编制部门：西安市蓝田县自然资源和规划局（汇总）</w:t>
            </w:r>
          </w:p>
        </w:tc>
        <w:tc>
          <w:tcPr>
            <w:tcW w:w="946" w:type="dxa"/>
            <w:tcBorders>
              <w:top w:val="nil"/>
              <w:left w:val="nil"/>
              <w:bottom w:val="nil"/>
              <w:right w:val="nil"/>
            </w:tcBorders>
            <w:shd w:val="clear" w:color="auto" w:fill="auto"/>
            <w:noWrap/>
            <w:tcMar>
              <w:top w:w="15" w:type="dxa"/>
              <w:left w:w="15" w:type="dxa"/>
              <w:right w:w="15" w:type="dxa"/>
            </w:tcMar>
            <w:vAlign w:val="bottom"/>
          </w:tcPr>
          <w:p w14:paraId="7069D80B">
            <w:pPr>
              <w:rPr>
                <w:rFonts w:ascii="Arial" w:hAnsi="Arial" w:cs="Arial"/>
                <w:color w:val="000000"/>
                <w:sz w:val="16"/>
                <w:szCs w:val="16"/>
              </w:rPr>
            </w:pPr>
          </w:p>
        </w:tc>
        <w:tc>
          <w:tcPr>
            <w:tcW w:w="920" w:type="dxa"/>
            <w:gridSpan w:val="2"/>
            <w:tcBorders>
              <w:top w:val="nil"/>
              <w:left w:val="nil"/>
              <w:bottom w:val="nil"/>
              <w:right w:val="nil"/>
            </w:tcBorders>
            <w:shd w:val="clear" w:color="auto" w:fill="auto"/>
            <w:noWrap/>
            <w:tcMar>
              <w:top w:w="15" w:type="dxa"/>
              <w:left w:w="15" w:type="dxa"/>
              <w:right w:w="15" w:type="dxa"/>
            </w:tcMar>
            <w:vAlign w:val="bottom"/>
          </w:tcPr>
          <w:p w14:paraId="6AF64669">
            <w:pPr>
              <w:widowControl/>
              <w:jc w:val="center"/>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2019年</w:t>
            </w:r>
          </w:p>
        </w:tc>
        <w:tc>
          <w:tcPr>
            <w:tcW w:w="768" w:type="dxa"/>
            <w:gridSpan w:val="2"/>
            <w:tcBorders>
              <w:top w:val="nil"/>
              <w:left w:val="nil"/>
              <w:bottom w:val="nil"/>
              <w:right w:val="nil"/>
            </w:tcBorders>
            <w:shd w:val="clear" w:color="auto" w:fill="auto"/>
            <w:noWrap/>
            <w:tcMar>
              <w:top w:w="15" w:type="dxa"/>
              <w:left w:w="15" w:type="dxa"/>
              <w:right w:w="15" w:type="dxa"/>
            </w:tcMar>
            <w:vAlign w:val="bottom"/>
          </w:tcPr>
          <w:p w14:paraId="442164E3">
            <w:pPr>
              <w:rPr>
                <w:rFonts w:ascii="Arial" w:hAnsi="Arial" w:cs="Arial"/>
                <w:color w:val="000000"/>
                <w:sz w:val="16"/>
                <w:szCs w:val="16"/>
              </w:rPr>
            </w:pPr>
          </w:p>
        </w:tc>
        <w:tc>
          <w:tcPr>
            <w:tcW w:w="946" w:type="dxa"/>
            <w:gridSpan w:val="2"/>
            <w:tcBorders>
              <w:top w:val="nil"/>
              <w:left w:val="nil"/>
              <w:bottom w:val="nil"/>
              <w:right w:val="nil"/>
            </w:tcBorders>
            <w:shd w:val="clear" w:color="auto" w:fill="auto"/>
            <w:noWrap/>
            <w:tcMar>
              <w:top w:w="15" w:type="dxa"/>
              <w:left w:w="15" w:type="dxa"/>
              <w:right w:w="15" w:type="dxa"/>
            </w:tcMar>
            <w:vAlign w:val="bottom"/>
          </w:tcPr>
          <w:p w14:paraId="19730865">
            <w:pPr>
              <w:rPr>
                <w:rFonts w:ascii="Arial" w:hAnsi="Arial" w:cs="Arial"/>
                <w:color w:val="000000"/>
                <w:sz w:val="16"/>
                <w:szCs w:val="16"/>
              </w:rPr>
            </w:pPr>
          </w:p>
        </w:tc>
        <w:tc>
          <w:tcPr>
            <w:tcW w:w="979" w:type="dxa"/>
            <w:gridSpan w:val="2"/>
            <w:tcBorders>
              <w:top w:val="nil"/>
              <w:left w:val="nil"/>
              <w:bottom w:val="nil"/>
              <w:right w:val="nil"/>
            </w:tcBorders>
            <w:shd w:val="clear" w:color="auto" w:fill="auto"/>
            <w:noWrap/>
            <w:tcMar>
              <w:top w:w="15" w:type="dxa"/>
              <w:left w:w="15" w:type="dxa"/>
              <w:right w:w="15" w:type="dxa"/>
            </w:tcMar>
            <w:vAlign w:val="bottom"/>
          </w:tcPr>
          <w:p w14:paraId="44E52097">
            <w:pPr>
              <w:widowControl/>
              <w:jc w:val="right"/>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单位：万元</w:t>
            </w:r>
          </w:p>
        </w:tc>
      </w:tr>
      <w:tr w14:paraId="0B6729E3">
        <w:tblPrEx>
          <w:tblCellMar>
            <w:top w:w="0" w:type="dxa"/>
            <w:left w:w="0" w:type="dxa"/>
            <w:bottom w:w="0" w:type="dxa"/>
            <w:right w:w="0" w:type="dxa"/>
          </w:tblCellMar>
        </w:tblPrEx>
        <w:trPr>
          <w:trHeight w:val="308" w:hRule="atLeast"/>
          <w:jc w:val="center"/>
        </w:trPr>
        <w:tc>
          <w:tcPr>
            <w:tcW w:w="3954" w:type="dxa"/>
            <w:gridSpan w:val="6"/>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3BE07F">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项目</w:t>
            </w:r>
          </w:p>
        </w:tc>
        <w:tc>
          <w:tcPr>
            <w:tcW w:w="963" w:type="dxa"/>
            <w:gridSpan w:val="2"/>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8E35481">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本年支出合计</w:t>
            </w:r>
          </w:p>
        </w:tc>
        <w:tc>
          <w:tcPr>
            <w:tcW w:w="2634" w:type="dxa"/>
            <w:gridSpan w:val="5"/>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AF8A8DA">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基本支出</w:t>
            </w:r>
          </w:p>
        </w:tc>
        <w:tc>
          <w:tcPr>
            <w:tcW w:w="946" w:type="dxa"/>
            <w:gridSpan w:val="2"/>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DD635F3">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项目支出</w:t>
            </w:r>
          </w:p>
        </w:tc>
        <w:tc>
          <w:tcPr>
            <w:tcW w:w="979" w:type="dxa"/>
            <w:gridSpan w:val="2"/>
            <w:vMerge w:val="restart"/>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6B98B977">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备注</w:t>
            </w:r>
          </w:p>
        </w:tc>
      </w:tr>
      <w:tr w14:paraId="1BEA5F97">
        <w:tblPrEx>
          <w:tblCellMar>
            <w:top w:w="0" w:type="dxa"/>
            <w:left w:w="0" w:type="dxa"/>
            <w:bottom w:w="0" w:type="dxa"/>
            <w:right w:w="0" w:type="dxa"/>
          </w:tblCellMar>
        </w:tblPrEx>
        <w:trPr>
          <w:trHeight w:val="312" w:hRule="atLeast"/>
          <w:jc w:val="center"/>
        </w:trPr>
        <w:tc>
          <w:tcPr>
            <w:tcW w:w="591" w:type="dxa"/>
            <w:gridSpan w:val="4"/>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E51B79">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功能分类科目编码</w:t>
            </w:r>
          </w:p>
        </w:tc>
        <w:tc>
          <w:tcPr>
            <w:tcW w:w="3363" w:type="dxa"/>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5E292DF">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科目名称</w:t>
            </w:r>
          </w:p>
        </w:tc>
        <w:tc>
          <w:tcPr>
            <w:tcW w:w="963"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B633A73">
            <w:pPr>
              <w:jc w:val="center"/>
              <w:rPr>
                <w:rFonts w:ascii="宋体" w:hAnsi="宋体" w:eastAsia="宋体" w:cs="宋体"/>
                <w:color w:val="000000"/>
                <w:sz w:val="16"/>
                <w:szCs w:val="16"/>
              </w:rPr>
            </w:pPr>
          </w:p>
        </w:tc>
        <w:tc>
          <w:tcPr>
            <w:tcW w:w="94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101C364">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小计</w:t>
            </w:r>
          </w:p>
        </w:tc>
        <w:tc>
          <w:tcPr>
            <w:tcW w:w="920" w:type="dxa"/>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D6FFF6F">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人员经费</w:t>
            </w:r>
          </w:p>
        </w:tc>
        <w:tc>
          <w:tcPr>
            <w:tcW w:w="768" w:type="dxa"/>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008C952">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公用经费</w:t>
            </w:r>
          </w:p>
        </w:tc>
        <w:tc>
          <w:tcPr>
            <w:tcW w:w="946"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D6CAA74">
            <w:pPr>
              <w:jc w:val="center"/>
              <w:rPr>
                <w:rFonts w:ascii="宋体" w:hAnsi="宋体" w:eastAsia="宋体" w:cs="宋体"/>
                <w:color w:val="000000"/>
                <w:sz w:val="16"/>
                <w:szCs w:val="16"/>
              </w:rPr>
            </w:pPr>
          </w:p>
        </w:tc>
        <w:tc>
          <w:tcPr>
            <w:tcW w:w="979" w:type="dxa"/>
            <w:gridSpan w:val="2"/>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3CDDDD0C">
            <w:pPr>
              <w:jc w:val="center"/>
              <w:rPr>
                <w:rFonts w:ascii="宋体" w:hAnsi="宋体" w:eastAsia="宋体" w:cs="宋体"/>
                <w:color w:val="000000"/>
                <w:sz w:val="16"/>
                <w:szCs w:val="16"/>
              </w:rPr>
            </w:pPr>
          </w:p>
        </w:tc>
      </w:tr>
      <w:tr w14:paraId="57A429EF">
        <w:tblPrEx>
          <w:tblCellMar>
            <w:top w:w="0" w:type="dxa"/>
            <w:left w:w="0" w:type="dxa"/>
            <w:bottom w:w="0" w:type="dxa"/>
            <w:right w:w="0" w:type="dxa"/>
          </w:tblCellMar>
        </w:tblPrEx>
        <w:trPr>
          <w:trHeight w:val="312" w:hRule="atLeast"/>
          <w:jc w:val="center"/>
        </w:trPr>
        <w:tc>
          <w:tcPr>
            <w:tcW w:w="591" w:type="dxa"/>
            <w:gridSpan w:val="4"/>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52EBBD">
            <w:pPr>
              <w:jc w:val="center"/>
              <w:rPr>
                <w:rFonts w:ascii="宋体" w:hAnsi="宋体" w:eastAsia="宋体" w:cs="宋体"/>
                <w:color w:val="000000"/>
                <w:sz w:val="16"/>
                <w:szCs w:val="16"/>
              </w:rPr>
            </w:pPr>
          </w:p>
        </w:tc>
        <w:tc>
          <w:tcPr>
            <w:tcW w:w="3363"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2C1929E">
            <w:pPr>
              <w:jc w:val="center"/>
              <w:rPr>
                <w:rFonts w:ascii="宋体" w:hAnsi="宋体" w:eastAsia="宋体" w:cs="宋体"/>
                <w:color w:val="000000"/>
                <w:sz w:val="16"/>
                <w:szCs w:val="16"/>
              </w:rPr>
            </w:pPr>
          </w:p>
        </w:tc>
        <w:tc>
          <w:tcPr>
            <w:tcW w:w="963"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79D8A55">
            <w:pPr>
              <w:jc w:val="center"/>
              <w:rPr>
                <w:rFonts w:ascii="宋体" w:hAnsi="宋体" w:eastAsia="宋体" w:cs="宋体"/>
                <w:color w:val="000000"/>
                <w:sz w:val="16"/>
                <w:szCs w:val="16"/>
              </w:rPr>
            </w:pPr>
          </w:p>
        </w:tc>
        <w:tc>
          <w:tcPr>
            <w:tcW w:w="94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4E5ACC3">
            <w:pPr>
              <w:jc w:val="center"/>
              <w:rPr>
                <w:rFonts w:ascii="宋体" w:hAnsi="宋体" w:eastAsia="宋体" w:cs="宋体"/>
                <w:color w:val="000000"/>
                <w:sz w:val="16"/>
                <w:szCs w:val="16"/>
              </w:rPr>
            </w:pPr>
          </w:p>
        </w:tc>
        <w:tc>
          <w:tcPr>
            <w:tcW w:w="920"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B2064A5">
            <w:pPr>
              <w:jc w:val="center"/>
              <w:rPr>
                <w:rFonts w:ascii="宋体" w:hAnsi="宋体" w:eastAsia="宋体" w:cs="宋体"/>
                <w:color w:val="000000"/>
                <w:sz w:val="16"/>
                <w:szCs w:val="16"/>
              </w:rPr>
            </w:pPr>
          </w:p>
        </w:tc>
        <w:tc>
          <w:tcPr>
            <w:tcW w:w="768"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D6B58A1">
            <w:pPr>
              <w:jc w:val="center"/>
              <w:rPr>
                <w:rFonts w:ascii="宋体" w:hAnsi="宋体" w:eastAsia="宋体" w:cs="宋体"/>
                <w:color w:val="000000"/>
                <w:sz w:val="16"/>
                <w:szCs w:val="16"/>
              </w:rPr>
            </w:pPr>
          </w:p>
        </w:tc>
        <w:tc>
          <w:tcPr>
            <w:tcW w:w="946"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E03971B">
            <w:pPr>
              <w:jc w:val="center"/>
              <w:rPr>
                <w:rFonts w:ascii="宋体" w:hAnsi="宋体" w:eastAsia="宋体" w:cs="宋体"/>
                <w:color w:val="000000"/>
                <w:sz w:val="16"/>
                <w:szCs w:val="16"/>
              </w:rPr>
            </w:pPr>
          </w:p>
        </w:tc>
        <w:tc>
          <w:tcPr>
            <w:tcW w:w="979" w:type="dxa"/>
            <w:gridSpan w:val="2"/>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129F3ECB">
            <w:pPr>
              <w:jc w:val="center"/>
              <w:rPr>
                <w:rFonts w:ascii="宋体" w:hAnsi="宋体" w:eastAsia="宋体" w:cs="宋体"/>
                <w:color w:val="000000"/>
                <w:sz w:val="16"/>
                <w:szCs w:val="16"/>
              </w:rPr>
            </w:pPr>
          </w:p>
        </w:tc>
      </w:tr>
      <w:tr w14:paraId="4DCBF97B">
        <w:tblPrEx>
          <w:tblCellMar>
            <w:top w:w="0" w:type="dxa"/>
            <w:left w:w="0" w:type="dxa"/>
            <w:bottom w:w="0" w:type="dxa"/>
            <w:right w:w="0" w:type="dxa"/>
          </w:tblCellMar>
        </w:tblPrEx>
        <w:trPr>
          <w:trHeight w:val="380" w:hRule="atLeast"/>
          <w:jc w:val="center"/>
        </w:trPr>
        <w:tc>
          <w:tcPr>
            <w:tcW w:w="591" w:type="dxa"/>
            <w:gridSpan w:val="4"/>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D83BF9">
            <w:pPr>
              <w:jc w:val="center"/>
              <w:rPr>
                <w:rFonts w:ascii="宋体" w:hAnsi="宋体" w:eastAsia="宋体" w:cs="宋体"/>
                <w:color w:val="000000"/>
                <w:sz w:val="16"/>
                <w:szCs w:val="16"/>
              </w:rPr>
            </w:pPr>
          </w:p>
        </w:tc>
        <w:tc>
          <w:tcPr>
            <w:tcW w:w="3363"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CD04D2A">
            <w:pPr>
              <w:jc w:val="center"/>
              <w:rPr>
                <w:rFonts w:ascii="宋体" w:hAnsi="宋体" w:eastAsia="宋体" w:cs="宋体"/>
                <w:color w:val="000000"/>
                <w:sz w:val="16"/>
                <w:szCs w:val="16"/>
              </w:rPr>
            </w:pPr>
          </w:p>
        </w:tc>
        <w:tc>
          <w:tcPr>
            <w:tcW w:w="963"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9CD645F">
            <w:pPr>
              <w:jc w:val="center"/>
              <w:rPr>
                <w:rFonts w:ascii="宋体" w:hAnsi="宋体" w:eastAsia="宋体" w:cs="宋体"/>
                <w:color w:val="000000"/>
                <w:sz w:val="16"/>
                <w:szCs w:val="16"/>
              </w:rPr>
            </w:pPr>
          </w:p>
        </w:tc>
        <w:tc>
          <w:tcPr>
            <w:tcW w:w="94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5D6B75C">
            <w:pPr>
              <w:jc w:val="center"/>
              <w:rPr>
                <w:rFonts w:ascii="宋体" w:hAnsi="宋体" w:eastAsia="宋体" w:cs="宋体"/>
                <w:color w:val="000000"/>
                <w:sz w:val="16"/>
                <w:szCs w:val="16"/>
              </w:rPr>
            </w:pPr>
          </w:p>
        </w:tc>
        <w:tc>
          <w:tcPr>
            <w:tcW w:w="920"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888F77E">
            <w:pPr>
              <w:jc w:val="center"/>
              <w:rPr>
                <w:rFonts w:ascii="宋体" w:hAnsi="宋体" w:eastAsia="宋体" w:cs="宋体"/>
                <w:color w:val="000000"/>
                <w:sz w:val="16"/>
                <w:szCs w:val="16"/>
              </w:rPr>
            </w:pPr>
          </w:p>
        </w:tc>
        <w:tc>
          <w:tcPr>
            <w:tcW w:w="768"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B71153C">
            <w:pPr>
              <w:jc w:val="center"/>
              <w:rPr>
                <w:rFonts w:ascii="宋体" w:hAnsi="宋体" w:eastAsia="宋体" w:cs="宋体"/>
                <w:color w:val="000000"/>
                <w:sz w:val="16"/>
                <w:szCs w:val="16"/>
              </w:rPr>
            </w:pPr>
          </w:p>
        </w:tc>
        <w:tc>
          <w:tcPr>
            <w:tcW w:w="946" w:type="dxa"/>
            <w:gridSpan w:val="2"/>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CA484D2">
            <w:pPr>
              <w:jc w:val="center"/>
              <w:rPr>
                <w:rFonts w:ascii="宋体" w:hAnsi="宋体" w:eastAsia="宋体" w:cs="宋体"/>
                <w:color w:val="000000"/>
                <w:sz w:val="16"/>
                <w:szCs w:val="16"/>
              </w:rPr>
            </w:pPr>
          </w:p>
        </w:tc>
        <w:tc>
          <w:tcPr>
            <w:tcW w:w="979" w:type="dxa"/>
            <w:gridSpan w:val="2"/>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2B493C8C">
            <w:pPr>
              <w:jc w:val="center"/>
              <w:rPr>
                <w:rFonts w:ascii="宋体" w:hAnsi="宋体" w:eastAsia="宋体" w:cs="宋体"/>
                <w:color w:val="000000"/>
                <w:sz w:val="16"/>
                <w:szCs w:val="16"/>
              </w:rPr>
            </w:pPr>
          </w:p>
        </w:tc>
      </w:tr>
      <w:tr w14:paraId="0C839FD4">
        <w:tblPrEx>
          <w:tblCellMar>
            <w:top w:w="0" w:type="dxa"/>
            <w:left w:w="0" w:type="dxa"/>
            <w:bottom w:w="0" w:type="dxa"/>
            <w:right w:w="0" w:type="dxa"/>
          </w:tblCellMar>
        </w:tblPrEx>
        <w:trPr>
          <w:trHeight w:val="308" w:hRule="atLeast"/>
          <w:jc w:val="center"/>
        </w:trPr>
        <w:tc>
          <w:tcPr>
            <w:tcW w:w="3954" w:type="dxa"/>
            <w:gridSpan w:val="6"/>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D914A1">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合计</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B6825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9,096.62</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1B732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1,433.65</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E8B5F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1,392.77</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AA6B4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40.88</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1BA59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7,662.97</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ED963F1">
            <w:pPr>
              <w:jc w:val="right"/>
              <w:rPr>
                <w:rFonts w:ascii="宋体" w:hAnsi="宋体" w:eastAsia="宋体" w:cs="宋体"/>
                <w:color w:val="000000"/>
                <w:sz w:val="16"/>
                <w:szCs w:val="16"/>
              </w:rPr>
            </w:pPr>
          </w:p>
        </w:tc>
      </w:tr>
      <w:tr w14:paraId="28FE09E1">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99D50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208</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1D14DD">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社会保障和就业支出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47061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D6240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D9EA5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352B8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EA1C8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E5C278A">
            <w:pPr>
              <w:jc w:val="right"/>
              <w:rPr>
                <w:rFonts w:ascii="宋体" w:hAnsi="宋体" w:eastAsia="宋体" w:cs="宋体"/>
                <w:color w:val="000000"/>
                <w:sz w:val="16"/>
                <w:szCs w:val="16"/>
              </w:rPr>
            </w:pPr>
          </w:p>
        </w:tc>
      </w:tr>
      <w:tr w14:paraId="781FD70F">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2861E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20805</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B4301D">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行政事业单位离退休</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A06FD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8EB0D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E492E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C923A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98F69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B89CC80">
            <w:pPr>
              <w:jc w:val="right"/>
              <w:rPr>
                <w:rFonts w:ascii="宋体" w:hAnsi="宋体" w:eastAsia="宋体" w:cs="宋体"/>
                <w:color w:val="000000"/>
                <w:sz w:val="16"/>
                <w:szCs w:val="16"/>
              </w:rPr>
            </w:pPr>
          </w:p>
        </w:tc>
      </w:tr>
      <w:tr w14:paraId="6E303120">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064E8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2080505</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B8B69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机关事业单位基本养老保险缴费支出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2E7C6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8B9CD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862CD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80624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60372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07AAB2B">
            <w:pPr>
              <w:jc w:val="right"/>
              <w:rPr>
                <w:rFonts w:ascii="宋体" w:hAnsi="宋体" w:eastAsia="宋体" w:cs="宋体"/>
                <w:color w:val="000000"/>
                <w:sz w:val="16"/>
                <w:szCs w:val="16"/>
              </w:rPr>
            </w:pPr>
          </w:p>
        </w:tc>
      </w:tr>
      <w:tr w14:paraId="3DBA4AF6">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70DF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509AEB">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卫生健康支出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CFF20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37.45</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B6588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37.45</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E0CF0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37.45</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CA991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3EF8F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1578C65">
            <w:pPr>
              <w:jc w:val="right"/>
              <w:rPr>
                <w:rFonts w:ascii="宋体" w:hAnsi="宋体" w:eastAsia="宋体" w:cs="宋体"/>
                <w:color w:val="000000"/>
                <w:sz w:val="16"/>
                <w:szCs w:val="16"/>
              </w:rPr>
            </w:pPr>
          </w:p>
        </w:tc>
      </w:tr>
      <w:tr w14:paraId="4F4AF6BB">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CCCCF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21011</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4970C2">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行政事业单位医疗</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F1A9A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34.50</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39767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34.50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75A15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34.50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ABF2C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7F74E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FC68E5A">
            <w:pPr>
              <w:jc w:val="right"/>
              <w:rPr>
                <w:rFonts w:ascii="宋体" w:hAnsi="宋体" w:eastAsia="宋体" w:cs="宋体"/>
                <w:color w:val="000000"/>
                <w:sz w:val="16"/>
                <w:szCs w:val="16"/>
              </w:rPr>
            </w:pPr>
          </w:p>
        </w:tc>
      </w:tr>
      <w:tr w14:paraId="5BDDA531">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6577C">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2101101</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C8C2A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行政单位医疗</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8D0D1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27.72</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E85E4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27.72</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136A6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27.72</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61855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FAEA9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5DF20C6">
            <w:pPr>
              <w:jc w:val="right"/>
              <w:rPr>
                <w:rFonts w:ascii="宋体" w:hAnsi="宋体" w:eastAsia="宋体" w:cs="宋体"/>
                <w:color w:val="000000"/>
                <w:sz w:val="16"/>
                <w:szCs w:val="16"/>
              </w:rPr>
            </w:pPr>
          </w:p>
        </w:tc>
      </w:tr>
      <w:tr w14:paraId="3A11F34C">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22C70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2101102</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4D8FC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事业单位医疗</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7B183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4.99</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5D6DC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4.99</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29665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4.99</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4D5BD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B937E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74D4243">
            <w:pPr>
              <w:jc w:val="right"/>
              <w:rPr>
                <w:rFonts w:ascii="宋体" w:hAnsi="宋体" w:eastAsia="宋体" w:cs="宋体"/>
                <w:color w:val="000000"/>
                <w:sz w:val="16"/>
                <w:szCs w:val="16"/>
              </w:rPr>
            </w:pPr>
          </w:p>
        </w:tc>
      </w:tr>
      <w:tr w14:paraId="5394D545">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52CC3">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2101103</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F2611C">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公务员医疗补助</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A1CA2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1.79</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6DD84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1.79</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46C3D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1.79</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383BF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2094B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3F4BCC6">
            <w:pPr>
              <w:jc w:val="right"/>
              <w:rPr>
                <w:rFonts w:ascii="宋体" w:hAnsi="宋体" w:eastAsia="宋体" w:cs="宋体"/>
                <w:color w:val="000000"/>
                <w:sz w:val="16"/>
                <w:szCs w:val="16"/>
              </w:rPr>
            </w:pPr>
          </w:p>
        </w:tc>
      </w:tr>
      <w:tr w14:paraId="31B2DBFA">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7ED84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21099</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4B226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其他卫生健康支出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AD0B9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2.95</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86CAF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2.95</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A34C0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2.95</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EB734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44E9F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A646C73">
            <w:pPr>
              <w:jc w:val="right"/>
              <w:rPr>
                <w:rFonts w:ascii="宋体" w:hAnsi="宋体" w:eastAsia="宋体" w:cs="宋体"/>
                <w:color w:val="000000"/>
                <w:sz w:val="16"/>
                <w:szCs w:val="16"/>
              </w:rPr>
            </w:pPr>
          </w:p>
        </w:tc>
      </w:tr>
      <w:tr w14:paraId="4C978F16">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387062">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2109901</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41905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其他卫生健康支出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426C9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2.95</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74895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2.95</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9E208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2.95</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42BE4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AC84B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0E25B24">
            <w:pPr>
              <w:jc w:val="right"/>
              <w:rPr>
                <w:rFonts w:ascii="宋体" w:hAnsi="宋体" w:eastAsia="宋体" w:cs="宋体"/>
                <w:color w:val="000000"/>
                <w:sz w:val="16"/>
                <w:szCs w:val="16"/>
              </w:rPr>
            </w:pPr>
          </w:p>
        </w:tc>
      </w:tr>
      <w:tr w14:paraId="37DF64B6">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08A7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2C55E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城乡社区支出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5998F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4,027.62</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03DD6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1965C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136B2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A107F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4,027.62</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1EE4504">
            <w:pPr>
              <w:jc w:val="right"/>
              <w:rPr>
                <w:rFonts w:ascii="宋体" w:hAnsi="宋体" w:eastAsia="宋体" w:cs="宋体"/>
                <w:color w:val="000000"/>
                <w:sz w:val="16"/>
                <w:szCs w:val="16"/>
              </w:rPr>
            </w:pPr>
          </w:p>
        </w:tc>
      </w:tr>
      <w:tr w14:paraId="74D5D042">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FACDA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21203</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9D53C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城乡社区公共设施</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C136D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3,956.46</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D73AE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2F9E2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A819B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BFA75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3,956.46</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54E01FD">
            <w:pPr>
              <w:jc w:val="right"/>
              <w:rPr>
                <w:rFonts w:ascii="宋体" w:hAnsi="宋体" w:eastAsia="宋体" w:cs="宋体"/>
                <w:color w:val="000000"/>
                <w:sz w:val="16"/>
                <w:szCs w:val="16"/>
              </w:rPr>
            </w:pPr>
          </w:p>
        </w:tc>
      </w:tr>
      <w:tr w14:paraId="7FE6741C">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37618B">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2120303</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3D5CE2">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小城镇基础设施建设</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4A8C2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3,772.06</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38BCC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4B8D1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E12AE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63D6D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3,772.06</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202F23A">
            <w:pPr>
              <w:jc w:val="right"/>
              <w:rPr>
                <w:rFonts w:ascii="宋体" w:hAnsi="宋体" w:eastAsia="宋体" w:cs="宋体"/>
                <w:color w:val="000000"/>
                <w:sz w:val="16"/>
                <w:szCs w:val="16"/>
              </w:rPr>
            </w:pPr>
          </w:p>
        </w:tc>
      </w:tr>
      <w:tr w14:paraId="4A3ADB08">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EE36B4">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2120399</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0797D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其他城乡社区公共设施支出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0CD56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184.40</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33D91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9A212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346EF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8999F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184.40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873BCE5">
            <w:pPr>
              <w:jc w:val="right"/>
              <w:rPr>
                <w:rFonts w:ascii="宋体" w:hAnsi="宋体" w:eastAsia="宋体" w:cs="宋体"/>
                <w:color w:val="000000"/>
                <w:sz w:val="16"/>
                <w:szCs w:val="16"/>
              </w:rPr>
            </w:pPr>
          </w:p>
        </w:tc>
      </w:tr>
      <w:tr w14:paraId="2703DD3D">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349A7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21299</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760CC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其他城乡社区支出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4D397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71.16</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4E4CE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82048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0235A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A3DA2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71.16</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9B16C2F">
            <w:pPr>
              <w:jc w:val="right"/>
              <w:rPr>
                <w:rFonts w:ascii="宋体" w:hAnsi="宋体" w:eastAsia="宋体" w:cs="宋体"/>
                <w:color w:val="000000"/>
                <w:sz w:val="16"/>
                <w:szCs w:val="16"/>
              </w:rPr>
            </w:pPr>
          </w:p>
        </w:tc>
      </w:tr>
      <w:tr w14:paraId="48B4E887">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40AC7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2129901</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9E946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其他城乡社区支出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62B58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71.16</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F75B7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FC8DD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F4A8E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1C316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71.16</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87F5AE1">
            <w:pPr>
              <w:jc w:val="right"/>
              <w:rPr>
                <w:rFonts w:ascii="宋体" w:hAnsi="宋体" w:eastAsia="宋体" w:cs="宋体"/>
                <w:color w:val="000000"/>
                <w:sz w:val="16"/>
                <w:szCs w:val="16"/>
              </w:rPr>
            </w:pPr>
          </w:p>
        </w:tc>
      </w:tr>
      <w:tr w14:paraId="2C4918F1">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8B92C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213</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D68EB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农林水支出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F26CF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CEEE3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893CD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F8C94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5B7DC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3995F60">
            <w:pPr>
              <w:jc w:val="right"/>
              <w:rPr>
                <w:rFonts w:ascii="宋体" w:hAnsi="宋体" w:eastAsia="宋体" w:cs="宋体"/>
                <w:color w:val="000000"/>
                <w:sz w:val="16"/>
                <w:szCs w:val="16"/>
              </w:rPr>
            </w:pPr>
          </w:p>
        </w:tc>
      </w:tr>
      <w:tr w14:paraId="5A00230A">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D404F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21305</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73E09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扶贫</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F135C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B6FD9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4B4EC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BBD67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8DA65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1433D42">
            <w:pPr>
              <w:jc w:val="right"/>
              <w:rPr>
                <w:rFonts w:ascii="宋体" w:hAnsi="宋体" w:eastAsia="宋体" w:cs="宋体"/>
                <w:color w:val="000000"/>
                <w:sz w:val="16"/>
                <w:szCs w:val="16"/>
              </w:rPr>
            </w:pPr>
          </w:p>
        </w:tc>
      </w:tr>
      <w:tr w14:paraId="17DD8805">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8C13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2130504</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FBCE3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农村基础设施建设</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98731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156A5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D3480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55DCD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FA810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2,434.14</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F52F327">
            <w:pPr>
              <w:jc w:val="right"/>
              <w:rPr>
                <w:rFonts w:ascii="宋体" w:hAnsi="宋体" w:eastAsia="宋体" w:cs="宋体"/>
                <w:color w:val="000000"/>
                <w:sz w:val="16"/>
                <w:szCs w:val="16"/>
              </w:rPr>
            </w:pPr>
          </w:p>
        </w:tc>
      </w:tr>
      <w:tr w14:paraId="4572AA0D">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1C532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6BF971">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自然资源海洋气象等支出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4EB70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2,423.73</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09B2C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1,239.53</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4CBED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1,198.64</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56984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40.88</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C4104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1,184.20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0E85CEA">
            <w:pPr>
              <w:jc w:val="right"/>
              <w:rPr>
                <w:rFonts w:ascii="宋体" w:hAnsi="宋体" w:eastAsia="宋体" w:cs="宋体"/>
                <w:color w:val="000000"/>
                <w:sz w:val="16"/>
                <w:szCs w:val="16"/>
              </w:rPr>
            </w:pPr>
          </w:p>
        </w:tc>
      </w:tr>
      <w:tr w14:paraId="0DB3EC06">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5A763">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87B1B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自然资源事务</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1704F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2,423.73</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29729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1,239.53</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B4C16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1,198.64</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0C573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40.88</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95C59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1,184.20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15C4C26">
            <w:pPr>
              <w:jc w:val="right"/>
              <w:rPr>
                <w:rFonts w:ascii="宋体" w:hAnsi="宋体" w:eastAsia="宋体" w:cs="宋体"/>
                <w:color w:val="000000"/>
                <w:sz w:val="16"/>
                <w:szCs w:val="16"/>
              </w:rPr>
            </w:pPr>
          </w:p>
        </w:tc>
      </w:tr>
      <w:tr w14:paraId="2C320A6B">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C990E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2200101</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26DA4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行政运行</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48015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228.11</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A5589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228.11</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85F8E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188.12</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2A378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39.98</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11A87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6EBBEFF">
            <w:pPr>
              <w:jc w:val="right"/>
              <w:rPr>
                <w:rFonts w:ascii="宋体" w:hAnsi="宋体" w:eastAsia="宋体" w:cs="宋体"/>
                <w:color w:val="000000"/>
                <w:sz w:val="16"/>
                <w:szCs w:val="16"/>
              </w:rPr>
            </w:pPr>
          </w:p>
        </w:tc>
      </w:tr>
      <w:tr w14:paraId="2DC0A7CE">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D953A4">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2200102</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5B020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一般行政管理事务</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26E5E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308.05</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9BE3C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59676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FB2C7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940B2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308.05</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8236D5C">
            <w:pPr>
              <w:jc w:val="right"/>
              <w:rPr>
                <w:rFonts w:ascii="宋体" w:hAnsi="宋体" w:eastAsia="宋体" w:cs="宋体"/>
                <w:color w:val="000000"/>
                <w:sz w:val="16"/>
                <w:szCs w:val="16"/>
              </w:rPr>
            </w:pPr>
          </w:p>
        </w:tc>
      </w:tr>
      <w:tr w14:paraId="6E239AC5">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BC8031">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2200104</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11A1FB">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自然资源规划及管理</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17AC1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113.46</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ECF02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B980E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2E8BA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52DF7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113.46</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DC2B85C">
            <w:pPr>
              <w:jc w:val="right"/>
              <w:rPr>
                <w:rFonts w:ascii="宋体" w:hAnsi="宋体" w:eastAsia="宋体" w:cs="宋体"/>
                <w:color w:val="000000"/>
                <w:sz w:val="16"/>
                <w:szCs w:val="16"/>
              </w:rPr>
            </w:pPr>
          </w:p>
        </w:tc>
      </w:tr>
      <w:tr w14:paraId="49609AAB">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55A79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2200105</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40C40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土地资源调查</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2672D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26.50</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44D03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3ED7D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2E73E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4B327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26.50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DD5A2A0">
            <w:pPr>
              <w:jc w:val="right"/>
              <w:rPr>
                <w:rFonts w:ascii="宋体" w:hAnsi="宋体" w:eastAsia="宋体" w:cs="宋体"/>
                <w:color w:val="000000"/>
                <w:sz w:val="16"/>
                <w:szCs w:val="16"/>
              </w:rPr>
            </w:pPr>
          </w:p>
        </w:tc>
      </w:tr>
      <w:tr w14:paraId="4FFAD988">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28B49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2200106</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4E038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土地资源利用与保护</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42DCA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12.29</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D0631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EBF22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7B1B0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34901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12.29</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C60B51C">
            <w:pPr>
              <w:jc w:val="right"/>
              <w:rPr>
                <w:rFonts w:ascii="宋体" w:hAnsi="宋体" w:eastAsia="宋体" w:cs="宋体"/>
                <w:color w:val="000000"/>
                <w:sz w:val="16"/>
                <w:szCs w:val="16"/>
              </w:rPr>
            </w:pPr>
          </w:p>
        </w:tc>
      </w:tr>
      <w:tr w14:paraId="648666BB">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024BE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2200112</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0BC6A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土地资源储备支出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F7DDA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470.71</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EEFD6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1DABD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E25AA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33ADB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470.71</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4F8AC9E4">
            <w:pPr>
              <w:jc w:val="right"/>
              <w:rPr>
                <w:rFonts w:ascii="宋体" w:hAnsi="宋体" w:eastAsia="宋体" w:cs="宋体"/>
                <w:color w:val="000000"/>
                <w:sz w:val="16"/>
                <w:szCs w:val="16"/>
              </w:rPr>
            </w:pPr>
          </w:p>
        </w:tc>
      </w:tr>
      <w:tr w14:paraId="595F10AF">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C7888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2200114</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A322E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地质矿产资源利用与保护</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63553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201.54</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6A7C0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30B2C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76310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89F5F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201.54</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F2CFA1C">
            <w:pPr>
              <w:jc w:val="right"/>
              <w:rPr>
                <w:rFonts w:ascii="宋体" w:hAnsi="宋体" w:eastAsia="宋体" w:cs="宋体"/>
                <w:color w:val="000000"/>
                <w:sz w:val="16"/>
                <w:szCs w:val="16"/>
              </w:rPr>
            </w:pPr>
          </w:p>
        </w:tc>
      </w:tr>
      <w:tr w14:paraId="59667C3C">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A481E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2200150</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B0C2E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事业运行</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726AD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1,011.42</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1AD1D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1,011.42</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896DE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1,010.52</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B261F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0.90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6273D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22C6E83">
            <w:pPr>
              <w:jc w:val="right"/>
              <w:rPr>
                <w:rFonts w:ascii="宋体" w:hAnsi="宋体" w:eastAsia="宋体" w:cs="宋体"/>
                <w:color w:val="000000"/>
                <w:sz w:val="16"/>
                <w:szCs w:val="16"/>
              </w:rPr>
            </w:pPr>
          </w:p>
        </w:tc>
      </w:tr>
      <w:tr w14:paraId="2A5667A1">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B2CC1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2200199</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73A35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其他自然资源事务支出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51E9F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51.65</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ACA4D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E7C19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DA859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0FC87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51.65</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26F96CE">
            <w:pPr>
              <w:jc w:val="right"/>
              <w:rPr>
                <w:rFonts w:ascii="宋体" w:hAnsi="宋体" w:eastAsia="宋体" w:cs="宋体"/>
                <w:color w:val="000000"/>
                <w:sz w:val="16"/>
                <w:szCs w:val="16"/>
              </w:rPr>
            </w:pPr>
          </w:p>
        </w:tc>
      </w:tr>
      <w:tr w14:paraId="225754C8">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42536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224</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87EF1B">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灾害防治及应急管理支出</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58394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A0988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FC45E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F312C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E99D7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DF9CD68">
            <w:pPr>
              <w:jc w:val="right"/>
              <w:rPr>
                <w:rFonts w:ascii="宋体" w:hAnsi="宋体" w:eastAsia="宋体" w:cs="宋体"/>
                <w:color w:val="000000"/>
                <w:sz w:val="16"/>
                <w:szCs w:val="16"/>
              </w:rPr>
            </w:pPr>
          </w:p>
        </w:tc>
      </w:tr>
      <w:tr w14:paraId="06011011">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9835D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22406</w:t>
            </w:r>
          </w:p>
        </w:tc>
        <w:tc>
          <w:tcPr>
            <w:tcW w:w="33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E1B3E2">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自然灾害防治</w:t>
            </w:r>
          </w:p>
        </w:tc>
        <w:tc>
          <w:tcPr>
            <w:tcW w:w="963"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A7028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94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4A79E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A9A01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7BBC9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72DA7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979" w:type="dxa"/>
            <w:gridSpan w:val="2"/>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8B72660">
            <w:pPr>
              <w:jc w:val="right"/>
              <w:rPr>
                <w:rFonts w:ascii="宋体" w:hAnsi="宋体" w:eastAsia="宋体" w:cs="宋体"/>
                <w:color w:val="000000"/>
                <w:sz w:val="16"/>
                <w:szCs w:val="16"/>
              </w:rPr>
            </w:pPr>
          </w:p>
        </w:tc>
      </w:tr>
      <w:tr w14:paraId="0D0D62E0">
        <w:tblPrEx>
          <w:tblCellMar>
            <w:top w:w="0" w:type="dxa"/>
            <w:left w:w="0" w:type="dxa"/>
            <w:bottom w:w="0" w:type="dxa"/>
            <w:right w:w="0" w:type="dxa"/>
          </w:tblCellMar>
        </w:tblPrEx>
        <w:trPr>
          <w:trHeight w:val="308" w:hRule="atLeast"/>
          <w:jc w:val="center"/>
        </w:trPr>
        <w:tc>
          <w:tcPr>
            <w:tcW w:w="591" w:type="dxa"/>
            <w:gridSpan w:val="4"/>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2D1C93FC">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2240601</w:t>
            </w:r>
          </w:p>
        </w:tc>
        <w:tc>
          <w:tcPr>
            <w:tcW w:w="3363" w:type="dxa"/>
            <w:gridSpan w:val="2"/>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13DC20E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地质灾害防治</w:t>
            </w:r>
          </w:p>
        </w:tc>
        <w:tc>
          <w:tcPr>
            <w:tcW w:w="963" w:type="dxa"/>
            <w:gridSpan w:val="2"/>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6C116B6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946"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06F541E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20" w:type="dxa"/>
            <w:gridSpan w:val="2"/>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3880AC7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768" w:type="dxa"/>
            <w:gridSpan w:val="2"/>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746E68C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946" w:type="dxa"/>
            <w:gridSpan w:val="2"/>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760EDBB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17.00</w:t>
            </w:r>
          </w:p>
        </w:tc>
        <w:tc>
          <w:tcPr>
            <w:tcW w:w="979" w:type="dxa"/>
            <w:gridSpan w:val="2"/>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14:paraId="31782626">
            <w:pPr>
              <w:jc w:val="right"/>
              <w:rPr>
                <w:rFonts w:ascii="宋体" w:hAnsi="宋体" w:eastAsia="宋体" w:cs="宋体"/>
                <w:color w:val="000000"/>
                <w:sz w:val="16"/>
                <w:szCs w:val="16"/>
              </w:rPr>
            </w:pPr>
          </w:p>
        </w:tc>
      </w:tr>
      <w:tr w14:paraId="4440B0E8">
        <w:tblPrEx>
          <w:tblCellMar>
            <w:top w:w="0" w:type="dxa"/>
            <w:left w:w="0" w:type="dxa"/>
            <w:bottom w:w="0" w:type="dxa"/>
            <w:right w:w="0" w:type="dxa"/>
          </w:tblCellMar>
        </w:tblPrEx>
        <w:trPr>
          <w:trHeight w:val="308" w:hRule="atLeast"/>
          <w:jc w:val="center"/>
        </w:trPr>
        <w:tc>
          <w:tcPr>
            <w:tcW w:w="9476" w:type="dxa"/>
            <w:gridSpan w:val="17"/>
            <w:tcBorders>
              <w:top w:val="nil"/>
              <w:left w:val="nil"/>
              <w:bottom w:val="nil"/>
              <w:right w:val="nil"/>
            </w:tcBorders>
            <w:shd w:val="clear" w:color="auto" w:fill="auto"/>
            <w:noWrap/>
            <w:tcMar>
              <w:top w:w="15" w:type="dxa"/>
              <w:left w:w="15" w:type="dxa"/>
              <w:right w:w="15" w:type="dxa"/>
            </w:tcMar>
            <w:vAlign w:val="center"/>
          </w:tcPr>
          <w:p w14:paraId="36B1772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注：本表反映部门本年度一般公共预算财政拨款实际支出情况。本表金额转换为万元时，因四舍五入可能存在尾差。</w:t>
            </w:r>
          </w:p>
        </w:tc>
      </w:tr>
    </w:tbl>
    <w:p w14:paraId="12554405"/>
    <w:p w14:paraId="66785AEC"/>
    <w:p w14:paraId="06075037"/>
    <w:p w14:paraId="77EBB38C"/>
    <w:p w14:paraId="59156A88"/>
    <w:p w14:paraId="70555052"/>
    <w:p w14:paraId="34009AF0"/>
    <w:p w14:paraId="4EEB116B"/>
    <w:p w14:paraId="2184FB27"/>
    <w:p w14:paraId="534464D0"/>
    <w:p w14:paraId="5E4607C4"/>
    <w:p w14:paraId="1E3F1687"/>
    <w:p w14:paraId="4781E32E"/>
    <w:p w14:paraId="799EBD8D"/>
    <w:p w14:paraId="7E80B1F0"/>
    <w:p w14:paraId="5F57B83F"/>
    <w:p w14:paraId="5F59177C"/>
    <w:p w14:paraId="7B24334A"/>
    <w:p w14:paraId="155BBE0E"/>
    <w:p w14:paraId="2E9C848F"/>
    <w:p w14:paraId="070A8830"/>
    <w:tbl>
      <w:tblPr>
        <w:tblStyle w:val="6"/>
        <w:tblW w:w="9200" w:type="dxa"/>
        <w:tblInd w:w="0" w:type="dxa"/>
        <w:tblLayout w:type="autofit"/>
        <w:tblCellMar>
          <w:top w:w="0" w:type="dxa"/>
          <w:left w:w="0" w:type="dxa"/>
          <w:bottom w:w="0" w:type="dxa"/>
          <w:right w:w="0" w:type="dxa"/>
        </w:tblCellMar>
      </w:tblPr>
      <w:tblGrid>
        <w:gridCol w:w="246"/>
        <w:gridCol w:w="184"/>
        <w:gridCol w:w="4213"/>
        <w:gridCol w:w="1356"/>
        <w:gridCol w:w="1265"/>
        <w:gridCol w:w="913"/>
        <w:gridCol w:w="1355"/>
      </w:tblGrid>
      <w:tr w14:paraId="57E37565">
        <w:tblPrEx>
          <w:tblCellMar>
            <w:top w:w="0" w:type="dxa"/>
            <w:left w:w="0" w:type="dxa"/>
            <w:bottom w:w="0" w:type="dxa"/>
            <w:right w:w="0" w:type="dxa"/>
          </w:tblCellMar>
        </w:tblPrEx>
        <w:trPr>
          <w:trHeight w:val="382" w:hRule="atLeast"/>
        </w:trPr>
        <w:tc>
          <w:tcPr>
            <w:tcW w:w="9200" w:type="dxa"/>
            <w:gridSpan w:val="7"/>
            <w:tcBorders>
              <w:top w:val="nil"/>
              <w:left w:val="nil"/>
              <w:bottom w:val="nil"/>
              <w:right w:val="nil"/>
            </w:tcBorders>
            <w:shd w:val="clear" w:color="auto" w:fill="auto"/>
            <w:noWrap/>
            <w:tcMar>
              <w:top w:w="15" w:type="dxa"/>
              <w:left w:w="15" w:type="dxa"/>
              <w:right w:w="15" w:type="dxa"/>
            </w:tcMar>
            <w:vAlign w:val="bottom"/>
          </w:tcPr>
          <w:p w14:paraId="2DC2BA91">
            <w:pPr>
              <w:widowControl/>
              <w:jc w:val="center"/>
              <w:textAlignment w:val="bottom"/>
              <w:rPr>
                <w:rFonts w:hint="eastAsia" w:ascii="宋体" w:hAnsi="宋体" w:eastAsia="宋体" w:cs="宋体"/>
                <w:color w:val="000000"/>
                <w:kern w:val="0"/>
                <w:sz w:val="24"/>
                <w:szCs w:val="24"/>
              </w:rPr>
            </w:pPr>
          </w:p>
          <w:p w14:paraId="7D103964">
            <w:pPr>
              <w:widowControl/>
              <w:jc w:val="center"/>
              <w:textAlignment w:val="bottom"/>
              <w:rPr>
                <w:rFonts w:ascii="宋体" w:hAnsi="宋体" w:eastAsia="宋体" w:cs="宋体"/>
                <w:color w:val="000000"/>
                <w:sz w:val="24"/>
                <w:szCs w:val="24"/>
              </w:rPr>
            </w:pPr>
            <w:r>
              <w:rPr>
                <w:rFonts w:hint="eastAsia" w:ascii="宋体" w:hAnsi="宋体" w:eastAsia="宋体" w:cs="宋体"/>
                <w:color w:val="000000"/>
                <w:kern w:val="0"/>
                <w:sz w:val="24"/>
                <w:szCs w:val="24"/>
              </w:rPr>
              <w:t>一般公共预算基本支出情况表（按经济分类科目）</w:t>
            </w:r>
          </w:p>
        </w:tc>
      </w:tr>
      <w:tr w14:paraId="187F633C">
        <w:tblPrEx>
          <w:tblCellMar>
            <w:top w:w="0" w:type="dxa"/>
            <w:left w:w="0" w:type="dxa"/>
            <w:bottom w:w="0" w:type="dxa"/>
            <w:right w:w="0" w:type="dxa"/>
          </w:tblCellMar>
        </w:tblPrEx>
        <w:trPr>
          <w:trHeight w:val="382" w:hRule="atLeast"/>
        </w:trPr>
        <w:tc>
          <w:tcPr>
            <w:tcW w:w="0" w:type="auto"/>
            <w:tcBorders>
              <w:top w:val="nil"/>
              <w:left w:val="nil"/>
              <w:bottom w:val="nil"/>
              <w:right w:val="nil"/>
            </w:tcBorders>
            <w:shd w:val="clear" w:color="auto" w:fill="auto"/>
            <w:noWrap/>
            <w:tcMar>
              <w:top w:w="15" w:type="dxa"/>
              <w:left w:w="15" w:type="dxa"/>
              <w:right w:w="15" w:type="dxa"/>
            </w:tcMar>
            <w:vAlign w:val="bottom"/>
          </w:tcPr>
          <w:p w14:paraId="20C790BD">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78F191D9">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65AFFFCC">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7AF1FCB2">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1A0FAAE5">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397AA192">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686D97B2">
            <w:pPr>
              <w:widowControl/>
              <w:jc w:val="right"/>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06表</w:t>
            </w:r>
          </w:p>
        </w:tc>
      </w:tr>
      <w:tr w14:paraId="22673398">
        <w:tblPrEx>
          <w:tblCellMar>
            <w:top w:w="0" w:type="dxa"/>
            <w:left w:w="0" w:type="dxa"/>
            <w:bottom w:w="0" w:type="dxa"/>
            <w:right w:w="0" w:type="dxa"/>
          </w:tblCellMar>
        </w:tblPrEx>
        <w:trPr>
          <w:trHeight w:val="382" w:hRule="atLeast"/>
        </w:trPr>
        <w:tc>
          <w:tcPr>
            <w:tcW w:w="0" w:type="auto"/>
            <w:gridSpan w:val="4"/>
            <w:tcBorders>
              <w:top w:val="nil"/>
              <w:left w:val="nil"/>
              <w:bottom w:val="nil"/>
              <w:right w:val="nil"/>
            </w:tcBorders>
            <w:shd w:val="clear" w:color="auto" w:fill="auto"/>
            <w:noWrap/>
            <w:tcMar>
              <w:top w:w="15" w:type="dxa"/>
              <w:left w:w="15" w:type="dxa"/>
              <w:right w:w="15" w:type="dxa"/>
            </w:tcMar>
            <w:vAlign w:val="bottom"/>
          </w:tcPr>
          <w:p w14:paraId="2C8AFF72">
            <w:pPr>
              <w:widowControl/>
              <w:jc w:val="center"/>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编制部门：西安市蓝田县自然资源和规划局（汇总）</w:t>
            </w:r>
          </w:p>
        </w:tc>
        <w:tc>
          <w:tcPr>
            <w:tcW w:w="0" w:type="auto"/>
            <w:tcBorders>
              <w:top w:val="nil"/>
              <w:left w:val="nil"/>
              <w:bottom w:val="nil"/>
              <w:right w:val="nil"/>
            </w:tcBorders>
            <w:shd w:val="clear" w:color="auto" w:fill="auto"/>
            <w:noWrap/>
            <w:tcMar>
              <w:top w:w="15" w:type="dxa"/>
              <w:left w:w="15" w:type="dxa"/>
              <w:right w:w="15" w:type="dxa"/>
            </w:tcMar>
            <w:vAlign w:val="bottom"/>
          </w:tcPr>
          <w:p w14:paraId="5CB7EBBC">
            <w:pPr>
              <w:widowControl/>
              <w:jc w:val="center"/>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2019年</w:t>
            </w:r>
          </w:p>
        </w:tc>
        <w:tc>
          <w:tcPr>
            <w:tcW w:w="0" w:type="auto"/>
            <w:tcBorders>
              <w:top w:val="nil"/>
              <w:left w:val="nil"/>
              <w:bottom w:val="nil"/>
              <w:right w:val="nil"/>
            </w:tcBorders>
            <w:shd w:val="clear" w:color="auto" w:fill="auto"/>
            <w:noWrap/>
            <w:tcMar>
              <w:top w:w="15" w:type="dxa"/>
              <w:left w:w="15" w:type="dxa"/>
              <w:right w:w="15" w:type="dxa"/>
            </w:tcMar>
            <w:vAlign w:val="bottom"/>
          </w:tcPr>
          <w:p w14:paraId="042CCB1F">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46E620F3">
            <w:pPr>
              <w:widowControl/>
              <w:jc w:val="right"/>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单位：万元</w:t>
            </w:r>
          </w:p>
        </w:tc>
      </w:tr>
      <w:tr w14:paraId="07A6BDAA">
        <w:tblPrEx>
          <w:tblCellMar>
            <w:top w:w="0" w:type="dxa"/>
            <w:left w:w="0" w:type="dxa"/>
            <w:bottom w:w="0" w:type="dxa"/>
            <w:right w:w="0" w:type="dxa"/>
          </w:tblCellMar>
        </w:tblPrEx>
        <w:trPr>
          <w:trHeight w:val="393" w:hRule="atLeast"/>
        </w:trPr>
        <w:tc>
          <w:tcPr>
            <w:tcW w:w="4559" w:type="dxa"/>
            <w:gridSpan w:val="3"/>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B0489D">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项目</w:t>
            </w:r>
          </w:p>
        </w:tc>
        <w:tc>
          <w:tcPr>
            <w:tcW w:w="1338"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A5346FB">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本年支出合计</w:t>
            </w:r>
          </w:p>
        </w:tc>
        <w:tc>
          <w:tcPr>
            <w:tcW w:w="1204"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C444737">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人员经费</w:t>
            </w:r>
          </w:p>
        </w:tc>
        <w:tc>
          <w:tcPr>
            <w:tcW w:w="921"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A876B93">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公用经费</w:t>
            </w:r>
          </w:p>
        </w:tc>
        <w:tc>
          <w:tcPr>
            <w:tcW w:w="1178" w:type="dxa"/>
            <w:vMerge w:val="restart"/>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79541106">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备注</w:t>
            </w:r>
          </w:p>
        </w:tc>
      </w:tr>
      <w:tr w14:paraId="513A1E08">
        <w:tblPrEx>
          <w:tblCellMar>
            <w:top w:w="0" w:type="dxa"/>
            <w:left w:w="0" w:type="dxa"/>
            <w:bottom w:w="0" w:type="dxa"/>
            <w:right w:w="0" w:type="dxa"/>
          </w:tblCellMar>
        </w:tblPrEx>
        <w:trPr>
          <w:trHeight w:val="389" w:hRule="atLeast"/>
        </w:trPr>
        <w:tc>
          <w:tcPr>
            <w:tcW w:w="749" w:type="dxa"/>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2F367D">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经济分类科目编码</w:t>
            </w:r>
          </w:p>
        </w:tc>
        <w:tc>
          <w:tcPr>
            <w:tcW w:w="381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B5800F1">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科目名称</w:t>
            </w:r>
          </w:p>
        </w:tc>
        <w:tc>
          <w:tcPr>
            <w:tcW w:w="1338"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1762FAD">
            <w:pPr>
              <w:jc w:val="center"/>
              <w:rPr>
                <w:rFonts w:ascii="宋体" w:hAnsi="宋体" w:eastAsia="宋体" w:cs="宋体"/>
                <w:color w:val="000000"/>
                <w:sz w:val="16"/>
                <w:szCs w:val="16"/>
              </w:rPr>
            </w:pPr>
          </w:p>
        </w:tc>
        <w:tc>
          <w:tcPr>
            <w:tcW w:w="1204"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7F72D20">
            <w:pPr>
              <w:jc w:val="center"/>
              <w:rPr>
                <w:rFonts w:ascii="宋体" w:hAnsi="宋体" w:eastAsia="宋体" w:cs="宋体"/>
                <w:color w:val="000000"/>
                <w:sz w:val="16"/>
                <w:szCs w:val="16"/>
              </w:rPr>
            </w:pPr>
          </w:p>
        </w:tc>
        <w:tc>
          <w:tcPr>
            <w:tcW w:w="921"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FB18829">
            <w:pPr>
              <w:jc w:val="center"/>
              <w:rPr>
                <w:rFonts w:ascii="宋体" w:hAnsi="宋体" w:eastAsia="宋体" w:cs="宋体"/>
                <w:color w:val="000000"/>
                <w:sz w:val="16"/>
                <w:szCs w:val="16"/>
              </w:rPr>
            </w:pPr>
          </w:p>
        </w:tc>
        <w:tc>
          <w:tcPr>
            <w:tcW w:w="1178"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2360D362">
            <w:pPr>
              <w:jc w:val="center"/>
              <w:rPr>
                <w:rFonts w:ascii="宋体" w:hAnsi="宋体" w:eastAsia="宋体" w:cs="宋体"/>
                <w:color w:val="000000"/>
                <w:sz w:val="16"/>
                <w:szCs w:val="16"/>
              </w:rPr>
            </w:pPr>
          </w:p>
        </w:tc>
      </w:tr>
      <w:tr w14:paraId="5DB4BC36">
        <w:tblPrEx>
          <w:tblCellMar>
            <w:top w:w="0" w:type="dxa"/>
            <w:left w:w="0" w:type="dxa"/>
            <w:bottom w:w="0" w:type="dxa"/>
            <w:right w:w="0" w:type="dxa"/>
          </w:tblCellMar>
        </w:tblPrEx>
        <w:trPr>
          <w:trHeight w:val="352" w:hRule="atLeast"/>
        </w:trPr>
        <w:tc>
          <w:tcPr>
            <w:tcW w:w="749"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CAEFD2">
            <w:pPr>
              <w:jc w:val="center"/>
              <w:rPr>
                <w:rFonts w:ascii="宋体" w:hAnsi="宋体" w:eastAsia="宋体" w:cs="宋体"/>
                <w:color w:val="000000"/>
                <w:sz w:val="16"/>
                <w:szCs w:val="16"/>
              </w:rPr>
            </w:pPr>
          </w:p>
        </w:tc>
        <w:tc>
          <w:tcPr>
            <w:tcW w:w="381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7C6FAB8">
            <w:pPr>
              <w:jc w:val="center"/>
              <w:rPr>
                <w:rFonts w:ascii="宋体" w:hAnsi="宋体" w:eastAsia="宋体" w:cs="宋体"/>
                <w:color w:val="000000"/>
                <w:sz w:val="16"/>
                <w:szCs w:val="16"/>
              </w:rPr>
            </w:pPr>
          </w:p>
        </w:tc>
        <w:tc>
          <w:tcPr>
            <w:tcW w:w="1338"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9186554">
            <w:pPr>
              <w:jc w:val="center"/>
              <w:rPr>
                <w:rFonts w:ascii="宋体" w:hAnsi="宋体" w:eastAsia="宋体" w:cs="宋体"/>
                <w:color w:val="000000"/>
                <w:sz w:val="16"/>
                <w:szCs w:val="16"/>
              </w:rPr>
            </w:pPr>
          </w:p>
        </w:tc>
        <w:tc>
          <w:tcPr>
            <w:tcW w:w="1204"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1CE28DF">
            <w:pPr>
              <w:jc w:val="center"/>
              <w:rPr>
                <w:rFonts w:ascii="宋体" w:hAnsi="宋体" w:eastAsia="宋体" w:cs="宋体"/>
                <w:color w:val="000000"/>
                <w:sz w:val="16"/>
                <w:szCs w:val="16"/>
              </w:rPr>
            </w:pPr>
          </w:p>
        </w:tc>
        <w:tc>
          <w:tcPr>
            <w:tcW w:w="921"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95B9824">
            <w:pPr>
              <w:jc w:val="center"/>
              <w:rPr>
                <w:rFonts w:ascii="宋体" w:hAnsi="宋体" w:eastAsia="宋体" w:cs="宋体"/>
                <w:color w:val="000000"/>
                <w:sz w:val="16"/>
                <w:szCs w:val="16"/>
              </w:rPr>
            </w:pPr>
          </w:p>
        </w:tc>
        <w:tc>
          <w:tcPr>
            <w:tcW w:w="1178"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0F2D0978">
            <w:pPr>
              <w:jc w:val="center"/>
              <w:rPr>
                <w:rFonts w:ascii="宋体" w:hAnsi="宋体" w:eastAsia="宋体" w:cs="宋体"/>
                <w:color w:val="000000"/>
                <w:sz w:val="16"/>
                <w:szCs w:val="16"/>
              </w:rPr>
            </w:pPr>
          </w:p>
        </w:tc>
      </w:tr>
      <w:tr w14:paraId="0B15221F">
        <w:tblPrEx>
          <w:tblCellMar>
            <w:top w:w="0" w:type="dxa"/>
            <w:left w:w="0" w:type="dxa"/>
            <w:bottom w:w="0" w:type="dxa"/>
            <w:right w:w="0" w:type="dxa"/>
          </w:tblCellMar>
        </w:tblPrEx>
        <w:trPr>
          <w:trHeight w:val="747" w:hRule="atLeast"/>
        </w:trPr>
        <w:tc>
          <w:tcPr>
            <w:tcW w:w="749"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F0CE5E">
            <w:pPr>
              <w:jc w:val="center"/>
              <w:rPr>
                <w:rFonts w:ascii="宋体" w:hAnsi="宋体" w:eastAsia="宋体" w:cs="宋体"/>
                <w:color w:val="000000"/>
                <w:sz w:val="16"/>
                <w:szCs w:val="16"/>
              </w:rPr>
            </w:pPr>
          </w:p>
        </w:tc>
        <w:tc>
          <w:tcPr>
            <w:tcW w:w="381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316ACE1">
            <w:pPr>
              <w:jc w:val="center"/>
              <w:rPr>
                <w:rFonts w:ascii="宋体" w:hAnsi="宋体" w:eastAsia="宋体" w:cs="宋体"/>
                <w:color w:val="000000"/>
                <w:sz w:val="16"/>
                <w:szCs w:val="16"/>
              </w:rPr>
            </w:pPr>
          </w:p>
        </w:tc>
        <w:tc>
          <w:tcPr>
            <w:tcW w:w="1338"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C095AEE">
            <w:pPr>
              <w:jc w:val="center"/>
              <w:rPr>
                <w:rFonts w:ascii="宋体" w:hAnsi="宋体" w:eastAsia="宋体" w:cs="宋体"/>
                <w:color w:val="000000"/>
                <w:sz w:val="16"/>
                <w:szCs w:val="16"/>
              </w:rPr>
            </w:pPr>
          </w:p>
        </w:tc>
        <w:tc>
          <w:tcPr>
            <w:tcW w:w="1204"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5B66285">
            <w:pPr>
              <w:jc w:val="center"/>
              <w:rPr>
                <w:rFonts w:ascii="宋体" w:hAnsi="宋体" w:eastAsia="宋体" w:cs="宋体"/>
                <w:color w:val="000000"/>
                <w:sz w:val="16"/>
                <w:szCs w:val="16"/>
              </w:rPr>
            </w:pPr>
          </w:p>
        </w:tc>
        <w:tc>
          <w:tcPr>
            <w:tcW w:w="921"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7400084">
            <w:pPr>
              <w:jc w:val="center"/>
              <w:rPr>
                <w:rFonts w:ascii="宋体" w:hAnsi="宋体" w:eastAsia="宋体" w:cs="宋体"/>
                <w:color w:val="000000"/>
                <w:sz w:val="16"/>
                <w:szCs w:val="16"/>
              </w:rPr>
            </w:pPr>
          </w:p>
        </w:tc>
        <w:tc>
          <w:tcPr>
            <w:tcW w:w="1178"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0F5D1661">
            <w:pPr>
              <w:jc w:val="center"/>
              <w:rPr>
                <w:rFonts w:ascii="宋体" w:hAnsi="宋体" w:eastAsia="宋体" w:cs="宋体"/>
                <w:color w:val="000000"/>
                <w:sz w:val="16"/>
                <w:szCs w:val="16"/>
              </w:rPr>
            </w:pPr>
          </w:p>
        </w:tc>
      </w:tr>
      <w:tr w14:paraId="2B2BFEB9">
        <w:tblPrEx>
          <w:tblCellMar>
            <w:top w:w="0" w:type="dxa"/>
            <w:left w:w="0" w:type="dxa"/>
            <w:bottom w:w="0" w:type="dxa"/>
            <w:right w:w="0" w:type="dxa"/>
          </w:tblCellMar>
        </w:tblPrEx>
        <w:trPr>
          <w:trHeight w:val="393" w:hRule="atLeast"/>
        </w:trPr>
        <w:tc>
          <w:tcPr>
            <w:tcW w:w="4559" w:type="dxa"/>
            <w:gridSpan w:val="3"/>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08FBF8">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合计</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7C2D8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1,433.65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6F88C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1,392.77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FA097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40.88</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85037F8">
            <w:pPr>
              <w:jc w:val="right"/>
              <w:rPr>
                <w:rFonts w:ascii="宋体" w:hAnsi="宋体" w:eastAsia="宋体" w:cs="宋体"/>
                <w:color w:val="000000"/>
                <w:sz w:val="16"/>
                <w:szCs w:val="16"/>
              </w:rPr>
            </w:pPr>
          </w:p>
        </w:tc>
      </w:tr>
      <w:tr w14:paraId="49C9AB57">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53852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9C98FC">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工资福利支出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0F739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1,389.71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D4073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1,389.71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8164C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84D7EE3">
            <w:pPr>
              <w:jc w:val="right"/>
              <w:rPr>
                <w:rFonts w:ascii="宋体" w:hAnsi="宋体" w:eastAsia="宋体" w:cs="宋体"/>
                <w:color w:val="000000"/>
                <w:sz w:val="16"/>
                <w:szCs w:val="16"/>
              </w:rPr>
            </w:pPr>
          </w:p>
        </w:tc>
      </w:tr>
      <w:tr w14:paraId="5B1EFE1C">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BB50A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30101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3581C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基本工资</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AF6A8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534.53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75709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534.53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18CCB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CB53CC8">
            <w:pPr>
              <w:jc w:val="right"/>
              <w:rPr>
                <w:rFonts w:ascii="宋体" w:hAnsi="宋体" w:eastAsia="宋体" w:cs="宋体"/>
                <w:color w:val="000000"/>
                <w:sz w:val="16"/>
                <w:szCs w:val="16"/>
              </w:rPr>
            </w:pPr>
          </w:p>
        </w:tc>
      </w:tr>
      <w:tr w14:paraId="7FA87D3F">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27F64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30102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A01B5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津贴补贴</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95906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249.82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48E8A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249.82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7CA89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C1D7D59">
            <w:pPr>
              <w:jc w:val="right"/>
              <w:rPr>
                <w:rFonts w:ascii="宋体" w:hAnsi="宋体" w:eastAsia="宋体" w:cs="宋体"/>
                <w:color w:val="000000"/>
                <w:sz w:val="16"/>
                <w:szCs w:val="16"/>
              </w:rPr>
            </w:pPr>
          </w:p>
        </w:tc>
      </w:tr>
      <w:tr w14:paraId="492F5135">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6EF18D">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30103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59132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奖金</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7853A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11.67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F74E5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11.67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F352A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9B5D3D7">
            <w:pPr>
              <w:jc w:val="right"/>
              <w:rPr>
                <w:rFonts w:ascii="宋体" w:hAnsi="宋体" w:eastAsia="宋体" w:cs="宋体"/>
                <w:color w:val="000000"/>
                <w:sz w:val="16"/>
                <w:szCs w:val="16"/>
              </w:rPr>
            </w:pPr>
          </w:p>
        </w:tc>
      </w:tr>
      <w:tr w14:paraId="12ECAB5A">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4348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30107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60D20D">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绩效工资</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E347D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398.77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0C043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398.77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57E5D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ECF6EC1">
            <w:pPr>
              <w:jc w:val="right"/>
              <w:rPr>
                <w:rFonts w:ascii="宋体" w:hAnsi="宋体" w:eastAsia="宋体" w:cs="宋体"/>
                <w:color w:val="000000"/>
                <w:sz w:val="16"/>
                <w:szCs w:val="16"/>
              </w:rPr>
            </w:pPr>
          </w:p>
        </w:tc>
      </w:tr>
      <w:tr w14:paraId="04549DF0">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C5814">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30108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02110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机关事业单位基本养老保险缴费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FF155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AAED3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156.68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4C5D2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3DEAFEBA">
            <w:pPr>
              <w:jc w:val="right"/>
              <w:rPr>
                <w:rFonts w:ascii="宋体" w:hAnsi="宋体" w:eastAsia="宋体" w:cs="宋体"/>
                <w:color w:val="000000"/>
                <w:sz w:val="16"/>
                <w:szCs w:val="16"/>
              </w:rPr>
            </w:pPr>
          </w:p>
        </w:tc>
      </w:tr>
      <w:tr w14:paraId="3D684276">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44D91">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30109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9FC0DD">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职业年金缴费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6C359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0.79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22DD1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0.79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F10DC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D20AACD">
            <w:pPr>
              <w:jc w:val="right"/>
              <w:rPr>
                <w:rFonts w:ascii="宋体" w:hAnsi="宋体" w:eastAsia="宋体" w:cs="宋体"/>
                <w:color w:val="000000"/>
                <w:sz w:val="16"/>
                <w:szCs w:val="16"/>
              </w:rPr>
            </w:pPr>
          </w:p>
        </w:tc>
      </w:tr>
      <w:tr w14:paraId="65DDBF05">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7A615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30110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93A058">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职工基本医疗保险缴费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42D2F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32.72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2F0B3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32.72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A4FE8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D59C9A1">
            <w:pPr>
              <w:jc w:val="right"/>
              <w:rPr>
                <w:rFonts w:ascii="宋体" w:hAnsi="宋体" w:eastAsia="宋体" w:cs="宋体"/>
                <w:color w:val="000000"/>
                <w:sz w:val="16"/>
                <w:szCs w:val="16"/>
              </w:rPr>
            </w:pPr>
          </w:p>
        </w:tc>
      </w:tr>
      <w:tr w14:paraId="73BF00C4">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18414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30111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22F961">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公务员医疗补助缴费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F1ADB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A11ED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46DC2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02B20EB">
            <w:pPr>
              <w:jc w:val="right"/>
              <w:rPr>
                <w:rFonts w:ascii="宋体" w:hAnsi="宋体" w:eastAsia="宋体" w:cs="宋体"/>
                <w:color w:val="000000"/>
                <w:sz w:val="16"/>
                <w:szCs w:val="16"/>
              </w:rPr>
            </w:pPr>
          </w:p>
        </w:tc>
      </w:tr>
      <w:tr w14:paraId="00FB9F41">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3B6F3B">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30112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A0BF1B">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其他社会保障缴费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E323C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2.94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75346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2.94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F1E2A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0A11741">
            <w:pPr>
              <w:jc w:val="right"/>
              <w:rPr>
                <w:rFonts w:ascii="宋体" w:hAnsi="宋体" w:eastAsia="宋体" w:cs="宋体"/>
                <w:color w:val="000000"/>
                <w:sz w:val="16"/>
                <w:szCs w:val="16"/>
              </w:rPr>
            </w:pPr>
          </w:p>
        </w:tc>
      </w:tr>
      <w:tr w14:paraId="4D14E2D3">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6B00C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369082">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商品和服务支出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CBA0C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40.89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72B6B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9706E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40.88</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612A40A">
            <w:pPr>
              <w:jc w:val="right"/>
              <w:rPr>
                <w:rFonts w:ascii="宋体" w:hAnsi="宋体" w:eastAsia="宋体" w:cs="宋体"/>
                <w:color w:val="000000"/>
                <w:sz w:val="16"/>
                <w:szCs w:val="16"/>
              </w:rPr>
            </w:pPr>
          </w:p>
        </w:tc>
      </w:tr>
      <w:tr w14:paraId="41E6CB4E">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03AB2C">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30201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47D1F5">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办公费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00293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14.40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3A4FE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8786D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14.40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56C107D">
            <w:pPr>
              <w:jc w:val="right"/>
              <w:rPr>
                <w:rFonts w:ascii="宋体" w:hAnsi="宋体" w:eastAsia="宋体" w:cs="宋体"/>
                <w:color w:val="000000"/>
                <w:sz w:val="16"/>
                <w:szCs w:val="16"/>
              </w:rPr>
            </w:pPr>
          </w:p>
        </w:tc>
      </w:tr>
      <w:tr w14:paraId="27BAD1AF">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D6266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30202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BAAC3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印刷费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17629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6.42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5DA5F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FFB15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6.42</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A853DCD">
            <w:pPr>
              <w:jc w:val="right"/>
              <w:rPr>
                <w:rFonts w:ascii="宋体" w:hAnsi="宋体" w:eastAsia="宋体" w:cs="宋体"/>
                <w:color w:val="000000"/>
                <w:sz w:val="16"/>
                <w:szCs w:val="16"/>
              </w:rPr>
            </w:pPr>
          </w:p>
        </w:tc>
      </w:tr>
      <w:tr w14:paraId="48D7CD35">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96021">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30205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EDA634">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水费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FA348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0C33F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D7267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1F406A0">
            <w:pPr>
              <w:jc w:val="right"/>
              <w:rPr>
                <w:rFonts w:ascii="宋体" w:hAnsi="宋体" w:eastAsia="宋体" w:cs="宋体"/>
                <w:color w:val="000000"/>
                <w:sz w:val="16"/>
                <w:szCs w:val="16"/>
              </w:rPr>
            </w:pPr>
          </w:p>
        </w:tc>
      </w:tr>
      <w:tr w14:paraId="33AD8356">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63997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30206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5F4207">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电费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A17B9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4.48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53FA6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8F610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4.48</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8100E90">
            <w:pPr>
              <w:jc w:val="right"/>
              <w:rPr>
                <w:rFonts w:ascii="宋体" w:hAnsi="宋体" w:eastAsia="宋体" w:cs="宋体"/>
                <w:color w:val="000000"/>
                <w:sz w:val="16"/>
                <w:szCs w:val="16"/>
              </w:rPr>
            </w:pPr>
          </w:p>
        </w:tc>
      </w:tr>
      <w:tr w14:paraId="33CDC64C">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FABDEE">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30207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F3D3E1">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邮电费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BA0D9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0.75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59EE1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2D995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0.75</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76282907">
            <w:pPr>
              <w:jc w:val="right"/>
              <w:rPr>
                <w:rFonts w:ascii="宋体" w:hAnsi="宋体" w:eastAsia="宋体" w:cs="宋体"/>
                <w:color w:val="000000"/>
                <w:sz w:val="16"/>
                <w:szCs w:val="16"/>
              </w:rPr>
            </w:pPr>
          </w:p>
        </w:tc>
      </w:tr>
      <w:tr w14:paraId="677F9DA0">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E83824">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30211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79231C">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差旅费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ECEBA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5B0FF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A3064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1.06</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F5E6B34">
            <w:pPr>
              <w:jc w:val="right"/>
              <w:rPr>
                <w:rFonts w:ascii="宋体" w:hAnsi="宋体" w:eastAsia="宋体" w:cs="宋体"/>
                <w:color w:val="000000"/>
                <w:sz w:val="16"/>
                <w:szCs w:val="16"/>
              </w:rPr>
            </w:pPr>
          </w:p>
        </w:tc>
      </w:tr>
      <w:tr w14:paraId="1EAFDF94">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7C4EA4">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30214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B0967F">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租赁费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54E98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5.35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196BB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04475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5.34</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166914D2">
            <w:pPr>
              <w:jc w:val="right"/>
              <w:rPr>
                <w:rFonts w:ascii="宋体" w:hAnsi="宋体" w:eastAsia="宋体" w:cs="宋体"/>
                <w:color w:val="000000"/>
                <w:sz w:val="16"/>
                <w:szCs w:val="16"/>
              </w:rPr>
            </w:pPr>
          </w:p>
        </w:tc>
      </w:tr>
      <w:tr w14:paraId="4CEDE4C8">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785303">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30226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16850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劳务费</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01136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6.93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3461A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C529A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6.93</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18CB193">
            <w:pPr>
              <w:jc w:val="right"/>
              <w:rPr>
                <w:rFonts w:ascii="宋体" w:hAnsi="宋体" w:eastAsia="宋体" w:cs="宋体"/>
                <w:color w:val="000000"/>
                <w:sz w:val="16"/>
                <w:szCs w:val="16"/>
              </w:rPr>
            </w:pPr>
          </w:p>
        </w:tc>
      </w:tr>
      <w:tr w14:paraId="541ABEB3">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82EFE6">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2F42BB">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对个人和家庭的补助</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4CC42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CB285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9137F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6C7ACB57">
            <w:pPr>
              <w:jc w:val="right"/>
              <w:rPr>
                <w:rFonts w:ascii="宋体" w:hAnsi="宋体" w:eastAsia="宋体" w:cs="宋体"/>
                <w:color w:val="000000"/>
                <w:sz w:val="16"/>
                <w:szCs w:val="16"/>
              </w:rPr>
            </w:pPr>
          </w:p>
        </w:tc>
      </w:tr>
      <w:tr w14:paraId="7AEFF63A">
        <w:tblPrEx>
          <w:tblCellMar>
            <w:top w:w="0" w:type="dxa"/>
            <w:left w:w="0" w:type="dxa"/>
            <w:bottom w:w="0" w:type="dxa"/>
            <w:right w:w="0" w:type="dxa"/>
          </w:tblCellMar>
        </w:tblPrEx>
        <w:trPr>
          <w:trHeight w:val="393" w:hRule="atLeast"/>
        </w:trPr>
        <w:tc>
          <w:tcPr>
            <w:tcW w:w="0" w:type="auto"/>
            <w:gridSpan w:val="2"/>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409A8D44">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30305</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1E16F75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生活补助</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76BE7EDE">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3.06</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04C1661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3.06</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2FD6F19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14:paraId="129128CA">
            <w:pPr>
              <w:jc w:val="right"/>
              <w:rPr>
                <w:rFonts w:ascii="宋体" w:hAnsi="宋体" w:eastAsia="宋体" w:cs="宋体"/>
                <w:color w:val="000000"/>
                <w:sz w:val="16"/>
                <w:szCs w:val="16"/>
              </w:rPr>
            </w:pPr>
          </w:p>
        </w:tc>
      </w:tr>
      <w:tr w14:paraId="2B1FAA07">
        <w:tblPrEx>
          <w:tblCellMar>
            <w:top w:w="0" w:type="dxa"/>
            <w:left w:w="0" w:type="dxa"/>
            <w:bottom w:w="0" w:type="dxa"/>
            <w:right w:w="0" w:type="dxa"/>
          </w:tblCellMar>
        </w:tblPrEx>
        <w:trPr>
          <w:trHeight w:val="405" w:hRule="atLeast"/>
        </w:trPr>
        <w:tc>
          <w:tcPr>
            <w:tcW w:w="0" w:type="auto"/>
            <w:gridSpan w:val="7"/>
            <w:tcBorders>
              <w:top w:val="nil"/>
              <w:left w:val="nil"/>
              <w:bottom w:val="nil"/>
              <w:right w:val="nil"/>
            </w:tcBorders>
            <w:shd w:val="clear" w:color="auto" w:fill="auto"/>
            <w:noWrap/>
            <w:tcMar>
              <w:top w:w="15" w:type="dxa"/>
              <w:left w:w="15" w:type="dxa"/>
              <w:right w:w="15" w:type="dxa"/>
            </w:tcMar>
            <w:vAlign w:val="center"/>
          </w:tcPr>
          <w:p w14:paraId="11BFDBA4">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注：本表反映部门本年度一般公共预算财政拨款基本支出明细情况。本表金额转换为万元时，因四舍五入可能存在尾差。</w:t>
            </w:r>
          </w:p>
        </w:tc>
      </w:tr>
    </w:tbl>
    <w:p w14:paraId="2C3E50E5"/>
    <w:p w14:paraId="71E6E88F"/>
    <w:tbl>
      <w:tblPr>
        <w:tblStyle w:val="6"/>
        <w:tblW w:w="9520" w:type="dxa"/>
        <w:tblInd w:w="0" w:type="dxa"/>
        <w:tblLayout w:type="autofit"/>
        <w:tblCellMar>
          <w:top w:w="0" w:type="dxa"/>
          <w:left w:w="0" w:type="dxa"/>
          <w:bottom w:w="0" w:type="dxa"/>
          <w:right w:w="0" w:type="dxa"/>
        </w:tblCellMar>
      </w:tblPr>
      <w:tblGrid>
        <w:gridCol w:w="822"/>
        <w:gridCol w:w="822"/>
        <w:gridCol w:w="1919"/>
        <w:gridCol w:w="1066"/>
        <w:gridCol w:w="898"/>
        <w:gridCol w:w="973"/>
        <w:gridCol w:w="1098"/>
        <w:gridCol w:w="879"/>
        <w:gridCol w:w="1043"/>
      </w:tblGrid>
      <w:tr w14:paraId="01A27CE5">
        <w:tblPrEx>
          <w:tblCellMar>
            <w:top w:w="0" w:type="dxa"/>
            <w:left w:w="0" w:type="dxa"/>
            <w:bottom w:w="0" w:type="dxa"/>
            <w:right w:w="0" w:type="dxa"/>
          </w:tblCellMar>
        </w:tblPrEx>
        <w:trPr>
          <w:trHeight w:val="593" w:hRule="atLeast"/>
        </w:trPr>
        <w:tc>
          <w:tcPr>
            <w:tcW w:w="9520" w:type="dxa"/>
            <w:gridSpan w:val="9"/>
            <w:tcBorders>
              <w:top w:val="nil"/>
              <w:left w:val="nil"/>
              <w:bottom w:val="nil"/>
              <w:right w:val="nil"/>
            </w:tcBorders>
            <w:shd w:val="clear" w:color="auto" w:fill="auto"/>
            <w:noWrap/>
            <w:tcMar>
              <w:top w:w="15" w:type="dxa"/>
              <w:left w:w="15" w:type="dxa"/>
              <w:right w:w="15" w:type="dxa"/>
            </w:tcMar>
            <w:vAlign w:val="bottom"/>
          </w:tcPr>
          <w:p w14:paraId="63F7E2A2">
            <w:pPr>
              <w:widowControl/>
              <w:jc w:val="center"/>
              <w:textAlignment w:val="bottom"/>
              <w:rPr>
                <w:rFonts w:ascii="宋体" w:hAnsi="宋体" w:eastAsia="宋体" w:cs="宋体"/>
                <w:color w:val="000000"/>
                <w:sz w:val="22"/>
                <w:szCs w:val="22"/>
              </w:rPr>
            </w:pPr>
            <w:r>
              <w:rPr>
                <w:rFonts w:hint="eastAsia" w:ascii="宋体" w:hAnsi="宋体" w:eastAsia="宋体" w:cs="宋体"/>
                <w:color w:val="000000"/>
                <w:kern w:val="0"/>
                <w:sz w:val="22"/>
                <w:szCs w:val="22"/>
              </w:rPr>
              <w:t>一般公共预算“三公”经费及会议费、培训费支出情况表</w:t>
            </w:r>
          </w:p>
        </w:tc>
      </w:tr>
      <w:tr w14:paraId="0348985A">
        <w:tblPrEx>
          <w:tblCellMar>
            <w:top w:w="0" w:type="dxa"/>
            <w:left w:w="0" w:type="dxa"/>
            <w:bottom w:w="0" w:type="dxa"/>
            <w:right w:w="0" w:type="dxa"/>
          </w:tblCellMar>
        </w:tblPrEx>
        <w:trPr>
          <w:trHeight w:val="593" w:hRule="atLeast"/>
        </w:trPr>
        <w:tc>
          <w:tcPr>
            <w:tcW w:w="0" w:type="auto"/>
            <w:gridSpan w:val="2"/>
            <w:tcBorders>
              <w:top w:val="nil"/>
              <w:left w:val="nil"/>
              <w:bottom w:val="nil"/>
              <w:right w:val="nil"/>
            </w:tcBorders>
            <w:shd w:val="clear" w:color="auto" w:fill="auto"/>
            <w:noWrap/>
            <w:tcMar>
              <w:top w:w="15" w:type="dxa"/>
              <w:left w:w="15" w:type="dxa"/>
              <w:right w:w="15" w:type="dxa"/>
            </w:tcMar>
            <w:vAlign w:val="bottom"/>
          </w:tcPr>
          <w:p w14:paraId="74CFAB67">
            <w:pPr>
              <w:rPr>
                <w:rFonts w:ascii="Arial" w:hAnsi="Arial" w:cs="Arial"/>
                <w:color w:val="000000"/>
                <w:sz w:val="16"/>
                <w:szCs w:val="16"/>
              </w:rPr>
            </w:pPr>
          </w:p>
        </w:tc>
        <w:tc>
          <w:tcPr>
            <w:tcW w:w="1919" w:type="dxa"/>
            <w:tcBorders>
              <w:top w:val="nil"/>
              <w:left w:val="nil"/>
              <w:bottom w:val="nil"/>
              <w:right w:val="nil"/>
            </w:tcBorders>
            <w:shd w:val="clear" w:color="auto" w:fill="auto"/>
            <w:noWrap/>
            <w:tcMar>
              <w:top w:w="15" w:type="dxa"/>
              <w:left w:w="15" w:type="dxa"/>
              <w:right w:w="15" w:type="dxa"/>
            </w:tcMar>
            <w:vAlign w:val="bottom"/>
          </w:tcPr>
          <w:p w14:paraId="4432A119">
            <w:pPr>
              <w:rPr>
                <w:rFonts w:ascii="Arial" w:hAnsi="Arial" w:cs="Arial"/>
                <w:color w:val="000000"/>
                <w:sz w:val="16"/>
                <w:szCs w:val="16"/>
              </w:rPr>
            </w:pPr>
          </w:p>
        </w:tc>
        <w:tc>
          <w:tcPr>
            <w:tcW w:w="1066" w:type="dxa"/>
            <w:tcBorders>
              <w:top w:val="nil"/>
              <w:left w:val="nil"/>
              <w:bottom w:val="nil"/>
              <w:right w:val="nil"/>
            </w:tcBorders>
            <w:shd w:val="clear" w:color="auto" w:fill="auto"/>
            <w:noWrap/>
            <w:tcMar>
              <w:top w:w="15" w:type="dxa"/>
              <w:left w:w="15" w:type="dxa"/>
              <w:right w:w="15" w:type="dxa"/>
            </w:tcMar>
            <w:vAlign w:val="bottom"/>
          </w:tcPr>
          <w:p w14:paraId="39148B62">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4CCA3F61">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64C100C6">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59CD6DBF">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1E71F47A">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2CF5F713">
            <w:pPr>
              <w:widowControl/>
              <w:jc w:val="right"/>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07表</w:t>
            </w:r>
          </w:p>
        </w:tc>
      </w:tr>
      <w:tr w14:paraId="157C5938">
        <w:tblPrEx>
          <w:tblCellMar>
            <w:top w:w="0" w:type="dxa"/>
            <w:left w:w="0" w:type="dxa"/>
            <w:bottom w:w="0" w:type="dxa"/>
            <w:right w:w="0" w:type="dxa"/>
          </w:tblCellMar>
        </w:tblPrEx>
        <w:trPr>
          <w:trHeight w:val="593" w:hRule="atLeast"/>
        </w:trPr>
        <w:tc>
          <w:tcPr>
            <w:tcW w:w="0" w:type="auto"/>
            <w:gridSpan w:val="4"/>
            <w:tcBorders>
              <w:top w:val="nil"/>
              <w:left w:val="nil"/>
              <w:bottom w:val="nil"/>
              <w:right w:val="nil"/>
            </w:tcBorders>
            <w:shd w:val="clear" w:color="auto" w:fill="auto"/>
            <w:noWrap/>
            <w:tcMar>
              <w:top w:w="15" w:type="dxa"/>
              <w:left w:w="15" w:type="dxa"/>
              <w:right w:w="15" w:type="dxa"/>
            </w:tcMar>
            <w:vAlign w:val="bottom"/>
          </w:tcPr>
          <w:p w14:paraId="4227F74E">
            <w:pPr>
              <w:widowControl/>
              <w:jc w:val="center"/>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编制部门：西安市蓝田县自然资源和规划局（汇总）</w:t>
            </w:r>
          </w:p>
        </w:tc>
        <w:tc>
          <w:tcPr>
            <w:tcW w:w="0" w:type="auto"/>
            <w:tcBorders>
              <w:top w:val="nil"/>
              <w:left w:val="nil"/>
              <w:bottom w:val="nil"/>
              <w:right w:val="nil"/>
            </w:tcBorders>
            <w:shd w:val="clear" w:color="auto" w:fill="auto"/>
            <w:noWrap/>
            <w:tcMar>
              <w:top w:w="15" w:type="dxa"/>
              <w:left w:w="15" w:type="dxa"/>
              <w:right w:w="15" w:type="dxa"/>
            </w:tcMar>
            <w:vAlign w:val="bottom"/>
          </w:tcPr>
          <w:p w14:paraId="260E452A">
            <w:pPr>
              <w:widowControl/>
              <w:jc w:val="center"/>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2019年</w:t>
            </w:r>
          </w:p>
        </w:tc>
        <w:tc>
          <w:tcPr>
            <w:tcW w:w="0" w:type="auto"/>
            <w:tcBorders>
              <w:top w:val="nil"/>
              <w:left w:val="nil"/>
              <w:bottom w:val="nil"/>
              <w:right w:val="nil"/>
            </w:tcBorders>
            <w:shd w:val="clear" w:color="auto" w:fill="auto"/>
            <w:noWrap/>
            <w:tcMar>
              <w:top w:w="15" w:type="dxa"/>
              <w:left w:w="15" w:type="dxa"/>
              <w:right w:w="15" w:type="dxa"/>
            </w:tcMar>
            <w:vAlign w:val="bottom"/>
          </w:tcPr>
          <w:p w14:paraId="21E80F69">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3AE5C920">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4FCBF80B">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35893E55">
            <w:pPr>
              <w:widowControl/>
              <w:jc w:val="right"/>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单位：万元</w:t>
            </w:r>
          </w:p>
        </w:tc>
      </w:tr>
      <w:tr w14:paraId="13CECB69">
        <w:tblPrEx>
          <w:tblCellMar>
            <w:top w:w="0" w:type="dxa"/>
            <w:left w:w="0" w:type="dxa"/>
            <w:bottom w:w="0" w:type="dxa"/>
            <w:right w:w="0" w:type="dxa"/>
          </w:tblCellMar>
        </w:tblPrEx>
        <w:trPr>
          <w:trHeight w:val="1048" w:hRule="atLeast"/>
        </w:trPr>
        <w:tc>
          <w:tcPr>
            <w:tcW w:w="822" w:type="dxa"/>
            <w:vMerge w:val="restart"/>
            <w:tcBorders>
              <w:top w:val="single" w:color="000000" w:sz="4" w:space="0"/>
              <w:left w:val="single" w:color="000000" w:sz="4" w:space="0"/>
              <w:right w:val="single" w:color="000000" w:sz="4" w:space="0"/>
            </w:tcBorders>
            <w:shd w:val="clear" w:color="FFFFFF" w:fill="C0C0C0"/>
            <w:tcMar>
              <w:top w:w="15" w:type="dxa"/>
              <w:left w:w="15" w:type="dxa"/>
              <w:right w:w="15" w:type="dxa"/>
            </w:tcMar>
            <w:vAlign w:val="center"/>
          </w:tcPr>
          <w:p w14:paraId="407C5CC4">
            <w:pPr>
              <w:widowControl/>
              <w:jc w:val="center"/>
              <w:textAlignment w:val="center"/>
              <w:rPr>
                <w:rFonts w:ascii="宋体" w:hAnsi="宋体" w:eastAsia="宋体" w:cs="宋体"/>
                <w:color w:val="000000"/>
                <w:sz w:val="16"/>
                <w:szCs w:val="16"/>
              </w:rPr>
            </w:pPr>
            <w:r>
              <w:rPr>
                <w:rFonts w:hint="eastAsia" w:ascii="宋体" w:hAnsi="宋体" w:eastAsia="宋体" w:cs="宋体"/>
                <w:color w:val="000000"/>
                <w:sz w:val="16"/>
                <w:szCs w:val="16"/>
              </w:rPr>
              <w:t>项目</w:t>
            </w:r>
          </w:p>
        </w:tc>
        <w:tc>
          <w:tcPr>
            <w:tcW w:w="6776" w:type="dxa"/>
            <w:gridSpan w:val="6"/>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D79C27">
            <w:pPr>
              <w:widowControl/>
              <w:jc w:val="center"/>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一般公共预算财政拨款安排的“三公”经费</w:t>
            </w:r>
          </w:p>
        </w:tc>
        <w:tc>
          <w:tcPr>
            <w:tcW w:w="879"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43ABA8D">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会议费</w:t>
            </w:r>
          </w:p>
        </w:tc>
        <w:tc>
          <w:tcPr>
            <w:tcW w:w="1043" w:type="dxa"/>
            <w:vMerge w:val="restart"/>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439D285B">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培训费</w:t>
            </w:r>
          </w:p>
        </w:tc>
      </w:tr>
      <w:tr w14:paraId="5F685101">
        <w:tblPrEx>
          <w:tblCellMar>
            <w:top w:w="0" w:type="dxa"/>
            <w:left w:w="0" w:type="dxa"/>
            <w:bottom w:w="0" w:type="dxa"/>
            <w:right w:w="0" w:type="dxa"/>
          </w:tblCellMar>
        </w:tblPrEx>
        <w:trPr>
          <w:trHeight w:val="912" w:hRule="atLeast"/>
        </w:trPr>
        <w:tc>
          <w:tcPr>
            <w:tcW w:w="822" w:type="dxa"/>
            <w:vMerge w:val="continue"/>
            <w:tcBorders>
              <w:left w:val="single" w:color="000000" w:sz="4" w:space="0"/>
              <w:right w:val="single" w:color="000000" w:sz="4" w:space="0"/>
            </w:tcBorders>
            <w:shd w:val="clear" w:color="FFFFFF" w:fill="C0C0C0"/>
            <w:tcMar>
              <w:top w:w="15" w:type="dxa"/>
              <w:left w:w="15" w:type="dxa"/>
              <w:right w:w="15" w:type="dxa"/>
            </w:tcMar>
            <w:vAlign w:val="center"/>
          </w:tcPr>
          <w:p w14:paraId="6B55C960">
            <w:pPr>
              <w:widowControl/>
              <w:jc w:val="center"/>
              <w:textAlignment w:val="center"/>
              <w:rPr>
                <w:rFonts w:ascii="宋体" w:hAnsi="宋体" w:eastAsia="宋体" w:cs="宋体"/>
                <w:color w:val="000000"/>
                <w:sz w:val="16"/>
                <w:szCs w:val="16"/>
              </w:rPr>
            </w:pPr>
          </w:p>
        </w:tc>
        <w:tc>
          <w:tcPr>
            <w:tcW w:w="822" w:type="dxa"/>
            <w:vMerge w:val="restart"/>
            <w:tcBorders>
              <w:top w:val="nil"/>
              <w:left w:val="single" w:color="000000" w:sz="4" w:space="0"/>
              <w:right w:val="single" w:color="000000" w:sz="4" w:space="0"/>
            </w:tcBorders>
            <w:shd w:val="clear" w:color="FFFFFF" w:fill="C0C0C0"/>
            <w:tcMar>
              <w:top w:w="15" w:type="dxa"/>
              <w:left w:w="15" w:type="dxa"/>
              <w:right w:w="15" w:type="dxa"/>
            </w:tcMar>
            <w:vAlign w:val="center"/>
          </w:tcPr>
          <w:p w14:paraId="184904F6">
            <w:pPr>
              <w:widowControl/>
              <w:jc w:val="center"/>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小计</w:t>
            </w:r>
          </w:p>
        </w:tc>
        <w:tc>
          <w:tcPr>
            <w:tcW w:w="191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B46B092">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因公出国（境）费用</w:t>
            </w:r>
          </w:p>
        </w:tc>
        <w:tc>
          <w:tcPr>
            <w:tcW w:w="106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984B1B9">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公务接待费</w:t>
            </w:r>
          </w:p>
        </w:tc>
        <w:tc>
          <w:tcPr>
            <w:tcW w:w="2969" w:type="dxa"/>
            <w:gridSpan w:val="3"/>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FC69E8C">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公务用车购置及运行维护费</w:t>
            </w:r>
          </w:p>
        </w:tc>
        <w:tc>
          <w:tcPr>
            <w:tcW w:w="879"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E1E5A25">
            <w:pPr>
              <w:jc w:val="center"/>
              <w:rPr>
                <w:rFonts w:ascii="宋体" w:hAnsi="宋体" w:eastAsia="宋体" w:cs="宋体"/>
                <w:color w:val="000000"/>
                <w:sz w:val="16"/>
                <w:szCs w:val="16"/>
              </w:rPr>
            </w:pPr>
          </w:p>
        </w:tc>
        <w:tc>
          <w:tcPr>
            <w:tcW w:w="1043"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34951C4C">
            <w:pPr>
              <w:jc w:val="center"/>
              <w:rPr>
                <w:rFonts w:ascii="宋体" w:hAnsi="宋体" w:eastAsia="宋体" w:cs="宋体"/>
                <w:color w:val="000000"/>
                <w:sz w:val="16"/>
                <w:szCs w:val="16"/>
              </w:rPr>
            </w:pPr>
          </w:p>
        </w:tc>
      </w:tr>
      <w:tr w14:paraId="487AC126">
        <w:tblPrEx>
          <w:tblCellMar>
            <w:top w:w="0" w:type="dxa"/>
            <w:left w:w="0" w:type="dxa"/>
            <w:bottom w:w="0" w:type="dxa"/>
            <w:right w:w="0" w:type="dxa"/>
          </w:tblCellMar>
        </w:tblPrEx>
        <w:trPr>
          <w:trHeight w:val="1347" w:hRule="atLeast"/>
        </w:trPr>
        <w:tc>
          <w:tcPr>
            <w:tcW w:w="822" w:type="dxa"/>
            <w:vMerge w:val="continue"/>
            <w:tcBorders>
              <w:left w:val="single" w:color="000000" w:sz="4" w:space="0"/>
              <w:right w:val="single" w:color="000000" w:sz="4" w:space="0"/>
            </w:tcBorders>
            <w:shd w:val="clear" w:color="FFFFFF" w:fill="C0C0C0"/>
            <w:tcMar>
              <w:top w:w="15" w:type="dxa"/>
              <w:left w:w="15" w:type="dxa"/>
              <w:right w:w="15" w:type="dxa"/>
            </w:tcMar>
            <w:vAlign w:val="center"/>
          </w:tcPr>
          <w:p w14:paraId="53916337">
            <w:pPr>
              <w:jc w:val="center"/>
              <w:rPr>
                <w:rFonts w:ascii="宋体" w:hAnsi="宋体" w:eastAsia="宋体" w:cs="宋体"/>
                <w:color w:val="000000"/>
                <w:sz w:val="16"/>
                <w:szCs w:val="16"/>
              </w:rPr>
            </w:pPr>
          </w:p>
        </w:tc>
        <w:tc>
          <w:tcPr>
            <w:tcW w:w="822" w:type="dxa"/>
            <w:vMerge w:val="continue"/>
            <w:tcBorders>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70110F">
            <w:pPr>
              <w:jc w:val="center"/>
              <w:rPr>
                <w:rFonts w:ascii="宋体" w:hAnsi="宋体" w:eastAsia="宋体" w:cs="宋体"/>
                <w:color w:val="000000"/>
                <w:sz w:val="16"/>
                <w:szCs w:val="16"/>
              </w:rPr>
            </w:pPr>
          </w:p>
        </w:tc>
        <w:tc>
          <w:tcPr>
            <w:tcW w:w="19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DD747B1">
            <w:pPr>
              <w:jc w:val="center"/>
              <w:rPr>
                <w:rFonts w:ascii="宋体" w:hAnsi="宋体" w:eastAsia="宋体" w:cs="宋体"/>
                <w:color w:val="000000"/>
                <w:sz w:val="16"/>
                <w:szCs w:val="16"/>
              </w:rPr>
            </w:pPr>
          </w:p>
        </w:tc>
        <w:tc>
          <w:tcPr>
            <w:tcW w:w="106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1FC27F5">
            <w:pPr>
              <w:jc w:val="center"/>
              <w:rPr>
                <w:rFonts w:ascii="宋体" w:hAnsi="宋体" w:eastAsia="宋体" w:cs="宋体"/>
                <w:color w:val="000000"/>
                <w:sz w:val="16"/>
                <w:szCs w:val="16"/>
              </w:rPr>
            </w:pPr>
          </w:p>
        </w:tc>
        <w:tc>
          <w:tcPr>
            <w:tcW w:w="898"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83A04E2">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小计</w:t>
            </w:r>
          </w:p>
        </w:tc>
        <w:tc>
          <w:tcPr>
            <w:tcW w:w="97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3995D24">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公务用车购置费</w:t>
            </w:r>
          </w:p>
        </w:tc>
        <w:tc>
          <w:tcPr>
            <w:tcW w:w="1098"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047B844">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公务用车运行维护费</w:t>
            </w:r>
          </w:p>
        </w:tc>
        <w:tc>
          <w:tcPr>
            <w:tcW w:w="879"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FBDF87B">
            <w:pPr>
              <w:jc w:val="center"/>
              <w:rPr>
                <w:rFonts w:ascii="宋体" w:hAnsi="宋体" w:eastAsia="宋体" w:cs="宋体"/>
                <w:color w:val="000000"/>
                <w:sz w:val="16"/>
                <w:szCs w:val="16"/>
              </w:rPr>
            </w:pPr>
          </w:p>
        </w:tc>
        <w:tc>
          <w:tcPr>
            <w:tcW w:w="1043"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623154AF">
            <w:pPr>
              <w:jc w:val="center"/>
              <w:rPr>
                <w:rFonts w:ascii="宋体" w:hAnsi="宋体" w:eastAsia="宋体" w:cs="宋体"/>
                <w:color w:val="000000"/>
                <w:sz w:val="16"/>
                <w:szCs w:val="16"/>
              </w:rPr>
            </w:pPr>
          </w:p>
        </w:tc>
      </w:tr>
      <w:tr w14:paraId="47A59CA2">
        <w:tblPrEx>
          <w:tblCellMar>
            <w:top w:w="0" w:type="dxa"/>
            <w:left w:w="0" w:type="dxa"/>
            <w:bottom w:w="0" w:type="dxa"/>
            <w:right w:w="0" w:type="dxa"/>
          </w:tblCellMar>
        </w:tblPrEx>
        <w:trPr>
          <w:trHeight w:val="640" w:hRule="atLeast"/>
        </w:trPr>
        <w:tc>
          <w:tcPr>
            <w:tcW w:w="822" w:type="dxa"/>
            <w:vMerge w:val="continue"/>
            <w:tcBorders>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8F8980">
            <w:pPr>
              <w:widowControl/>
              <w:jc w:val="center"/>
              <w:textAlignment w:val="center"/>
              <w:rPr>
                <w:rFonts w:ascii="宋体" w:hAnsi="宋体" w:eastAsia="宋体" w:cs="宋体"/>
                <w:color w:val="000000"/>
                <w:sz w:val="16"/>
                <w:szCs w:val="16"/>
              </w:rPr>
            </w:pPr>
          </w:p>
        </w:tc>
        <w:tc>
          <w:tcPr>
            <w:tcW w:w="822"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25DD44">
            <w:pPr>
              <w:widowControl/>
              <w:jc w:val="center"/>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w:t>
            </w:r>
          </w:p>
        </w:tc>
        <w:tc>
          <w:tcPr>
            <w:tcW w:w="191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5E5E182">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w:t>
            </w:r>
          </w:p>
        </w:tc>
        <w:tc>
          <w:tcPr>
            <w:tcW w:w="1066"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9ED0A11">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w:t>
            </w:r>
          </w:p>
        </w:tc>
        <w:tc>
          <w:tcPr>
            <w:tcW w:w="898"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CF59491">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w:t>
            </w:r>
          </w:p>
        </w:tc>
        <w:tc>
          <w:tcPr>
            <w:tcW w:w="973"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77A0E3">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w:t>
            </w:r>
          </w:p>
        </w:tc>
        <w:tc>
          <w:tcPr>
            <w:tcW w:w="1098"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C75BDEC">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6</w:t>
            </w:r>
          </w:p>
        </w:tc>
        <w:tc>
          <w:tcPr>
            <w:tcW w:w="879"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AE8FC6">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7</w:t>
            </w:r>
          </w:p>
        </w:tc>
        <w:tc>
          <w:tcPr>
            <w:tcW w:w="1043" w:type="dxa"/>
            <w:tcBorders>
              <w:top w:val="nil"/>
              <w:left w:val="nil"/>
              <w:bottom w:val="single" w:color="000000" w:sz="4" w:space="0"/>
              <w:right w:val="single" w:color="000000" w:sz="8" w:space="0"/>
            </w:tcBorders>
            <w:shd w:val="clear" w:color="FFFFFF" w:fill="C0C0C0"/>
            <w:tcMar>
              <w:top w:w="15" w:type="dxa"/>
              <w:left w:w="15" w:type="dxa"/>
              <w:right w:w="15" w:type="dxa"/>
            </w:tcMar>
            <w:vAlign w:val="center"/>
          </w:tcPr>
          <w:p w14:paraId="3EEA7162">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8</w:t>
            </w:r>
          </w:p>
        </w:tc>
      </w:tr>
      <w:tr w14:paraId="7FD65A25">
        <w:tblPrEx>
          <w:tblCellMar>
            <w:top w:w="0" w:type="dxa"/>
            <w:left w:w="0" w:type="dxa"/>
            <w:bottom w:w="0" w:type="dxa"/>
            <w:right w:w="0" w:type="dxa"/>
          </w:tblCellMar>
        </w:tblPrEx>
        <w:trPr>
          <w:trHeight w:val="722" w:hRule="atLeast"/>
        </w:trPr>
        <w:tc>
          <w:tcPr>
            <w:tcW w:w="822" w:type="dxa"/>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091BE2EC">
            <w:pPr>
              <w:widowControl/>
              <w:jc w:val="right"/>
              <w:textAlignment w:val="center"/>
              <w:rPr>
                <w:rFonts w:ascii="宋体" w:hAnsi="宋体" w:eastAsia="宋体" w:cs="宋体"/>
                <w:color w:val="000000"/>
                <w:sz w:val="16"/>
                <w:szCs w:val="16"/>
              </w:rPr>
            </w:pPr>
            <w:r>
              <w:rPr>
                <w:rFonts w:hint="eastAsia" w:ascii="宋体" w:hAnsi="宋体" w:eastAsia="宋体" w:cs="宋体"/>
                <w:color w:val="000000"/>
                <w:sz w:val="16"/>
                <w:szCs w:val="16"/>
              </w:rPr>
              <w:t>预算数</w:t>
            </w:r>
          </w:p>
        </w:tc>
        <w:tc>
          <w:tcPr>
            <w:tcW w:w="822" w:type="dxa"/>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7DCA86E4">
            <w:pPr>
              <w:widowControl/>
              <w:jc w:val="right"/>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9.04</w:t>
            </w:r>
          </w:p>
        </w:tc>
        <w:tc>
          <w:tcPr>
            <w:tcW w:w="1919"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64C3387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1066"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275AD0B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0.04</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4344580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9.00</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393F463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70811EF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9.00</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415A9793">
            <w:pPr>
              <w:widowControl/>
              <w:jc w:val="right"/>
              <w:textAlignment w:val="center"/>
              <w:rPr>
                <w:rFonts w:ascii="宋体" w:hAnsi="宋体" w:eastAsia="宋体" w:cs="宋体"/>
                <w:color w:val="000000"/>
                <w:sz w:val="16"/>
                <w:szCs w:val="16"/>
              </w:rPr>
            </w:pPr>
            <w:r>
              <w:rPr>
                <w:rFonts w:hint="eastAsia" w:ascii="宋体" w:hAnsi="宋体" w:eastAsia="宋体" w:cs="宋体"/>
                <w:color w:val="000000"/>
                <w:sz w:val="16"/>
                <w:szCs w:val="16"/>
              </w:rPr>
              <w:t>0.45</w:t>
            </w:r>
          </w:p>
        </w:tc>
        <w:tc>
          <w:tcPr>
            <w:tcW w:w="0" w:type="auto"/>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14:paraId="3266C1FB">
            <w:pPr>
              <w:widowControl/>
              <w:jc w:val="right"/>
              <w:textAlignment w:val="center"/>
              <w:rPr>
                <w:rFonts w:ascii="宋体" w:hAnsi="宋体" w:eastAsia="宋体" w:cs="宋体"/>
                <w:color w:val="000000"/>
                <w:sz w:val="16"/>
                <w:szCs w:val="16"/>
              </w:rPr>
            </w:pPr>
            <w:r>
              <w:rPr>
                <w:rFonts w:hint="eastAsia" w:ascii="宋体" w:hAnsi="宋体" w:eastAsia="宋体" w:cs="宋体"/>
                <w:color w:val="000000"/>
                <w:sz w:val="16"/>
                <w:szCs w:val="16"/>
              </w:rPr>
              <w:t>0.46</w:t>
            </w:r>
          </w:p>
        </w:tc>
      </w:tr>
      <w:tr w14:paraId="216EC39E">
        <w:tblPrEx>
          <w:tblCellMar>
            <w:top w:w="0" w:type="dxa"/>
            <w:left w:w="0" w:type="dxa"/>
            <w:bottom w:w="0" w:type="dxa"/>
            <w:right w:w="0" w:type="dxa"/>
          </w:tblCellMar>
        </w:tblPrEx>
        <w:trPr>
          <w:trHeight w:val="722" w:hRule="atLeast"/>
        </w:trPr>
        <w:tc>
          <w:tcPr>
            <w:tcW w:w="822" w:type="dxa"/>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1A1897F4">
            <w:pPr>
              <w:widowControl/>
              <w:jc w:val="right"/>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决算数</w:t>
            </w:r>
          </w:p>
        </w:tc>
        <w:tc>
          <w:tcPr>
            <w:tcW w:w="822" w:type="dxa"/>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6AFBF887">
            <w:pPr>
              <w:widowControl/>
              <w:jc w:val="right"/>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9.00</w:t>
            </w:r>
          </w:p>
        </w:tc>
        <w:tc>
          <w:tcPr>
            <w:tcW w:w="1919"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34D48020">
            <w:pPr>
              <w:widowControl/>
              <w:jc w:val="right"/>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0.00</w:t>
            </w:r>
          </w:p>
        </w:tc>
        <w:tc>
          <w:tcPr>
            <w:tcW w:w="1066"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4946F701">
            <w:pPr>
              <w:widowControl/>
              <w:jc w:val="right"/>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4349BE61">
            <w:pPr>
              <w:widowControl/>
              <w:jc w:val="right"/>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9.00</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41E34773">
            <w:pPr>
              <w:widowControl/>
              <w:jc w:val="right"/>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3DEA09E9">
            <w:pPr>
              <w:widowControl/>
              <w:jc w:val="right"/>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9.00</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0BD59AF5">
            <w:pPr>
              <w:widowControl/>
              <w:jc w:val="right"/>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14:paraId="2516AE6E">
            <w:pPr>
              <w:widowControl/>
              <w:jc w:val="right"/>
              <w:textAlignment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0.00</w:t>
            </w:r>
          </w:p>
        </w:tc>
      </w:tr>
      <w:tr w14:paraId="54719860">
        <w:tblPrEx>
          <w:tblCellMar>
            <w:top w:w="0" w:type="dxa"/>
            <w:left w:w="0" w:type="dxa"/>
            <w:bottom w:w="0" w:type="dxa"/>
            <w:right w:w="0" w:type="dxa"/>
          </w:tblCellMar>
        </w:tblPrEx>
        <w:trPr>
          <w:trHeight w:val="1239" w:hRule="atLeast"/>
        </w:trPr>
        <w:tc>
          <w:tcPr>
            <w:tcW w:w="9520" w:type="dxa"/>
            <w:gridSpan w:val="9"/>
            <w:tcBorders>
              <w:top w:val="nil"/>
              <w:left w:val="nil"/>
              <w:bottom w:val="nil"/>
              <w:right w:val="nil"/>
            </w:tcBorders>
            <w:shd w:val="clear" w:color="auto" w:fill="auto"/>
            <w:tcMar>
              <w:top w:w="15" w:type="dxa"/>
              <w:left w:w="15" w:type="dxa"/>
              <w:right w:w="15" w:type="dxa"/>
            </w:tcMar>
            <w:vAlign w:val="center"/>
          </w:tcPr>
          <w:p w14:paraId="4BD03F7C">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注：本表反映部门本年度一般公共预算财政拨款“三公”经费、会议费、培训费的实际支出情况。本表金额转换为万元时，因四舍五入可能存在尾差。</w:t>
            </w:r>
          </w:p>
        </w:tc>
      </w:tr>
    </w:tbl>
    <w:p w14:paraId="559A2B64"/>
    <w:p w14:paraId="035795C8"/>
    <w:p w14:paraId="55B1EC69"/>
    <w:p w14:paraId="224F7BE9"/>
    <w:p w14:paraId="2875C54D"/>
    <w:p w14:paraId="2B22E4DC"/>
    <w:p w14:paraId="401B9B5A"/>
    <w:p w14:paraId="7F025F28"/>
    <w:p w14:paraId="0AF1ED07"/>
    <w:p w14:paraId="31826CF8"/>
    <w:tbl>
      <w:tblPr>
        <w:tblStyle w:val="6"/>
        <w:tblW w:w="9330" w:type="dxa"/>
        <w:tblInd w:w="0" w:type="dxa"/>
        <w:tblLayout w:type="autofit"/>
        <w:tblCellMar>
          <w:top w:w="0" w:type="dxa"/>
          <w:left w:w="0" w:type="dxa"/>
          <w:bottom w:w="0" w:type="dxa"/>
          <w:right w:w="0" w:type="dxa"/>
        </w:tblCellMar>
      </w:tblPr>
      <w:tblGrid>
        <w:gridCol w:w="193"/>
        <w:gridCol w:w="194"/>
        <w:gridCol w:w="197"/>
        <w:gridCol w:w="4378"/>
        <w:gridCol w:w="574"/>
        <w:gridCol w:w="934"/>
        <w:gridCol w:w="837"/>
        <w:gridCol w:w="598"/>
        <w:gridCol w:w="862"/>
        <w:gridCol w:w="901"/>
      </w:tblGrid>
      <w:tr w14:paraId="5AB40660">
        <w:tblPrEx>
          <w:tblCellMar>
            <w:top w:w="0" w:type="dxa"/>
            <w:left w:w="0" w:type="dxa"/>
            <w:bottom w:w="0" w:type="dxa"/>
            <w:right w:w="0" w:type="dxa"/>
          </w:tblCellMar>
        </w:tblPrEx>
        <w:trPr>
          <w:trHeight w:val="540" w:hRule="atLeast"/>
        </w:trPr>
        <w:tc>
          <w:tcPr>
            <w:tcW w:w="9330" w:type="dxa"/>
            <w:gridSpan w:val="10"/>
            <w:tcBorders>
              <w:top w:val="nil"/>
              <w:left w:val="nil"/>
              <w:bottom w:val="nil"/>
              <w:right w:val="nil"/>
            </w:tcBorders>
            <w:shd w:val="clear" w:color="auto" w:fill="auto"/>
            <w:noWrap/>
            <w:tcMar>
              <w:top w:w="15" w:type="dxa"/>
              <w:left w:w="15" w:type="dxa"/>
              <w:right w:w="15" w:type="dxa"/>
            </w:tcMar>
            <w:vAlign w:val="bottom"/>
          </w:tcPr>
          <w:p w14:paraId="199FB04F">
            <w:pPr>
              <w:widowControl/>
              <w:jc w:val="center"/>
              <w:textAlignment w:val="bottom"/>
              <w:rPr>
                <w:rFonts w:ascii="宋体" w:hAnsi="宋体" w:eastAsia="宋体" w:cs="宋体"/>
                <w:color w:val="000000"/>
                <w:sz w:val="44"/>
                <w:szCs w:val="44"/>
              </w:rPr>
            </w:pPr>
            <w:r>
              <w:rPr>
                <w:rFonts w:hint="eastAsia" w:ascii="宋体" w:hAnsi="宋体" w:eastAsia="宋体" w:cs="宋体"/>
                <w:color w:val="000000"/>
                <w:kern w:val="0"/>
                <w:sz w:val="44"/>
                <w:szCs w:val="44"/>
              </w:rPr>
              <w:t>政府性基金预算收支情况表</w:t>
            </w:r>
          </w:p>
        </w:tc>
      </w:tr>
      <w:tr w14:paraId="5032F19E">
        <w:tblPrEx>
          <w:tblCellMar>
            <w:top w:w="0" w:type="dxa"/>
            <w:left w:w="0" w:type="dxa"/>
            <w:bottom w:w="0" w:type="dxa"/>
            <w:right w:w="0" w:type="dxa"/>
          </w:tblCellMar>
        </w:tblPrEx>
        <w:trPr>
          <w:trHeight w:val="255" w:hRule="atLeast"/>
        </w:trPr>
        <w:tc>
          <w:tcPr>
            <w:tcW w:w="0" w:type="auto"/>
            <w:tcBorders>
              <w:top w:val="nil"/>
              <w:left w:val="nil"/>
              <w:bottom w:val="nil"/>
              <w:right w:val="nil"/>
            </w:tcBorders>
            <w:shd w:val="clear" w:color="auto" w:fill="auto"/>
            <w:noWrap/>
            <w:tcMar>
              <w:top w:w="15" w:type="dxa"/>
              <w:left w:w="15" w:type="dxa"/>
              <w:right w:w="15" w:type="dxa"/>
            </w:tcMar>
            <w:vAlign w:val="bottom"/>
          </w:tcPr>
          <w:p w14:paraId="291BF879">
            <w:pPr>
              <w:rPr>
                <w:rFonts w:ascii="Arial" w:hAnsi="Arial" w:cs="Arial"/>
                <w:color w:val="000000"/>
                <w:sz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3B8D7651">
            <w:pPr>
              <w:rPr>
                <w:rFonts w:ascii="Arial" w:hAnsi="Arial" w:cs="Arial"/>
                <w:color w:val="000000"/>
                <w:sz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3E4D2696">
            <w:pPr>
              <w:rPr>
                <w:rFonts w:ascii="Arial" w:hAnsi="Arial" w:cs="Arial"/>
                <w:color w:val="000000"/>
                <w:sz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420EFF1E">
            <w:pPr>
              <w:rPr>
                <w:rFonts w:ascii="Arial" w:hAnsi="Arial" w:cs="Arial"/>
                <w:color w:val="000000"/>
                <w:sz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6818765C">
            <w:pPr>
              <w:rPr>
                <w:rFonts w:ascii="Arial" w:hAnsi="Arial" w:cs="Arial"/>
                <w:color w:val="000000"/>
                <w:sz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68689111">
            <w:pPr>
              <w:rPr>
                <w:rFonts w:ascii="Arial" w:hAnsi="Arial" w:cs="Arial"/>
                <w:color w:val="000000"/>
                <w:sz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761CA5AE">
            <w:pPr>
              <w:rPr>
                <w:rFonts w:ascii="Arial" w:hAnsi="Arial" w:cs="Arial"/>
                <w:color w:val="000000"/>
                <w:sz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02AE4168">
            <w:pPr>
              <w:rPr>
                <w:rFonts w:ascii="Arial" w:hAnsi="Arial" w:cs="Arial"/>
                <w:color w:val="000000"/>
                <w:sz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51FDBFE9">
            <w:pPr>
              <w:rPr>
                <w:rFonts w:ascii="Arial" w:hAnsi="Arial" w:cs="Arial"/>
                <w:color w:val="000000"/>
                <w:sz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475E4EFE">
            <w:pPr>
              <w:widowControl/>
              <w:jc w:val="right"/>
              <w:textAlignment w:val="bottom"/>
              <w:rPr>
                <w:rFonts w:ascii="宋体" w:hAnsi="宋体" w:eastAsia="宋体" w:cs="宋体"/>
                <w:color w:val="000000"/>
                <w:sz w:val="20"/>
              </w:rPr>
            </w:pPr>
            <w:r>
              <w:rPr>
                <w:rFonts w:hint="eastAsia" w:ascii="宋体" w:hAnsi="宋体" w:eastAsia="宋体" w:cs="宋体"/>
                <w:color w:val="000000"/>
                <w:kern w:val="0"/>
                <w:sz w:val="20"/>
              </w:rPr>
              <w:t>08表</w:t>
            </w:r>
          </w:p>
        </w:tc>
      </w:tr>
      <w:tr w14:paraId="5755D017">
        <w:tblPrEx>
          <w:tblCellMar>
            <w:top w:w="0" w:type="dxa"/>
            <w:left w:w="0" w:type="dxa"/>
            <w:bottom w:w="0" w:type="dxa"/>
            <w:right w:w="0" w:type="dxa"/>
          </w:tblCellMar>
        </w:tblPrEx>
        <w:trPr>
          <w:trHeight w:val="225" w:hRule="atLeast"/>
        </w:trPr>
        <w:tc>
          <w:tcPr>
            <w:tcW w:w="0" w:type="auto"/>
            <w:gridSpan w:val="4"/>
            <w:tcBorders>
              <w:top w:val="nil"/>
              <w:left w:val="nil"/>
              <w:bottom w:val="nil"/>
              <w:right w:val="nil"/>
            </w:tcBorders>
            <w:shd w:val="clear" w:color="auto" w:fill="auto"/>
            <w:noWrap/>
            <w:tcMar>
              <w:top w:w="15" w:type="dxa"/>
              <w:left w:w="15" w:type="dxa"/>
              <w:right w:w="15" w:type="dxa"/>
            </w:tcMar>
            <w:vAlign w:val="bottom"/>
          </w:tcPr>
          <w:p w14:paraId="0978B44D">
            <w:pPr>
              <w:widowControl/>
              <w:jc w:val="left"/>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编制部门：西安市蓝田县自然资源和规划局（汇总）</w:t>
            </w:r>
          </w:p>
        </w:tc>
        <w:tc>
          <w:tcPr>
            <w:tcW w:w="0" w:type="auto"/>
            <w:tcBorders>
              <w:top w:val="nil"/>
              <w:left w:val="nil"/>
              <w:bottom w:val="nil"/>
              <w:right w:val="nil"/>
            </w:tcBorders>
            <w:shd w:val="clear" w:color="auto" w:fill="auto"/>
            <w:noWrap/>
            <w:tcMar>
              <w:top w:w="15" w:type="dxa"/>
              <w:left w:w="15" w:type="dxa"/>
              <w:right w:w="15" w:type="dxa"/>
            </w:tcMar>
            <w:vAlign w:val="bottom"/>
          </w:tcPr>
          <w:p w14:paraId="6E725D2C">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46A3FC8D">
            <w:pPr>
              <w:widowControl/>
              <w:jc w:val="center"/>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2019年</w:t>
            </w:r>
          </w:p>
        </w:tc>
        <w:tc>
          <w:tcPr>
            <w:tcW w:w="0" w:type="auto"/>
            <w:tcBorders>
              <w:top w:val="nil"/>
              <w:left w:val="nil"/>
              <w:bottom w:val="nil"/>
              <w:right w:val="nil"/>
            </w:tcBorders>
            <w:shd w:val="clear" w:color="auto" w:fill="auto"/>
            <w:noWrap/>
            <w:tcMar>
              <w:top w:w="15" w:type="dxa"/>
              <w:left w:w="15" w:type="dxa"/>
              <w:right w:w="15" w:type="dxa"/>
            </w:tcMar>
            <w:vAlign w:val="bottom"/>
          </w:tcPr>
          <w:p w14:paraId="4286A800">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7F13AC9A">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49BC4A73">
            <w:pPr>
              <w:rPr>
                <w:rFonts w:ascii="Arial" w:hAnsi="Arial" w:cs="Arial"/>
                <w:color w:val="000000"/>
                <w:sz w:val="16"/>
                <w:szCs w:val="16"/>
              </w:rPr>
            </w:pPr>
          </w:p>
        </w:tc>
        <w:tc>
          <w:tcPr>
            <w:tcW w:w="0" w:type="auto"/>
            <w:tcBorders>
              <w:top w:val="nil"/>
              <w:left w:val="nil"/>
              <w:bottom w:val="nil"/>
              <w:right w:val="nil"/>
            </w:tcBorders>
            <w:shd w:val="clear" w:color="auto" w:fill="auto"/>
            <w:noWrap/>
            <w:tcMar>
              <w:top w:w="15" w:type="dxa"/>
              <w:left w:w="15" w:type="dxa"/>
              <w:right w:w="15" w:type="dxa"/>
            </w:tcMar>
            <w:vAlign w:val="bottom"/>
          </w:tcPr>
          <w:p w14:paraId="085F41EC">
            <w:pPr>
              <w:widowControl/>
              <w:jc w:val="right"/>
              <w:textAlignment w:val="bottom"/>
              <w:rPr>
                <w:rFonts w:ascii="宋体" w:hAnsi="宋体" w:eastAsia="宋体" w:cs="宋体"/>
                <w:color w:val="000000"/>
                <w:sz w:val="16"/>
                <w:szCs w:val="16"/>
              </w:rPr>
            </w:pPr>
            <w:r>
              <w:rPr>
                <w:rFonts w:hint="eastAsia" w:ascii="宋体" w:hAnsi="宋体" w:eastAsia="宋体" w:cs="宋体"/>
                <w:color w:val="000000"/>
                <w:kern w:val="0"/>
                <w:sz w:val="16"/>
                <w:szCs w:val="16"/>
              </w:rPr>
              <w:t>单位：万元</w:t>
            </w:r>
          </w:p>
        </w:tc>
      </w:tr>
      <w:tr w14:paraId="7ABAD99A">
        <w:tblPrEx>
          <w:tblCellMar>
            <w:top w:w="0" w:type="dxa"/>
            <w:left w:w="0" w:type="dxa"/>
            <w:bottom w:w="0" w:type="dxa"/>
            <w:right w:w="0" w:type="dxa"/>
          </w:tblCellMar>
        </w:tblPrEx>
        <w:trPr>
          <w:trHeight w:val="308" w:hRule="atLeast"/>
        </w:trPr>
        <w:tc>
          <w:tcPr>
            <w:tcW w:w="4230" w:type="dxa"/>
            <w:gridSpan w:val="4"/>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02911A">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项目</w:t>
            </w:r>
          </w:p>
        </w:tc>
        <w:tc>
          <w:tcPr>
            <w:tcW w:w="705"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EE27967">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年初结转和结余</w:t>
            </w:r>
          </w:p>
        </w:tc>
        <w:tc>
          <w:tcPr>
            <w:tcW w:w="1050"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DB43638">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本年收入</w:t>
            </w:r>
          </w:p>
        </w:tc>
        <w:tc>
          <w:tcPr>
            <w:tcW w:w="253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A13F362">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本年支出</w:t>
            </w:r>
          </w:p>
        </w:tc>
        <w:tc>
          <w:tcPr>
            <w:tcW w:w="810" w:type="dxa"/>
            <w:vMerge w:val="restart"/>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265A8E28">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年末结转和结余</w:t>
            </w:r>
          </w:p>
        </w:tc>
      </w:tr>
      <w:tr w14:paraId="0CB43DC0">
        <w:tblPrEx>
          <w:tblCellMar>
            <w:top w:w="0" w:type="dxa"/>
            <w:left w:w="0" w:type="dxa"/>
            <w:bottom w:w="0" w:type="dxa"/>
            <w:right w:w="0" w:type="dxa"/>
          </w:tblCellMar>
        </w:tblPrEx>
        <w:trPr>
          <w:trHeight w:val="312" w:hRule="atLeast"/>
        </w:trPr>
        <w:tc>
          <w:tcPr>
            <w:tcW w:w="780" w:type="dxa"/>
            <w:gridSpan w:val="3"/>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72CF1D">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功能分类科目编码</w:t>
            </w:r>
          </w:p>
        </w:tc>
        <w:tc>
          <w:tcPr>
            <w:tcW w:w="345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FF878AC">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科目名称</w:t>
            </w:r>
          </w:p>
        </w:tc>
        <w:tc>
          <w:tcPr>
            <w:tcW w:w="70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5C89E7D">
            <w:pPr>
              <w:jc w:val="center"/>
              <w:rPr>
                <w:rFonts w:ascii="宋体" w:hAnsi="宋体" w:eastAsia="宋体" w:cs="宋体"/>
                <w:color w:val="000000"/>
                <w:sz w:val="16"/>
                <w:szCs w:val="16"/>
              </w:rPr>
            </w:pPr>
          </w:p>
        </w:tc>
        <w:tc>
          <w:tcPr>
            <w:tcW w:w="105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6BD8E05">
            <w:pPr>
              <w:jc w:val="center"/>
              <w:rPr>
                <w:rFonts w:ascii="宋体" w:hAnsi="宋体" w:eastAsia="宋体" w:cs="宋体"/>
                <w:color w:val="000000"/>
                <w:sz w:val="16"/>
                <w:szCs w:val="16"/>
              </w:rPr>
            </w:pPr>
          </w:p>
        </w:tc>
        <w:tc>
          <w:tcPr>
            <w:tcW w:w="87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FB17F2C">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小计</w:t>
            </w:r>
          </w:p>
        </w:tc>
        <w:tc>
          <w:tcPr>
            <w:tcW w:w="75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ED81AB3">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基本支出</w:t>
            </w:r>
          </w:p>
        </w:tc>
        <w:tc>
          <w:tcPr>
            <w:tcW w:w="91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D510D82">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项目支出</w:t>
            </w:r>
          </w:p>
        </w:tc>
        <w:tc>
          <w:tcPr>
            <w:tcW w:w="810"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7AE29C09">
            <w:pPr>
              <w:jc w:val="center"/>
              <w:rPr>
                <w:rFonts w:ascii="宋体" w:hAnsi="宋体" w:eastAsia="宋体" w:cs="宋体"/>
                <w:color w:val="000000"/>
                <w:sz w:val="16"/>
                <w:szCs w:val="16"/>
              </w:rPr>
            </w:pPr>
          </w:p>
        </w:tc>
      </w:tr>
      <w:tr w14:paraId="732D943E">
        <w:tblPrEx>
          <w:tblCellMar>
            <w:top w:w="0" w:type="dxa"/>
            <w:left w:w="0" w:type="dxa"/>
            <w:bottom w:w="0" w:type="dxa"/>
            <w:right w:w="0" w:type="dxa"/>
          </w:tblCellMar>
        </w:tblPrEx>
        <w:trPr>
          <w:trHeight w:val="312" w:hRule="atLeast"/>
        </w:trPr>
        <w:tc>
          <w:tcPr>
            <w:tcW w:w="780" w:type="dxa"/>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AE3733">
            <w:pPr>
              <w:jc w:val="center"/>
              <w:rPr>
                <w:rFonts w:ascii="宋体" w:hAnsi="宋体" w:eastAsia="宋体" w:cs="宋体"/>
                <w:color w:val="000000"/>
                <w:sz w:val="16"/>
                <w:szCs w:val="16"/>
              </w:rPr>
            </w:pPr>
          </w:p>
        </w:tc>
        <w:tc>
          <w:tcPr>
            <w:tcW w:w="345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60A6A21">
            <w:pPr>
              <w:jc w:val="center"/>
              <w:rPr>
                <w:rFonts w:ascii="宋体" w:hAnsi="宋体" w:eastAsia="宋体" w:cs="宋体"/>
                <w:color w:val="000000"/>
                <w:sz w:val="16"/>
                <w:szCs w:val="16"/>
              </w:rPr>
            </w:pPr>
          </w:p>
        </w:tc>
        <w:tc>
          <w:tcPr>
            <w:tcW w:w="70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D73F92B">
            <w:pPr>
              <w:jc w:val="center"/>
              <w:rPr>
                <w:rFonts w:ascii="宋体" w:hAnsi="宋体" w:eastAsia="宋体" w:cs="宋体"/>
                <w:color w:val="000000"/>
                <w:sz w:val="16"/>
                <w:szCs w:val="16"/>
              </w:rPr>
            </w:pPr>
          </w:p>
        </w:tc>
        <w:tc>
          <w:tcPr>
            <w:tcW w:w="105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5EFFC3B">
            <w:pPr>
              <w:jc w:val="center"/>
              <w:rPr>
                <w:rFonts w:ascii="宋体" w:hAnsi="宋体" w:eastAsia="宋体" w:cs="宋体"/>
                <w:color w:val="000000"/>
                <w:sz w:val="16"/>
                <w:szCs w:val="16"/>
              </w:rPr>
            </w:pPr>
          </w:p>
        </w:tc>
        <w:tc>
          <w:tcPr>
            <w:tcW w:w="87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2CBE2D1">
            <w:pPr>
              <w:jc w:val="center"/>
              <w:rPr>
                <w:rFonts w:ascii="宋体" w:hAnsi="宋体" w:eastAsia="宋体" w:cs="宋体"/>
                <w:color w:val="000000"/>
                <w:sz w:val="16"/>
                <w:szCs w:val="16"/>
              </w:rPr>
            </w:pPr>
          </w:p>
        </w:tc>
        <w:tc>
          <w:tcPr>
            <w:tcW w:w="75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7D1B009">
            <w:pPr>
              <w:jc w:val="center"/>
              <w:rPr>
                <w:rFonts w:ascii="宋体" w:hAnsi="宋体" w:eastAsia="宋体" w:cs="宋体"/>
                <w:color w:val="000000"/>
                <w:sz w:val="16"/>
                <w:szCs w:val="16"/>
              </w:rPr>
            </w:pPr>
          </w:p>
        </w:tc>
        <w:tc>
          <w:tcPr>
            <w:tcW w:w="91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DF0A112">
            <w:pPr>
              <w:jc w:val="center"/>
              <w:rPr>
                <w:rFonts w:ascii="宋体" w:hAnsi="宋体" w:eastAsia="宋体" w:cs="宋体"/>
                <w:color w:val="000000"/>
                <w:sz w:val="16"/>
                <w:szCs w:val="16"/>
              </w:rPr>
            </w:pPr>
          </w:p>
        </w:tc>
        <w:tc>
          <w:tcPr>
            <w:tcW w:w="810"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1E6FFA3B">
            <w:pPr>
              <w:jc w:val="center"/>
              <w:rPr>
                <w:rFonts w:ascii="宋体" w:hAnsi="宋体" w:eastAsia="宋体" w:cs="宋体"/>
                <w:color w:val="000000"/>
                <w:sz w:val="16"/>
                <w:szCs w:val="16"/>
              </w:rPr>
            </w:pPr>
          </w:p>
        </w:tc>
      </w:tr>
      <w:tr w14:paraId="67ACBB22">
        <w:tblPrEx>
          <w:tblCellMar>
            <w:top w:w="0" w:type="dxa"/>
            <w:left w:w="0" w:type="dxa"/>
            <w:bottom w:w="0" w:type="dxa"/>
            <w:right w:w="0" w:type="dxa"/>
          </w:tblCellMar>
        </w:tblPrEx>
        <w:trPr>
          <w:trHeight w:val="615" w:hRule="atLeast"/>
        </w:trPr>
        <w:tc>
          <w:tcPr>
            <w:tcW w:w="780" w:type="dxa"/>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27F2B8">
            <w:pPr>
              <w:jc w:val="center"/>
              <w:rPr>
                <w:rFonts w:ascii="宋体" w:hAnsi="宋体" w:eastAsia="宋体" w:cs="宋体"/>
                <w:color w:val="000000"/>
                <w:sz w:val="16"/>
                <w:szCs w:val="16"/>
              </w:rPr>
            </w:pPr>
          </w:p>
        </w:tc>
        <w:tc>
          <w:tcPr>
            <w:tcW w:w="345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1F0AEA4">
            <w:pPr>
              <w:jc w:val="center"/>
              <w:rPr>
                <w:rFonts w:ascii="宋体" w:hAnsi="宋体" w:eastAsia="宋体" w:cs="宋体"/>
                <w:color w:val="000000"/>
                <w:sz w:val="16"/>
                <w:szCs w:val="16"/>
              </w:rPr>
            </w:pPr>
          </w:p>
        </w:tc>
        <w:tc>
          <w:tcPr>
            <w:tcW w:w="70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B9AF4A0">
            <w:pPr>
              <w:jc w:val="center"/>
              <w:rPr>
                <w:rFonts w:ascii="宋体" w:hAnsi="宋体" w:eastAsia="宋体" w:cs="宋体"/>
                <w:color w:val="000000"/>
                <w:sz w:val="16"/>
                <w:szCs w:val="16"/>
              </w:rPr>
            </w:pPr>
          </w:p>
        </w:tc>
        <w:tc>
          <w:tcPr>
            <w:tcW w:w="105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7866B01">
            <w:pPr>
              <w:jc w:val="center"/>
              <w:rPr>
                <w:rFonts w:ascii="宋体" w:hAnsi="宋体" w:eastAsia="宋体" w:cs="宋体"/>
                <w:color w:val="000000"/>
                <w:sz w:val="16"/>
                <w:szCs w:val="16"/>
              </w:rPr>
            </w:pPr>
          </w:p>
        </w:tc>
        <w:tc>
          <w:tcPr>
            <w:tcW w:w="87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4C0CE1D">
            <w:pPr>
              <w:jc w:val="center"/>
              <w:rPr>
                <w:rFonts w:ascii="宋体" w:hAnsi="宋体" w:eastAsia="宋体" w:cs="宋体"/>
                <w:color w:val="000000"/>
                <w:sz w:val="16"/>
                <w:szCs w:val="16"/>
              </w:rPr>
            </w:pPr>
          </w:p>
        </w:tc>
        <w:tc>
          <w:tcPr>
            <w:tcW w:w="75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D3197D1">
            <w:pPr>
              <w:jc w:val="center"/>
              <w:rPr>
                <w:rFonts w:ascii="宋体" w:hAnsi="宋体" w:eastAsia="宋体" w:cs="宋体"/>
                <w:color w:val="000000"/>
                <w:sz w:val="16"/>
                <w:szCs w:val="16"/>
              </w:rPr>
            </w:pPr>
          </w:p>
        </w:tc>
        <w:tc>
          <w:tcPr>
            <w:tcW w:w="91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37FC628">
            <w:pPr>
              <w:jc w:val="center"/>
              <w:rPr>
                <w:rFonts w:ascii="宋体" w:hAnsi="宋体" w:eastAsia="宋体" w:cs="宋体"/>
                <w:color w:val="000000"/>
                <w:sz w:val="16"/>
                <w:szCs w:val="16"/>
              </w:rPr>
            </w:pPr>
          </w:p>
        </w:tc>
        <w:tc>
          <w:tcPr>
            <w:tcW w:w="810"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14:paraId="059CDB11">
            <w:pPr>
              <w:jc w:val="center"/>
              <w:rPr>
                <w:rFonts w:ascii="宋体" w:hAnsi="宋体" w:eastAsia="宋体" w:cs="宋体"/>
                <w:color w:val="000000"/>
                <w:sz w:val="16"/>
                <w:szCs w:val="16"/>
              </w:rPr>
            </w:pPr>
          </w:p>
        </w:tc>
      </w:tr>
      <w:tr w14:paraId="34C87054">
        <w:tblPrEx>
          <w:tblCellMar>
            <w:top w:w="0" w:type="dxa"/>
            <w:left w:w="0" w:type="dxa"/>
            <w:bottom w:w="0" w:type="dxa"/>
            <w:right w:w="0" w:type="dxa"/>
          </w:tblCellMar>
        </w:tblPrEx>
        <w:trPr>
          <w:trHeight w:val="308" w:hRule="atLeast"/>
        </w:trPr>
        <w:tc>
          <w:tcPr>
            <w:tcW w:w="4230" w:type="dxa"/>
            <w:gridSpan w:val="4"/>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4965A3">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合计</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153B2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6C8C4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E2122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E6C83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E1F4C0">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D553608">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09C7A605">
        <w:tblPrEx>
          <w:tblCellMar>
            <w:top w:w="0" w:type="dxa"/>
            <w:left w:w="0" w:type="dxa"/>
            <w:bottom w:w="0" w:type="dxa"/>
            <w:right w:w="0"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146C90">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0AF103">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城乡社区支出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C79A1C">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040F33">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097912">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9ACC44">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8BDCF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22A6901">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750E48ED">
        <w:tblPrEx>
          <w:tblCellMar>
            <w:top w:w="0" w:type="dxa"/>
            <w:left w:w="0" w:type="dxa"/>
            <w:bottom w:w="0" w:type="dxa"/>
            <w:right w:w="0"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667B1B">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21208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AE182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国有土地使用权出让收入及对应专项债务收入安排的支出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9ABF5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81F68A">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0A5E17">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0280D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AFA3B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1444F2B">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1F4DFB0A">
        <w:tblPrEx>
          <w:tblCellMar>
            <w:top w:w="0" w:type="dxa"/>
            <w:left w:w="0" w:type="dxa"/>
            <w:bottom w:w="0" w:type="dxa"/>
            <w:right w:w="0"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F24992">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2120899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812489">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其他国有土地使用权出让收入安排的支出</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10BBCF">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BC44E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D251B5">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BA9EBD">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D97FA6">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4,160.59</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25729B9">
            <w:pPr>
              <w:widowControl/>
              <w:jc w:val="righ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0.00</w:t>
            </w:r>
          </w:p>
        </w:tc>
      </w:tr>
      <w:tr w14:paraId="124055CE">
        <w:tblPrEx>
          <w:tblCellMar>
            <w:top w:w="0" w:type="dxa"/>
            <w:left w:w="0" w:type="dxa"/>
            <w:bottom w:w="0" w:type="dxa"/>
            <w:right w:w="0"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6357CB">
            <w:pPr>
              <w:jc w:val="lef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88F85B">
            <w:pPr>
              <w:jc w:val="lef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CBB820">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1CBA2C">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85C9D4">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243EF6">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59439B">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01FE9AB6">
            <w:pPr>
              <w:jc w:val="right"/>
              <w:rPr>
                <w:rFonts w:ascii="宋体" w:hAnsi="宋体" w:eastAsia="宋体" w:cs="宋体"/>
                <w:color w:val="000000"/>
                <w:sz w:val="16"/>
                <w:szCs w:val="16"/>
              </w:rPr>
            </w:pPr>
          </w:p>
        </w:tc>
      </w:tr>
      <w:tr w14:paraId="0F346999">
        <w:tblPrEx>
          <w:tblCellMar>
            <w:top w:w="0" w:type="dxa"/>
            <w:left w:w="0" w:type="dxa"/>
            <w:bottom w:w="0" w:type="dxa"/>
            <w:right w:w="0"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52AD97">
            <w:pPr>
              <w:jc w:val="lef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3B2469">
            <w:pPr>
              <w:jc w:val="lef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025438">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436359">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E3239C">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F5EC5A">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A0C01F">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5A27F41">
            <w:pPr>
              <w:jc w:val="right"/>
              <w:rPr>
                <w:rFonts w:ascii="宋体" w:hAnsi="宋体" w:eastAsia="宋体" w:cs="宋体"/>
                <w:color w:val="000000"/>
                <w:sz w:val="16"/>
                <w:szCs w:val="16"/>
              </w:rPr>
            </w:pPr>
          </w:p>
        </w:tc>
      </w:tr>
      <w:tr w14:paraId="7EA411BC">
        <w:tblPrEx>
          <w:tblCellMar>
            <w:top w:w="0" w:type="dxa"/>
            <w:left w:w="0" w:type="dxa"/>
            <w:bottom w:w="0" w:type="dxa"/>
            <w:right w:w="0"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5C6C53">
            <w:pPr>
              <w:jc w:val="lef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268351">
            <w:pPr>
              <w:jc w:val="lef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E1B032">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4DBBC2">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CE538E">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214FE3">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56D1D7">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5F3602D3">
            <w:pPr>
              <w:jc w:val="right"/>
              <w:rPr>
                <w:rFonts w:ascii="宋体" w:hAnsi="宋体" w:eastAsia="宋体" w:cs="宋体"/>
                <w:color w:val="000000"/>
                <w:sz w:val="16"/>
                <w:szCs w:val="16"/>
              </w:rPr>
            </w:pPr>
          </w:p>
        </w:tc>
      </w:tr>
      <w:tr w14:paraId="7E331C27">
        <w:tblPrEx>
          <w:tblCellMar>
            <w:top w:w="0" w:type="dxa"/>
            <w:left w:w="0" w:type="dxa"/>
            <w:bottom w:w="0" w:type="dxa"/>
            <w:right w:w="0"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E6649C">
            <w:pPr>
              <w:jc w:val="lef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01F827">
            <w:pPr>
              <w:jc w:val="lef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5A9097">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897D42">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FA04FF">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0D60A6">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9D5FC1">
            <w:pPr>
              <w:jc w:val="right"/>
              <w:rPr>
                <w:rFonts w:ascii="宋体" w:hAnsi="宋体" w:eastAsia="宋体" w:cs="宋体"/>
                <w:color w:val="000000"/>
                <w:sz w:val="16"/>
                <w:szCs w:val="16"/>
              </w:rPr>
            </w:pP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14:paraId="2998BFF8">
            <w:pPr>
              <w:jc w:val="right"/>
              <w:rPr>
                <w:rFonts w:ascii="宋体" w:hAnsi="宋体" w:eastAsia="宋体" w:cs="宋体"/>
                <w:color w:val="000000"/>
                <w:sz w:val="16"/>
                <w:szCs w:val="16"/>
              </w:rPr>
            </w:pPr>
          </w:p>
        </w:tc>
      </w:tr>
      <w:tr w14:paraId="5A1E86F9">
        <w:tblPrEx>
          <w:tblCellMar>
            <w:top w:w="0" w:type="dxa"/>
            <w:left w:w="0" w:type="dxa"/>
            <w:bottom w:w="0" w:type="dxa"/>
            <w:right w:w="0" w:type="dxa"/>
          </w:tblCellMar>
        </w:tblPrEx>
        <w:trPr>
          <w:trHeight w:val="308" w:hRule="atLeast"/>
        </w:trPr>
        <w:tc>
          <w:tcPr>
            <w:tcW w:w="0" w:type="auto"/>
            <w:gridSpan w:val="3"/>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7D952D3C">
            <w:pPr>
              <w:jc w:val="left"/>
              <w:rPr>
                <w:rFonts w:ascii="宋体" w:hAnsi="宋体" w:eastAsia="宋体" w:cs="宋体"/>
                <w:color w:val="000000"/>
                <w:sz w:val="16"/>
                <w:szCs w:val="16"/>
              </w:rPr>
            </w:pP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1911AF0E">
            <w:pPr>
              <w:jc w:val="left"/>
              <w:rPr>
                <w:rFonts w:ascii="宋体" w:hAnsi="宋体" w:eastAsia="宋体" w:cs="宋体"/>
                <w:color w:val="000000"/>
                <w:sz w:val="16"/>
                <w:szCs w:val="16"/>
              </w:rPr>
            </w:pP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691F6BD8">
            <w:pPr>
              <w:jc w:val="right"/>
              <w:rPr>
                <w:rFonts w:ascii="宋体" w:hAnsi="宋体" w:eastAsia="宋体" w:cs="宋体"/>
                <w:color w:val="000000"/>
                <w:sz w:val="16"/>
                <w:szCs w:val="16"/>
              </w:rPr>
            </w:pP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4F13DA2C">
            <w:pPr>
              <w:jc w:val="right"/>
              <w:rPr>
                <w:rFonts w:ascii="宋体" w:hAnsi="宋体" w:eastAsia="宋体" w:cs="宋体"/>
                <w:color w:val="000000"/>
                <w:sz w:val="16"/>
                <w:szCs w:val="16"/>
              </w:rPr>
            </w:pP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13FA6B8C">
            <w:pPr>
              <w:jc w:val="right"/>
              <w:rPr>
                <w:rFonts w:ascii="宋体" w:hAnsi="宋体" w:eastAsia="宋体" w:cs="宋体"/>
                <w:color w:val="000000"/>
                <w:sz w:val="16"/>
                <w:szCs w:val="16"/>
              </w:rPr>
            </w:pP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68A18CCA">
            <w:pPr>
              <w:jc w:val="right"/>
              <w:rPr>
                <w:rFonts w:ascii="宋体" w:hAnsi="宋体" w:eastAsia="宋体" w:cs="宋体"/>
                <w:color w:val="000000"/>
                <w:sz w:val="16"/>
                <w:szCs w:val="16"/>
              </w:rPr>
            </w:pP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14:paraId="3A4FEF90">
            <w:pPr>
              <w:jc w:val="right"/>
              <w:rPr>
                <w:rFonts w:ascii="宋体" w:hAnsi="宋体" w:eastAsia="宋体" w:cs="宋体"/>
                <w:color w:val="000000"/>
                <w:sz w:val="16"/>
                <w:szCs w:val="16"/>
              </w:rPr>
            </w:pPr>
          </w:p>
        </w:tc>
        <w:tc>
          <w:tcPr>
            <w:tcW w:w="0" w:type="auto"/>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14:paraId="4DAFA23E">
            <w:pPr>
              <w:jc w:val="right"/>
              <w:rPr>
                <w:rFonts w:ascii="宋体" w:hAnsi="宋体" w:eastAsia="宋体" w:cs="宋体"/>
                <w:color w:val="000000"/>
                <w:sz w:val="16"/>
                <w:szCs w:val="16"/>
              </w:rPr>
            </w:pPr>
          </w:p>
        </w:tc>
      </w:tr>
      <w:tr w14:paraId="5C4EC95D">
        <w:tblPrEx>
          <w:tblCellMar>
            <w:top w:w="0" w:type="dxa"/>
            <w:left w:w="0" w:type="dxa"/>
            <w:bottom w:w="0" w:type="dxa"/>
            <w:right w:w="0" w:type="dxa"/>
          </w:tblCellMar>
        </w:tblPrEx>
        <w:trPr>
          <w:trHeight w:val="308" w:hRule="atLeast"/>
        </w:trPr>
        <w:tc>
          <w:tcPr>
            <w:tcW w:w="0" w:type="auto"/>
            <w:gridSpan w:val="10"/>
            <w:tcBorders>
              <w:top w:val="nil"/>
              <w:left w:val="nil"/>
              <w:bottom w:val="nil"/>
              <w:right w:val="nil"/>
            </w:tcBorders>
            <w:shd w:val="clear" w:color="auto" w:fill="auto"/>
            <w:noWrap/>
            <w:tcMar>
              <w:top w:w="15" w:type="dxa"/>
              <w:left w:w="15" w:type="dxa"/>
              <w:right w:w="15" w:type="dxa"/>
            </w:tcMar>
            <w:vAlign w:val="center"/>
          </w:tcPr>
          <w:p w14:paraId="533F7CCA">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注：本表反映部门本年度政府性基金预算财政拨款收入支出及结转和结余情况。本表金额转换为万元时，因四舍五入可能存在尾差。</w:t>
            </w:r>
          </w:p>
        </w:tc>
      </w:tr>
    </w:tbl>
    <w:p w14:paraId="55217A9C"/>
    <w:p w14:paraId="451F04B8"/>
    <w:p w14:paraId="331152C6"/>
    <w:p w14:paraId="595F7742"/>
    <w:p w14:paraId="539C7135"/>
    <w:p w14:paraId="4C71F94B"/>
    <w:p w14:paraId="3A094053"/>
    <w:p w14:paraId="526AC852"/>
    <w:p w14:paraId="1DDA3B60"/>
    <w:p w14:paraId="2E280944"/>
    <w:p w14:paraId="0744B4F8"/>
    <w:p w14:paraId="24B4E9C8"/>
    <w:p w14:paraId="715AEC39">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w:t>
      </w:r>
      <w:r>
        <w:rPr>
          <w:rFonts w:ascii="黑体" w:hAnsi="宋体" w:eastAsia="黑体"/>
          <w:color w:val="000000"/>
          <w:kern w:val="0"/>
          <w:sz w:val="44"/>
          <w:szCs w:val="44"/>
        </w:rPr>
        <w:t xml:space="preserve"> 2019</w:t>
      </w:r>
      <w:r>
        <w:rPr>
          <w:rFonts w:hint="eastAsia" w:ascii="黑体" w:hAnsi="宋体" w:eastAsia="黑体"/>
          <w:color w:val="000000"/>
          <w:kern w:val="0"/>
          <w:sz w:val="44"/>
          <w:szCs w:val="44"/>
        </w:rPr>
        <w:t>年度部门决算情况说明</w:t>
      </w:r>
    </w:p>
    <w:p w14:paraId="5B300336">
      <w:pPr>
        <w:widowControl/>
        <w:rPr>
          <w:rFonts w:ascii="黑体" w:hAnsi="宋体" w:eastAsia="黑体"/>
          <w:color w:val="000000"/>
          <w:kern w:val="0"/>
          <w:sz w:val="44"/>
          <w:szCs w:val="44"/>
        </w:rPr>
      </w:pPr>
    </w:p>
    <w:p w14:paraId="4B0858C1">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14:paraId="1E57771A">
      <w:pPr>
        <w:widowControl/>
        <w:ind w:left="720" w:leftChars="225" w:firstLine="640" w:firstLineChars="200"/>
        <w:jc w:val="left"/>
        <w:rPr>
          <w:rFonts w:ascii="仿宋_GB2312" w:hAnsi="微软雅黑" w:eastAsia="仿宋_GB2312"/>
          <w:szCs w:val="32"/>
        </w:rPr>
      </w:pPr>
      <w:r>
        <w:rPr>
          <w:rFonts w:ascii="仿宋_GB2312" w:hAnsi="仿宋" w:eastAsia="仿宋_GB2312"/>
          <w:szCs w:val="32"/>
        </w:rPr>
        <w:drawing>
          <wp:inline distT="0" distB="0" distL="114300" distR="114300">
            <wp:extent cx="5080000" cy="3810000"/>
            <wp:effectExtent l="4445" t="4445" r="20955" b="1460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r>
        <w:rPr>
          <w:rFonts w:hint="eastAsia" w:ascii="仿宋_GB2312" w:hAnsi="仿宋" w:eastAsia="仿宋_GB2312"/>
          <w:szCs w:val="32"/>
        </w:rPr>
        <w:t xml:space="preserve"> </w:t>
      </w:r>
      <w:r>
        <w:rPr>
          <w:rFonts w:ascii="仿宋_GB2312" w:hAnsi="仿宋" w:eastAsia="仿宋_GB2312"/>
          <w:szCs w:val="32"/>
        </w:rPr>
        <w:t>2019</w:t>
      </w:r>
      <w:r>
        <w:rPr>
          <w:rFonts w:hint="eastAsia" w:ascii="仿宋_GB2312" w:hAnsi="仿宋" w:eastAsia="仿宋_GB2312"/>
          <w:szCs w:val="32"/>
        </w:rPr>
        <w:t>年度收入</w:t>
      </w:r>
      <w:r>
        <w:rPr>
          <w:rFonts w:ascii="仿宋_GB2312" w:hAnsi="仿宋" w:eastAsia="仿宋_GB2312"/>
          <w:szCs w:val="32"/>
        </w:rPr>
        <w:t>13257.21</w:t>
      </w:r>
      <w:r>
        <w:rPr>
          <w:rFonts w:hint="eastAsia" w:ascii="仿宋_GB2312" w:hAnsi="仿宋" w:eastAsia="仿宋_GB2312"/>
          <w:szCs w:val="32"/>
        </w:rPr>
        <w:t>万元，比上年增长</w:t>
      </w:r>
      <w:r>
        <w:rPr>
          <w:rFonts w:ascii="仿宋_GB2312" w:hAnsi="仿宋" w:eastAsia="仿宋_GB2312"/>
          <w:szCs w:val="32"/>
        </w:rPr>
        <w:t>5362.09</w:t>
      </w:r>
      <w:r>
        <w:rPr>
          <w:rFonts w:hint="eastAsia" w:ascii="仿宋_GB2312" w:hAnsi="仿宋" w:eastAsia="仿宋_GB2312"/>
          <w:szCs w:val="32"/>
        </w:rPr>
        <w:t>万元，增加主要原因是</w:t>
      </w:r>
      <w:r>
        <w:rPr>
          <w:rFonts w:hint="eastAsia" w:ascii="仿宋_GB2312" w:hAnsi="微软雅黑" w:eastAsia="仿宋_GB2312"/>
          <w:szCs w:val="32"/>
        </w:rPr>
        <w:t>增加原因基础设施和土地补偿费用增加。</w:t>
      </w:r>
      <w:r>
        <w:rPr>
          <w:rFonts w:ascii="仿宋_GB2312" w:hAnsi="微软雅黑" w:eastAsia="仿宋_GB2312"/>
          <w:szCs w:val="32"/>
        </w:rPr>
        <w:t xml:space="preserve">                </w:t>
      </w:r>
    </w:p>
    <w:p w14:paraId="0FB1F0F5">
      <w:pPr>
        <w:widowControl/>
        <w:ind w:left="720" w:leftChars="225" w:firstLine="480" w:firstLineChars="150"/>
        <w:jc w:val="left"/>
        <w:rPr>
          <w:rFonts w:ascii="仿宋_GB2312" w:hAnsi="仿宋" w:eastAsia="仿宋_GB2312"/>
          <w:szCs w:val="32"/>
        </w:rPr>
      </w:pPr>
      <w:r>
        <w:rPr>
          <w:rFonts w:ascii="仿宋_GB2312" w:hAnsi="仿宋" w:eastAsia="仿宋_GB2312"/>
          <w:szCs w:val="32"/>
        </w:rPr>
        <w:t>2019</w:t>
      </w:r>
      <w:r>
        <w:rPr>
          <w:rFonts w:hint="eastAsia" w:ascii="仿宋_GB2312" w:hAnsi="仿宋" w:eastAsia="仿宋_GB2312"/>
          <w:szCs w:val="32"/>
        </w:rPr>
        <w:t>年度支出</w:t>
      </w:r>
      <w:r>
        <w:rPr>
          <w:rFonts w:ascii="仿宋_GB2312" w:hAnsi="仿宋" w:eastAsia="仿宋_GB2312"/>
          <w:szCs w:val="32"/>
        </w:rPr>
        <w:t>13257.21</w:t>
      </w:r>
      <w:r>
        <w:rPr>
          <w:rFonts w:hint="eastAsia" w:ascii="仿宋_GB2312" w:hAnsi="仿宋" w:eastAsia="仿宋_GB2312"/>
          <w:szCs w:val="32"/>
        </w:rPr>
        <w:t>万元，比上年增长</w:t>
      </w:r>
      <w:r>
        <w:rPr>
          <w:rFonts w:ascii="仿宋_GB2312" w:hAnsi="仿宋" w:eastAsia="仿宋_GB2312"/>
          <w:szCs w:val="32"/>
        </w:rPr>
        <w:t>5362.09</w:t>
      </w:r>
      <w:r>
        <w:rPr>
          <w:rFonts w:hint="eastAsia" w:ascii="仿宋_GB2312" w:hAnsi="仿宋" w:eastAsia="仿宋_GB2312"/>
          <w:szCs w:val="32"/>
        </w:rPr>
        <w:t>万元，增加主要原因是</w:t>
      </w:r>
      <w:r>
        <w:rPr>
          <w:rFonts w:hint="eastAsia" w:ascii="仿宋_GB2312" w:hAnsi="微软雅黑" w:eastAsia="仿宋_GB2312"/>
          <w:szCs w:val="32"/>
        </w:rPr>
        <w:t>增加原因基础设施和土地补偿费用增加。</w:t>
      </w:r>
      <w:r>
        <w:rPr>
          <w:rFonts w:hint="eastAsia" w:ascii="仿宋_GB2312" w:hAnsi="仿宋" w:eastAsia="仿宋_GB2312"/>
          <w:szCs w:val="32"/>
        </w:rPr>
        <w:t>。</w:t>
      </w:r>
    </w:p>
    <w:p w14:paraId="47B2F4B8">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14:paraId="1FA96288">
      <w:pPr>
        <w:widowControl/>
        <w:ind w:firstLine="640" w:firstLineChars="200"/>
        <w:jc w:val="left"/>
        <w:rPr>
          <w:rFonts w:ascii="仿宋_GB2312" w:hAnsi="宋体" w:eastAsia="仿宋_GB2312" w:cs="仿宋_GB2312"/>
          <w:kern w:val="0"/>
          <w:szCs w:val="32"/>
        </w:rPr>
      </w:pPr>
      <w:r>
        <w:rPr>
          <w:rFonts w:ascii="仿宋_GB2312" w:hAnsi="宋体" w:eastAsia="仿宋_GB2312" w:cs="仿宋_GB2312"/>
          <w:kern w:val="0"/>
          <w:szCs w:val="32"/>
        </w:rPr>
        <w:drawing>
          <wp:inline distT="0" distB="0" distL="114300" distR="114300">
            <wp:extent cx="5080000" cy="3810000"/>
            <wp:effectExtent l="4445" t="4445" r="20955" b="1460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212A82CC">
      <w:pPr>
        <w:widowControl/>
        <w:ind w:firstLine="640" w:firstLineChars="200"/>
        <w:jc w:val="left"/>
      </w:pPr>
      <w:r>
        <w:rPr>
          <w:rFonts w:ascii="仿宋_GB2312" w:hAnsi="宋体" w:eastAsia="仿宋_GB2312" w:cs="仿宋_GB2312"/>
          <w:kern w:val="0"/>
          <w:szCs w:val="32"/>
        </w:rPr>
        <w:t>2019</w:t>
      </w:r>
      <w:r>
        <w:rPr>
          <w:rFonts w:hint="eastAsia" w:ascii="仿宋_GB2312" w:hAnsi="宋体" w:eastAsia="仿宋_GB2312" w:cs="仿宋_GB2312"/>
          <w:kern w:val="0"/>
          <w:szCs w:val="32"/>
        </w:rPr>
        <w:t>年</w:t>
      </w:r>
      <w:r>
        <w:rPr>
          <w:rFonts w:hint="eastAsia" w:ascii="仿宋_GB2312" w:hAnsi="仿宋" w:eastAsia="仿宋_GB2312"/>
          <w:szCs w:val="32"/>
        </w:rPr>
        <w:t>度</w:t>
      </w:r>
      <w:r>
        <w:rPr>
          <w:rFonts w:hint="eastAsia" w:ascii="仿宋_GB2312" w:hAnsi="宋体" w:eastAsia="仿宋_GB2312" w:cs="仿宋_GB2312"/>
          <w:kern w:val="0"/>
          <w:szCs w:val="32"/>
        </w:rPr>
        <w:t>收入合计</w:t>
      </w:r>
      <w:r>
        <w:rPr>
          <w:rFonts w:ascii="仿宋_GB2312" w:hAnsi="仿宋" w:eastAsia="仿宋_GB2312"/>
          <w:szCs w:val="32"/>
        </w:rPr>
        <w:t>13257.21</w:t>
      </w:r>
      <w:r>
        <w:rPr>
          <w:rFonts w:hint="eastAsia" w:ascii="仿宋_GB2312" w:hAnsi="宋体" w:eastAsia="仿宋_GB2312" w:cs="仿宋_GB2312"/>
          <w:kern w:val="0"/>
          <w:szCs w:val="32"/>
        </w:rPr>
        <w:t>万元，其中：财政拨款收入</w:t>
      </w:r>
      <w:r>
        <w:rPr>
          <w:rFonts w:ascii="仿宋_GB2312" w:hAnsi="仿宋" w:eastAsia="仿宋_GB2312"/>
          <w:szCs w:val="32"/>
        </w:rPr>
        <w:t>13257.1</w:t>
      </w:r>
      <w:r>
        <w:rPr>
          <w:rFonts w:hint="eastAsia" w:ascii="仿宋_GB2312" w:hAnsi="宋体" w:eastAsia="仿宋_GB2312" w:cs="仿宋_GB2312"/>
          <w:kern w:val="0"/>
          <w:szCs w:val="32"/>
        </w:rPr>
        <w:t>万元，占</w:t>
      </w:r>
      <w:r>
        <w:rPr>
          <w:rFonts w:ascii="仿宋_GB2312" w:hAnsi="宋体" w:eastAsia="仿宋_GB2312" w:cs="仿宋_GB2312"/>
          <w:kern w:val="0"/>
          <w:szCs w:val="32"/>
        </w:rPr>
        <w:t>100%</w:t>
      </w:r>
      <w:r>
        <w:rPr>
          <w:rFonts w:hint="eastAsia" w:ascii="仿宋_GB2312" w:hAnsi="宋体" w:eastAsia="仿宋_GB2312" w:cs="仿宋_GB2312"/>
          <w:kern w:val="0"/>
          <w:szCs w:val="32"/>
        </w:rPr>
        <w:t>；事业收入</w:t>
      </w:r>
      <w:r>
        <w:rPr>
          <w:rFonts w:ascii="仿宋_GB2312" w:hAnsi="宋体" w:eastAsia="仿宋_GB2312" w:cs="仿宋_GB2312"/>
          <w:kern w:val="0"/>
          <w:szCs w:val="32"/>
        </w:rPr>
        <w:t>0</w:t>
      </w:r>
      <w:r>
        <w:rPr>
          <w:rFonts w:hint="eastAsia" w:ascii="仿宋_GB2312" w:hAnsi="宋体" w:eastAsia="仿宋_GB2312" w:cs="仿宋_GB2312"/>
          <w:kern w:val="0"/>
          <w:szCs w:val="32"/>
        </w:rPr>
        <w:t>万元，占</w:t>
      </w:r>
      <w:r>
        <w:rPr>
          <w:rFonts w:ascii="仿宋_GB2312" w:hAnsi="宋体" w:eastAsia="仿宋_GB2312" w:cs="仿宋_GB2312"/>
          <w:kern w:val="0"/>
          <w:szCs w:val="32"/>
        </w:rPr>
        <w:t>0%</w:t>
      </w:r>
      <w:r>
        <w:rPr>
          <w:rFonts w:hint="eastAsia" w:ascii="仿宋_GB2312" w:hAnsi="宋体" w:eastAsia="仿宋_GB2312" w:cs="仿宋_GB2312"/>
          <w:kern w:val="0"/>
          <w:szCs w:val="32"/>
        </w:rPr>
        <w:t>；经营收入</w:t>
      </w:r>
      <w:r>
        <w:rPr>
          <w:rFonts w:ascii="仿宋_GB2312" w:hAnsi="宋体" w:eastAsia="仿宋_GB2312" w:cs="仿宋_GB2312"/>
          <w:kern w:val="0"/>
          <w:szCs w:val="32"/>
        </w:rPr>
        <w:t>0</w:t>
      </w:r>
      <w:r>
        <w:rPr>
          <w:rFonts w:hint="eastAsia" w:ascii="仿宋_GB2312" w:hAnsi="宋体" w:eastAsia="仿宋_GB2312" w:cs="仿宋_GB2312"/>
          <w:kern w:val="0"/>
          <w:szCs w:val="32"/>
        </w:rPr>
        <w:t>万元，占</w:t>
      </w:r>
      <w:r>
        <w:rPr>
          <w:rFonts w:ascii="仿宋_GB2312" w:hAnsi="宋体" w:eastAsia="仿宋_GB2312" w:cs="仿宋_GB2312"/>
          <w:kern w:val="0"/>
          <w:szCs w:val="32"/>
        </w:rPr>
        <w:t>0%</w:t>
      </w:r>
      <w:r>
        <w:rPr>
          <w:rFonts w:hint="eastAsia" w:ascii="仿宋_GB2312" w:hAnsi="宋体" w:eastAsia="仿宋_GB2312" w:cs="仿宋_GB2312"/>
          <w:kern w:val="0"/>
          <w:szCs w:val="32"/>
        </w:rPr>
        <w:t>；其他收入</w:t>
      </w:r>
      <w:r>
        <w:rPr>
          <w:rFonts w:ascii="仿宋_GB2312" w:hAnsi="宋体" w:eastAsia="仿宋_GB2312" w:cs="仿宋_GB2312"/>
          <w:kern w:val="0"/>
          <w:szCs w:val="32"/>
        </w:rPr>
        <w:t>0</w:t>
      </w:r>
      <w:r>
        <w:rPr>
          <w:rFonts w:hint="eastAsia" w:ascii="仿宋_GB2312" w:hAnsi="宋体" w:eastAsia="仿宋_GB2312" w:cs="仿宋_GB2312"/>
          <w:kern w:val="0"/>
          <w:szCs w:val="32"/>
        </w:rPr>
        <w:t>万元，占</w:t>
      </w:r>
      <w:r>
        <w:rPr>
          <w:rFonts w:ascii="仿宋_GB2312" w:hAnsi="宋体" w:eastAsia="仿宋_GB2312" w:cs="仿宋_GB2312"/>
          <w:kern w:val="0"/>
          <w:szCs w:val="32"/>
        </w:rPr>
        <w:t>0%</w:t>
      </w:r>
      <w:r>
        <w:rPr>
          <w:rFonts w:hint="eastAsia" w:ascii="仿宋_GB2312" w:hAnsi="宋体" w:eastAsia="仿宋_GB2312" w:cs="仿宋_GB2312"/>
          <w:kern w:val="0"/>
          <w:szCs w:val="32"/>
        </w:rPr>
        <w:t>。</w:t>
      </w:r>
    </w:p>
    <w:p w14:paraId="4C51324B">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r>
        <w:rPr>
          <w:rFonts w:ascii="仿宋_GB2312" w:hAnsi="宋体" w:eastAsia="仿宋_GB2312" w:cs="仿宋_GB2312"/>
          <w:kern w:val="0"/>
          <w:szCs w:val="32"/>
        </w:rPr>
        <w:drawing>
          <wp:inline distT="0" distB="0" distL="114300" distR="114300">
            <wp:extent cx="4712335" cy="3021965"/>
            <wp:effectExtent l="4445" t="4445" r="7620" b="2159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B9FFC85">
      <w:pPr>
        <w:widowControl/>
        <w:ind w:firstLine="800" w:firstLineChars="250"/>
        <w:jc w:val="left"/>
      </w:pPr>
      <w:r>
        <w:rPr>
          <w:rFonts w:ascii="仿宋_GB2312" w:hAnsi="宋体" w:eastAsia="仿宋_GB2312" w:cs="仿宋_GB2312"/>
          <w:kern w:val="0"/>
          <w:szCs w:val="32"/>
        </w:rPr>
        <w:t>2019</w:t>
      </w:r>
      <w:r>
        <w:rPr>
          <w:rFonts w:hint="eastAsia" w:ascii="仿宋_GB2312" w:hAnsi="宋体" w:eastAsia="仿宋_GB2312" w:cs="仿宋_GB2312"/>
          <w:kern w:val="0"/>
          <w:szCs w:val="32"/>
        </w:rPr>
        <w:t>年</w:t>
      </w:r>
      <w:r>
        <w:rPr>
          <w:rFonts w:hint="eastAsia" w:ascii="仿宋_GB2312" w:hAnsi="仿宋" w:eastAsia="仿宋_GB2312"/>
          <w:szCs w:val="32"/>
        </w:rPr>
        <w:t>度</w:t>
      </w:r>
      <w:r>
        <w:rPr>
          <w:rFonts w:hint="eastAsia" w:ascii="仿宋_GB2312" w:hAnsi="宋体" w:eastAsia="仿宋_GB2312" w:cs="仿宋_GB2312"/>
          <w:kern w:val="0"/>
          <w:szCs w:val="32"/>
        </w:rPr>
        <w:t>支出合计</w:t>
      </w:r>
      <w:r>
        <w:rPr>
          <w:rFonts w:ascii="仿宋_GB2312" w:hAnsi="仿宋" w:eastAsia="仿宋_GB2312"/>
          <w:szCs w:val="32"/>
        </w:rPr>
        <w:t>13257.21</w:t>
      </w:r>
      <w:r>
        <w:rPr>
          <w:rFonts w:hint="eastAsia" w:ascii="仿宋_GB2312" w:hAnsi="宋体" w:eastAsia="仿宋_GB2312" w:cs="仿宋_GB2312"/>
          <w:kern w:val="0"/>
          <w:szCs w:val="32"/>
        </w:rPr>
        <w:t>万元，其中：基本支出</w:t>
      </w:r>
      <w:r>
        <w:rPr>
          <w:rFonts w:ascii="仿宋_GB2312" w:hAnsi="宋体" w:eastAsia="仿宋_GB2312" w:cs="仿宋_GB2312"/>
          <w:kern w:val="0"/>
          <w:szCs w:val="32"/>
        </w:rPr>
        <w:t>1433.65</w:t>
      </w:r>
      <w:r>
        <w:rPr>
          <w:rFonts w:hint="eastAsia" w:ascii="仿宋_GB2312" w:hAnsi="宋体" w:eastAsia="仿宋_GB2312" w:cs="仿宋_GB2312"/>
          <w:kern w:val="0"/>
          <w:szCs w:val="32"/>
        </w:rPr>
        <w:t>万元，占</w:t>
      </w:r>
      <w:r>
        <w:rPr>
          <w:rFonts w:ascii="仿宋_GB2312" w:hAnsi="宋体" w:eastAsia="仿宋_GB2312" w:cs="仿宋_GB2312"/>
          <w:kern w:val="0"/>
          <w:szCs w:val="32"/>
        </w:rPr>
        <w:t>10.81%</w:t>
      </w:r>
      <w:r>
        <w:rPr>
          <w:rFonts w:hint="eastAsia" w:ascii="仿宋_GB2312" w:hAnsi="宋体" w:eastAsia="仿宋_GB2312" w:cs="仿宋_GB2312"/>
          <w:kern w:val="0"/>
          <w:szCs w:val="32"/>
        </w:rPr>
        <w:t>；项目支出</w:t>
      </w:r>
      <w:r>
        <w:rPr>
          <w:rFonts w:ascii="仿宋_GB2312" w:hAnsi="宋体" w:eastAsia="仿宋_GB2312" w:cs="仿宋_GB2312"/>
          <w:kern w:val="0"/>
          <w:szCs w:val="32"/>
        </w:rPr>
        <w:t>11823.56</w:t>
      </w:r>
      <w:r>
        <w:rPr>
          <w:rFonts w:hint="eastAsia" w:ascii="仿宋_GB2312" w:hAnsi="宋体" w:eastAsia="仿宋_GB2312" w:cs="仿宋_GB2312"/>
          <w:kern w:val="0"/>
          <w:szCs w:val="32"/>
        </w:rPr>
        <w:t>万元，占</w:t>
      </w:r>
      <w:r>
        <w:rPr>
          <w:rFonts w:ascii="仿宋_GB2312" w:hAnsi="宋体" w:eastAsia="仿宋_GB2312" w:cs="仿宋_GB2312"/>
          <w:kern w:val="0"/>
          <w:szCs w:val="32"/>
        </w:rPr>
        <w:t>89.19%</w:t>
      </w:r>
      <w:r>
        <w:rPr>
          <w:rFonts w:hint="eastAsia" w:ascii="仿宋_GB2312" w:hAnsi="宋体" w:eastAsia="仿宋_GB2312" w:cs="仿宋_GB2312"/>
          <w:kern w:val="0"/>
          <w:szCs w:val="32"/>
        </w:rPr>
        <w:t>；经营支出</w:t>
      </w:r>
      <w:r>
        <w:rPr>
          <w:rFonts w:ascii="仿宋_GB2312" w:hAnsi="宋体" w:eastAsia="仿宋_GB2312" w:cs="仿宋_GB2312"/>
          <w:kern w:val="0"/>
          <w:szCs w:val="32"/>
        </w:rPr>
        <w:t>0</w:t>
      </w:r>
      <w:r>
        <w:rPr>
          <w:rFonts w:hint="eastAsia" w:ascii="仿宋_GB2312" w:hAnsi="宋体" w:eastAsia="仿宋_GB2312" w:cs="仿宋_GB2312"/>
          <w:kern w:val="0"/>
          <w:szCs w:val="32"/>
        </w:rPr>
        <w:t>万元，占</w:t>
      </w:r>
      <w:r>
        <w:rPr>
          <w:rFonts w:ascii="仿宋_GB2312" w:hAnsi="宋体" w:eastAsia="仿宋_GB2312" w:cs="仿宋_GB2312"/>
          <w:kern w:val="0"/>
          <w:szCs w:val="32"/>
        </w:rPr>
        <w:t>0%</w:t>
      </w:r>
      <w:r>
        <w:rPr>
          <w:rFonts w:hint="eastAsia" w:ascii="仿宋_GB2312" w:hAnsi="宋体" w:eastAsia="仿宋_GB2312" w:cs="仿宋_GB2312"/>
          <w:kern w:val="0"/>
          <w:szCs w:val="32"/>
        </w:rPr>
        <w:t>。</w:t>
      </w:r>
    </w:p>
    <w:p w14:paraId="1D693F1A">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14:paraId="3B78B201">
      <w:pPr>
        <w:widowControl/>
        <w:ind w:left="179" w:leftChars="56" w:firstLine="857" w:firstLineChars="268"/>
        <w:jc w:val="left"/>
        <w:rPr>
          <w:rFonts w:ascii="仿宋_GB2312" w:hAnsi="微软雅黑" w:eastAsia="仿宋_GB2312"/>
          <w:szCs w:val="32"/>
        </w:rPr>
      </w:pPr>
      <w:r>
        <w:rPr>
          <w:rFonts w:ascii="仿宋_GB2312" w:hAnsi="仿宋" w:eastAsia="仿宋_GB2312"/>
          <w:szCs w:val="32"/>
        </w:rPr>
        <w:drawing>
          <wp:inline distT="0" distB="0" distL="114300" distR="114300">
            <wp:extent cx="5080000" cy="3810000"/>
            <wp:effectExtent l="4445" t="4445" r="20955" b="1460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rFonts w:ascii="仿宋_GB2312" w:hAnsi="仿宋" w:eastAsia="仿宋_GB2312"/>
          <w:szCs w:val="32"/>
        </w:rPr>
        <w:t>2019</w:t>
      </w:r>
      <w:r>
        <w:rPr>
          <w:rFonts w:hint="eastAsia" w:ascii="仿宋_GB2312" w:hAnsi="仿宋" w:eastAsia="仿宋_GB2312"/>
          <w:szCs w:val="32"/>
        </w:rPr>
        <w:t>年度</w:t>
      </w:r>
      <w:r>
        <w:rPr>
          <w:rFonts w:hint="eastAsia" w:ascii="仿宋_GB2312" w:hAnsi="宋体" w:eastAsia="仿宋_GB2312" w:cs="仿宋_GB2312"/>
          <w:color w:val="000000"/>
          <w:kern w:val="0"/>
          <w:szCs w:val="32"/>
        </w:rPr>
        <w:t>财政拨款</w:t>
      </w:r>
      <w:r>
        <w:rPr>
          <w:rFonts w:hint="eastAsia" w:ascii="仿宋_GB2312" w:hAnsi="仿宋" w:eastAsia="仿宋_GB2312"/>
          <w:szCs w:val="32"/>
        </w:rPr>
        <w:t>收入</w:t>
      </w:r>
      <w:r>
        <w:rPr>
          <w:rFonts w:ascii="仿宋_GB2312" w:hAnsi="仿宋" w:eastAsia="仿宋_GB2312"/>
          <w:szCs w:val="32"/>
        </w:rPr>
        <w:t>13257.21</w:t>
      </w:r>
      <w:r>
        <w:rPr>
          <w:rFonts w:hint="eastAsia" w:ascii="仿宋_GB2312" w:hAnsi="仿宋" w:eastAsia="仿宋_GB2312"/>
          <w:szCs w:val="32"/>
        </w:rPr>
        <w:t>万元，比上年增长</w:t>
      </w:r>
      <w:r>
        <w:rPr>
          <w:rFonts w:ascii="仿宋_GB2312" w:hAnsi="仿宋" w:eastAsia="仿宋_GB2312"/>
          <w:szCs w:val="32"/>
        </w:rPr>
        <w:t>5362.09</w:t>
      </w:r>
      <w:r>
        <w:rPr>
          <w:rFonts w:hint="eastAsia" w:ascii="仿宋_GB2312" w:hAnsi="仿宋" w:eastAsia="仿宋_GB2312"/>
          <w:szCs w:val="32"/>
        </w:rPr>
        <w:t>万元，增加主要原因是</w:t>
      </w:r>
      <w:r>
        <w:rPr>
          <w:rFonts w:hint="eastAsia" w:ascii="仿宋_GB2312" w:hAnsi="微软雅黑" w:eastAsia="仿宋_GB2312"/>
          <w:szCs w:val="32"/>
        </w:rPr>
        <w:t>增加原因基础设施和土地补偿费用增加。</w:t>
      </w:r>
      <w:r>
        <w:rPr>
          <w:rFonts w:ascii="仿宋_GB2312" w:hAnsi="微软雅黑" w:eastAsia="仿宋_GB2312"/>
          <w:szCs w:val="32"/>
        </w:rPr>
        <w:t xml:space="preserve">                </w:t>
      </w:r>
    </w:p>
    <w:p w14:paraId="570F65EC">
      <w:pPr>
        <w:widowControl/>
        <w:ind w:firstLine="640" w:firstLineChars="200"/>
        <w:jc w:val="left"/>
        <w:rPr>
          <w:rFonts w:ascii="仿宋_GB2312" w:hAnsi="微软雅黑" w:eastAsia="仿宋_GB2312"/>
          <w:szCs w:val="32"/>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宋体" w:eastAsia="仿宋_GB2312" w:cs="仿宋_GB2312"/>
          <w:color w:val="000000"/>
          <w:kern w:val="0"/>
          <w:szCs w:val="32"/>
        </w:rPr>
        <w:t>财政拨款</w:t>
      </w:r>
      <w:r>
        <w:rPr>
          <w:rFonts w:hint="eastAsia" w:ascii="仿宋_GB2312" w:hAnsi="仿宋" w:eastAsia="仿宋_GB2312"/>
          <w:szCs w:val="32"/>
        </w:rPr>
        <w:t>支出</w:t>
      </w:r>
      <w:r>
        <w:rPr>
          <w:rFonts w:ascii="仿宋_GB2312" w:hAnsi="仿宋" w:eastAsia="仿宋_GB2312"/>
          <w:szCs w:val="32"/>
        </w:rPr>
        <w:t>13257.21</w:t>
      </w:r>
      <w:r>
        <w:rPr>
          <w:rFonts w:hint="eastAsia" w:ascii="仿宋_GB2312" w:hAnsi="仿宋" w:eastAsia="仿宋_GB2312"/>
          <w:szCs w:val="32"/>
        </w:rPr>
        <w:t>万元，比上年增长</w:t>
      </w:r>
      <w:r>
        <w:rPr>
          <w:rFonts w:ascii="仿宋_GB2312" w:hAnsi="仿宋" w:eastAsia="仿宋_GB2312"/>
          <w:szCs w:val="32"/>
        </w:rPr>
        <w:t>5362.09</w:t>
      </w:r>
      <w:r>
        <w:rPr>
          <w:rFonts w:hint="eastAsia" w:ascii="仿宋_GB2312" w:hAnsi="仿宋" w:eastAsia="仿宋_GB2312"/>
          <w:szCs w:val="32"/>
        </w:rPr>
        <w:t>万元，增加主要原因是</w:t>
      </w:r>
      <w:r>
        <w:rPr>
          <w:rFonts w:hint="eastAsia" w:ascii="仿宋_GB2312" w:hAnsi="微软雅黑" w:eastAsia="仿宋_GB2312"/>
          <w:szCs w:val="32"/>
        </w:rPr>
        <w:t>增加原因基础设施和土地补偿费用增加。</w:t>
      </w:r>
    </w:p>
    <w:p w14:paraId="5D84D325">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14:paraId="3A4249C5">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（一）财政拨款支出决算总体情况说明。</w:t>
      </w:r>
    </w:p>
    <w:p w14:paraId="3D67C7FD">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drawing>
          <wp:inline distT="0" distB="0" distL="114300" distR="114300">
            <wp:extent cx="4406900" cy="2707640"/>
            <wp:effectExtent l="4445" t="5080" r="8255" b="1143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93D616E">
      <w:pPr>
        <w:widowControl/>
        <w:ind w:firstLine="640" w:firstLineChars="200"/>
        <w:jc w:val="left"/>
        <w:rPr>
          <w:rFonts w:ascii="仿宋_GB2312" w:hAnsi="微软雅黑" w:eastAsia="仿宋_GB2312"/>
          <w:szCs w:val="32"/>
        </w:rPr>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财政拨款支出</w:t>
      </w:r>
      <w:r>
        <w:rPr>
          <w:rFonts w:ascii="仿宋_GB2312" w:hAnsi="仿宋" w:eastAsia="仿宋_GB2312"/>
          <w:szCs w:val="32"/>
        </w:rPr>
        <w:t>13257.21</w:t>
      </w:r>
      <w:r>
        <w:rPr>
          <w:rFonts w:hint="eastAsia" w:ascii="仿宋_GB2312" w:hAnsi="宋体" w:eastAsia="仿宋_GB2312" w:cs="仿宋_GB2312"/>
          <w:color w:val="000000"/>
          <w:kern w:val="0"/>
          <w:szCs w:val="32"/>
        </w:rPr>
        <w:t>万元，占本年支出合计的</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。与上年相比，财政拨款支出增加（减少）</w:t>
      </w:r>
      <w:r>
        <w:rPr>
          <w:rFonts w:ascii="仿宋_GB2312" w:hAnsi="仿宋" w:eastAsia="仿宋_GB2312"/>
          <w:szCs w:val="32"/>
        </w:rPr>
        <w:t>5362.09</w:t>
      </w:r>
      <w:r>
        <w:rPr>
          <w:rFonts w:hint="eastAsia" w:ascii="仿宋_GB2312" w:hAnsi="宋体" w:eastAsia="仿宋_GB2312" w:cs="仿宋_GB2312"/>
          <w:color w:val="000000"/>
          <w:kern w:val="0"/>
          <w:szCs w:val="32"/>
        </w:rPr>
        <w:t>万元，增长</w:t>
      </w:r>
      <w:r>
        <w:rPr>
          <w:rFonts w:ascii="仿宋_GB2312" w:hAnsi="宋体" w:eastAsia="仿宋_GB2312" w:cs="仿宋_GB2312"/>
          <w:color w:val="000000"/>
          <w:kern w:val="0"/>
          <w:szCs w:val="32"/>
        </w:rPr>
        <w:t>40%</w:t>
      </w:r>
      <w:r>
        <w:rPr>
          <w:rFonts w:hint="eastAsia" w:ascii="仿宋_GB2312" w:hAnsi="宋体" w:eastAsia="仿宋_GB2312" w:cs="仿宋_GB2312"/>
          <w:color w:val="000000"/>
          <w:kern w:val="0"/>
          <w:szCs w:val="32"/>
        </w:rPr>
        <w:t>，主要原因是</w:t>
      </w:r>
      <w:r>
        <w:rPr>
          <w:rFonts w:hint="eastAsia" w:ascii="仿宋_GB2312" w:hAnsi="微软雅黑" w:eastAsia="仿宋_GB2312"/>
          <w:szCs w:val="32"/>
        </w:rPr>
        <w:t>增加原因基础设施和土地补偿费用增加</w:t>
      </w:r>
      <w:r>
        <w:rPr>
          <w:rFonts w:hint="eastAsia" w:ascii="仿宋_GB2312" w:hAnsi="宋体" w:eastAsia="仿宋_GB2312" w:cs="仿宋_GB2312"/>
          <w:color w:val="000000"/>
          <w:kern w:val="0"/>
          <w:szCs w:val="32"/>
        </w:rPr>
        <w:t>。</w:t>
      </w:r>
    </w:p>
    <w:p w14:paraId="3B957F45">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（二）财政拨款支出决算具体情况说明。</w:t>
      </w:r>
    </w:p>
    <w:p w14:paraId="29D3DA20">
      <w:pPr>
        <w:widowControl/>
        <w:ind w:firstLine="640" w:firstLineChars="200"/>
        <w:jc w:val="left"/>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财政拨款支出年初预算为</w:t>
      </w:r>
      <w:r>
        <w:rPr>
          <w:rFonts w:ascii="仿宋_GB2312" w:hAnsi="宋体" w:eastAsia="仿宋_GB2312" w:cs="仿宋_GB2312"/>
          <w:color w:val="000000"/>
          <w:kern w:val="0"/>
          <w:szCs w:val="32"/>
        </w:rPr>
        <w:t>1359.51</w:t>
      </w:r>
      <w:r>
        <w:rPr>
          <w:rFonts w:hint="eastAsia" w:ascii="仿宋_GB2312" w:hAnsi="宋体" w:eastAsia="仿宋_GB2312" w:cs="仿宋_GB2312"/>
          <w:color w:val="000000"/>
          <w:kern w:val="0"/>
          <w:szCs w:val="32"/>
        </w:rPr>
        <w:t>万元，支出决算为</w:t>
      </w:r>
      <w:r>
        <w:rPr>
          <w:rFonts w:ascii="仿宋_GB2312" w:hAnsi="仿宋" w:eastAsia="仿宋_GB2312"/>
          <w:szCs w:val="32"/>
        </w:rPr>
        <w:t>13257.21</w:t>
      </w:r>
      <w:r>
        <w:rPr>
          <w:rFonts w:hint="eastAsia" w:ascii="仿宋_GB2312" w:hAnsi="宋体" w:eastAsia="仿宋_GB2312" w:cs="仿宋_GB2312"/>
          <w:color w:val="000000"/>
          <w:kern w:val="0"/>
          <w:szCs w:val="32"/>
        </w:rPr>
        <w:t>万元，完成年初预算的</w:t>
      </w:r>
      <w:r>
        <w:rPr>
          <w:rFonts w:ascii="仿宋_GB2312" w:hAnsi="宋体" w:eastAsia="仿宋_GB2312" w:cs="仿宋_GB2312"/>
          <w:color w:val="000000"/>
          <w:kern w:val="0"/>
          <w:szCs w:val="32"/>
        </w:rPr>
        <w:t>975%</w:t>
      </w:r>
      <w:r>
        <w:rPr>
          <w:rFonts w:hint="eastAsia" w:ascii="仿宋_GB2312" w:hAnsi="宋体" w:eastAsia="仿宋_GB2312" w:cs="仿宋_GB2312"/>
          <w:color w:val="000000"/>
          <w:kern w:val="0"/>
          <w:szCs w:val="32"/>
        </w:rPr>
        <w:t>。按照政府功能分类科目，其中：</w:t>
      </w:r>
      <w:r>
        <w:rPr>
          <w:rFonts w:ascii="仿宋_GB2312" w:hAnsi="宋体" w:eastAsia="仿宋_GB2312" w:cs="仿宋_GB2312"/>
          <w:color w:val="000000"/>
          <w:kern w:val="0"/>
          <w:szCs w:val="32"/>
        </w:rPr>
        <w:t xml:space="preserve"> </w:t>
      </w:r>
    </w:p>
    <w:p w14:paraId="1AE3E1BC">
      <w:pPr>
        <w:widowControl/>
        <w:ind w:firstLine="643" w:firstLineChars="200"/>
        <w:jc w:val="left"/>
      </w:pPr>
      <w:r>
        <w:rPr>
          <w:rFonts w:ascii="仿宋_GB2312" w:hAnsi="宋体" w:eastAsia="仿宋_GB2312" w:cs="仿宋_GB2312"/>
          <w:b/>
          <w:color w:val="000000"/>
          <w:kern w:val="0"/>
          <w:szCs w:val="32"/>
        </w:rPr>
        <w:t>1.</w:t>
      </w:r>
      <w:r>
        <w:rPr>
          <w:rFonts w:hint="eastAsia" w:ascii="仿宋_GB2312" w:hAnsi="宋体" w:eastAsia="仿宋_GB2312" w:cs="仿宋_GB2312"/>
          <w:b/>
          <w:color w:val="000000"/>
          <w:kern w:val="0"/>
          <w:szCs w:val="32"/>
        </w:rPr>
        <w:t>一般公共服务支出（类）财政事务（款）行政运行（项）。</w:t>
      </w:r>
      <w:r>
        <w:rPr>
          <w:rFonts w:ascii="仿宋_GB2312" w:hAnsi="宋体" w:eastAsia="仿宋_GB2312" w:cs="仿宋_GB2312"/>
          <w:b/>
          <w:color w:val="000000"/>
          <w:kern w:val="0"/>
          <w:szCs w:val="32"/>
        </w:rPr>
        <w:t xml:space="preserve"> </w:t>
      </w:r>
    </w:p>
    <w:p w14:paraId="2E9406CB">
      <w:pPr>
        <w:widowControl/>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年初预算为</w:t>
      </w:r>
      <w:r>
        <w:rPr>
          <w:rFonts w:ascii="仿宋_GB2312" w:hAnsi="宋体" w:eastAsia="仿宋_GB2312" w:cs="仿宋_GB2312"/>
          <w:color w:val="000000"/>
          <w:kern w:val="0"/>
          <w:szCs w:val="32"/>
        </w:rPr>
        <w:t>1359.51</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1433.65</w:t>
      </w:r>
      <w:r>
        <w:rPr>
          <w:rFonts w:hint="eastAsia" w:ascii="仿宋_GB2312" w:hAnsi="宋体" w:eastAsia="仿宋_GB2312" w:cs="仿宋_GB2312"/>
          <w:color w:val="000000"/>
          <w:kern w:val="0"/>
          <w:szCs w:val="32"/>
        </w:rPr>
        <w:t>万元，完成年初预算的</w:t>
      </w:r>
      <w:r>
        <w:rPr>
          <w:rFonts w:ascii="仿宋_GB2312" w:hAnsi="宋体" w:eastAsia="仿宋_GB2312" w:cs="仿宋_GB2312"/>
          <w:color w:val="000000"/>
          <w:kern w:val="0"/>
          <w:szCs w:val="32"/>
        </w:rPr>
        <w:t>105%</w:t>
      </w:r>
      <w:r>
        <w:rPr>
          <w:rFonts w:hint="eastAsia" w:ascii="仿宋_GB2312" w:hAnsi="宋体" w:eastAsia="仿宋_GB2312" w:cs="仿宋_GB2312"/>
          <w:color w:val="000000"/>
          <w:kern w:val="0"/>
          <w:szCs w:val="32"/>
        </w:rPr>
        <w:t>。决算数大于预算数的主要原因是有新增人员和人员工资调整。</w:t>
      </w:r>
    </w:p>
    <w:p w14:paraId="22503A17">
      <w:pPr>
        <w:widowControl/>
        <w:ind w:firstLine="640" w:firstLineChars="200"/>
        <w:jc w:val="left"/>
        <w:rPr>
          <w:rFonts w:ascii="仿宋_GB2312" w:hAnsi="宋体" w:eastAsia="仿宋_GB2312" w:cs="仿宋_GB2312"/>
          <w:kern w:val="0"/>
          <w:szCs w:val="32"/>
        </w:rPr>
      </w:pPr>
      <w:r>
        <w:rPr>
          <w:rFonts w:ascii="仿宋_GB2312" w:hAnsi="宋体" w:eastAsia="仿宋_GB2312" w:cs="仿宋_GB2312"/>
          <w:kern w:val="0"/>
          <w:szCs w:val="32"/>
        </w:rPr>
        <w:t>2</w:t>
      </w:r>
      <w:r>
        <w:rPr>
          <w:rFonts w:hint="eastAsia" w:ascii="仿宋_GB2312" w:hAnsi="宋体" w:eastAsia="仿宋_GB2312" w:cs="仿宋_GB2312"/>
          <w:kern w:val="0"/>
          <w:szCs w:val="32"/>
        </w:rPr>
        <w:t>、城乡社区支出（类）城乡社区公共设施（款）小城镇基础设施建设（项）</w:t>
      </w:r>
    </w:p>
    <w:p w14:paraId="2A96B5BE">
      <w:pPr>
        <w:widowControl/>
        <w:ind w:firstLine="640" w:firstLineChars="200"/>
        <w:jc w:val="left"/>
        <w:rPr>
          <w:rFonts w:ascii="仿宋_GB2312" w:hAnsi="宋体" w:eastAsia="仿宋_GB2312" w:cs="仿宋_GB2312"/>
          <w:kern w:val="0"/>
          <w:szCs w:val="32"/>
        </w:rPr>
      </w:pPr>
      <w:r>
        <w:rPr>
          <w:rFonts w:hint="eastAsia" w:ascii="仿宋_GB2312" w:hAnsi="宋体" w:eastAsia="仿宋_GB2312" w:cs="仿宋_GB2312"/>
          <w:kern w:val="0"/>
          <w:szCs w:val="32"/>
        </w:rPr>
        <w:t>小城镇基础设施建设支出年初预算为</w:t>
      </w:r>
      <w:r>
        <w:rPr>
          <w:rFonts w:ascii="仿宋_GB2312" w:hAnsi="宋体" w:eastAsia="仿宋_GB2312" w:cs="仿宋_GB2312"/>
          <w:kern w:val="0"/>
          <w:szCs w:val="32"/>
        </w:rPr>
        <w:t>0</w:t>
      </w:r>
      <w:r>
        <w:rPr>
          <w:rFonts w:hint="eastAsia" w:ascii="仿宋_GB2312" w:hAnsi="宋体" w:eastAsia="仿宋_GB2312" w:cs="仿宋_GB2312"/>
          <w:kern w:val="0"/>
          <w:szCs w:val="32"/>
        </w:rPr>
        <w:t>，决算为</w:t>
      </w:r>
      <w:r>
        <w:rPr>
          <w:rFonts w:ascii="仿宋_GB2312" w:hAnsi="宋体" w:eastAsia="仿宋_GB2312" w:cs="仿宋_GB2312"/>
          <w:kern w:val="0"/>
          <w:szCs w:val="32"/>
        </w:rPr>
        <w:t>3772.06</w:t>
      </w:r>
      <w:r>
        <w:rPr>
          <w:rFonts w:hint="eastAsia" w:ascii="仿宋_GB2312" w:hAnsi="宋体" w:eastAsia="仿宋_GB2312" w:cs="仿宋_GB2312"/>
          <w:kern w:val="0"/>
          <w:szCs w:val="32"/>
        </w:rPr>
        <w:t>万元，</w:t>
      </w:r>
      <w:r>
        <w:rPr>
          <w:rFonts w:hint="eastAsia" w:ascii="仿宋_GB2312" w:hAnsi="宋体" w:eastAsia="仿宋_GB2312" w:cs="仿宋_GB2312"/>
          <w:color w:val="000000"/>
          <w:kern w:val="0"/>
          <w:szCs w:val="32"/>
        </w:rPr>
        <w:t>决算数大于预算数的主要原因是</w:t>
      </w:r>
      <w:r>
        <w:rPr>
          <w:rFonts w:hint="eastAsia" w:ascii="仿宋_GB2312" w:eastAsia="仿宋_GB2312"/>
          <w:szCs w:val="32"/>
        </w:rPr>
        <w:t>年初未此项支出</w:t>
      </w:r>
      <w:r>
        <w:rPr>
          <w:rFonts w:hint="eastAsia" w:ascii="仿宋_GB2312" w:hAnsi="宋体" w:eastAsia="仿宋_GB2312" w:cs="仿宋_GB2312"/>
          <w:kern w:val="0"/>
          <w:szCs w:val="32"/>
        </w:rPr>
        <w:t>、</w:t>
      </w:r>
      <w:r>
        <w:rPr>
          <w:rFonts w:hint="eastAsia" w:ascii="仿宋_GB2312" w:eastAsia="仿宋_GB2312"/>
          <w:szCs w:val="32"/>
        </w:rPr>
        <w:t>本年因工作需要追加预算导致</w:t>
      </w:r>
      <w:r>
        <w:rPr>
          <w:rFonts w:hint="eastAsia" w:ascii="仿宋_GB2312" w:hAnsi="宋体" w:eastAsia="仿宋_GB2312" w:cs="仿宋_GB2312"/>
          <w:color w:val="000000"/>
          <w:kern w:val="0"/>
          <w:szCs w:val="32"/>
        </w:rPr>
        <w:t>决算数大于预算数。</w:t>
      </w:r>
    </w:p>
    <w:p w14:paraId="591D77C6">
      <w:pPr>
        <w:widowControl/>
        <w:ind w:firstLine="480" w:firstLineChars="150"/>
        <w:jc w:val="left"/>
        <w:rPr>
          <w:rFonts w:ascii="仿宋_GB2312" w:hAnsi="宋体" w:eastAsia="仿宋_GB2312" w:cs="仿宋_GB2312"/>
          <w:kern w:val="0"/>
          <w:szCs w:val="32"/>
        </w:rPr>
      </w:pPr>
      <w:r>
        <w:rPr>
          <w:rFonts w:ascii="仿宋_GB2312" w:hAnsi="宋体" w:eastAsia="仿宋_GB2312" w:cs="仿宋_GB2312"/>
          <w:kern w:val="0"/>
          <w:szCs w:val="32"/>
        </w:rPr>
        <w:t>3</w:t>
      </w:r>
      <w:r>
        <w:rPr>
          <w:rFonts w:hint="eastAsia" w:ascii="仿宋_GB2312" w:hAnsi="宋体" w:eastAsia="仿宋_GB2312" w:cs="仿宋_GB2312"/>
          <w:kern w:val="0"/>
          <w:szCs w:val="32"/>
        </w:rPr>
        <w:t>、城乡社区支出（类）城乡社区公共设施（款）其他城乡社区公共设施支出</w:t>
      </w:r>
      <w:r>
        <w:rPr>
          <w:rFonts w:ascii="仿宋_GB2312" w:hAnsi="宋体" w:eastAsia="仿宋_GB2312" w:cs="仿宋_GB2312"/>
          <w:kern w:val="0"/>
          <w:szCs w:val="32"/>
        </w:rPr>
        <w:t>(</w:t>
      </w:r>
      <w:r>
        <w:rPr>
          <w:rFonts w:hint="eastAsia" w:ascii="仿宋_GB2312" w:hAnsi="宋体" w:eastAsia="仿宋_GB2312" w:cs="仿宋_GB2312"/>
          <w:kern w:val="0"/>
          <w:szCs w:val="32"/>
        </w:rPr>
        <w:t>项</w:t>
      </w:r>
      <w:r>
        <w:rPr>
          <w:rFonts w:ascii="仿宋_GB2312" w:hAnsi="宋体" w:eastAsia="仿宋_GB2312" w:cs="仿宋_GB2312"/>
          <w:kern w:val="0"/>
          <w:szCs w:val="32"/>
        </w:rPr>
        <w:t>)</w:t>
      </w:r>
      <w:r>
        <w:rPr>
          <w:rFonts w:hint="eastAsia" w:ascii="仿宋_GB2312" w:hAnsi="宋体" w:eastAsia="仿宋_GB2312" w:cs="仿宋_GB2312"/>
          <w:kern w:val="0"/>
          <w:szCs w:val="32"/>
        </w:rPr>
        <w:t>。</w:t>
      </w:r>
    </w:p>
    <w:p w14:paraId="2943C6E7">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kern w:val="0"/>
          <w:szCs w:val="32"/>
        </w:rPr>
        <w:t>其他城乡社区公共设施支出年初预算为</w:t>
      </w:r>
      <w:r>
        <w:rPr>
          <w:rFonts w:ascii="仿宋_GB2312" w:hAnsi="宋体" w:eastAsia="仿宋_GB2312" w:cs="仿宋_GB2312"/>
          <w:kern w:val="0"/>
          <w:szCs w:val="32"/>
        </w:rPr>
        <w:t>0</w:t>
      </w:r>
      <w:r>
        <w:rPr>
          <w:rFonts w:hint="eastAsia" w:ascii="仿宋_GB2312" w:hAnsi="宋体" w:eastAsia="仿宋_GB2312" w:cs="仿宋_GB2312"/>
          <w:kern w:val="0"/>
          <w:szCs w:val="32"/>
        </w:rPr>
        <w:t>，决算为</w:t>
      </w:r>
      <w:r>
        <w:rPr>
          <w:rFonts w:ascii="仿宋_GB2312" w:hAnsi="宋体" w:eastAsia="仿宋_GB2312" w:cs="仿宋_GB2312"/>
          <w:kern w:val="0"/>
          <w:szCs w:val="32"/>
        </w:rPr>
        <w:t>184.4</w:t>
      </w:r>
      <w:r>
        <w:rPr>
          <w:rFonts w:hint="eastAsia" w:ascii="仿宋_GB2312" w:hAnsi="宋体" w:eastAsia="仿宋_GB2312" w:cs="仿宋_GB2312"/>
          <w:kern w:val="0"/>
          <w:szCs w:val="32"/>
        </w:rPr>
        <w:t>万元，</w:t>
      </w:r>
      <w:r>
        <w:rPr>
          <w:rFonts w:hint="eastAsia" w:ascii="仿宋_GB2312" w:hAnsi="宋体" w:eastAsia="仿宋_GB2312" w:cs="仿宋_GB2312"/>
          <w:color w:val="000000"/>
          <w:kern w:val="0"/>
          <w:szCs w:val="32"/>
        </w:rPr>
        <w:t>决算数大于预算数的主要原因是</w:t>
      </w:r>
      <w:r>
        <w:rPr>
          <w:rFonts w:hint="eastAsia" w:ascii="仿宋_GB2312" w:eastAsia="仿宋_GB2312"/>
          <w:szCs w:val="32"/>
        </w:rPr>
        <w:t>年初未此项支出</w:t>
      </w:r>
      <w:r>
        <w:rPr>
          <w:rFonts w:hint="eastAsia" w:ascii="仿宋_GB2312" w:hAnsi="宋体" w:eastAsia="仿宋_GB2312" w:cs="仿宋_GB2312"/>
          <w:kern w:val="0"/>
          <w:szCs w:val="32"/>
        </w:rPr>
        <w:t>、</w:t>
      </w:r>
      <w:r>
        <w:rPr>
          <w:rFonts w:hint="eastAsia" w:ascii="仿宋_GB2312" w:eastAsia="仿宋_GB2312"/>
          <w:szCs w:val="32"/>
        </w:rPr>
        <w:t>本年因工作需要追加预算导致</w:t>
      </w:r>
      <w:r>
        <w:rPr>
          <w:rFonts w:hint="eastAsia" w:ascii="仿宋_GB2312" w:hAnsi="宋体" w:eastAsia="仿宋_GB2312" w:cs="仿宋_GB2312"/>
          <w:color w:val="000000"/>
          <w:kern w:val="0"/>
          <w:szCs w:val="32"/>
        </w:rPr>
        <w:t>决算数大于预算数。</w:t>
      </w:r>
    </w:p>
    <w:p w14:paraId="567121BF">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4</w:t>
      </w:r>
      <w:r>
        <w:rPr>
          <w:rFonts w:hint="eastAsia" w:ascii="仿宋_GB2312" w:hAnsi="宋体" w:eastAsia="仿宋_GB2312" w:cs="仿宋_GB2312"/>
          <w:color w:val="000000"/>
          <w:kern w:val="0"/>
          <w:szCs w:val="32"/>
        </w:rPr>
        <w:t>、</w:t>
      </w:r>
      <w:r>
        <w:rPr>
          <w:rFonts w:hint="eastAsia" w:ascii="仿宋_GB2312" w:hAnsi="宋体" w:eastAsia="仿宋_GB2312" w:cs="仿宋_GB2312"/>
          <w:kern w:val="0"/>
          <w:szCs w:val="32"/>
        </w:rPr>
        <w:t>城乡社区支出（类）</w:t>
      </w:r>
      <w:r>
        <w:rPr>
          <w:rFonts w:hint="eastAsia" w:ascii="仿宋_GB2312" w:hAnsi="宋体" w:eastAsia="仿宋_GB2312" w:cs="仿宋_GB2312"/>
          <w:color w:val="000000"/>
          <w:kern w:val="0"/>
          <w:szCs w:val="32"/>
        </w:rPr>
        <w:t>其他城乡社区支出（款）其他城乡社区支出（项）</w:t>
      </w:r>
    </w:p>
    <w:p w14:paraId="2423670F">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 xml:space="preserve">   </w:t>
      </w:r>
      <w:r>
        <w:rPr>
          <w:rFonts w:hint="eastAsia" w:ascii="仿宋_GB2312" w:hAnsi="宋体" w:eastAsia="仿宋_GB2312" w:cs="仿宋_GB2312"/>
          <w:color w:val="000000"/>
          <w:kern w:val="0"/>
          <w:szCs w:val="32"/>
        </w:rPr>
        <w:t>其他城乡社区到出年初预算为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元，决算为</w:t>
      </w:r>
      <w:r>
        <w:rPr>
          <w:rFonts w:ascii="仿宋_GB2312" w:hAnsi="宋体" w:eastAsia="仿宋_GB2312" w:cs="仿宋_GB2312"/>
          <w:color w:val="000000"/>
          <w:kern w:val="0"/>
          <w:szCs w:val="32"/>
        </w:rPr>
        <w:t>71.16</w:t>
      </w:r>
      <w:r>
        <w:rPr>
          <w:rFonts w:hint="eastAsia" w:ascii="仿宋_GB2312" w:hAnsi="宋体" w:eastAsia="仿宋_GB2312" w:cs="仿宋_GB2312"/>
          <w:color w:val="000000"/>
          <w:kern w:val="0"/>
          <w:szCs w:val="32"/>
        </w:rPr>
        <w:t>万元，决算数大于预算数的主要原因是年初未安排此项支出，</w:t>
      </w:r>
      <w:r>
        <w:rPr>
          <w:rFonts w:hint="eastAsia" w:ascii="仿宋_GB2312" w:eastAsia="仿宋_GB2312"/>
          <w:szCs w:val="32"/>
        </w:rPr>
        <w:t>本年因工作需要追加预算导致</w:t>
      </w:r>
      <w:r>
        <w:rPr>
          <w:rFonts w:hint="eastAsia" w:ascii="仿宋_GB2312" w:hAnsi="宋体" w:eastAsia="仿宋_GB2312" w:cs="仿宋_GB2312"/>
          <w:color w:val="000000"/>
          <w:kern w:val="0"/>
          <w:szCs w:val="32"/>
        </w:rPr>
        <w:t>决算数大于预算数。</w:t>
      </w:r>
    </w:p>
    <w:p w14:paraId="4D458A67">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5</w:t>
      </w:r>
      <w:r>
        <w:rPr>
          <w:rFonts w:hint="eastAsia" w:ascii="仿宋_GB2312" w:hAnsi="宋体" w:eastAsia="仿宋_GB2312" w:cs="仿宋_GB2312"/>
          <w:color w:val="000000"/>
          <w:kern w:val="0"/>
          <w:szCs w:val="32"/>
        </w:rPr>
        <w:t>、农林水支出（类）扶贫（款）农村基础设施建设（项）</w:t>
      </w:r>
    </w:p>
    <w:p w14:paraId="3D2CEDBA">
      <w:pPr>
        <w:widowControl/>
        <w:ind w:firstLine="320" w:firstLineChars="1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农村基础设施建设支出年初预算为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，决算为</w:t>
      </w:r>
      <w:r>
        <w:rPr>
          <w:rFonts w:ascii="仿宋_GB2312" w:hAnsi="宋体" w:eastAsia="仿宋_GB2312" w:cs="仿宋_GB2312"/>
          <w:color w:val="000000"/>
          <w:kern w:val="0"/>
          <w:szCs w:val="32"/>
        </w:rPr>
        <w:t>2434.14</w:t>
      </w:r>
      <w:r>
        <w:rPr>
          <w:rFonts w:hint="eastAsia" w:ascii="仿宋_GB2312" w:hAnsi="宋体" w:eastAsia="仿宋_GB2312" w:cs="仿宋_GB2312"/>
          <w:color w:val="000000"/>
          <w:kern w:val="0"/>
          <w:szCs w:val="32"/>
        </w:rPr>
        <w:t>万元，决算数大于预算数的主要原因是</w:t>
      </w:r>
      <w:r>
        <w:rPr>
          <w:rFonts w:hint="eastAsia" w:ascii="仿宋_GB2312" w:eastAsia="仿宋_GB2312"/>
          <w:szCs w:val="32"/>
        </w:rPr>
        <w:t>年初未此项支出</w:t>
      </w:r>
      <w:r>
        <w:rPr>
          <w:rFonts w:hint="eastAsia" w:ascii="仿宋_GB2312" w:hAnsi="宋体" w:eastAsia="仿宋_GB2312" w:cs="仿宋_GB2312"/>
          <w:kern w:val="0"/>
          <w:szCs w:val="32"/>
        </w:rPr>
        <w:t>、</w:t>
      </w:r>
      <w:r>
        <w:rPr>
          <w:rFonts w:hint="eastAsia" w:ascii="仿宋_GB2312" w:eastAsia="仿宋_GB2312"/>
          <w:szCs w:val="32"/>
        </w:rPr>
        <w:t>本年因工作需要追加预算导致</w:t>
      </w:r>
      <w:r>
        <w:rPr>
          <w:rFonts w:hint="eastAsia" w:ascii="仿宋_GB2312" w:hAnsi="宋体" w:eastAsia="仿宋_GB2312" w:cs="仿宋_GB2312"/>
          <w:color w:val="000000"/>
          <w:kern w:val="0"/>
          <w:szCs w:val="32"/>
        </w:rPr>
        <w:t>决算数大于预算数。</w:t>
      </w:r>
    </w:p>
    <w:p w14:paraId="5F8A903E">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6</w:t>
      </w:r>
      <w:r>
        <w:rPr>
          <w:rFonts w:hint="eastAsia" w:ascii="仿宋_GB2312" w:hAnsi="宋体" w:eastAsia="仿宋_GB2312" w:cs="仿宋_GB2312"/>
          <w:color w:val="000000"/>
          <w:kern w:val="0"/>
          <w:szCs w:val="32"/>
        </w:rPr>
        <w:t>、自然资源海洋气象等支出（类）自然资源事务（款）一般行政管理事务（项）</w:t>
      </w:r>
    </w:p>
    <w:p w14:paraId="4CA429C5">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 xml:space="preserve">   </w:t>
      </w:r>
      <w:r>
        <w:rPr>
          <w:rFonts w:hint="eastAsia" w:ascii="仿宋_GB2312" w:hAnsi="宋体" w:eastAsia="仿宋_GB2312" w:cs="仿宋_GB2312"/>
          <w:color w:val="000000"/>
          <w:kern w:val="0"/>
          <w:szCs w:val="32"/>
        </w:rPr>
        <w:t>一般行政管理事务支出年初预算为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，决算为</w:t>
      </w:r>
      <w:r>
        <w:rPr>
          <w:rFonts w:ascii="仿宋_GB2312" w:hAnsi="宋体" w:eastAsia="仿宋_GB2312" w:cs="仿宋_GB2312"/>
          <w:color w:val="000000"/>
          <w:kern w:val="0"/>
          <w:szCs w:val="32"/>
        </w:rPr>
        <w:t>308.05</w:t>
      </w:r>
      <w:r>
        <w:rPr>
          <w:rFonts w:hint="eastAsia" w:ascii="仿宋_GB2312" w:hAnsi="宋体" w:eastAsia="仿宋_GB2312" w:cs="仿宋_GB2312"/>
          <w:color w:val="000000"/>
          <w:kern w:val="0"/>
          <w:szCs w:val="32"/>
        </w:rPr>
        <w:t>万元，决算数大于预算数的主要原因是</w:t>
      </w:r>
      <w:r>
        <w:rPr>
          <w:rFonts w:hint="eastAsia" w:ascii="仿宋_GB2312" w:eastAsia="仿宋_GB2312"/>
          <w:szCs w:val="32"/>
        </w:rPr>
        <w:t>年初未此项支出</w:t>
      </w:r>
      <w:r>
        <w:rPr>
          <w:rFonts w:hint="eastAsia" w:ascii="仿宋_GB2312" w:hAnsi="宋体" w:eastAsia="仿宋_GB2312" w:cs="仿宋_GB2312"/>
          <w:kern w:val="0"/>
          <w:szCs w:val="32"/>
        </w:rPr>
        <w:t>、</w:t>
      </w:r>
      <w:r>
        <w:rPr>
          <w:rFonts w:hint="eastAsia" w:ascii="仿宋_GB2312" w:eastAsia="仿宋_GB2312"/>
          <w:szCs w:val="32"/>
        </w:rPr>
        <w:t>本年因工作需要追加预算导致</w:t>
      </w:r>
      <w:r>
        <w:rPr>
          <w:rFonts w:hint="eastAsia" w:ascii="仿宋_GB2312" w:hAnsi="宋体" w:eastAsia="仿宋_GB2312" w:cs="仿宋_GB2312"/>
          <w:color w:val="000000"/>
          <w:kern w:val="0"/>
          <w:szCs w:val="32"/>
        </w:rPr>
        <w:t>决算数大于预算数。</w:t>
      </w:r>
    </w:p>
    <w:p w14:paraId="0DF818E7">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7</w:t>
      </w:r>
      <w:r>
        <w:rPr>
          <w:rFonts w:hint="eastAsia" w:ascii="仿宋_GB2312" w:hAnsi="宋体" w:eastAsia="仿宋_GB2312" w:cs="仿宋_GB2312"/>
          <w:color w:val="000000"/>
          <w:kern w:val="0"/>
          <w:szCs w:val="32"/>
        </w:rPr>
        <w:t>、自然资源海洋气象等支出（类）自然资源事务（款）自然资源规划及管理（项）</w:t>
      </w:r>
    </w:p>
    <w:p w14:paraId="64FF81C4">
      <w:pPr>
        <w:widowControl/>
        <w:ind w:firstLine="320" w:firstLineChars="1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自然资源规划及管理支出年初预算为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，决算为</w:t>
      </w:r>
      <w:r>
        <w:rPr>
          <w:rFonts w:ascii="仿宋_GB2312" w:hAnsi="宋体" w:eastAsia="仿宋_GB2312" w:cs="仿宋_GB2312"/>
          <w:color w:val="000000"/>
          <w:kern w:val="0"/>
          <w:szCs w:val="32"/>
        </w:rPr>
        <w:t>113.46</w:t>
      </w:r>
      <w:r>
        <w:rPr>
          <w:rFonts w:hint="eastAsia" w:ascii="仿宋_GB2312" w:hAnsi="宋体" w:eastAsia="仿宋_GB2312" w:cs="仿宋_GB2312"/>
          <w:color w:val="000000"/>
          <w:kern w:val="0"/>
          <w:szCs w:val="32"/>
        </w:rPr>
        <w:t>万元，决算数大于预算数的主要原因是</w:t>
      </w:r>
      <w:r>
        <w:rPr>
          <w:rFonts w:hint="eastAsia" w:ascii="仿宋_GB2312" w:eastAsia="仿宋_GB2312"/>
          <w:szCs w:val="32"/>
        </w:rPr>
        <w:t>年初未此项支出</w:t>
      </w:r>
      <w:r>
        <w:rPr>
          <w:rFonts w:hint="eastAsia" w:ascii="仿宋_GB2312" w:hAnsi="宋体" w:eastAsia="仿宋_GB2312" w:cs="仿宋_GB2312"/>
          <w:kern w:val="0"/>
          <w:szCs w:val="32"/>
        </w:rPr>
        <w:t>、</w:t>
      </w:r>
      <w:r>
        <w:rPr>
          <w:rFonts w:hint="eastAsia" w:ascii="仿宋_GB2312" w:eastAsia="仿宋_GB2312"/>
          <w:szCs w:val="32"/>
        </w:rPr>
        <w:t>本年因工作需要追加预算导致</w:t>
      </w:r>
      <w:r>
        <w:rPr>
          <w:rFonts w:hint="eastAsia" w:ascii="仿宋_GB2312" w:hAnsi="宋体" w:eastAsia="仿宋_GB2312" w:cs="仿宋_GB2312"/>
          <w:color w:val="000000"/>
          <w:kern w:val="0"/>
          <w:szCs w:val="32"/>
        </w:rPr>
        <w:t>决算数大于预算数。</w:t>
      </w:r>
    </w:p>
    <w:p w14:paraId="0B6B558D">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8</w:t>
      </w:r>
      <w:r>
        <w:rPr>
          <w:rFonts w:hint="eastAsia" w:ascii="仿宋_GB2312" w:hAnsi="宋体" w:eastAsia="仿宋_GB2312" w:cs="仿宋_GB2312"/>
          <w:color w:val="000000"/>
          <w:kern w:val="0"/>
          <w:szCs w:val="32"/>
        </w:rPr>
        <w:t>、自然资源海洋气象等支出（类）自然资源事务（款）土地资源调查（项）</w:t>
      </w:r>
    </w:p>
    <w:p w14:paraId="1034D13E">
      <w:pPr>
        <w:widowControl/>
        <w:ind w:firstLine="320" w:firstLineChars="1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土地资源调查支出年初预算为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，决算为</w:t>
      </w:r>
      <w:r>
        <w:rPr>
          <w:rFonts w:ascii="仿宋_GB2312" w:hAnsi="宋体" w:eastAsia="仿宋_GB2312" w:cs="仿宋_GB2312"/>
          <w:color w:val="000000"/>
          <w:kern w:val="0"/>
          <w:szCs w:val="32"/>
        </w:rPr>
        <w:t>26.5</w:t>
      </w:r>
      <w:r>
        <w:rPr>
          <w:rFonts w:hint="eastAsia" w:ascii="仿宋_GB2312" w:hAnsi="宋体" w:eastAsia="仿宋_GB2312" w:cs="仿宋_GB2312"/>
          <w:color w:val="000000"/>
          <w:kern w:val="0"/>
          <w:szCs w:val="32"/>
        </w:rPr>
        <w:t>万元，决算数大于预算数的主要原因是</w:t>
      </w:r>
      <w:r>
        <w:rPr>
          <w:rFonts w:hint="eastAsia" w:ascii="仿宋_GB2312" w:eastAsia="仿宋_GB2312"/>
          <w:szCs w:val="32"/>
        </w:rPr>
        <w:t>年初未此项支出</w:t>
      </w:r>
      <w:r>
        <w:rPr>
          <w:rFonts w:hint="eastAsia" w:ascii="仿宋_GB2312" w:hAnsi="宋体" w:eastAsia="仿宋_GB2312" w:cs="仿宋_GB2312"/>
          <w:kern w:val="0"/>
          <w:szCs w:val="32"/>
        </w:rPr>
        <w:t>、</w:t>
      </w:r>
      <w:r>
        <w:rPr>
          <w:rFonts w:hint="eastAsia" w:ascii="仿宋_GB2312" w:eastAsia="仿宋_GB2312"/>
          <w:szCs w:val="32"/>
        </w:rPr>
        <w:t>本年因工作需要追加预算导致</w:t>
      </w:r>
      <w:r>
        <w:rPr>
          <w:rFonts w:hint="eastAsia" w:ascii="仿宋_GB2312" w:hAnsi="宋体" w:eastAsia="仿宋_GB2312" w:cs="仿宋_GB2312"/>
          <w:color w:val="000000"/>
          <w:kern w:val="0"/>
          <w:szCs w:val="32"/>
        </w:rPr>
        <w:t>决算数大于预算数。</w:t>
      </w:r>
    </w:p>
    <w:p w14:paraId="6CB978C8">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9</w:t>
      </w:r>
      <w:r>
        <w:rPr>
          <w:rFonts w:hint="eastAsia" w:ascii="仿宋_GB2312" w:hAnsi="宋体" w:eastAsia="仿宋_GB2312" w:cs="仿宋_GB2312"/>
          <w:color w:val="000000"/>
          <w:kern w:val="0"/>
          <w:szCs w:val="32"/>
        </w:rPr>
        <w:t>、自然资源海洋气象等支出（类）自然资源事务（款）土地资源利用与保护（项）</w:t>
      </w:r>
    </w:p>
    <w:p w14:paraId="10D9898E">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 xml:space="preserve">  </w:t>
      </w:r>
      <w:r>
        <w:rPr>
          <w:rFonts w:hint="eastAsia" w:ascii="仿宋_GB2312" w:hAnsi="宋体" w:eastAsia="仿宋_GB2312" w:cs="仿宋_GB2312"/>
          <w:color w:val="000000"/>
          <w:kern w:val="0"/>
          <w:szCs w:val="32"/>
        </w:rPr>
        <w:t>土地资源利用与保护支出年初预算为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，决算为</w:t>
      </w:r>
      <w:r>
        <w:rPr>
          <w:rFonts w:ascii="仿宋_GB2312" w:hAnsi="宋体" w:eastAsia="仿宋_GB2312" w:cs="仿宋_GB2312"/>
          <w:color w:val="000000"/>
          <w:kern w:val="0"/>
          <w:szCs w:val="32"/>
        </w:rPr>
        <w:t>12.29</w:t>
      </w:r>
      <w:r>
        <w:rPr>
          <w:rFonts w:hint="eastAsia" w:ascii="仿宋_GB2312" w:hAnsi="宋体" w:eastAsia="仿宋_GB2312" w:cs="仿宋_GB2312"/>
          <w:color w:val="000000"/>
          <w:kern w:val="0"/>
          <w:szCs w:val="32"/>
        </w:rPr>
        <w:t>万元，决算数大于预算数的主要原因是</w:t>
      </w:r>
      <w:r>
        <w:rPr>
          <w:rFonts w:hint="eastAsia" w:ascii="仿宋_GB2312" w:eastAsia="仿宋_GB2312"/>
          <w:szCs w:val="32"/>
        </w:rPr>
        <w:t>年初未此项支出</w:t>
      </w:r>
      <w:r>
        <w:rPr>
          <w:rFonts w:hint="eastAsia" w:ascii="仿宋_GB2312" w:hAnsi="宋体" w:eastAsia="仿宋_GB2312" w:cs="仿宋_GB2312"/>
          <w:kern w:val="0"/>
          <w:szCs w:val="32"/>
        </w:rPr>
        <w:t>、</w:t>
      </w:r>
      <w:r>
        <w:rPr>
          <w:rFonts w:hint="eastAsia" w:ascii="仿宋_GB2312" w:eastAsia="仿宋_GB2312"/>
          <w:szCs w:val="32"/>
        </w:rPr>
        <w:t>本年因工作需要追加预算导致</w:t>
      </w:r>
      <w:r>
        <w:rPr>
          <w:rFonts w:hint="eastAsia" w:ascii="仿宋_GB2312" w:hAnsi="宋体" w:eastAsia="仿宋_GB2312" w:cs="仿宋_GB2312"/>
          <w:color w:val="000000"/>
          <w:kern w:val="0"/>
          <w:szCs w:val="32"/>
        </w:rPr>
        <w:t>决算数大于预算数。</w:t>
      </w:r>
    </w:p>
    <w:p w14:paraId="1963C677">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10</w:t>
      </w:r>
      <w:r>
        <w:rPr>
          <w:rFonts w:hint="eastAsia" w:ascii="仿宋_GB2312" w:hAnsi="宋体" w:eastAsia="仿宋_GB2312" w:cs="仿宋_GB2312"/>
          <w:color w:val="000000"/>
          <w:kern w:val="0"/>
          <w:szCs w:val="32"/>
        </w:rPr>
        <w:t>、自然资源海洋气象等支出（类）自然资源事务（款）土地资源储备支出（项）</w:t>
      </w:r>
    </w:p>
    <w:p w14:paraId="1EBB4333">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 xml:space="preserve">  </w:t>
      </w:r>
      <w:r>
        <w:rPr>
          <w:rFonts w:hint="eastAsia" w:ascii="仿宋_GB2312" w:hAnsi="宋体" w:eastAsia="仿宋_GB2312" w:cs="仿宋_GB2312"/>
          <w:color w:val="000000"/>
          <w:kern w:val="0"/>
          <w:szCs w:val="32"/>
        </w:rPr>
        <w:t>土地资源储备支出年初预算为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，决算为</w:t>
      </w:r>
      <w:r>
        <w:rPr>
          <w:rFonts w:ascii="仿宋_GB2312" w:hAnsi="宋体" w:eastAsia="仿宋_GB2312" w:cs="仿宋_GB2312"/>
          <w:color w:val="000000"/>
          <w:kern w:val="0"/>
          <w:szCs w:val="32"/>
        </w:rPr>
        <w:t>470.71</w:t>
      </w:r>
      <w:r>
        <w:rPr>
          <w:rFonts w:hint="eastAsia" w:ascii="仿宋_GB2312" w:hAnsi="宋体" w:eastAsia="仿宋_GB2312" w:cs="仿宋_GB2312"/>
          <w:color w:val="000000"/>
          <w:kern w:val="0"/>
          <w:szCs w:val="32"/>
        </w:rPr>
        <w:t>万元，决算数大于预算数的主要原因是</w:t>
      </w:r>
      <w:r>
        <w:rPr>
          <w:rFonts w:hint="eastAsia" w:ascii="仿宋_GB2312" w:eastAsia="仿宋_GB2312"/>
          <w:szCs w:val="32"/>
        </w:rPr>
        <w:t>年初未此项支出</w:t>
      </w:r>
      <w:r>
        <w:rPr>
          <w:rFonts w:hint="eastAsia" w:ascii="仿宋_GB2312" w:hAnsi="宋体" w:eastAsia="仿宋_GB2312" w:cs="仿宋_GB2312"/>
          <w:kern w:val="0"/>
          <w:szCs w:val="32"/>
        </w:rPr>
        <w:t>、</w:t>
      </w:r>
      <w:r>
        <w:rPr>
          <w:rFonts w:hint="eastAsia" w:ascii="仿宋_GB2312" w:eastAsia="仿宋_GB2312"/>
          <w:szCs w:val="32"/>
        </w:rPr>
        <w:t>本年因工作需要追加预算导致</w:t>
      </w:r>
      <w:r>
        <w:rPr>
          <w:rFonts w:hint="eastAsia" w:ascii="仿宋_GB2312" w:hAnsi="宋体" w:eastAsia="仿宋_GB2312" w:cs="仿宋_GB2312"/>
          <w:color w:val="000000"/>
          <w:kern w:val="0"/>
          <w:szCs w:val="32"/>
        </w:rPr>
        <w:t>决算数大于预算数。</w:t>
      </w:r>
    </w:p>
    <w:p w14:paraId="56DBDB70">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11</w:t>
      </w:r>
      <w:r>
        <w:rPr>
          <w:rFonts w:hint="eastAsia" w:ascii="仿宋_GB2312" w:hAnsi="宋体" w:eastAsia="仿宋_GB2312" w:cs="仿宋_GB2312"/>
          <w:color w:val="000000"/>
          <w:kern w:val="0"/>
          <w:szCs w:val="32"/>
        </w:rPr>
        <w:t>、自然资源海洋气象等支出（类）自然资源事务（款）地质矿产资源利用与保护（项）</w:t>
      </w:r>
    </w:p>
    <w:p w14:paraId="289CB8C4">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 xml:space="preserve">  </w:t>
      </w:r>
      <w:r>
        <w:rPr>
          <w:rFonts w:hint="eastAsia" w:ascii="仿宋_GB2312" w:hAnsi="宋体" w:eastAsia="仿宋_GB2312" w:cs="仿宋_GB2312"/>
          <w:color w:val="000000"/>
          <w:kern w:val="0"/>
          <w:szCs w:val="32"/>
        </w:rPr>
        <w:t>地质矿产资源利用与保护支出年初预算为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，决算为</w:t>
      </w:r>
      <w:r>
        <w:rPr>
          <w:rFonts w:ascii="仿宋_GB2312" w:hAnsi="宋体" w:eastAsia="仿宋_GB2312" w:cs="仿宋_GB2312"/>
          <w:color w:val="000000"/>
          <w:kern w:val="0"/>
          <w:szCs w:val="32"/>
        </w:rPr>
        <w:t>201.54</w:t>
      </w:r>
      <w:r>
        <w:rPr>
          <w:rFonts w:hint="eastAsia" w:ascii="仿宋_GB2312" w:hAnsi="宋体" w:eastAsia="仿宋_GB2312" w:cs="仿宋_GB2312"/>
          <w:color w:val="000000"/>
          <w:kern w:val="0"/>
          <w:szCs w:val="32"/>
        </w:rPr>
        <w:t>万元，决算数大于预算数的主要原因是</w:t>
      </w:r>
      <w:r>
        <w:rPr>
          <w:rFonts w:hint="eastAsia" w:ascii="仿宋_GB2312" w:eastAsia="仿宋_GB2312"/>
          <w:szCs w:val="32"/>
        </w:rPr>
        <w:t>年初未此项支出</w:t>
      </w:r>
      <w:r>
        <w:rPr>
          <w:rFonts w:hint="eastAsia" w:ascii="仿宋_GB2312" w:hAnsi="宋体" w:eastAsia="仿宋_GB2312" w:cs="仿宋_GB2312"/>
          <w:kern w:val="0"/>
          <w:szCs w:val="32"/>
        </w:rPr>
        <w:t>、</w:t>
      </w:r>
      <w:r>
        <w:rPr>
          <w:rFonts w:hint="eastAsia" w:ascii="仿宋_GB2312" w:eastAsia="仿宋_GB2312"/>
          <w:szCs w:val="32"/>
        </w:rPr>
        <w:t>本年因工作需要追加预算导致</w:t>
      </w:r>
      <w:r>
        <w:rPr>
          <w:rFonts w:hint="eastAsia" w:ascii="仿宋_GB2312" w:hAnsi="宋体" w:eastAsia="仿宋_GB2312" w:cs="仿宋_GB2312"/>
          <w:color w:val="000000"/>
          <w:kern w:val="0"/>
          <w:szCs w:val="32"/>
        </w:rPr>
        <w:t>决算数大于预算数。</w:t>
      </w:r>
    </w:p>
    <w:p w14:paraId="0E337E4E">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12</w:t>
      </w:r>
      <w:r>
        <w:rPr>
          <w:rFonts w:hint="eastAsia" w:ascii="仿宋_GB2312" w:hAnsi="宋体" w:eastAsia="仿宋_GB2312" w:cs="仿宋_GB2312"/>
          <w:color w:val="000000"/>
          <w:kern w:val="0"/>
          <w:szCs w:val="32"/>
        </w:rPr>
        <w:t>、自然资源海洋气象等支出（类）自然资源事务（款）其他自然资源事务支出（项）</w:t>
      </w:r>
    </w:p>
    <w:p w14:paraId="5D96B056">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 xml:space="preserve">  </w:t>
      </w:r>
      <w:r>
        <w:rPr>
          <w:rFonts w:hint="eastAsia" w:ascii="仿宋_GB2312" w:hAnsi="宋体" w:eastAsia="仿宋_GB2312" w:cs="仿宋_GB2312"/>
          <w:color w:val="000000"/>
          <w:kern w:val="0"/>
          <w:szCs w:val="32"/>
        </w:rPr>
        <w:t>其他自然资源事务支出支出年初预算为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，决算为</w:t>
      </w:r>
      <w:r>
        <w:rPr>
          <w:rFonts w:ascii="仿宋_GB2312" w:hAnsi="宋体" w:eastAsia="仿宋_GB2312" w:cs="仿宋_GB2312"/>
          <w:color w:val="000000"/>
          <w:kern w:val="0"/>
          <w:szCs w:val="32"/>
        </w:rPr>
        <w:t>51.65</w:t>
      </w:r>
      <w:r>
        <w:rPr>
          <w:rFonts w:hint="eastAsia" w:ascii="仿宋_GB2312" w:hAnsi="宋体" w:eastAsia="仿宋_GB2312" w:cs="仿宋_GB2312"/>
          <w:color w:val="000000"/>
          <w:kern w:val="0"/>
          <w:szCs w:val="32"/>
        </w:rPr>
        <w:t>万元，决算数大于预算数的主要原因是</w:t>
      </w:r>
      <w:r>
        <w:rPr>
          <w:rFonts w:hint="eastAsia" w:ascii="仿宋_GB2312" w:eastAsia="仿宋_GB2312"/>
          <w:szCs w:val="32"/>
        </w:rPr>
        <w:t>年初未此项支出</w:t>
      </w:r>
      <w:r>
        <w:rPr>
          <w:rFonts w:hint="eastAsia" w:ascii="仿宋_GB2312" w:hAnsi="宋体" w:eastAsia="仿宋_GB2312" w:cs="仿宋_GB2312"/>
          <w:kern w:val="0"/>
          <w:szCs w:val="32"/>
        </w:rPr>
        <w:t>、</w:t>
      </w:r>
      <w:r>
        <w:rPr>
          <w:rFonts w:hint="eastAsia" w:ascii="仿宋_GB2312" w:eastAsia="仿宋_GB2312"/>
          <w:szCs w:val="32"/>
        </w:rPr>
        <w:t>本年因工作需要追加预算导致</w:t>
      </w:r>
      <w:r>
        <w:rPr>
          <w:rFonts w:hint="eastAsia" w:ascii="仿宋_GB2312" w:hAnsi="宋体" w:eastAsia="仿宋_GB2312" w:cs="仿宋_GB2312"/>
          <w:color w:val="000000"/>
          <w:kern w:val="0"/>
          <w:szCs w:val="32"/>
        </w:rPr>
        <w:t>决算数大于预算数。</w:t>
      </w:r>
    </w:p>
    <w:p w14:paraId="6401C90E">
      <w:pPr>
        <w:widowControl/>
        <w:ind w:firstLine="320" w:firstLineChars="1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13</w:t>
      </w:r>
      <w:r>
        <w:rPr>
          <w:rFonts w:hint="eastAsia" w:ascii="仿宋_GB2312" w:hAnsi="宋体" w:eastAsia="仿宋_GB2312" w:cs="仿宋_GB2312"/>
          <w:color w:val="000000"/>
          <w:kern w:val="0"/>
          <w:szCs w:val="32"/>
        </w:rPr>
        <w:t>、灾害防治及应急管理支出（类）自然灾害防治（款）地质灾害防治（项）</w:t>
      </w:r>
    </w:p>
    <w:p w14:paraId="20755688">
      <w:pPr>
        <w:widowControl/>
        <w:ind w:firstLine="320" w:firstLineChars="1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地质灾害防治支出年初预算为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，决算为</w:t>
      </w:r>
      <w:r>
        <w:rPr>
          <w:rFonts w:ascii="仿宋_GB2312" w:hAnsi="宋体" w:eastAsia="仿宋_GB2312" w:cs="仿宋_GB2312"/>
          <w:color w:val="000000"/>
          <w:kern w:val="0"/>
          <w:szCs w:val="32"/>
        </w:rPr>
        <w:t>201.54</w:t>
      </w:r>
      <w:r>
        <w:rPr>
          <w:rFonts w:hint="eastAsia" w:ascii="仿宋_GB2312" w:hAnsi="宋体" w:eastAsia="仿宋_GB2312" w:cs="仿宋_GB2312"/>
          <w:color w:val="000000"/>
          <w:kern w:val="0"/>
          <w:szCs w:val="32"/>
        </w:rPr>
        <w:t>万元，决算数大于预算数的主要原因是</w:t>
      </w:r>
      <w:r>
        <w:rPr>
          <w:rFonts w:hint="eastAsia" w:ascii="仿宋_GB2312" w:eastAsia="仿宋_GB2312"/>
          <w:szCs w:val="32"/>
        </w:rPr>
        <w:t>年初未此项支出</w:t>
      </w:r>
      <w:r>
        <w:rPr>
          <w:rFonts w:hint="eastAsia" w:ascii="仿宋_GB2312" w:hAnsi="宋体" w:eastAsia="仿宋_GB2312" w:cs="仿宋_GB2312"/>
          <w:kern w:val="0"/>
          <w:szCs w:val="32"/>
        </w:rPr>
        <w:t>、</w:t>
      </w:r>
      <w:r>
        <w:rPr>
          <w:rFonts w:hint="eastAsia" w:ascii="仿宋_GB2312" w:eastAsia="仿宋_GB2312"/>
          <w:szCs w:val="32"/>
        </w:rPr>
        <w:t>本年因工作需要追加预算导致</w:t>
      </w:r>
      <w:r>
        <w:rPr>
          <w:rFonts w:hint="eastAsia" w:ascii="仿宋_GB2312" w:hAnsi="宋体" w:eastAsia="仿宋_GB2312" w:cs="仿宋_GB2312"/>
          <w:color w:val="000000"/>
          <w:kern w:val="0"/>
          <w:szCs w:val="32"/>
        </w:rPr>
        <w:t>决算数大于预算数。</w:t>
      </w:r>
    </w:p>
    <w:p w14:paraId="53DFCDBE">
      <w:pPr>
        <w:spacing w:line="360" w:lineRule="auto"/>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14:paraId="4D77A41F">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hint="eastAsia" w:ascii="仿宋_GB2312" w:hAnsi="仿宋_GB2312" w:eastAsia="仿宋_GB2312" w:cs="仿宋_GB2312"/>
          <w:color w:val="000000"/>
          <w:kern w:val="0"/>
          <w:sz w:val="31"/>
          <w:szCs w:val="31"/>
        </w:rPr>
        <w:t>一般公共预算财政拨款基本支出</w:t>
      </w:r>
      <w:r>
        <w:rPr>
          <w:rFonts w:ascii="仿宋_GB2312" w:hAnsi="仿宋_GB2312" w:eastAsia="仿宋_GB2312" w:cs="仿宋_GB2312"/>
          <w:color w:val="000000"/>
          <w:kern w:val="0"/>
          <w:sz w:val="31"/>
          <w:szCs w:val="31"/>
        </w:rPr>
        <w:t>1433.65</w:t>
      </w:r>
      <w:r>
        <w:rPr>
          <w:rFonts w:hint="eastAsia" w:ascii="仿宋_GB2312" w:hAnsi="仿宋_GB2312" w:eastAsia="仿宋_GB2312" w:cs="仿宋_GB2312"/>
          <w:color w:val="000000"/>
          <w:kern w:val="0"/>
          <w:sz w:val="31"/>
          <w:szCs w:val="31"/>
        </w:rPr>
        <w:t>万元，包括：人员经费支出</w:t>
      </w:r>
      <w:r>
        <w:rPr>
          <w:rFonts w:ascii="仿宋_GB2312" w:hAnsi="仿宋_GB2312" w:eastAsia="仿宋_GB2312" w:cs="仿宋_GB2312"/>
          <w:color w:val="000000"/>
          <w:kern w:val="0"/>
          <w:sz w:val="31"/>
          <w:szCs w:val="31"/>
        </w:rPr>
        <w:t>1392.77</w:t>
      </w:r>
      <w:r>
        <w:rPr>
          <w:rFonts w:hint="eastAsia" w:ascii="仿宋_GB2312" w:hAnsi="仿宋_GB2312" w:eastAsia="仿宋_GB2312" w:cs="仿宋_GB2312"/>
          <w:color w:val="000000"/>
          <w:kern w:val="0"/>
          <w:sz w:val="31"/>
          <w:szCs w:val="31"/>
        </w:rPr>
        <w:t>万元和公用经费支出</w:t>
      </w:r>
      <w:r>
        <w:rPr>
          <w:rFonts w:ascii="仿宋_GB2312" w:hAnsi="仿宋_GB2312" w:eastAsia="仿宋_GB2312" w:cs="仿宋_GB2312"/>
          <w:color w:val="000000"/>
          <w:kern w:val="0"/>
          <w:sz w:val="31"/>
          <w:szCs w:val="31"/>
        </w:rPr>
        <w:t>40.88</w:t>
      </w:r>
      <w:r>
        <w:rPr>
          <w:rFonts w:hint="eastAsia" w:ascii="仿宋_GB2312" w:hAnsi="仿宋_GB2312" w:eastAsia="仿宋_GB2312" w:cs="仿宋_GB2312"/>
          <w:color w:val="000000"/>
          <w:kern w:val="0"/>
          <w:sz w:val="31"/>
          <w:szCs w:val="31"/>
        </w:rPr>
        <w:t>万元。</w:t>
      </w:r>
    </w:p>
    <w:p w14:paraId="1D828393">
      <w:pPr>
        <w:widowControl/>
        <w:ind w:firstLine="643" w:firstLineChars="200"/>
        <w:jc w:val="left"/>
        <w:rPr>
          <w:rFonts w:ascii="仿宋_GB2312" w:hAnsi="宋体" w:eastAsia="仿宋_GB2312" w:cs="仿宋_GB2312"/>
          <w:color w:val="000000"/>
          <w:kern w:val="0"/>
          <w:szCs w:val="32"/>
        </w:rPr>
      </w:pPr>
      <w:r>
        <w:rPr>
          <w:rFonts w:hint="eastAsia" w:ascii="仿宋_GB2312" w:hAnsi="宋体" w:eastAsia="仿宋_GB2312" w:cs="仿宋_GB2312"/>
          <w:b/>
          <w:bCs/>
          <w:color w:val="000000"/>
          <w:kern w:val="0"/>
          <w:szCs w:val="32"/>
        </w:rPr>
        <w:t>人员经费</w:t>
      </w:r>
      <w:r>
        <w:rPr>
          <w:rFonts w:ascii="仿宋_GB2312" w:hAnsi="仿宋_GB2312" w:eastAsia="仿宋_GB2312" w:cs="仿宋_GB2312"/>
          <w:color w:val="000000"/>
          <w:kern w:val="0"/>
          <w:sz w:val="31"/>
          <w:szCs w:val="31"/>
        </w:rPr>
        <w:t>1392.77</w:t>
      </w:r>
      <w:r>
        <w:rPr>
          <w:rFonts w:hint="eastAsia" w:ascii="仿宋_GB2312" w:hAnsi="宋体" w:eastAsia="仿宋_GB2312" w:cs="仿宋_GB2312"/>
          <w:color w:val="000000"/>
          <w:kern w:val="0"/>
          <w:szCs w:val="32"/>
        </w:rPr>
        <w:t>万元，主要包括基本工资</w:t>
      </w:r>
      <w:r>
        <w:rPr>
          <w:rFonts w:ascii="仿宋_GB2312" w:hAnsi="宋体" w:eastAsia="仿宋_GB2312" w:cs="仿宋_GB2312"/>
          <w:color w:val="000000"/>
          <w:kern w:val="0"/>
          <w:szCs w:val="32"/>
        </w:rPr>
        <w:t>534.53</w:t>
      </w:r>
      <w:r>
        <w:rPr>
          <w:rFonts w:hint="eastAsia" w:ascii="仿宋_GB2312" w:hAnsi="宋体" w:eastAsia="仿宋_GB2312" w:cs="仿宋_GB2312"/>
          <w:color w:val="000000"/>
          <w:kern w:val="0"/>
          <w:szCs w:val="32"/>
        </w:rPr>
        <w:t>万元、津贴补贴</w:t>
      </w:r>
      <w:r>
        <w:rPr>
          <w:rFonts w:ascii="仿宋_GB2312" w:hAnsi="宋体" w:eastAsia="仿宋_GB2312" w:cs="仿宋_GB2312"/>
          <w:color w:val="000000"/>
          <w:kern w:val="0"/>
          <w:szCs w:val="32"/>
        </w:rPr>
        <w:t>249.82</w:t>
      </w:r>
      <w:r>
        <w:rPr>
          <w:rFonts w:hint="eastAsia" w:ascii="仿宋_GB2312" w:hAnsi="宋体" w:eastAsia="仿宋_GB2312" w:cs="仿宋_GB2312"/>
          <w:color w:val="000000"/>
          <w:kern w:val="0"/>
          <w:szCs w:val="32"/>
        </w:rPr>
        <w:t>万元、奖金</w:t>
      </w:r>
      <w:r>
        <w:rPr>
          <w:rFonts w:ascii="仿宋_GB2312" w:hAnsi="宋体" w:eastAsia="仿宋_GB2312" w:cs="仿宋_GB2312"/>
          <w:color w:val="000000"/>
          <w:kern w:val="0"/>
          <w:szCs w:val="32"/>
        </w:rPr>
        <w:t>11.67</w:t>
      </w:r>
      <w:r>
        <w:rPr>
          <w:rFonts w:hint="eastAsia" w:ascii="仿宋_GB2312" w:hAnsi="宋体" w:eastAsia="仿宋_GB2312" w:cs="仿宋_GB2312"/>
          <w:color w:val="000000"/>
          <w:kern w:val="0"/>
          <w:szCs w:val="32"/>
        </w:rPr>
        <w:t>万元、绩效工资</w:t>
      </w:r>
      <w:r>
        <w:rPr>
          <w:rFonts w:ascii="仿宋_GB2312" w:hAnsi="宋体" w:eastAsia="仿宋_GB2312" w:cs="仿宋_GB2312"/>
          <w:color w:val="000000"/>
          <w:kern w:val="0"/>
          <w:szCs w:val="32"/>
        </w:rPr>
        <w:t>398.77</w:t>
      </w:r>
      <w:r>
        <w:rPr>
          <w:rFonts w:hint="eastAsia" w:ascii="仿宋_GB2312" w:hAnsi="宋体" w:eastAsia="仿宋_GB2312" w:cs="仿宋_GB2312"/>
          <w:color w:val="000000"/>
          <w:kern w:val="0"/>
          <w:szCs w:val="32"/>
        </w:rPr>
        <w:t>万元、机关事业单位基本养老保险缴费</w:t>
      </w:r>
      <w:r>
        <w:rPr>
          <w:rFonts w:ascii="仿宋_GB2312" w:hAnsi="宋体" w:eastAsia="仿宋_GB2312" w:cs="仿宋_GB2312"/>
          <w:color w:val="000000"/>
          <w:kern w:val="0"/>
          <w:szCs w:val="32"/>
        </w:rPr>
        <w:t>156.68</w:t>
      </w:r>
      <w:r>
        <w:rPr>
          <w:rFonts w:hint="eastAsia" w:ascii="仿宋_GB2312" w:hAnsi="宋体" w:eastAsia="仿宋_GB2312" w:cs="仿宋_GB2312"/>
          <w:color w:val="000000"/>
          <w:kern w:val="0"/>
          <w:szCs w:val="32"/>
        </w:rPr>
        <w:t>万元、职业年金缴费</w:t>
      </w:r>
      <w:r>
        <w:rPr>
          <w:rFonts w:ascii="仿宋_GB2312" w:hAnsi="宋体" w:eastAsia="仿宋_GB2312" w:cs="仿宋_GB2312"/>
          <w:color w:val="000000"/>
          <w:kern w:val="0"/>
          <w:szCs w:val="32"/>
        </w:rPr>
        <w:t>0.79</w:t>
      </w:r>
      <w:r>
        <w:rPr>
          <w:rFonts w:hint="eastAsia" w:ascii="仿宋_GB2312" w:hAnsi="宋体" w:eastAsia="仿宋_GB2312" w:cs="仿宋_GB2312"/>
          <w:color w:val="000000"/>
          <w:kern w:val="0"/>
          <w:szCs w:val="32"/>
        </w:rPr>
        <w:t>万元、职工基本医疗保险缴费</w:t>
      </w:r>
      <w:r>
        <w:rPr>
          <w:rFonts w:ascii="仿宋_GB2312" w:hAnsi="宋体" w:eastAsia="仿宋_GB2312" w:cs="仿宋_GB2312"/>
          <w:color w:val="000000"/>
          <w:kern w:val="0"/>
          <w:szCs w:val="32"/>
        </w:rPr>
        <w:t>32.72</w:t>
      </w:r>
      <w:r>
        <w:rPr>
          <w:rFonts w:hint="eastAsia" w:ascii="仿宋_GB2312" w:hAnsi="宋体" w:eastAsia="仿宋_GB2312" w:cs="仿宋_GB2312"/>
          <w:color w:val="000000"/>
          <w:kern w:val="0"/>
          <w:szCs w:val="32"/>
        </w:rPr>
        <w:t>万元、公务员医疗补助缴费</w:t>
      </w:r>
      <w:r>
        <w:rPr>
          <w:rFonts w:ascii="仿宋_GB2312" w:hAnsi="宋体" w:eastAsia="仿宋_GB2312" w:cs="仿宋_GB2312"/>
          <w:color w:val="000000"/>
          <w:kern w:val="0"/>
          <w:szCs w:val="32"/>
        </w:rPr>
        <w:t>1.79</w:t>
      </w:r>
      <w:r>
        <w:rPr>
          <w:rFonts w:hint="eastAsia" w:ascii="仿宋_GB2312" w:hAnsi="宋体" w:eastAsia="仿宋_GB2312" w:cs="仿宋_GB2312"/>
          <w:color w:val="000000"/>
          <w:kern w:val="0"/>
          <w:szCs w:val="32"/>
        </w:rPr>
        <w:t>万元、其他社会保障缴费</w:t>
      </w:r>
      <w:r>
        <w:rPr>
          <w:rFonts w:ascii="仿宋_GB2312" w:hAnsi="宋体" w:eastAsia="仿宋_GB2312" w:cs="仿宋_GB2312"/>
          <w:color w:val="000000"/>
          <w:kern w:val="0"/>
          <w:szCs w:val="32"/>
        </w:rPr>
        <w:t>2.94</w:t>
      </w:r>
      <w:r>
        <w:rPr>
          <w:rFonts w:hint="eastAsia" w:ascii="仿宋_GB2312" w:hAnsi="宋体" w:eastAsia="仿宋_GB2312" w:cs="仿宋_GB2312"/>
          <w:color w:val="000000"/>
          <w:kern w:val="0"/>
          <w:szCs w:val="32"/>
        </w:rPr>
        <w:t>万元、生活补助</w:t>
      </w:r>
      <w:r>
        <w:rPr>
          <w:rFonts w:ascii="仿宋_GB2312" w:hAnsi="宋体" w:eastAsia="仿宋_GB2312" w:cs="仿宋_GB2312"/>
          <w:color w:val="000000"/>
          <w:kern w:val="0"/>
          <w:szCs w:val="32"/>
        </w:rPr>
        <w:t>3.06</w:t>
      </w:r>
      <w:r>
        <w:rPr>
          <w:rFonts w:hint="eastAsia" w:ascii="仿宋_GB2312" w:hAnsi="宋体" w:eastAsia="仿宋_GB2312" w:cs="仿宋_GB2312"/>
          <w:color w:val="000000"/>
          <w:kern w:val="0"/>
          <w:szCs w:val="32"/>
        </w:rPr>
        <w:t>万元。</w:t>
      </w:r>
    </w:p>
    <w:p w14:paraId="7967D3B0">
      <w:pPr>
        <w:widowControl/>
        <w:ind w:firstLine="643" w:firstLineChars="200"/>
        <w:jc w:val="left"/>
      </w:pPr>
      <w:r>
        <w:rPr>
          <w:rFonts w:hint="eastAsia" w:ascii="仿宋_GB2312" w:hAnsi="宋体" w:eastAsia="仿宋_GB2312" w:cs="仿宋_GB2312"/>
          <w:b/>
          <w:bCs/>
          <w:color w:val="000000"/>
          <w:kern w:val="0"/>
          <w:szCs w:val="32"/>
        </w:rPr>
        <w:t>公用经费</w:t>
      </w:r>
      <w:r>
        <w:rPr>
          <w:rFonts w:ascii="仿宋_GB2312" w:hAnsi="宋体" w:eastAsia="仿宋_GB2312" w:cs="仿宋_GB2312"/>
          <w:color w:val="000000"/>
          <w:kern w:val="0"/>
          <w:szCs w:val="32"/>
        </w:rPr>
        <w:t>40.88</w:t>
      </w:r>
      <w:r>
        <w:rPr>
          <w:rFonts w:hint="eastAsia" w:ascii="仿宋_GB2312" w:hAnsi="宋体" w:eastAsia="仿宋_GB2312" w:cs="仿宋_GB2312"/>
          <w:color w:val="000000"/>
          <w:kern w:val="0"/>
          <w:szCs w:val="32"/>
        </w:rPr>
        <w:t>万元，主要包括办公费</w:t>
      </w:r>
      <w:r>
        <w:rPr>
          <w:rFonts w:ascii="仿宋_GB2312" w:hAnsi="宋体" w:eastAsia="仿宋_GB2312" w:cs="仿宋_GB2312"/>
          <w:color w:val="000000"/>
          <w:kern w:val="0"/>
          <w:szCs w:val="32"/>
        </w:rPr>
        <w:t>14.4</w:t>
      </w:r>
      <w:r>
        <w:rPr>
          <w:rFonts w:hint="eastAsia" w:ascii="仿宋_GB2312" w:hAnsi="宋体" w:eastAsia="仿宋_GB2312" w:cs="仿宋_GB2312"/>
          <w:color w:val="000000"/>
          <w:kern w:val="0"/>
          <w:szCs w:val="32"/>
        </w:rPr>
        <w:t>万元、印刷费</w:t>
      </w:r>
      <w:r>
        <w:rPr>
          <w:rFonts w:ascii="仿宋_GB2312" w:hAnsi="宋体" w:eastAsia="仿宋_GB2312" w:cs="仿宋_GB2312"/>
          <w:color w:val="000000"/>
          <w:kern w:val="0"/>
          <w:szCs w:val="32"/>
        </w:rPr>
        <w:t>6.42</w:t>
      </w:r>
      <w:r>
        <w:rPr>
          <w:rFonts w:hint="eastAsia" w:ascii="仿宋_GB2312" w:hAnsi="宋体" w:eastAsia="仿宋_GB2312" w:cs="仿宋_GB2312"/>
          <w:color w:val="000000"/>
          <w:kern w:val="0"/>
          <w:szCs w:val="32"/>
        </w:rPr>
        <w:t>万元、水费</w:t>
      </w:r>
      <w:r>
        <w:rPr>
          <w:rFonts w:ascii="仿宋_GB2312" w:hAnsi="宋体" w:eastAsia="仿宋_GB2312" w:cs="仿宋_GB2312"/>
          <w:color w:val="000000"/>
          <w:kern w:val="0"/>
          <w:szCs w:val="32"/>
        </w:rPr>
        <w:t>1.5</w:t>
      </w:r>
      <w:r>
        <w:rPr>
          <w:rFonts w:hint="eastAsia" w:ascii="仿宋_GB2312" w:hAnsi="宋体" w:eastAsia="仿宋_GB2312" w:cs="仿宋_GB2312"/>
          <w:color w:val="000000"/>
          <w:kern w:val="0"/>
          <w:szCs w:val="32"/>
        </w:rPr>
        <w:t>万元、电费</w:t>
      </w:r>
      <w:r>
        <w:rPr>
          <w:rFonts w:ascii="仿宋_GB2312" w:hAnsi="宋体" w:eastAsia="仿宋_GB2312" w:cs="仿宋_GB2312"/>
          <w:color w:val="000000"/>
          <w:kern w:val="0"/>
          <w:szCs w:val="32"/>
        </w:rPr>
        <w:t>4.48</w:t>
      </w:r>
      <w:r>
        <w:rPr>
          <w:rFonts w:hint="eastAsia" w:ascii="仿宋_GB2312" w:hAnsi="宋体" w:eastAsia="仿宋_GB2312" w:cs="仿宋_GB2312"/>
          <w:color w:val="000000"/>
          <w:kern w:val="0"/>
          <w:szCs w:val="32"/>
        </w:rPr>
        <w:t>万元、</w:t>
      </w:r>
      <w:r>
        <w:rPr>
          <w:rFonts w:hint="eastAsia" w:ascii="宋体" w:hAnsi="宋体" w:eastAsia="宋体" w:cs="宋体"/>
          <w:color w:val="000000"/>
          <w:kern w:val="0"/>
          <w:szCs w:val="32"/>
        </w:rPr>
        <w:t>邮电费</w:t>
      </w:r>
      <w:r>
        <w:rPr>
          <w:rFonts w:ascii="宋体" w:hAnsi="宋体" w:eastAsia="宋体" w:cs="宋体"/>
          <w:color w:val="000000"/>
          <w:kern w:val="0"/>
          <w:szCs w:val="32"/>
        </w:rPr>
        <w:t>0.75</w:t>
      </w:r>
      <w:r>
        <w:rPr>
          <w:rFonts w:hint="eastAsia" w:ascii="宋体" w:hAnsi="宋体" w:eastAsia="宋体" w:cs="宋体"/>
          <w:color w:val="000000"/>
          <w:kern w:val="0"/>
          <w:szCs w:val="32"/>
        </w:rPr>
        <w:t>万元、差旅费</w:t>
      </w:r>
      <w:r>
        <w:rPr>
          <w:rFonts w:ascii="宋体" w:hAnsi="宋体" w:eastAsia="宋体" w:cs="宋体"/>
          <w:color w:val="000000"/>
          <w:kern w:val="0"/>
          <w:szCs w:val="32"/>
        </w:rPr>
        <w:t>1.06</w:t>
      </w:r>
      <w:r>
        <w:rPr>
          <w:rFonts w:hint="eastAsia" w:ascii="宋体" w:hAnsi="宋体" w:eastAsia="宋体" w:cs="宋体"/>
          <w:color w:val="000000"/>
          <w:kern w:val="0"/>
          <w:szCs w:val="32"/>
        </w:rPr>
        <w:t>万元、租赁费</w:t>
      </w:r>
      <w:r>
        <w:rPr>
          <w:rFonts w:ascii="宋体" w:hAnsi="宋体" w:eastAsia="宋体" w:cs="宋体"/>
          <w:color w:val="000000"/>
          <w:kern w:val="0"/>
          <w:szCs w:val="32"/>
        </w:rPr>
        <w:t>5.35</w:t>
      </w:r>
      <w:r>
        <w:rPr>
          <w:rFonts w:hint="eastAsia" w:ascii="宋体" w:hAnsi="宋体" w:eastAsia="宋体" w:cs="宋体"/>
          <w:color w:val="000000"/>
          <w:kern w:val="0"/>
          <w:szCs w:val="32"/>
        </w:rPr>
        <w:t>万元、劳务费</w:t>
      </w:r>
      <w:r>
        <w:rPr>
          <w:rFonts w:ascii="宋体" w:hAnsi="宋体" w:eastAsia="宋体" w:cs="宋体"/>
          <w:color w:val="000000"/>
          <w:kern w:val="0"/>
          <w:szCs w:val="32"/>
        </w:rPr>
        <w:t>6.93</w:t>
      </w:r>
      <w:r>
        <w:rPr>
          <w:rFonts w:hint="eastAsia" w:ascii="宋体" w:hAnsi="宋体" w:eastAsia="宋体" w:cs="宋体"/>
          <w:color w:val="000000"/>
          <w:kern w:val="0"/>
          <w:szCs w:val="32"/>
        </w:rPr>
        <w:t>万元</w:t>
      </w:r>
      <w:r>
        <w:rPr>
          <w:rFonts w:hint="eastAsia" w:ascii="仿宋_GB2312" w:hAnsi="宋体" w:eastAsia="仿宋_GB2312" w:cs="仿宋_GB2312"/>
          <w:color w:val="000000"/>
          <w:kern w:val="0"/>
          <w:szCs w:val="32"/>
        </w:rPr>
        <w:t>。</w:t>
      </w:r>
    </w:p>
    <w:p w14:paraId="41676C12">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14:paraId="6F80A35E">
      <w:pPr>
        <w:widowControl/>
        <w:ind w:firstLine="643" w:firstLineChars="200"/>
        <w:jc w:val="left"/>
      </w:pPr>
      <w:r>
        <w:rPr>
          <w:rFonts w:hint="eastAsia" w:ascii="楷体_GB2312" w:hAnsi="宋体" w:eastAsia="楷体_GB2312" w:cs="楷体_GB2312"/>
          <w:b/>
          <w:color w:val="000000"/>
          <w:kern w:val="0"/>
          <w:szCs w:val="32"/>
        </w:rPr>
        <w:t>（一）“三公”经费财政拨款支出决算总体情况说明。</w:t>
      </w:r>
      <w:r>
        <w:rPr>
          <w:rFonts w:ascii="楷体_GB2312" w:hAnsi="宋体" w:eastAsia="楷体_GB2312" w:cs="楷体_GB2312"/>
          <w:b/>
          <w:color w:val="000000"/>
          <w:kern w:val="0"/>
          <w:szCs w:val="32"/>
        </w:rPr>
        <w:t xml:space="preserve"> </w:t>
      </w:r>
    </w:p>
    <w:p w14:paraId="0B4E911C">
      <w:pPr>
        <w:widowControl/>
        <w:ind w:firstLine="640" w:firstLineChars="200"/>
        <w:jc w:val="left"/>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“三公”经费财政拨款支出预算为</w:t>
      </w:r>
      <w:r>
        <w:rPr>
          <w:rFonts w:ascii="仿宋_GB2312" w:hAnsi="宋体" w:eastAsia="仿宋_GB2312" w:cs="仿宋_GB2312"/>
          <w:color w:val="000000"/>
          <w:kern w:val="0"/>
          <w:szCs w:val="32"/>
        </w:rPr>
        <w:t>9.00</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9.00</w:t>
      </w:r>
      <w:r>
        <w:rPr>
          <w:rFonts w:hint="eastAsia" w:ascii="仿宋_GB2312" w:hAnsi="宋体" w:eastAsia="仿宋_GB2312" w:cs="仿宋_GB2312"/>
          <w:color w:val="000000"/>
          <w:kern w:val="0"/>
          <w:szCs w:val="32"/>
        </w:rPr>
        <w:t>万元，完成预算的</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。决算数较预算数无变化，主要原因是移民搬迁、大棚房整治下乡排查工作量增加。</w:t>
      </w:r>
    </w:p>
    <w:p w14:paraId="4FC5438B">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（二）“三公”经费财政拨款支出决算具体情况说明。</w:t>
      </w:r>
    </w:p>
    <w:p w14:paraId="0E2719C0">
      <w:pPr>
        <w:widowControl/>
        <w:ind w:firstLine="800" w:firstLineChars="25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drawing>
          <wp:inline distT="0" distB="0" distL="114300" distR="114300">
            <wp:extent cx="5080000" cy="3810000"/>
            <wp:effectExtent l="4445" t="4445" r="20955" b="1460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42C09A8">
      <w:pPr>
        <w:widowControl/>
        <w:ind w:firstLine="800" w:firstLineChars="250"/>
        <w:jc w:val="left"/>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“三公”经费财政拨款支出决算中，因公出国（境）费支出决算</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；公务用车购置费支出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hint="eastAsia" w:ascii="仿宋_GB2312" w:hAnsi="宋体" w:eastAsia="仿宋_GB2312" w:cs="仿宋_GB2312"/>
          <w:color w:val="000000"/>
          <w:kern w:val="0"/>
          <w:szCs w:val="32"/>
        </w:rPr>
        <w:t>费支出决算</w:t>
      </w:r>
      <w:r>
        <w:rPr>
          <w:rFonts w:ascii="仿宋_GB2312" w:hAnsi="宋体" w:eastAsia="仿宋_GB2312" w:cs="仿宋_GB2312"/>
          <w:color w:val="000000"/>
          <w:kern w:val="0"/>
          <w:szCs w:val="32"/>
        </w:rPr>
        <w:t>9.00</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；公务接待费支出决算</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万元，占</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。具体情况如下：</w:t>
      </w:r>
    </w:p>
    <w:p w14:paraId="7D3915E6">
      <w:pPr>
        <w:ind w:firstLine="643" w:firstLineChars="200"/>
        <w:rPr>
          <w:rFonts w:ascii="仿宋_GB2312" w:hAnsi="仿宋" w:eastAsia="仿宋_GB2312"/>
          <w:b/>
          <w:bCs/>
          <w:szCs w:val="32"/>
        </w:rPr>
      </w:pPr>
      <w:r>
        <w:rPr>
          <w:rFonts w:ascii="仿宋_GB2312" w:hAnsi="仿宋" w:eastAsia="仿宋_GB2312"/>
          <w:b/>
          <w:bCs/>
          <w:szCs w:val="32"/>
        </w:rPr>
        <w:t>1.</w:t>
      </w:r>
      <w:r>
        <w:rPr>
          <w:rFonts w:hint="eastAsia" w:ascii="仿宋_GB2312" w:hAnsi="仿宋" w:eastAsia="仿宋_GB2312"/>
          <w:b/>
          <w:bCs/>
          <w:szCs w:val="32"/>
        </w:rPr>
        <w:t>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14:paraId="49E3A9DA">
      <w:pPr>
        <w:widowControl/>
        <w:ind w:firstLine="640" w:firstLineChars="200"/>
        <w:jc w:val="left"/>
      </w:pPr>
      <w:r>
        <w:rPr>
          <w:rFonts w:ascii="仿宋_GB2312" w:hAnsi="仿宋" w:eastAsia="仿宋_GB2312"/>
          <w:szCs w:val="32"/>
        </w:rPr>
        <w:t>2019</w:t>
      </w:r>
      <w:r>
        <w:rPr>
          <w:rFonts w:hint="eastAsia" w:ascii="仿宋_GB2312" w:hAnsi="仿宋" w:eastAsia="仿宋_GB2312"/>
          <w:szCs w:val="32"/>
        </w:rPr>
        <w:t>年度因公出国（境）团组</w:t>
      </w:r>
      <w:r>
        <w:rPr>
          <w:rFonts w:ascii="仿宋_GB2312" w:hAnsi="仿宋_GB2312" w:eastAsia="仿宋_GB2312" w:cs="仿宋_GB2312"/>
          <w:szCs w:val="32"/>
        </w:rPr>
        <w:t>0</w:t>
      </w:r>
      <w:r>
        <w:rPr>
          <w:rFonts w:hint="eastAsia" w:ascii="仿宋_GB2312" w:hAnsi="仿宋_GB2312" w:eastAsia="仿宋_GB2312" w:cs="仿宋_GB2312"/>
          <w:szCs w:val="32"/>
        </w:rPr>
        <w:t>个，</w:t>
      </w:r>
      <w:r>
        <w:rPr>
          <w:rFonts w:ascii="仿宋_GB2312" w:hAnsi="仿宋_GB2312" w:eastAsia="仿宋_GB2312" w:cs="仿宋_GB2312"/>
          <w:szCs w:val="32"/>
        </w:rPr>
        <w:t>0</w:t>
      </w:r>
      <w:r>
        <w:rPr>
          <w:rFonts w:hint="eastAsia" w:ascii="仿宋_GB2312" w:hAnsi="仿宋_GB2312" w:eastAsia="仿宋_GB2312" w:cs="仿宋_GB2312"/>
          <w:szCs w:val="32"/>
        </w:rPr>
        <w:t>人次，</w:t>
      </w:r>
      <w:r>
        <w:rPr>
          <w:rFonts w:hint="eastAsia" w:ascii="仿宋_GB2312" w:hAnsi="宋体" w:eastAsia="仿宋_GB2312" w:cs="仿宋_GB2312"/>
          <w:color w:val="000000"/>
          <w:kern w:val="0"/>
          <w:szCs w:val="32"/>
        </w:rPr>
        <w:t>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w:t>
      </w:r>
      <w:r>
        <w:rPr>
          <w:rFonts w:ascii="仿宋_GB2312" w:hAnsi="仿宋_GB2312" w:eastAsia="仿宋_GB2312" w:cs="仿宋_GB2312"/>
          <w:szCs w:val="32"/>
        </w:rPr>
        <w:t>0</w:t>
      </w:r>
      <w:r>
        <w:rPr>
          <w:rFonts w:hint="eastAsia" w:ascii="仿宋_GB2312" w:hAnsi="仿宋_GB2312" w:eastAsia="仿宋_GB2312" w:cs="仿宋_GB2312"/>
          <w:szCs w:val="32"/>
        </w:rPr>
        <w:t>）</w:t>
      </w:r>
      <w:r>
        <w:rPr>
          <w:rFonts w:hint="eastAsia" w:ascii="仿宋_GB2312" w:hAnsi="宋体" w:eastAsia="仿宋_GB2312" w:cs="仿宋_GB2312"/>
          <w:color w:val="000000"/>
          <w:kern w:val="0"/>
          <w:szCs w:val="32"/>
        </w:rPr>
        <w:t>，完成预算的</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，决算数较预算数无变化，主要原因是未预算因公出国（境）支出。。</w:t>
      </w:r>
    </w:p>
    <w:p w14:paraId="2A9A1C01">
      <w:pPr>
        <w:ind w:firstLine="643" w:firstLineChars="200"/>
        <w:rPr>
          <w:rFonts w:ascii="仿宋_GB2312" w:hAnsi="仿宋" w:eastAsia="仿宋_GB2312"/>
          <w:b/>
          <w:bCs/>
          <w:szCs w:val="32"/>
        </w:rPr>
      </w:pPr>
      <w:r>
        <w:rPr>
          <w:rFonts w:ascii="仿宋_GB2312" w:hAnsi="仿宋" w:eastAsia="仿宋_GB2312"/>
          <w:b/>
          <w:bCs/>
          <w:szCs w:val="32"/>
        </w:rPr>
        <w:t>2.</w:t>
      </w:r>
      <w:r>
        <w:rPr>
          <w:rFonts w:hint="eastAsia" w:ascii="仿宋_GB2312" w:hAnsi="仿宋" w:eastAsia="仿宋_GB2312"/>
          <w:b/>
          <w:bCs/>
          <w:szCs w:val="32"/>
        </w:rPr>
        <w:t>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14:paraId="24C4BF4A">
      <w:pPr>
        <w:widowControl/>
        <w:ind w:firstLine="640" w:firstLineChars="200"/>
        <w:jc w:val="left"/>
      </w:pPr>
      <w:r>
        <w:rPr>
          <w:rFonts w:ascii="仿宋_GB2312" w:hAnsi="仿宋" w:eastAsia="仿宋_GB2312"/>
          <w:szCs w:val="32"/>
        </w:rPr>
        <w:t>2019</w:t>
      </w:r>
      <w:r>
        <w:rPr>
          <w:rFonts w:hint="eastAsia" w:ascii="仿宋_GB2312" w:hAnsi="仿宋" w:eastAsia="仿宋_GB2312"/>
          <w:szCs w:val="32"/>
        </w:rPr>
        <w:t>年度购置车辆</w:t>
      </w:r>
      <w:r>
        <w:rPr>
          <w:rFonts w:ascii="仿宋_GB2312" w:hAnsi="仿宋_GB2312" w:eastAsia="仿宋_GB2312" w:cs="仿宋_GB2312"/>
          <w:szCs w:val="32"/>
        </w:rPr>
        <w:t>0</w:t>
      </w:r>
      <w:r>
        <w:rPr>
          <w:rFonts w:hint="eastAsia" w:ascii="仿宋_GB2312" w:hAnsi="仿宋_GB2312" w:eastAsia="仿宋_GB2312" w:cs="仿宋_GB2312"/>
          <w:szCs w:val="32"/>
        </w:rPr>
        <w:t>台，</w:t>
      </w:r>
      <w:r>
        <w:rPr>
          <w:rFonts w:hint="eastAsia" w:ascii="仿宋_GB2312" w:hAnsi="宋体" w:eastAsia="仿宋_GB2312" w:cs="仿宋_GB2312"/>
          <w:color w:val="000000"/>
          <w:kern w:val="0"/>
          <w:szCs w:val="32"/>
        </w:rPr>
        <w:t>预算为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万元，完成预算的</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，决算数较预算数无变化，主要原因是未预算公务用车购置费支出。</w:t>
      </w:r>
    </w:p>
    <w:p w14:paraId="096AEB0A">
      <w:pPr>
        <w:ind w:firstLine="643" w:firstLineChars="200"/>
        <w:rPr>
          <w:rFonts w:ascii="仿宋_GB2312" w:hAnsi="仿宋" w:eastAsia="仿宋_GB2312"/>
          <w:b/>
          <w:bCs/>
          <w:szCs w:val="32"/>
        </w:rPr>
      </w:pPr>
      <w:r>
        <w:rPr>
          <w:rFonts w:ascii="仿宋_GB2312" w:hAnsi="仿宋" w:eastAsia="仿宋_GB2312"/>
          <w:b/>
          <w:bCs/>
          <w:szCs w:val="32"/>
        </w:rPr>
        <w:t>3.</w:t>
      </w:r>
      <w:r>
        <w:rPr>
          <w:rFonts w:hint="eastAsia" w:ascii="仿宋_GB2312" w:hAnsi="仿宋" w:eastAsia="仿宋_GB2312"/>
          <w:b/>
          <w:bCs/>
          <w:szCs w:val="32"/>
        </w:rPr>
        <w:t>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14:paraId="065FFFF5">
      <w:pPr>
        <w:widowControl/>
        <w:ind w:firstLine="640" w:firstLineChars="200"/>
        <w:jc w:val="left"/>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仿宋_GB2312" w:eastAsia="仿宋_GB2312" w:cs="仿宋_GB2312"/>
          <w:szCs w:val="32"/>
        </w:rPr>
        <w:t>公务用车运行维护费</w:t>
      </w:r>
      <w:r>
        <w:rPr>
          <w:rFonts w:hint="eastAsia" w:ascii="仿宋_GB2312" w:hAnsi="宋体" w:eastAsia="仿宋_GB2312" w:cs="仿宋_GB2312"/>
          <w:color w:val="000000"/>
          <w:kern w:val="0"/>
          <w:szCs w:val="32"/>
        </w:rPr>
        <w:t>预算为</w:t>
      </w:r>
      <w:r>
        <w:rPr>
          <w:rFonts w:ascii="仿宋_GB2312" w:hAnsi="宋体" w:eastAsia="仿宋_GB2312" w:cs="仿宋_GB2312"/>
          <w:color w:val="000000"/>
          <w:kern w:val="0"/>
          <w:szCs w:val="32"/>
        </w:rPr>
        <w:t>9</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9</w:t>
      </w:r>
      <w:r>
        <w:rPr>
          <w:rFonts w:hint="eastAsia" w:ascii="仿宋_GB2312" w:hAnsi="宋体" w:eastAsia="仿宋_GB2312" w:cs="仿宋_GB2312"/>
          <w:color w:val="000000"/>
          <w:kern w:val="0"/>
          <w:szCs w:val="32"/>
        </w:rPr>
        <w:t>万元，完成预算的</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，决算数较预算数无变化，主要原因是移民搬迁、大棚房整治下乡排查工作量增加。</w:t>
      </w:r>
    </w:p>
    <w:p w14:paraId="77C408CF">
      <w:pPr>
        <w:ind w:firstLine="643" w:firstLineChars="200"/>
        <w:rPr>
          <w:rFonts w:ascii="仿宋_GB2312" w:hAnsi="仿宋" w:eastAsia="仿宋_GB2312"/>
          <w:szCs w:val="32"/>
        </w:rPr>
      </w:pPr>
      <w:r>
        <w:rPr>
          <w:rFonts w:ascii="仿宋_GB2312" w:hAnsi="仿宋" w:eastAsia="仿宋_GB2312"/>
          <w:b/>
          <w:bCs/>
          <w:szCs w:val="32"/>
        </w:rPr>
        <w:t>4.</w:t>
      </w:r>
      <w:r>
        <w:rPr>
          <w:rFonts w:hint="eastAsia" w:ascii="仿宋_GB2312" w:hAnsi="仿宋" w:eastAsia="仿宋_GB2312"/>
          <w:b/>
          <w:bCs/>
          <w:szCs w:val="32"/>
        </w:rPr>
        <w:t>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14:paraId="4A704533">
      <w:pPr>
        <w:widowControl/>
        <w:ind w:firstLine="640" w:firstLineChars="200"/>
        <w:jc w:val="left"/>
        <w:rPr>
          <w:rFonts w:ascii="仿宋_GB2312" w:hAnsi="宋体" w:eastAsia="仿宋_GB2312" w:cs="仿宋_GB2312"/>
          <w:color w:val="000000"/>
          <w:kern w:val="0"/>
          <w:szCs w:val="32"/>
        </w:rPr>
      </w:pPr>
      <w:r>
        <w:rPr>
          <w:rFonts w:ascii="仿宋_GB2312" w:hAnsi="仿宋" w:eastAsia="仿宋_GB2312"/>
          <w:szCs w:val="32"/>
        </w:rPr>
        <w:t>2019</w:t>
      </w:r>
      <w:r>
        <w:rPr>
          <w:rFonts w:hint="eastAsia" w:ascii="仿宋_GB2312" w:hAnsi="仿宋" w:eastAsia="仿宋_GB2312"/>
          <w:szCs w:val="32"/>
        </w:rPr>
        <w:t>年度公务接待</w:t>
      </w:r>
      <w:r>
        <w:rPr>
          <w:rFonts w:ascii="仿宋_GB2312" w:hAnsi="仿宋_GB2312" w:eastAsia="仿宋_GB2312" w:cs="仿宋_GB2312"/>
          <w:szCs w:val="32"/>
        </w:rPr>
        <w:t>0</w:t>
      </w:r>
      <w:r>
        <w:rPr>
          <w:rFonts w:hint="eastAsia" w:ascii="仿宋_GB2312" w:hAnsi="仿宋_GB2312" w:eastAsia="仿宋_GB2312" w:cs="仿宋_GB2312"/>
          <w:szCs w:val="32"/>
        </w:rPr>
        <w:t>批次，</w:t>
      </w:r>
      <w:r>
        <w:rPr>
          <w:rFonts w:ascii="仿宋_GB2312" w:hAnsi="仿宋_GB2312" w:eastAsia="仿宋_GB2312" w:cs="仿宋_GB2312"/>
          <w:szCs w:val="32"/>
        </w:rPr>
        <w:t>0</w:t>
      </w:r>
      <w:r>
        <w:rPr>
          <w:rFonts w:hint="eastAsia" w:ascii="仿宋_GB2312" w:hAnsi="仿宋_GB2312" w:eastAsia="仿宋_GB2312" w:cs="仿宋_GB2312"/>
          <w:szCs w:val="32"/>
        </w:rPr>
        <w:t>人次，</w:t>
      </w:r>
      <w:r>
        <w:rPr>
          <w:rFonts w:hint="eastAsia" w:ascii="仿宋_GB2312" w:hAnsi="宋体" w:eastAsia="仿宋_GB2312" w:cs="仿宋_GB2312"/>
          <w:color w:val="000000"/>
          <w:kern w:val="0"/>
          <w:szCs w:val="32"/>
        </w:rPr>
        <w:t>预算为</w:t>
      </w:r>
      <w:r>
        <w:rPr>
          <w:rFonts w:ascii="仿宋_GB2312" w:hAnsi="宋体" w:eastAsia="仿宋_GB2312" w:cs="仿宋_GB2312"/>
          <w:color w:val="000000"/>
          <w:kern w:val="0"/>
          <w:szCs w:val="32"/>
        </w:rPr>
        <w:t>0.04</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万元，完成预算的</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，决算数较预算数减少</w:t>
      </w:r>
      <w:r>
        <w:rPr>
          <w:rFonts w:ascii="仿宋_GB2312" w:hAnsi="宋体" w:eastAsia="仿宋_GB2312" w:cs="仿宋_GB2312"/>
          <w:color w:val="000000"/>
          <w:kern w:val="0"/>
          <w:szCs w:val="32"/>
        </w:rPr>
        <w:t>0.04</w:t>
      </w:r>
      <w:r>
        <w:rPr>
          <w:rFonts w:hint="eastAsia" w:ascii="仿宋_GB2312" w:hAnsi="宋体" w:eastAsia="仿宋_GB2312" w:cs="仿宋_GB2312"/>
          <w:color w:val="000000"/>
          <w:kern w:val="0"/>
          <w:szCs w:val="32"/>
        </w:rPr>
        <w:t>万元，主要原因是严格执行中央八项规定。</w:t>
      </w:r>
    </w:p>
    <w:p w14:paraId="18CB1AB7">
      <w:pPr>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14:paraId="03C8258A">
      <w:pPr>
        <w:widowControl/>
        <w:ind w:firstLine="640" w:firstLineChars="200"/>
        <w:jc w:val="left"/>
        <w:rPr>
          <w:rFonts w:ascii="仿宋_GB2312" w:hAnsi="宋体" w:eastAsia="仿宋_GB2312" w:cs="仿宋_GB2312"/>
          <w:color w:val="000000"/>
          <w:kern w:val="0"/>
          <w:szCs w:val="32"/>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仿宋_GB2312" w:eastAsia="仿宋_GB2312" w:cs="仿宋_GB2312"/>
          <w:szCs w:val="32"/>
        </w:rPr>
        <w:t>培训费</w:t>
      </w:r>
      <w:r>
        <w:rPr>
          <w:rFonts w:hint="eastAsia" w:ascii="仿宋_GB2312" w:hAnsi="宋体" w:eastAsia="仿宋_GB2312" w:cs="仿宋_GB2312"/>
          <w:color w:val="000000"/>
          <w:kern w:val="0"/>
          <w:szCs w:val="32"/>
        </w:rPr>
        <w:t>预算为</w:t>
      </w:r>
      <w:r>
        <w:rPr>
          <w:rFonts w:ascii="仿宋_GB2312" w:hAnsi="宋体" w:eastAsia="仿宋_GB2312" w:cs="仿宋_GB2312"/>
          <w:color w:val="000000"/>
          <w:kern w:val="0"/>
          <w:szCs w:val="32"/>
        </w:rPr>
        <w:t>0.46</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万元，完成预算的</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，决算数较预算数减少</w:t>
      </w:r>
      <w:r>
        <w:rPr>
          <w:rFonts w:ascii="仿宋_GB2312" w:hAnsi="宋体" w:eastAsia="仿宋_GB2312" w:cs="仿宋_GB2312"/>
          <w:color w:val="000000"/>
          <w:kern w:val="0"/>
          <w:szCs w:val="32"/>
        </w:rPr>
        <w:t>0.46</w:t>
      </w:r>
      <w:r>
        <w:rPr>
          <w:rFonts w:hint="eastAsia" w:ascii="仿宋_GB2312" w:hAnsi="宋体" w:eastAsia="仿宋_GB2312" w:cs="仿宋_GB2312"/>
          <w:color w:val="000000"/>
          <w:kern w:val="0"/>
          <w:szCs w:val="32"/>
        </w:rPr>
        <w:t>万元，主要原因是严格执行中央八项规定。</w:t>
      </w:r>
    </w:p>
    <w:p w14:paraId="4D3FD13B">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14:paraId="3FF3EF16">
      <w:pPr>
        <w:widowControl/>
        <w:ind w:firstLine="640" w:firstLineChars="200"/>
        <w:jc w:val="left"/>
        <w:rPr>
          <w:rFonts w:ascii="仿宋_GB2312" w:hAnsi="宋体" w:eastAsia="仿宋_GB2312" w:cs="仿宋_GB2312"/>
          <w:color w:val="000000"/>
          <w:kern w:val="0"/>
          <w:szCs w:val="32"/>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仿宋_GB2312" w:eastAsia="仿宋_GB2312" w:cs="仿宋_GB2312"/>
          <w:szCs w:val="32"/>
        </w:rPr>
        <w:t>会议费</w:t>
      </w:r>
      <w:r>
        <w:rPr>
          <w:rFonts w:hint="eastAsia" w:ascii="仿宋_GB2312" w:hAnsi="宋体" w:eastAsia="仿宋_GB2312" w:cs="仿宋_GB2312"/>
          <w:color w:val="000000"/>
          <w:kern w:val="0"/>
          <w:szCs w:val="32"/>
        </w:rPr>
        <w:t>预算为</w:t>
      </w:r>
      <w:r>
        <w:rPr>
          <w:rFonts w:ascii="仿宋_GB2312" w:hAnsi="宋体" w:eastAsia="仿宋_GB2312" w:cs="仿宋_GB2312"/>
          <w:color w:val="000000"/>
          <w:kern w:val="0"/>
          <w:szCs w:val="32"/>
        </w:rPr>
        <w:t>0.45</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万元，完成预算的</w:t>
      </w:r>
      <w:r>
        <w:rPr>
          <w:rFonts w:ascii="仿宋_GB2312" w:hAnsi="宋体" w:eastAsia="仿宋_GB2312" w:cs="仿宋_GB2312"/>
          <w:color w:val="000000"/>
          <w:kern w:val="0"/>
          <w:szCs w:val="32"/>
        </w:rPr>
        <w:t>100%</w:t>
      </w:r>
      <w:r>
        <w:rPr>
          <w:rFonts w:hint="eastAsia" w:ascii="仿宋_GB2312" w:hAnsi="宋体" w:eastAsia="仿宋_GB2312" w:cs="仿宋_GB2312"/>
          <w:color w:val="000000"/>
          <w:kern w:val="0"/>
          <w:szCs w:val="32"/>
        </w:rPr>
        <w:t>，决算数较预算数减少</w:t>
      </w:r>
      <w:r>
        <w:rPr>
          <w:rFonts w:ascii="仿宋_GB2312" w:hAnsi="宋体" w:eastAsia="仿宋_GB2312" w:cs="仿宋_GB2312"/>
          <w:color w:val="000000"/>
          <w:kern w:val="0"/>
          <w:szCs w:val="32"/>
        </w:rPr>
        <w:t>0.45</w:t>
      </w:r>
      <w:r>
        <w:rPr>
          <w:rFonts w:hint="eastAsia" w:ascii="仿宋_GB2312" w:hAnsi="宋体" w:eastAsia="仿宋_GB2312" w:cs="仿宋_GB2312"/>
          <w:color w:val="000000"/>
          <w:kern w:val="0"/>
          <w:szCs w:val="32"/>
        </w:rPr>
        <w:t>万元，主要原因是严格执行中央八项规定。</w:t>
      </w:r>
    </w:p>
    <w:p w14:paraId="368F560C">
      <w:pPr>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14:paraId="79A29BAA">
      <w:pPr>
        <w:widowControl/>
        <w:shd w:val="clear" w:color="auto" w:fill="FFFFFF"/>
        <w:ind w:firstLine="480" w:firstLineChars="150"/>
        <w:jc w:val="left"/>
        <w:rPr>
          <w:rFonts w:ascii="仿宋_GB2312" w:hAnsi="微软雅黑" w:eastAsia="仿宋_GB2312" w:cs="宋体"/>
          <w:color w:val="3D3D3C"/>
          <w:kern w:val="0"/>
          <w:szCs w:val="32"/>
        </w:rPr>
      </w:pPr>
      <w:r>
        <w:rPr>
          <w:rFonts w:ascii="仿宋_GB2312" w:hAnsi="微软雅黑" w:eastAsia="仿宋_GB2312" w:cs="宋体"/>
          <w:color w:val="3D3D3C"/>
          <w:kern w:val="0"/>
          <w:szCs w:val="32"/>
        </w:rPr>
        <w:t>2019</w:t>
      </w:r>
      <w:r>
        <w:rPr>
          <w:rFonts w:hint="eastAsia" w:ascii="仿宋_GB2312" w:hAnsi="微软雅黑" w:eastAsia="仿宋_GB2312" w:cs="宋体"/>
          <w:color w:val="3D3D3C"/>
          <w:kern w:val="0"/>
          <w:szCs w:val="32"/>
        </w:rPr>
        <w:t>年政府性基金财政拨款</w:t>
      </w:r>
      <w:r>
        <w:rPr>
          <w:rFonts w:ascii="仿宋_GB2312" w:hAnsi="微软雅黑" w:eastAsia="仿宋_GB2312" w:cs="宋体"/>
          <w:color w:val="3D3D3C"/>
          <w:kern w:val="0"/>
          <w:szCs w:val="32"/>
        </w:rPr>
        <w:t>4160.59</w:t>
      </w:r>
      <w:r>
        <w:rPr>
          <w:rFonts w:hint="eastAsia" w:ascii="仿宋_GB2312" w:hAnsi="微软雅黑" w:eastAsia="仿宋_GB2312" w:cs="宋体"/>
          <w:color w:val="3D3D3C"/>
          <w:kern w:val="0"/>
          <w:szCs w:val="32"/>
        </w:rPr>
        <w:t>万元，支出</w:t>
      </w:r>
      <w:r>
        <w:rPr>
          <w:rFonts w:ascii="仿宋_GB2312" w:hAnsi="微软雅黑" w:eastAsia="仿宋_GB2312" w:cs="宋体"/>
          <w:color w:val="3D3D3C"/>
          <w:kern w:val="0"/>
          <w:szCs w:val="32"/>
        </w:rPr>
        <w:t>4160.59</w:t>
      </w:r>
      <w:r>
        <w:rPr>
          <w:rFonts w:hint="eastAsia" w:ascii="仿宋_GB2312" w:hAnsi="微软雅黑" w:eastAsia="仿宋_GB2312" w:cs="宋体"/>
          <w:color w:val="3D3D3C"/>
          <w:kern w:val="0"/>
          <w:szCs w:val="32"/>
        </w:rPr>
        <w:t>万元。</w:t>
      </w:r>
    </w:p>
    <w:p w14:paraId="2D51B651">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14:paraId="26408852">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本部门无国有资本经营决算拨款收支。</w:t>
      </w:r>
    </w:p>
    <w:p w14:paraId="22AC735D">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14:paraId="7AF5BC6C">
      <w:pPr>
        <w:widowControl/>
        <w:ind w:left="1616" w:leftChars="304" w:hanging="643" w:hanging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（一）预算绩效管理工作开展情况说明。</w:t>
      </w:r>
    </w:p>
    <w:p w14:paraId="3B36E198">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根据预算绩效管理要求，本部门组织对</w:t>
      </w:r>
      <w:r>
        <w:rPr>
          <w:rFonts w:ascii="仿宋_GB2312" w:hAnsi="仿宋_GB2312" w:eastAsia="仿宋_GB2312" w:cs="仿宋_GB2312"/>
          <w:szCs w:val="32"/>
        </w:rPr>
        <w:t>2019</w:t>
      </w:r>
      <w:r>
        <w:rPr>
          <w:rFonts w:hint="eastAsia" w:ascii="仿宋_GB2312" w:hAnsi="仿宋_GB2312" w:eastAsia="仿宋_GB2312" w:cs="仿宋_GB2312"/>
          <w:szCs w:val="32"/>
        </w:rPr>
        <w:t>年一般公共预算</w:t>
      </w:r>
      <w:r>
        <w:rPr>
          <w:rFonts w:ascii="仿宋_GB2312" w:hAnsi="仿宋_GB2312" w:eastAsia="仿宋_GB2312" w:cs="仿宋_GB2312"/>
          <w:szCs w:val="32"/>
        </w:rPr>
        <w:t>1</w:t>
      </w:r>
      <w:r>
        <w:rPr>
          <w:rFonts w:hint="eastAsia" w:ascii="仿宋_GB2312" w:hAnsi="仿宋_GB2312" w:eastAsia="仿宋_GB2312" w:cs="仿宋_GB2312"/>
          <w:szCs w:val="32"/>
        </w:rPr>
        <w:t>个项目支出开展了绩效自评，其中，一级项目</w:t>
      </w:r>
      <w:r>
        <w:rPr>
          <w:rFonts w:ascii="仿宋_GB2312" w:hAnsi="仿宋_GB2312" w:eastAsia="仿宋_GB2312" w:cs="仿宋_GB2312"/>
          <w:szCs w:val="32"/>
        </w:rPr>
        <w:t>0</w:t>
      </w:r>
      <w:r>
        <w:rPr>
          <w:rFonts w:hint="eastAsia" w:ascii="仿宋_GB2312" w:hAnsi="仿宋_GB2312" w:eastAsia="仿宋_GB2312" w:cs="仿宋_GB2312"/>
          <w:szCs w:val="32"/>
        </w:rPr>
        <w:t>个，二级项目</w:t>
      </w:r>
      <w:r>
        <w:rPr>
          <w:rFonts w:ascii="仿宋_GB2312" w:hAnsi="仿宋_GB2312" w:eastAsia="仿宋_GB2312" w:cs="仿宋_GB2312"/>
          <w:szCs w:val="32"/>
        </w:rPr>
        <w:t>2</w:t>
      </w:r>
      <w:r>
        <w:rPr>
          <w:rFonts w:hint="eastAsia" w:ascii="仿宋_GB2312" w:hAnsi="仿宋_GB2312" w:eastAsia="仿宋_GB2312" w:cs="仿宋_GB2312"/>
          <w:szCs w:val="32"/>
        </w:rPr>
        <w:t>个，共涉及资金</w:t>
      </w:r>
      <w:r>
        <w:rPr>
          <w:rFonts w:ascii="仿宋_GB2312" w:hAnsi="仿宋_GB2312" w:eastAsia="仿宋_GB2312" w:cs="仿宋_GB2312"/>
          <w:szCs w:val="32"/>
        </w:rPr>
        <w:t>2502.3</w:t>
      </w:r>
      <w:r>
        <w:rPr>
          <w:rFonts w:hint="eastAsia" w:ascii="仿宋_GB2312" w:hAnsi="仿宋_GB2312" w:eastAsia="仿宋_GB2312" w:cs="仿宋_GB2312"/>
          <w:szCs w:val="32"/>
        </w:rPr>
        <w:t>万元，占一般公共预算项目支出总额的</w:t>
      </w:r>
      <w:r>
        <w:rPr>
          <w:rFonts w:ascii="仿宋_GB2312" w:hAnsi="仿宋_GB2312" w:eastAsia="仿宋_GB2312" w:cs="仿宋_GB2312"/>
          <w:szCs w:val="32"/>
        </w:rPr>
        <w:t>21%</w:t>
      </w:r>
      <w:r>
        <w:rPr>
          <w:rFonts w:hint="eastAsia" w:ascii="仿宋_GB2312" w:hAnsi="仿宋_GB2312" w:eastAsia="仿宋_GB2312" w:cs="仿宋_GB2312"/>
          <w:szCs w:val="32"/>
        </w:rPr>
        <w:t>；</w:t>
      </w:r>
      <w:r>
        <w:rPr>
          <w:rFonts w:hint="eastAsia" w:ascii="仿宋_GB2312" w:hAnsi="仿宋_GB2312" w:eastAsia="仿宋_GB2312" w:cs="仿宋_GB2312"/>
          <w:color w:val="000000"/>
          <w:kern w:val="0"/>
          <w:sz w:val="31"/>
          <w:szCs w:val="31"/>
        </w:rPr>
        <w:t>组织对</w:t>
      </w:r>
      <w:r>
        <w:rPr>
          <w:rFonts w:ascii="仿宋_GB2312" w:hAnsi="仿宋_GB2312" w:eastAsia="仿宋_GB2312" w:cs="仿宋_GB2312"/>
          <w:color w:val="000000"/>
          <w:kern w:val="0"/>
          <w:sz w:val="31"/>
          <w:szCs w:val="31"/>
        </w:rPr>
        <w:t xml:space="preserve"> 2019</w:t>
      </w:r>
      <w:r>
        <w:rPr>
          <w:rFonts w:hint="eastAsia" w:ascii="仿宋_GB2312" w:hAnsi="仿宋_GB2312" w:eastAsia="仿宋_GB2312" w:cs="仿宋_GB2312"/>
          <w:color w:val="000000"/>
          <w:kern w:val="0"/>
          <w:sz w:val="31"/>
          <w:szCs w:val="31"/>
        </w:rPr>
        <w:t>年</w:t>
      </w:r>
      <w:r>
        <w:rPr>
          <w:rFonts w:hint="eastAsia" w:ascii="仿宋_GB2312" w:hAnsi="仿宋" w:eastAsia="仿宋_GB2312"/>
          <w:szCs w:val="32"/>
        </w:rPr>
        <w:t>度政府性</w:t>
      </w:r>
      <w:r>
        <w:rPr>
          <w:rFonts w:hint="eastAsia" w:ascii="仿宋_GB2312" w:hAnsi="仿宋_GB2312" w:eastAsia="仿宋_GB2312" w:cs="仿宋_GB2312"/>
          <w:szCs w:val="32"/>
        </w:rPr>
        <w:t>基金预算</w:t>
      </w:r>
      <w:r>
        <w:rPr>
          <w:rFonts w:ascii="仿宋_GB2312" w:hAnsi="仿宋_GB2312" w:eastAsia="仿宋_GB2312" w:cs="仿宋_GB2312"/>
          <w:szCs w:val="32"/>
        </w:rPr>
        <w:t>0</w:t>
      </w:r>
      <w:r>
        <w:rPr>
          <w:rFonts w:hint="eastAsia" w:ascii="仿宋_GB2312" w:hAnsi="仿宋_GB2312" w:eastAsia="仿宋_GB2312" w:cs="仿宋_GB2312"/>
          <w:szCs w:val="32"/>
        </w:rPr>
        <w:t>个项目支出开展了绩效自评</w:t>
      </w:r>
      <w:r>
        <w:rPr>
          <w:rFonts w:hint="eastAsia" w:ascii="仿宋_GB2312" w:hAnsi="仿宋_GB2312" w:eastAsia="仿宋_GB2312" w:cs="仿宋_GB2312"/>
          <w:color w:val="000000"/>
          <w:kern w:val="0"/>
          <w:sz w:val="31"/>
          <w:szCs w:val="31"/>
        </w:rPr>
        <w:t>，涉及项目</w:t>
      </w:r>
      <w:r>
        <w:rPr>
          <w:rFonts w:ascii="仿宋_GB2312" w:hAnsi="仿宋_GB2312" w:eastAsia="仿宋_GB2312" w:cs="仿宋_GB2312"/>
          <w:szCs w:val="32"/>
        </w:rPr>
        <w:t>0</w:t>
      </w:r>
      <w:r>
        <w:rPr>
          <w:rFonts w:hint="eastAsia" w:ascii="仿宋_GB2312" w:hAnsi="仿宋_GB2312" w:eastAsia="仿宋_GB2312" w:cs="仿宋_GB2312"/>
          <w:color w:val="000000"/>
          <w:kern w:val="0"/>
          <w:sz w:val="31"/>
          <w:szCs w:val="31"/>
        </w:rPr>
        <w:t>个，共涉及资金</w:t>
      </w:r>
      <w:r>
        <w:rPr>
          <w:rFonts w:ascii="仿宋_GB2312" w:hAnsi="仿宋_GB2312" w:eastAsia="仿宋_GB2312" w:cs="仿宋_GB2312"/>
          <w:color w:val="000000"/>
          <w:kern w:val="0"/>
          <w:sz w:val="31"/>
          <w:szCs w:val="31"/>
        </w:rPr>
        <w:t>0</w:t>
      </w:r>
      <w:r>
        <w:rPr>
          <w:rFonts w:hint="eastAsia" w:ascii="仿宋_GB2312" w:hAnsi="仿宋_GB2312" w:eastAsia="仿宋_GB2312" w:cs="仿宋_GB2312"/>
          <w:color w:val="000000"/>
          <w:kern w:val="0"/>
          <w:sz w:val="31"/>
          <w:szCs w:val="31"/>
        </w:rPr>
        <w:t>万元，占政府性基金预算项目支出总额的</w:t>
      </w:r>
      <w:r>
        <w:rPr>
          <w:rFonts w:ascii="仿宋_GB2312" w:hAnsi="仿宋_GB2312" w:eastAsia="仿宋_GB2312" w:cs="仿宋_GB2312"/>
          <w:color w:val="000000"/>
          <w:kern w:val="0"/>
          <w:sz w:val="31"/>
          <w:szCs w:val="31"/>
        </w:rPr>
        <w:t>0%</w:t>
      </w:r>
      <w:r>
        <w:rPr>
          <w:rFonts w:hint="eastAsia" w:ascii="仿宋_GB2312" w:hAnsi="仿宋_GB2312" w:eastAsia="仿宋_GB2312" w:cs="仿宋_GB2312"/>
          <w:color w:val="000000"/>
          <w:kern w:val="0"/>
          <w:sz w:val="31"/>
          <w:szCs w:val="31"/>
        </w:rPr>
        <w:t>。</w:t>
      </w:r>
    </w:p>
    <w:p w14:paraId="313C4A7C">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本部门组织对</w:t>
      </w:r>
      <w:r>
        <w:rPr>
          <w:rFonts w:ascii="仿宋_GB2312" w:hAnsi="仿宋_GB2312" w:eastAsia="仿宋_GB2312" w:cs="仿宋_GB2312"/>
          <w:szCs w:val="32"/>
        </w:rPr>
        <w:t>2019</w:t>
      </w:r>
      <w:r>
        <w:rPr>
          <w:rFonts w:hint="eastAsia" w:ascii="仿宋_GB2312" w:hAnsi="仿宋_GB2312" w:eastAsia="仿宋_GB2312" w:cs="仿宋_GB2312"/>
          <w:szCs w:val="32"/>
        </w:rPr>
        <w:t>年度部门整体进行了绩效自评，涉及资金</w:t>
      </w:r>
      <w:r>
        <w:rPr>
          <w:rFonts w:ascii="仿宋_GB2312" w:hAnsi="仿宋" w:eastAsia="仿宋_GB2312"/>
          <w:szCs w:val="32"/>
        </w:rPr>
        <w:t>13257.21</w:t>
      </w:r>
      <w:r>
        <w:rPr>
          <w:rFonts w:hint="eastAsia" w:ascii="仿宋_GB2312" w:hAnsi="仿宋_GB2312" w:eastAsia="仿宋_GB2312" w:cs="仿宋_GB2312"/>
          <w:szCs w:val="32"/>
        </w:rPr>
        <w:t>万元。</w:t>
      </w:r>
    </w:p>
    <w:p w14:paraId="412092A7">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（二）部门决算中项目绩效自评结果。</w:t>
      </w:r>
    </w:p>
    <w:p w14:paraId="4B362A9C">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根据年初设定的绩效目标，本部门</w:t>
      </w: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年度整体自评得分</w:t>
      </w:r>
      <w:r>
        <w:rPr>
          <w:rFonts w:ascii="仿宋_GB2312" w:hAnsi="仿宋_GB2312" w:eastAsia="仿宋_GB2312" w:cs="仿宋_GB2312"/>
          <w:color w:val="000000"/>
          <w:kern w:val="0"/>
          <w:sz w:val="31"/>
          <w:szCs w:val="31"/>
        </w:rPr>
        <w:t>90</w:t>
      </w:r>
      <w:r>
        <w:rPr>
          <w:rFonts w:hint="eastAsia" w:ascii="仿宋_GB2312" w:hAnsi="仿宋_GB2312" w:eastAsia="仿宋_GB2312" w:cs="仿宋_GB2312"/>
          <w:color w:val="000000"/>
          <w:kern w:val="0"/>
          <w:sz w:val="31"/>
          <w:szCs w:val="31"/>
        </w:rPr>
        <w:t>分。全年预算数</w:t>
      </w:r>
      <w:r>
        <w:rPr>
          <w:rFonts w:ascii="仿宋_GB2312" w:eastAsia="仿宋_GB2312"/>
          <w:szCs w:val="32"/>
        </w:rPr>
        <w:t>1359.51</w:t>
      </w:r>
      <w:r>
        <w:rPr>
          <w:rFonts w:hint="eastAsia" w:ascii="仿宋_GB2312" w:hAnsi="仿宋_GB2312" w:eastAsia="仿宋_GB2312" w:cs="仿宋_GB2312"/>
          <w:color w:val="000000"/>
          <w:kern w:val="0"/>
          <w:sz w:val="31"/>
          <w:szCs w:val="31"/>
        </w:rPr>
        <w:t>万元，执行数</w:t>
      </w:r>
      <w:r>
        <w:rPr>
          <w:rFonts w:ascii="仿宋_GB2312" w:hAnsi="宋体" w:eastAsia="仿宋_GB2312" w:cs="仿宋_GB2312"/>
          <w:color w:val="000000"/>
          <w:kern w:val="0"/>
          <w:szCs w:val="32"/>
        </w:rPr>
        <w:t>13257.21</w:t>
      </w:r>
      <w:r>
        <w:rPr>
          <w:rFonts w:hint="eastAsia" w:ascii="仿宋_GB2312" w:hAnsi="仿宋_GB2312" w:eastAsia="仿宋_GB2312" w:cs="仿宋_GB2312"/>
          <w:color w:val="000000"/>
          <w:kern w:val="0"/>
          <w:sz w:val="31"/>
          <w:szCs w:val="31"/>
        </w:rPr>
        <w:t>万元，完成预算的</w:t>
      </w:r>
      <w:r>
        <w:rPr>
          <w:rFonts w:ascii="仿宋_GB2312" w:hAnsi="仿宋_GB2312" w:eastAsia="仿宋_GB2312" w:cs="仿宋_GB2312"/>
          <w:color w:val="000000"/>
          <w:kern w:val="0"/>
          <w:sz w:val="31"/>
          <w:szCs w:val="31"/>
        </w:rPr>
        <w:t>975.15%</w:t>
      </w:r>
      <w:r>
        <w:rPr>
          <w:rFonts w:hint="eastAsia" w:ascii="仿宋_GB2312" w:hAnsi="仿宋_GB2312" w:eastAsia="仿宋_GB2312" w:cs="仿宋_GB2312"/>
          <w:color w:val="000000"/>
          <w:kern w:val="0"/>
          <w:sz w:val="31"/>
          <w:szCs w:val="31"/>
        </w:rPr>
        <w:t>。</w:t>
      </w:r>
    </w:p>
    <w:p w14:paraId="27C57593">
      <w:pPr>
        <w:widowControl/>
        <w:ind w:firstLine="643" w:firstLineChars="200"/>
        <w:jc w:val="left"/>
        <w:rPr>
          <w:rFonts w:ascii="楷体_GB2312" w:hAnsi="宋体" w:eastAsia="楷体_GB2312" w:cs="楷体_GB2312"/>
          <w:b/>
          <w:color w:val="000000"/>
          <w:kern w:val="0"/>
          <w:szCs w:val="32"/>
        </w:rPr>
      </w:pPr>
    </w:p>
    <w:p w14:paraId="3F5381AF">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 xml:space="preserve">  </w:t>
      </w:r>
    </w:p>
    <w:p w14:paraId="34250E24">
      <w:pPr>
        <w:widowControl/>
        <w:jc w:val="left"/>
        <w:rPr>
          <w:rFonts w:ascii="仿宋_GB2312" w:hAnsi="仿宋_GB2312" w:eastAsia="仿宋_GB2312" w:cs="仿宋_GB2312"/>
          <w:color w:val="000000"/>
          <w:kern w:val="0"/>
          <w:sz w:val="31"/>
          <w:szCs w:val="31"/>
        </w:rPr>
      </w:pPr>
      <w:bookmarkStart w:id="0" w:name="_MON_1662360123"/>
      <w:bookmarkEnd w:id="0"/>
      <w:r>
        <w:rPr>
          <w:rFonts w:ascii="仿宋_GB2312" w:hAnsi="仿宋_GB2312" w:eastAsia="仿宋_GB2312" w:cs="仿宋_GB2312"/>
          <w:color w:val="000000"/>
          <w:kern w:val="0"/>
          <w:sz w:val="31"/>
          <w:szCs w:val="31"/>
        </w:rPr>
        <w:drawing>
          <wp:inline distT="0" distB="0" distL="114300" distR="114300">
            <wp:extent cx="5622290" cy="8490585"/>
            <wp:effectExtent l="0" t="0" r="16510" b="5715"/>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1"/>
                    <a:stretch>
                      <a:fillRect/>
                    </a:stretch>
                  </pic:blipFill>
                  <pic:spPr>
                    <a:xfrm>
                      <a:off x="0" y="0"/>
                      <a:ext cx="5622290" cy="8490585"/>
                    </a:xfrm>
                    <a:prstGeom prst="rect">
                      <a:avLst/>
                    </a:prstGeom>
                    <a:noFill/>
                    <a:ln>
                      <a:noFill/>
                    </a:ln>
                  </pic:spPr>
                </pic:pic>
              </a:graphicData>
            </a:graphic>
          </wp:inline>
        </w:drawing>
      </w:r>
    </w:p>
    <w:p w14:paraId="57C21238">
      <w:pPr>
        <w:widowControl/>
        <w:jc w:val="left"/>
        <w:rPr>
          <w:rFonts w:ascii="仿宋_GB2312" w:hAnsi="仿宋_GB2312" w:eastAsia="仿宋_GB2312" w:cs="仿宋_GB2312"/>
          <w:color w:val="000000"/>
          <w:kern w:val="0"/>
          <w:sz w:val="31"/>
          <w:szCs w:val="31"/>
        </w:rPr>
        <w:sectPr>
          <w:pgSz w:w="11906" w:h="16838"/>
          <w:pgMar w:top="1440" w:right="1134" w:bottom="1361" w:left="1134" w:header="851" w:footer="992" w:gutter="0"/>
          <w:cols w:space="0" w:num="1"/>
          <w:docGrid w:type="lines" w:linePitch="312" w:charSpace="0"/>
        </w:sectPr>
      </w:pPr>
    </w:p>
    <w:tbl>
      <w:tblPr>
        <w:tblStyle w:val="6"/>
        <w:tblpPr w:leftFromText="180" w:rightFromText="180" w:vertAnchor="page" w:horzAnchor="page" w:tblpXSpec="center" w:tblpY="1381"/>
        <w:tblW w:w="14708" w:type="dxa"/>
        <w:tblInd w:w="0" w:type="dxa"/>
        <w:tblLayout w:type="fixed"/>
        <w:tblCellMar>
          <w:top w:w="0" w:type="dxa"/>
          <w:left w:w="108" w:type="dxa"/>
          <w:bottom w:w="0" w:type="dxa"/>
          <w:right w:w="108" w:type="dxa"/>
        </w:tblCellMar>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14:paraId="21ACDD8D">
        <w:tblPrEx>
          <w:tblCellMar>
            <w:top w:w="0" w:type="dxa"/>
            <w:left w:w="108" w:type="dxa"/>
            <w:bottom w:w="0" w:type="dxa"/>
            <w:right w:w="108" w:type="dxa"/>
          </w:tblCellMar>
        </w:tblPrEx>
        <w:trPr>
          <w:trHeight w:val="107" w:hRule="atLeast"/>
        </w:trPr>
        <w:tc>
          <w:tcPr>
            <w:tcW w:w="14708" w:type="dxa"/>
            <w:gridSpan w:val="18"/>
            <w:tcBorders>
              <w:top w:val="nil"/>
              <w:left w:val="nil"/>
              <w:bottom w:val="nil"/>
              <w:right w:val="nil"/>
            </w:tcBorders>
            <w:shd w:val="clear" w:color="auto" w:fill="auto"/>
            <w:vAlign w:val="center"/>
          </w:tcPr>
          <w:p w14:paraId="2F25D805">
            <w:pPr>
              <w:widowControl/>
              <w:jc w:val="center"/>
              <w:rPr>
                <w:rFonts w:ascii="黑体" w:hAnsi="黑体" w:eastAsia="黑体" w:cs="宋体"/>
                <w:kern w:val="0"/>
                <w:sz w:val="40"/>
                <w:szCs w:val="40"/>
              </w:rPr>
            </w:pPr>
            <w:bookmarkStart w:id="1" w:name="_MON_1662361913"/>
            <w:bookmarkEnd w:id="1"/>
            <w:r>
              <w:rPr>
                <w:rFonts w:hint="eastAsia" w:ascii="黑体" w:hAnsi="黑体" w:eastAsia="黑体" w:cs="宋体"/>
                <w:kern w:val="0"/>
                <w:sz w:val="40"/>
                <w:szCs w:val="40"/>
              </w:rPr>
              <w:t>部门整体支出绩效自评表</w:t>
            </w:r>
            <w:r>
              <w:rPr>
                <w:rFonts w:hint="eastAsia" w:ascii="黑体" w:hAnsi="黑体" w:eastAsia="黑体" w:cs="宋体"/>
                <w:kern w:val="0"/>
                <w:sz w:val="40"/>
                <w:szCs w:val="40"/>
              </w:rPr>
              <w:br w:type="textWrapping"/>
            </w:r>
            <w:r>
              <w:rPr>
                <w:rFonts w:hint="eastAsia" w:ascii="黑体" w:hAnsi="黑体" w:eastAsia="黑体" w:cs="宋体"/>
                <w:kern w:val="0"/>
                <w:sz w:val="20"/>
              </w:rPr>
              <w:t>（2019年度）</w:t>
            </w:r>
          </w:p>
        </w:tc>
      </w:tr>
      <w:tr w14:paraId="0351150C">
        <w:tblPrEx>
          <w:tblCellMar>
            <w:top w:w="0" w:type="dxa"/>
            <w:left w:w="108" w:type="dxa"/>
            <w:bottom w:w="0" w:type="dxa"/>
            <w:right w:w="108" w:type="dxa"/>
          </w:tblCellMar>
        </w:tblPrEx>
        <w:trPr>
          <w:trHeight w:val="203" w:hRule="atLeast"/>
        </w:trPr>
        <w:tc>
          <w:tcPr>
            <w:tcW w:w="5469" w:type="dxa"/>
            <w:gridSpan w:val="5"/>
            <w:tcBorders>
              <w:top w:val="nil"/>
              <w:left w:val="nil"/>
              <w:bottom w:val="nil"/>
              <w:right w:val="nil"/>
            </w:tcBorders>
            <w:shd w:val="clear" w:color="auto" w:fill="auto"/>
            <w:vAlign w:val="center"/>
          </w:tcPr>
          <w:p w14:paraId="3AFF72EB">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填报单位:蓝田县自然资源和规划局</w:t>
            </w:r>
          </w:p>
        </w:tc>
        <w:tc>
          <w:tcPr>
            <w:tcW w:w="2579" w:type="dxa"/>
            <w:tcBorders>
              <w:top w:val="nil"/>
              <w:left w:val="nil"/>
              <w:bottom w:val="nil"/>
              <w:right w:val="nil"/>
            </w:tcBorders>
            <w:shd w:val="clear" w:color="auto" w:fill="auto"/>
            <w:vAlign w:val="center"/>
          </w:tcPr>
          <w:p w14:paraId="18EDD96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自评得分：90</w:t>
            </w:r>
          </w:p>
        </w:tc>
        <w:tc>
          <w:tcPr>
            <w:tcW w:w="1096" w:type="dxa"/>
            <w:gridSpan w:val="2"/>
            <w:tcBorders>
              <w:top w:val="nil"/>
              <w:left w:val="nil"/>
              <w:bottom w:val="nil"/>
              <w:right w:val="nil"/>
            </w:tcBorders>
            <w:shd w:val="clear" w:color="auto" w:fill="auto"/>
            <w:vAlign w:val="center"/>
          </w:tcPr>
          <w:p w14:paraId="4C573C99">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14:paraId="4615E84A">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14:paraId="588740CA">
            <w:pPr>
              <w:widowControl/>
              <w:jc w:val="center"/>
              <w:rPr>
                <w:rFonts w:ascii="仿宋_GB2312" w:hAnsi="宋体" w:eastAsia="仿宋_GB2312" w:cs="宋体"/>
                <w:kern w:val="0"/>
                <w:sz w:val="24"/>
                <w:szCs w:val="24"/>
              </w:rPr>
            </w:pPr>
          </w:p>
        </w:tc>
        <w:tc>
          <w:tcPr>
            <w:tcW w:w="598" w:type="dxa"/>
            <w:gridSpan w:val="2"/>
            <w:tcBorders>
              <w:top w:val="nil"/>
              <w:left w:val="nil"/>
              <w:bottom w:val="nil"/>
              <w:right w:val="nil"/>
            </w:tcBorders>
            <w:shd w:val="clear" w:color="auto" w:fill="auto"/>
            <w:vAlign w:val="center"/>
          </w:tcPr>
          <w:p w14:paraId="7887B81A">
            <w:pPr>
              <w:widowControl/>
              <w:jc w:val="center"/>
              <w:rPr>
                <w:rFonts w:ascii="仿宋_GB2312" w:hAnsi="宋体" w:eastAsia="仿宋_GB2312" w:cs="宋体"/>
                <w:kern w:val="0"/>
                <w:sz w:val="24"/>
                <w:szCs w:val="24"/>
              </w:rPr>
            </w:pPr>
          </w:p>
        </w:tc>
        <w:tc>
          <w:tcPr>
            <w:tcW w:w="1636" w:type="dxa"/>
            <w:gridSpan w:val="2"/>
            <w:tcBorders>
              <w:top w:val="nil"/>
              <w:left w:val="nil"/>
              <w:bottom w:val="nil"/>
              <w:right w:val="nil"/>
            </w:tcBorders>
            <w:shd w:val="clear" w:color="auto" w:fill="auto"/>
            <w:noWrap/>
            <w:vAlign w:val="center"/>
          </w:tcPr>
          <w:p w14:paraId="5648E8A8">
            <w:pPr>
              <w:widowControl/>
              <w:jc w:val="center"/>
              <w:rPr>
                <w:rFonts w:ascii="宋体" w:hAnsi="宋体" w:eastAsia="宋体" w:cs="宋体"/>
                <w:kern w:val="0"/>
                <w:sz w:val="24"/>
                <w:szCs w:val="24"/>
              </w:rPr>
            </w:pPr>
          </w:p>
        </w:tc>
        <w:tc>
          <w:tcPr>
            <w:tcW w:w="1658" w:type="dxa"/>
            <w:gridSpan w:val="2"/>
            <w:tcBorders>
              <w:top w:val="nil"/>
              <w:left w:val="nil"/>
              <w:bottom w:val="nil"/>
              <w:right w:val="nil"/>
            </w:tcBorders>
            <w:shd w:val="clear" w:color="auto" w:fill="auto"/>
            <w:noWrap/>
            <w:vAlign w:val="center"/>
          </w:tcPr>
          <w:p w14:paraId="0B2C423C">
            <w:pPr>
              <w:widowControl/>
              <w:jc w:val="left"/>
              <w:rPr>
                <w:rFonts w:ascii="宋体" w:hAnsi="宋体" w:eastAsia="宋体" w:cs="宋体"/>
                <w:kern w:val="0"/>
                <w:sz w:val="24"/>
                <w:szCs w:val="24"/>
              </w:rPr>
            </w:pPr>
          </w:p>
        </w:tc>
      </w:tr>
      <w:tr w14:paraId="53153604">
        <w:tblPrEx>
          <w:tblCellMar>
            <w:top w:w="0" w:type="dxa"/>
            <w:left w:w="108" w:type="dxa"/>
            <w:bottom w:w="0" w:type="dxa"/>
            <w:right w:w="108" w:type="dxa"/>
          </w:tblCellMar>
        </w:tblPrEx>
        <w:trPr>
          <w:trHeight w:val="451"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260259F4">
            <w:pPr>
              <w:widowControl/>
              <w:jc w:val="left"/>
              <w:rPr>
                <w:rFonts w:ascii="仿宋_GB2312" w:hAnsi="宋体" w:eastAsia="仿宋_GB2312" w:cs="宋体"/>
                <w:kern w:val="0"/>
                <w:sz w:val="20"/>
              </w:rPr>
            </w:pPr>
            <w:r>
              <w:rPr>
                <w:rFonts w:hint="eastAsia" w:ascii="仿宋_GB2312" w:hAnsi="宋体" w:eastAsia="仿宋_GB2312" w:cs="宋体"/>
                <w:kern w:val="0"/>
                <w:sz w:val="20"/>
              </w:rPr>
              <w:t>（一）简要概述部门职能与职责。</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14:paraId="797CE0B9">
            <w:pPr>
              <w:widowControl/>
              <w:jc w:val="left"/>
              <w:rPr>
                <w:rFonts w:ascii="仿宋_GB2312" w:hAnsi="宋体" w:eastAsia="仿宋_GB2312" w:cs="宋体"/>
                <w:kern w:val="0"/>
                <w:sz w:val="20"/>
              </w:rPr>
            </w:pPr>
            <w:r>
              <w:rPr>
                <w:rFonts w:hint="eastAsia" w:ascii="仿宋_GB2312" w:hAnsi="宋体" w:eastAsia="仿宋_GB2312" w:cs="宋体"/>
                <w:kern w:val="0"/>
                <w:sz w:val="20"/>
              </w:rPr>
              <w:t>蓝田县自然资源和规划局负责全县土地资源与矿产的统一规划、管理、保护、和合理利用。</w:t>
            </w:r>
          </w:p>
        </w:tc>
      </w:tr>
      <w:tr w14:paraId="3CB34F46">
        <w:tblPrEx>
          <w:tblCellMar>
            <w:top w:w="0" w:type="dxa"/>
            <w:left w:w="108" w:type="dxa"/>
            <w:bottom w:w="0" w:type="dxa"/>
            <w:right w:w="108" w:type="dxa"/>
          </w:tblCellMar>
        </w:tblPrEx>
        <w:trPr>
          <w:trHeight w:val="530"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011366B">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（二）简要概述部门支出情况，按活动内容分类。</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14:paraId="7229C94D">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2019年度支出合计13257.21万元，其中：基本支出1433.651万元，占10.81%；项目支出11823.56万元，占89.19%。</w:t>
            </w:r>
          </w:p>
        </w:tc>
      </w:tr>
      <w:tr w14:paraId="6FF22D2E">
        <w:tblPrEx>
          <w:tblCellMar>
            <w:top w:w="0" w:type="dxa"/>
            <w:left w:w="108" w:type="dxa"/>
            <w:bottom w:w="0" w:type="dxa"/>
            <w:right w:w="108" w:type="dxa"/>
          </w:tblCellMar>
        </w:tblPrEx>
        <w:trPr>
          <w:trHeight w:val="87"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8618FC4">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（三）简要概述当年市委市政府下达的重点工作。</w:t>
            </w:r>
          </w:p>
        </w:tc>
        <w:tc>
          <w:tcPr>
            <w:tcW w:w="9239" w:type="dxa"/>
            <w:gridSpan w:val="13"/>
            <w:tcBorders>
              <w:top w:val="single" w:color="auto" w:sz="4" w:space="0"/>
              <w:left w:val="nil"/>
              <w:bottom w:val="single" w:color="auto" w:sz="4" w:space="0"/>
              <w:right w:val="single" w:color="000000" w:sz="4" w:space="0"/>
            </w:tcBorders>
            <w:shd w:val="clear" w:color="auto" w:fill="auto"/>
            <w:vAlign w:val="center"/>
          </w:tcPr>
          <w:p w14:paraId="13B57883">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一是聚焦规划引领；二是聚焦服务保障；三是聚焦生态保护；四是聚焦节约集约；五是聚焦执法监察；六是聚焦全面从严治党。</w:t>
            </w:r>
          </w:p>
        </w:tc>
      </w:tr>
      <w:tr w14:paraId="1AC92A1C">
        <w:tblPrEx>
          <w:tblCellMar>
            <w:top w:w="0" w:type="dxa"/>
            <w:left w:w="108" w:type="dxa"/>
            <w:bottom w:w="0" w:type="dxa"/>
            <w:right w:w="108" w:type="dxa"/>
          </w:tblCellMar>
        </w:tblPrEx>
        <w:trPr>
          <w:trHeight w:val="124" w:hRule="atLeast"/>
        </w:trPr>
        <w:tc>
          <w:tcPr>
            <w:tcW w:w="541" w:type="dxa"/>
            <w:tcBorders>
              <w:top w:val="nil"/>
              <w:left w:val="single" w:color="auto" w:sz="4" w:space="0"/>
              <w:bottom w:val="single" w:color="auto" w:sz="4" w:space="0"/>
              <w:right w:val="single" w:color="auto" w:sz="4" w:space="0"/>
            </w:tcBorders>
            <w:shd w:val="clear" w:color="auto" w:fill="auto"/>
            <w:vAlign w:val="center"/>
          </w:tcPr>
          <w:p w14:paraId="2BBBD630">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nil"/>
              <w:left w:val="nil"/>
              <w:bottom w:val="single" w:color="auto" w:sz="4" w:space="0"/>
              <w:right w:val="single" w:color="auto" w:sz="4" w:space="0"/>
            </w:tcBorders>
            <w:shd w:val="clear" w:color="auto" w:fill="auto"/>
            <w:vAlign w:val="center"/>
          </w:tcPr>
          <w:p w14:paraId="2EC08FCA">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nil"/>
              <w:left w:val="nil"/>
              <w:bottom w:val="single" w:color="auto" w:sz="4" w:space="0"/>
              <w:right w:val="single" w:color="auto" w:sz="4" w:space="0"/>
            </w:tcBorders>
            <w:shd w:val="clear" w:color="auto" w:fill="auto"/>
            <w:vAlign w:val="center"/>
          </w:tcPr>
          <w:p w14:paraId="3D68DF87">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nil"/>
              <w:left w:val="nil"/>
              <w:bottom w:val="single" w:color="auto" w:sz="4" w:space="0"/>
              <w:right w:val="single" w:color="auto" w:sz="4" w:space="0"/>
            </w:tcBorders>
            <w:shd w:val="clear" w:color="auto" w:fill="auto"/>
            <w:vAlign w:val="center"/>
          </w:tcPr>
          <w:p w14:paraId="7A23B924">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nil"/>
              <w:left w:val="nil"/>
              <w:bottom w:val="single" w:color="auto" w:sz="4" w:space="0"/>
              <w:right w:val="single" w:color="auto" w:sz="4" w:space="0"/>
            </w:tcBorders>
            <w:shd w:val="clear" w:color="auto" w:fill="auto"/>
            <w:vAlign w:val="center"/>
          </w:tcPr>
          <w:p w14:paraId="54BFC406">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nil"/>
              <w:left w:val="nil"/>
              <w:bottom w:val="single" w:color="auto" w:sz="4" w:space="0"/>
              <w:right w:val="single" w:color="auto" w:sz="4" w:space="0"/>
            </w:tcBorders>
            <w:shd w:val="clear" w:color="auto" w:fill="auto"/>
            <w:vAlign w:val="center"/>
          </w:tcPr>
          <w:p w14:paraId="3C58E6AE">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nil"/>
              <w:left w:val="nil"/>
              <w:bottom w:val="single" w:color="auto" w:sz="4" w:space="0"/>
              <w:right w:val="single" w:color="auto" w:sz="4" w:space="0"/>
            </w:tcBorders>
            <w:shd w:val="clear" w:color="auto" w:fill="auto"/>
            <w:vAlign w:val="center"/>
          </w:tcPr>
          <w:p w14:paraId="437D7646">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nil"/>
              <w:left w:val="nil"/>
              <w:bottom w:val="single" w:color="auto" w:sz="4" w:space="0"/>
              <w:right w:val="single" w:color="auto" w:sz="4" w:space="0"/>
            </w:tcBorders>
            <w:shd w:val="clear" w:color="auto" w:fill="auto"/>
            <w:vAlign w:val="center"/>
          </w:tcPr>
          <w:p w14:paraId="4890F58F">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nil"/>
              <w:left w:val="nil"/>
              <w:bottom w:val="single" w:color="auto" w:sz="4" w:space="0"/>
              <w:right w:val="single" w:color="auto" w:sz="4" w:space="0"/>
            </w:tcBorders>
            <w:shd w:val="clear" w:color="auto" w:fill="auto"/>
            <w:vAlign w:val="center"/>
          </w:tcPr>
          <w:p w14:paraId="50EF2ECF">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nil"/>
              <w:left w:val="nil"/>
              <w:bottom w:val="single" w:color="auto" w:sz="4" w:space="0"/>
              <w:right w:val="single" w:color="auto" w:sz="4" w:space="0"/>
            </w:tcBorders>
            <w:shd w:val="clear" w:color="auto" w:fill="auto"/>
            <w:vAlign w:val="center"/>
          </w:tcPr>
          <w:p w14:paraId="0F2CE3C1">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nil"/>
              <w:left w:val="nil"/>
              <w:bottom w:val="single" w:color="auto" w:sz="4" w:space="0"/>
              <w:right w:val="single" w:color="auto" w:sz="4" w:space="0"/>
            </w:tcBorders>
            <w:shd w:val="clear" w:color="auto" w:fill="auto"/>
            <w:vAlign w:val="center"/>
          </w:tcPr>
          <w:p w14:paraId="49465D7E">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nil"/>
              <w:left w:val="nil"/>
              <w:bottom w:val="single" w:color="auto" w:sz="4" w:space="0"/>
              <w:right w:val="single" w:color="auto" w:sz="4" w:space="0"/>
            </w:tcBorders>
            <w:shd w:val="clear" w:color="auto" w:fill="auto"/>
            <w:vAlign w:val="center"/>
          </w:tcPr>
          <w:p w14:paraId="1E9A6271">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370AA944">
        <w:tblPrEx>
          <w:tblCellMar>
            <w:top w:w="0" w:type="dxa"/>
            <w:left w:w="108" w:type="dxa"/>
            <w:bottom w:w="0" w:type="dxa"/>
            <w:right w:w="108" w:type="dxa"/>
          </w:tblCellMar>
        </w:tblPrEx>
        <w:trPr>
          <w:trHeight w:val="335"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1BCE0707">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14:paraId="7F02EBE7">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14:paraId="2202EB63">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完成率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（10分）</w:t>
            </w:r>
          </w:p>
        </w:tc>
        <w:tc>
          <w:tcPr>
            <w:tcW w:w="360" w:type="dxa"/>
            <w:tcBorders>
              <w:top w:val="nil"/>
              <w:left w:val="nil"/>
              <w:bottom w:val="single" w:color="auto" w:sz="4" w:space="0"/>
              <w:right w:val="single" w:color="auto" w:sz="4" w:space="0"/>
            </w:tcBorders>
            <w:shd w:val="clear" w:color="auto" w:fill="auto"/>
            <w:vAlign w:val="center"/>
          </w:tcPr>
          <w:p w14:paraId="1E5C70D2">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3251" w:type="dxa"/>
            <w:tcBorders>
              <w:top w:val="nil"/>
              <w:left w:val="nil"/>
              <w:bottom w:val="single" w:color="auto" w:sz="4" w:space="0"/>
              <w:right w:val="single" w:color="auto" w:sz="4" w:space="0"/>
            </w:tcBorders>
            <w:shd w:val="clear" w:color="auto" w:fill="auto"/>
            <w:vAlign w:val="center"/>
          </w:tcPr>
          <w:p w14:paraId="0728C362">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预算完成率=（预算完成数/预算数）×100%，用以反映和考核部门（单位）预算完成程度。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预算完成数：部门（单位）本年度实际完成的预算数。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预算数：财政部门批复的本年度部门（单位）预算数。</w:t>
            </w:r>
          </w:p>
        </w:tc>
        <w:tc>
          <w:tcPr>
            <w:tcW w:w="3003" w:type="dxa"/>
            <w:gridSpan w:val="2"/>
            <w:tcBorders>
              <w:top w:val="nil"/>
              <w:left w:val="nil"/>
              <w:bottom w:val="single" w:color="auto" w:sz="4" w:space="0"/>
              <w:right w:val="single" w:color="auto" w:sz="4" w:space="0"/>
            </w:tcBorders>
            <w:shd w:val="clear" w:color="auto" w:fill="auto"/>
            <w:vAlign w:val="center"/>
          </w:tcPr>
          <w:p w14:paraId="5D341FD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预算完成率＝100%的，得10分。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预算完成率≥95%的，得9分。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预算完成率在90%（含）和95%之间，得8分。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预算完成率在85%（含）和90%之间，得7分。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预算完成率在80%（含）和85%之间，得6分。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预算完成率在70%（含）和80%之间，得4分。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预算完成率＜70%的，得0分。</w:t>
            </w:r>
          </w:p>
        </w:tc>
        <w:tc>
          <w:tcPr>
            <w:tcW w:w="1029" w:type="dxa"/>
            <w:gridSpan w:val="2"/>
            <w:tcBorders>
              <w:top w:val="nil"/>
              <w:left w:val="nil"/>
              <w:bottom w:val="single" w:color="auto" w:sz="4" w:space="0"/>
              <w:right w:val="single" w:color="auto" w:sz="4" w:space="0"/>
            </w:tcBorders>
            <w:shd w:val="clear" w:color="auto" w:fill="auto"/>
            <w:vAlign w:val="center"/>
          </w:tcPr>
          <w:p w14:paraId="08353E1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2019年决算取数。预算完成率=（财政拨款支出/财政拨款收入）*100%</w:t>
            </w:r>
          </w:p>
        </w:tc>
        <w:tc>
          <w:tcPr>
            <w:tcW w:w="728" w:type="dxa"/>
            <w:gridSpan w:val="2"/>
            <w:tcBorders>
              <w:top w:val="nil"/>
              <w:left w:val="nil"/>
              <w:bottom w:val="single" w:color="auto" w:sz="4" w:space="0"/>
              <w:right w:val="single" w:color="auto" w:sz="4" w:space="0"/>
            </w:tcBorders>
            <w:shd w:val="clear" w:color="auto" w:fill="auto"/>
            <w:vAlign w:val="center"/>
          </w:tcPr>
          <w:p w14:paraId="1F87569B">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936" w:type="dxa"/>
            <w:gridSpan w:val="2"/>
            <w:tcBorders>
              <w:top w:val="nil"/>
              <w:left w:val="nil"/>
              <w:bottom w:val="single" w:color="auto" w:sz="4" w:space="0"/>
              <w:right w:val="single" w:color="auto" w:sz="4" w:space="0"/>
            </w:tcBorders>
            <w:shd w:val="clear" w:color="auto" w:fill="auto"/>
            <w:vAlign w:val="center"/>
          </w:tcPr>
          <w:p w14:paraId="5BD23B67">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shd w:val="clear" w:color="auto" w:fill="auto"/>
            <w:vAlign w:val="center"/>
          </w:tcPr>
          <w:p w14:paraId="65DEFBBC">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1246" w:type="dxa"/>
            <w:gridSpan w:val="2"/>
            <w:tcBorders>
              <w:top w:val="nil"/>
              <w:left w:val="nil"/>
              <w:bottom w:val="single" w:color="auto" w:sz="4" w:space="0"/>
              <w:right w:val="single" w:color="auto" w:sz="4" w:space="0"/>
            </w:tcBorders>
            <w:shd w:val="clear" w:color="auto" w:fill="auto"/>
            <w:vAlign w:val="center"/>
          </w:tcPr>
          <w:p w14:paraId="31BE5AF2">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78207D28">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2A11F32A">
        <w:tblPrEx>
          <w:tblCellMar>
            <w:top w:w="0" w:type="dxa"/>
            <w:left w:w="108" w:type="dxa"/>
            <w:bottom w:w="0" w:type="dxa"/>
            <w:right w:w="108" w:type="dxa"/>
          </w:tblCellMar>
        </w:tblPrEx>
        <w:trPr>
          <w:trHeight w:val="2026" w:hRule="atLeast"/>
        </w:trPr>
        <w:tc>
          <w:tcPr>
            <w:tcW w:w="541" w:type="dxa"/>
            <w:vMerge w:val="continue"/>
            <w:tcBorders>
              <w:top w:val="nil"/>
              <w:left w:val="single" w:color="auto" w:sz="4" w:space="0"/>
              <w:bottom w:val="single" w:color="auto" w:sz="4" w:space="0"/>
              <w:right w:val="single" w:color="auto" w:sz="4" w:space="0"/>
            </w:tcBorders>
            <w:vAlign w:val="center"/>
          </w:tcPr>
          <w:p w14:paraId="2C8D4B3E">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2F25207B">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14:paraId="2E141D1E">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37DF3333">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0885B55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预算调整率=（预算调整数/预算数）×100%，用以反映和考核部门（单位）预算的调整程度。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预算包括一般公共预算与政府性基金预算。</w:t>
            </w:r>
          </w:p>
        </w:tc>
        <w:tc>
          <w:tcPr>
            <w:tcW w:w="3003" w:type="dxa"/>
            <w:gridSpan w:val="2"/>
            <w:tcBorders>
              <w:top w:val="nil"/>
              <w:left w:val="nil"/>
              <w:bottom w:val="single" w:color="auto" w:sz="4" w:space="0"/>
              <w:right w:val="single" w:color="auto" w:sz="4" w:space="0"/>
            </w:tcBorders>
            <w:shd w:val="clear" w:color="auto" w:fill="auto"/>
            <w:vAlign w:val="center"/>
          </w:tcPr>
          <w:p w14:paraId="78CE9217">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预算调整率绝对值≤5%，得5分。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预算调整率绝对值＞5%的，每增加0.1个百分点扣0.1分，扣完为止。</w:t>
            </w:r>
          </w:p>
        </w:tc>
        <w:tc>
          <w:tcPr>
            <w:tcW w:w="1029" w:type="dxa"/>
            <w:gridSpan w:val="2"/>
            <w:tcBorders>
              <w:top w:val="nil"/>
              <w:left w:val="nil"/>
              <w:bottom w:val="single" w:color="auto" w:sz="4" w:space="0"/>
              <w:right w:val="single" w:color="auto" w:sz="4" w:space="0"/>
            </w:tcBorders>
            <w:shd w:val="clear" w:color="auto" w:fill="auto"/>
            <w:vAlign w:val="center"/>
          </w:tcPr>
          <w:p w14:paraId="7788E3D5">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2019年决算取数。预算调整率=（预算调整数/预算数）×100%</w:t>
            </w:r>
          </w:p>
        </w:tc>
        <w:tc>
          <w:tcPr>
            <w:tcW w:w="728" w:type="dxa"/>
            <w:gridSpan w:val="2"/>
            <w:tcBorders>
              <w:top w:val="nil"/>
              <w:left w:val="nil"/>
              <w:bottom w:val="single" w:color="auto" w:sz="4" w:space="0"/>
              <w:right w:val="single" w:color="auto" w:sz="4" w:space="0"/>
            </w:tcBorders>
            <w:shd w:val="clear" w:color="auto" w:fill="auto"/>
            <w:vAlign w:val="center"/>
          </w:tcPr>
          <w:p w14:paraId="3EDF255D">
            <w:pPr>
              <w:widowControl/>
              <w:spacing w:line="200" w:lineRule="exact"/>
              <w:jc w:val="left"/>
              <w:rPr>
                <w:rFonts w:ascii="Arial" w:hAnsi="Arial" w:eastAsia="宋体" w:cs="Arial"/>
                <w:kern w:val="0"/>
                <w:sz w:val="20"/>
              </w:rPr>
            </w:pPr>
            <w:r>
              <w:rPr>
                <w:rFonts w:ascii="Arial" w:hAnsi="Arial" w:eastAsia="宋体" w:cs="Arial"/>
                <w:kern w:val="0"/>
                <w:sz w:val="20"/>
              </w:rPr>
              <w:t>≤</w:t>
            </w:r>
            <w:r>
              <w:rPr>
                <w:rFonts w:hint="eastAsia" w:ascii="楷体_GB2312" w:hAnsi="Arial" w:eastAsia="楷体_GB2312" w:cs="Arial"/>
                <w:kern w:val="0"/>
                <w:sz w:val="20"/>
              </w:rPr>
              <w:t>5%</w:t>
            </w:r>
          </w:p>
        </w:tc>
        <w:tc>
          <w:tcPr>
            <w:tcW w:w="936" w:type="dxa"/>
            <w:gridSpan w:val="2"/>
            <w:tcBorders>
              <w:top w:val="nil"/>
              <w:left w:val="nil"/>
              <w:bottom w:val="single" w:color="auto" w:sz="4" w:space="0"/>
              <w:right w:val="single" w:color="auto" w:sz="4" w:space="0"/>
            </w:tcBorders>
            <w:shd w:val="clear" w:color="auto" w:fill="auto"/>
            <w:vAlign w:val="center"/>
          </w:tcPr>
          <w:p w14:paraId="7B855118">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875%</w:t>
            </w:r>
          </w:p>
        </w:tc>
        <w:tc>
          <w:tcPr>
            <w:tcW w:w="757" w:type="dxa"/>
            <w:gridSpan w:val="2"/>
            <w:tcBorders>
              <w:top w:val="nil"/>
              <w:left w:val="nil"/>
              <w:bottom w:val="single" w:color="auto" w:sz="4" w:space="0"/>
              <w:right w:val="single" w:color="auto" w:sz="4" w:space="0"/>
            </w:tcBorders>
            <w:shd w:val="clear" w:color="auto" w:fill="auto"/>
            <w:vAlign w:val="center"/>
          </w:tcPr>
          <w:p w14:paraId="1F8C78E3">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1246" w:type="dxa"/>
            <w:gridSpan w:val="2"/>
            <w:tcBorders>
              <w:top w:val="nil"/>
              <w:left w:val="nil"/>
              <w:bottom w:val="single" w:color="auto" w:sz="4" w:space="0"/>
              <w:right w:val="single" w:color="auto" w:sz="4" w:space="0"/>
            </w:tcBorders>
            <w:shd w:val="clear" w:color="auto" w:fill="auto"/>
            <w:vAlign w:val="center"/>
          </w:tcPr>
          <w:p w14:paraId="267A6784">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加强年初预算管理，提高财政预算精确度。</w:t>
            </w:r>
          </w:p>
        </w:tc>
        <w:tc>
          <w:tcPr>
            <w:tcW w:w="1540" w:type="dxa"/>
            <w:tcBorders>
              <w:top w:val="nil"/>
              <w:left w:val="nil"/>
              <w:bottom w:val="single" w:color="auto" w:sz="4" w:space="0"/>
              <w:right w:val="single" w:color="auto" w:sz="4" w:space="0"/>
            </w:tcBorders>
            <w:shd w:val="clear" w:color="auto" w:fill="auto"/>
            <w:vAlign w:val="center"/>
          </w:tcPr>
          <w:p w14:paraId="507EA6CB">
            <w:pPr>
              <w:widowControl/>
              <w:spacing w:line="200" w:lineRule="exact"/>
              <w:jc w:val="left"/>
              <w:rPr>
                <w:rFonts w:ascii="仿宋_GB2312" w:hAnsi="宋体" w:eastAsia="仿宋_GB2312" w:cs="宋体"/>
                <w:kern w:val="0"/>
                <w:sz w:val="20"/>
              </w:rPr>
            </w:pPr>
            <w:r>
              <w:rPr>
                <w:rFonts w:hint="eastAsia" w:ascii="仿宋_GB2312" w:hAnsi="宋体" w:eastAsia="仿宋_GB2312" w:cs="宋体"/>
                <w:kern w:val="0"/>
                <w:sz w:val="20"/>
              </w:rPr>
              <w:t>预算调整主要为项目预算追加，建议年初增加部门项目预算。</w:t>
            </w:r>
          </w:p>
        </w:tc>
      </w:tr>
      <w:tr w14:paraId="6572E93D">
        <w:tblPrEx>
          <w:tblCellMar>
            <w:top w:w="0" w:type="dxa"/>
            <w:left w:w="108" w:type="dxa"/>
            <w:bottom w:w="0" w:type="dxa"/>
            <w:right w:w="108" w:type="dxa"/>
          </w:tblCellMar>
        </w:tblPrEx>
        <w:trPr>
          <w:trHeight w:val="75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19201AA3">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14:paraId="55A32A5A">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14:paraId="3EE39973">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14:paraId="3472F37D">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14:paraId="058C6AB0">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14:paraId="367EB654">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p w14:paraId="2CCEB2FA">
            <w:pPr>
              <w:rPr>
                <w:rFonts w:ascii="楷体_GB2312" w:hAnsi="宋体" w:eastAsia="楷体_GB2312" w:cs="宋体"/>
                <w:sz w:val="20"/>
              </w:rPr>
            </w:pPr>
          </w:p>
          <w:p w14:paraId="5106D201">
            <w:pPr>
              <w:rPr>
                <w:rFonts w:ascii="楷体_GB2312" w:hAnsi="宋体" w:eastAsia="楷体_GB2312" w:cs="宋体"/>
                <w:sz w:val="20"/>
              </w:rPr>
            </w:pP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14:paraId="397B88D9">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14:paraId="7E781BAA">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14:paraId="7790A63A">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14:paraId="33415BC3">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14:paraId="7105A7EA">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14:paraId="24B91FF1">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59ADB48D">
        <w:tblPrEx>
          <w:tblCellMar>
            <w:top w:w="0" w:type="dxa"/>
            <w:left w:w="108" w:type="dxa"/>
            <w:bottom w:w="0" w:type="dxa"/>
            <w:right w:w="108" w:type="dxa"/>
          </w:tblCellMar>
        </w:tblPrEx>
        <w:trPr>
          <w:trHeight w:val="2187"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6F926A52">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14:paraId="0B9772DB">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14:paraId="62F6A409">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179D99A9">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6171B7E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支出进度率=（实际支出/支出预算）×100%，用以反映和考核部门（单位）预算执行的及时性和均衡性程度。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半年支出进度＝部门上半年实际支出/（上年结余结转+本年部门预算安排+上半年执行中追加追减）*100%。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前三季度支出进度＝部门前三季度实际支出/（上年结余结转+本年部门预算安排+前三季度执行中追加追减）*100%。</w:t>
            </w:r>
          </w:p>
        </w:tc>
        <w:tc>
          <w:tcPr>
            <w:tcW w:w="3003" w:type="dxa"/>
            <w:gridSpan w:val="2"/>
            <w:tcBorders>
              <w:top w:val="nil"/>
              <w:left w:val="nil"/>
              <w:bottom w:val="single" w:color="auto" w:sz="4" w:space="0"/>
              <w:right w:val="single" w:color="auto" w:sz="4" w:space="0"/>
            </w:tcBorders>
            <w:shd w:val="clear" w:color="auto" w:fill="auto"/>
            <w:vAlign w:val="center"/>
          </w:tcPr>
          <w:p w14:paraId="38EA3084">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半年进度：进度率≥45%，得2分；进度率在40%（含）和45%之间，得1分；进度率＜40%，得0分。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前三季度进度：进度率≥75%，得3分；进度率在60%（含）和75%之间，得2分；进度率＜60%，得0分。</w:t>
            </w:r>
          </w:p>
        </w:tc>
        <w:tc>
          <w:tcPr>
            <w:tcW w:w="1029" w:type="dxa"/>
            <w:gridSpan w:val="2"/>
            <w:tcBorders>
              <w:top w:val="nil"/>
              <w:left w:val="nil"/>
              <w:bottom w:val="single" w:color="auto" w:sz="4" w:space="0"/>
              <w:right w:val="single" w:color="auto" w:sz="4" w:space="0"/>
            </w:tcBorders>
            <w:shd w:val="clear" w:color="auto" w:fill="auto"/>
            <w:vAlign w:val="center"/>
          </w:tcPr>
          <w:p w14:paraId="2EDFBC4C">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国库集中支付系统。支出进度率=（实际支出/支出预算）×100%</w:t>
            </w:r>
          </w:p>
        </w:tc>
        <w:tc>
          <w:tcPr>
            <w:tcW w:w="728" w:type="dxa"/>
            <w:gridSpan w:val="2"/>
            <w:tcBorders>
              <w:top w:val="nil"/>
              <w:left w:val="nil"/>
              <w:bottom w:val="single" w:color="auto" w:sz="4" w:space="0"/>
              <w:right w:val="single" w:color="auto" w:sz="4" w:space="0"/>
            </w:tcBorders>
            <w:shd w:val="clear" w:color="auto" w:fill="auto"/>
            <w:vAlign w:val="center"/>
          </w:tcPr>
          <w:p w14:paraId="406519E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936" w:type="dxa"/>
            <w:gridSpan w:val="2"/>
            <w:tcBorders>
              <w:top w:val="nil"/>
              <w:left w:val="nil"/>
              <w:bottom w:val="single" w:color="auto" w:sz="4" w:space="0"/>
              <w:right w:val="single" w:color="auto" w:sz="4" w:space="0"/>
            </w:tcBorders>
            <w:shd w:val="clear" w:color="auto" w:fill="auto"/>
            <w:vAlign w:val="center"/>
          </w:tcPr>
          <w:p w14:paraId="245C2F36">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757" w:type="dxa"/>
            <w:gridSpan w:val="2"/>
            <w:tcBorders>
              <w:top w:val="nil"/>
              <w:left w:val="nil"/>
              <w:bottom w:val="single" w:color="auto" w:sz="4" w:space="0"/>
              <w:right w:val="single" w:color="auto" w:sz="4" w:space="0"/>
            </w:tcBorders>
            <w:shd w:val="clear" w:color="auto" w:fill="auto"/>
            <w:vAlign w:val="center"/>
          </w:tcPr>
          <w:p w14:paraId="4ECA1418">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14:paraId="743D0574">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5288EC8D">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46E9EDFF">
        <w:tblPrEx>
          <w:tblCellMar>
            <w:top w:w="0" w:type="dxa"/>
            <w:left w:w="108" w:type="dxa"/>
            <w:bottom w:w="0" w:type="dxa"/>
            <w:right w:w="108" w:type="dxa"/>
          </w:tblCellMar>
        </w:tblPrEx>
        <w:trPr>
          <w:trHeight w:val="1058" w:hRule="atLeast"/>
        </w:trPr>
        <w:tc>
          <w:tcPr>
            <w:tcW w:w="541" w:type="dxa"/>
            <w:vMerge w:val="continue"/>
            <w:tcBorders>
              <w:top w:val="nil"/>
              <w:left w:val="single" w:color="auto" w:sz="4" w:space="0"/>
              <w:bottom w:val="single" w:color="auto" w:sz="4" w:space="0"/>
              <w:right w:val="single" w:color="auto" w:sz="4" w:space="0"/>
            </w:tcBorders>
            <w:vAlign w:val="center"/>
          </w:tcPr>
          <w:p w14:paraId="20AB6879">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4989018F">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14:paraId="622B4497">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预算编制准确率（5分）</w:t>
            </w:r>
          </w:p>
        </w:tc>
        <w:tc>
          <w:tcPr>
            <w:tcW w:w="360" w:type="dxa"/>
            <w:tcBorders>
              <w:top w:val="nil"/>
              <w:left w:val="nil"/>
              <w:bottom w:val="single" w:color="auto" w:sz="4" w:space="0"/>
              <w:right w:val="single" w:color="auto" w:sz="4" w:space="0"/>
            </w:tcBorders>
            <w:shd w:val="clear" w:color="auto" w:fill="auto"/>
            <w:vAlign w:val="center"/>
          </w:tcPr>
          <w:p w14:paraId="6676D649">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1C5F5CA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部门预算中除财政拨款外的其他收入预算与决算差异率。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预算编制准确率＝其他收入决算数/其他收入预算数×100%-100%。</w:t>
            </w:r>
          </w:p>
        </w:tc>
        <w:tc>
          <w:tcPr>
            <w:tcW w:w="3003" w:type="dxa"/>
            <w:gridSpan w:val="2"/>
            <w:tcBorders>
              <w:top w:val="nil"/>
              <w:left w:val="nil"/>
              <w:bottom w:val="single" w:color="auto" w:sz="4" w:space="0"/>
              <w:right w:val="single" w:color="auto" w:sz="4" w:space="0"/>
            </w:tcBorders>
            <w:shd w:val="clear" w:color="auto" w:fill="auto"/>
            <w:vAlign w:val="center"/>
          </w:tcPr>
          <w:p w14:paraId="74AB6CA8">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预算编制准确率在20%和40%（含）之间，得3分。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预算编制准确率＞40%，得0分。</w:t>
            </w:r>
          </w:p>
        </w:tc>
        <w:tc>
          <w:tcPr>
            <w:tcW w:w="1029" w:type="dxa"/>
            <w:gridSpan w:val="2"/>
            <w:tcBorders>
              <w:top w:val="nil"/>
              <w:left w:val="nil"/>
              <w:bottom w:val="single" w:color="auto" w:sz="4" w:space="0"/>
              <w:right w:val="single" w:color="auto" w:sz="4" w:space="0"/>
            </w:tcBorders>
            <w:shd w:val="clear" w:color="auto" w:fill="auto"/>
            <w:vAlign w:val="center"/>
          </w:tcPr>
          <w:p w14:paraId="09F45A12">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2019年初预算和决算数。预算编制准确率≤20%</w:t>
            </w:r>
          </w:p>
        </w:tc>
        <w:tc>
          <w:tcPr>
            <w:tcW w:w="728" w:type="dxa"/>
            <w:gridSpan w:val="2"/>
            <w:tcBorders>
              <w:top w:val="nil"/>
              <w:left w:val="nil"/>
              <w:bottom w:val="single" w:color="auto" w:sz="4" w:space="0"/>
              <w:right w:val="single" w:color="auto" w:sz="4" w:space="0"/>
            </w:tcBorders>
            <w:shd w:val="clear" w:color="auto" w:fill="auto"/>
            <w:vAlign w:val="center"/>
          </w:tcPr>
          <w:p w14:paraId="28E986C5">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936" w:type="dxa"/>
            <w:gridSpan w:val="2"/>
            <w:tcBorders>
              <w:top w:val="nil"/>
              <w:left w:val="nil"/>
              <w:bottom w:val="single" w:color="auto" w:sz="4" w:space="0"/>
              <w:right w:val="single" w:color="auto" w:sz="4" w:space="0"/>
            </w:tcBorders>
            <w:shd w:val="clear" w:color="auto" w:fill="auto"/>
            <w:vAlign w:val="center"/>
          </w:tcPr>
          <w:p w14:paraId="5B39A053">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757" w:type="dxa"/>
            <w:gridSpan w:val="2"/>
            <w:tcBorders>
              <w:top w:val="nil"/>
              <w:left w:val="nil"/>
              <w:bottom w:val="single" w:color="auto" w:sz="4" w:space="0"/>
              <w:right w:val="single" w:color="auto" w:sz="4" w:space="0"/>
            </w:tcBorders>
            <w:shd w:val="clear" w:color="auto" w:fill="auto"/>
            <w:vAlign w:val="center"/>
          </w:tcPr>
          <w:p w14:paraId="689B38A7">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4</w:t>
            </w:r>
          </w:p>
        </w:tc>
        <w:tc>
          <w:tcPr>
            <w:tcW w:w="1246" w:type="dxa"/>
            <w:gridSpan w:val="2"/>
            <w:tcBorders>
              <w:top w:val="nil"/>
              <w:left w:val="nil"/>
              <w:bottom w:val="single" w:color="auto" w:sz="4" w:space="0"/>
              <w:right w:val="single" w:color="auto" w:sz="4" w:space="0"/>
            </w:tcBorders>
            <w:shd w:val="clear" w:color="auto" w:fill="auto"/>
            <w:vAlign w:val="center"/>
          </w:tcPr>
          <w:p w14:paraId="07CBFFA8">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0ADFD845">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2CADDFDE">
        <w:tblPrEx>
          <w:tblCellMar>
            <w:top w:w="0" w:type="dxa"/>
            <w:left w:w="108" w:type="dxa"/>
            <w:bottom w:w="0" w:type="dxa"/>
            <w:right w:w="108" w:type="dxa"/>
          </w:tblCellMar>
        </w:tblPrEx>
        <w:trPr>
          <w:trHeight w:val="2206"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51944BB9">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14:paraId="2CE5C6ED">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14:paraId="09612B44">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643FE975">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1474CE2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“三公经费”控制率=（“三公经费”实际支出数/“三公经费”预算安排数）×100%，用以反映和考核部门（单位）对“三公经费”的实际控制程度。</w:t>
            </w:r>
          </w:p>
        </w:tc>
        <w:tc>
          <w:tcPr>
            <w:tcW w:w="3003" w:type="dxa"/>
            <w:gridSpan w:val="2"/>
            <w:tcBorders>
              <w:top w:val="nil"/>
              <w:left w:val="nil"/>
              <w:bottom w:val="single" w:color="auto" w:sz="4" w:space="0"/>
              <w:right w:val="single" w:color="auto" w:sz="4" w:space="0"/>
            </w:tcBorders>
            <w:shd w:val="clear" w:color="auto" w:fill="auto"/>
            <w:vAlign w:val="center"/>
          </w:tcPr>
          <w:p w14:paraId="0ABFAF3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 ≤100%，得5分，每增加0.1个百分点扣0.5分，扣完为止。</w:t>
            </w:r>
          </w:p>
        </w:tc>
        <w:tc>
          <w:tcPr>
            <w:tcW w:w="1029" w:type="dxa"/>
            <w:gridSpan w:val="2"/>
            <w:tcBorders>
              <w:top w:val="nil"/>
              <w:left w:val="nil"/>
              <w:bottom w:val="single" w:color="auto" w:sz="4" w:space="0"/>
              <w:right w:val="single" w:color="auto" w:sz="4" w:space="0"/>
            </w:tcBorders>
            <w:shd w:val="clear" w:color="auto" w:fill="auto"/>
            <w:vAlign w:val="center"/>
          </w:tcPr>
          <w:p w14:paraId="09DA1B8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2019年预算和决算数。三公经费”控制率=（“三公经费”实际支出数/“三公经费”预算安排数）×100%</w:t>
            </w:r>
          </w:p>
        </w:tc>
        <w:tc>
          <w:tcPr>
            <w:tcW w:w="728" w:type="dxa"/>
            <w:gridSpan w:val="2"/>
            <w:tcBorders>
              <w:top w:val="nil"/>
              <w:left w:val="nil"/>
              <w:bottom w:val="single" w:color="auto" w:sz="4" w:space="0"/>
              <w:right w:val="single" w:color="auto" w:sz="4" w:space="0"/>
            </w:tcBorders>
            <w:shd w:val="clear" w:color="auto" w:fill="auto"/>
            <w:vAlign w:val="center"/>
          </w:tcPr>
          <w:p w14:paraId="725F2B33">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三公经费控制率≤100%</w:t>
            </w:r>
          </w:p>
        </w:tc>
        <w:tc>
          <w:tcPr>
            <w:tcW w:w="936" w:type="dxa"/>
            <w:gridSpan w:val="2"/>
            <w:tcBorders>
              <w:top w:val="nil"/>
              <w:left w:val="nil"/>
              <w:bottom w:val="single" w:color="auto" w:sz="4" w:space="0"/>
              <w:right w:val="single" w:color="auto" w:sz="4" w:space="0"/>
            </w:tcBorders>
            <w:shd w:val="clear" w:color="auto" w:fill="auto"/>
            <w:vAlign w:val="center"/>
          </w:tcPr>
          <w:p w14:paraId="791E443F">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shd w:val="clear" w:color="auto" w:fill="auto"/>
            <w:vAlign w:val="center"/>
          </w:tcPr>
          <w:p w14:paraId="6C99A273">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14:paraId="4F8ECCA3">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0F151851">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16788EA3">
        <w:tblPrEx>
          <w:tblCellMar>
            <w:top w:w="0" w:type="dxa"/>
            <w:left w:w="108" w:type="dxa"/>
            <w:bottom w:w="0" w:type="dxa"/>
            <w:right w:w="108" w:type="dxa"/>
          </w:tblCellMar>
        </w:tblPrEx>
        <w:trPr>
          <w:trHeight w:val="216" w:hRule="atLeast"/>
        </w:trPr>
        <w:tc>
          <w:tcPr>
            <w:tcW w:w="541" w:type="dxa"/>
            <w:vMerge w:val="continue"/>
            <w:tcBorders>
              <w:top w:val="nil"/>
              <w:left w:val="single" w:color="auto" w:sz="4" w:space="0"/>
              <w:bottom w:val="single" w:color="auto" w:sz="4" w:space="0"/>
              <w:right w:val="single" w:color="auto" w:sz="4" w:space="0"/>
            </w:tcBorders>
            <w:vAlign w:val="center"/>
          </w:tcPr>
          <w:p w14:paraId="084FDE0E">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1271D07F">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14:paraId="39EEDE86">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资产管理规范性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2AA89417">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52147F6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部门（单位）资产管理是否规范，用以反映和考核部门（单位）资产管理情况。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1.新增资产配置按预算执行。</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2.资产有偿使用、处置按规定程序审批。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3.资产收益及时、足额上缴财政。</w:t>
            </w:r>
          </w:p>
        </w:tc>
        <w:tc>
          <w:tcPr>
            <w:tcW w:w="3003" w:type="dxa"/>
            <w:gridSpan w:val="2"/>
            <w:tcBorders>
              <w:top w:val="nil"/>
              <w:left w:val="nil"/>
              <w:bottom w:val="single" w:color="auto" w:sz="4" w:space="0"/>
              <w:right w:val="single" w:color="auto" w:sz="4" w:space="0"/>
            </w:tcBorders>
            <w:shd w:val="clear" w:color="auto" w:fill="auto"/>
            <w:vAlign w:val="center"/>
          </w:tcPr>
          <w:p w14:paraId="0FFDADA6">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全部符合5分，有1项不符扣2分,扣完为止。</w:t>
            </w:r>
          </w:p>
        </w:tc>
        <w:tc>
          <w:tcPr>
            <w:tcW w:w="1029" w:type="dxa"/>
            <w:gridSpan w:val="2"/>
            <w:tcBorders>
              <w:top w:val="nil"/>
              <w:left w:val="nil"/>
              <w:bottom w:val="single" w:color="auto" w:sz="4" w:space="0"/>
              <w:right w:val="single" w:color="auto" w:sz="4" w:space="0"/>
            </w:tcBorders>
            <w:shd w:val="clear" w:color="auto" w:fill="auto"/>
            <w:vAlign w:val="center"/>
          </w:tcPr>
          <w:p w14:paraId="5363A9F6">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按照蓝田县财政局关于行政事业单位国有资产管理规定</w:t>
            </w:r>
          </w:p>
        </w:tc>
        <w:tc>
          <w:tcPr>
            <w:tcW w:w="728" w:type="dxa"/>
            <w:gridSpan w:val="2"/>
            <w:tcBorders>
              <w:top w:val="nil"/>
              <w:left w:val="nil"/>
              <w:bottom w:val="single" w:color="auto" w:sz="4" w:space="0"/>
              <w:right w:val="single" w:color="auto" w:sz="4" w:space="0"/>
            </w:tcBorders>
            <w:shd w:val="clear" w:color="auto" w:fill="auto"/>
            <w:vAlign w:val="center"/>
          </w:tcPr>
          <w:p w14:paraId="64F2F33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936" w:type="dxa"/>
            <w:gridSpan w:val="2"/>
            <w:tcBorders>
              <w:top w:val="nil"/>
              <w:left w:val="nil"/>
              <w:bottom w:val="single" w:color="auto" w:sz="4" w:space="0"/>
              <w:right w:val="single" w:color="auto" w:sz="4" w:space="0"/>
            </w:tcBorders>
            <w:shd w:val="clear" w:color="auto" w:fill="auto"/>
            <w:vAlign w:val="center"/>
          </w:tcPr>
          <w:p w14:paraId="1C1504BC">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757" w:type="dxa"/>
            <w:gridSpan w:val="2"/>
            <w:tcBorders>
              <w:top w:val="nil"/>
              <w:left w:val="nil"/>
              <w:bottom w:val="single" w:color="auto" w:sz="4" w:space="0"/>
              <w:right w:val="single" w:color="auto" w:sz="4" w:space="0"/>
            </w:tcBorders>
            <w:shd w:val="clear" w:color="auto" w:fill="auto"/>
            <w:vAlign w:val="center"/>
          </w:tcPr>
          <w:p w14:paraId="2FE82F84">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4</w:t>
            </w:r>
          </w:p>
        </w:tc>
        <w:tc>
          <w:tcPr>
            <w:tcW w:w="1246" w:type="dxa"/>
            <w:gridSpan w:val="2"/>
            <w:tcBorders>
              <w:top w:val="nil"/>
              <w:left w:val="nil"/>
              <w:bottom w:val="single" w:color="auto" w:sz="4" w:space="0"/>
              <w:right w:val="single" w:color="auto" w:sz="4" w:space="0"/>
            </w:tcBorders>
            <w:shd w:val="clear" w:color="auto" w:fill="auto"/>
            <w:vAlign w:val="center"/>
          </w:tcPr>
          <w:p w14:paraId="77A79438">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4315AF64">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加快资产购置和处置审批，提高资产管理效率。</w:t>
            </w:r>
          </w:p>
        </w:tc>
      </w:tr>
      <w:tr w14:paraId="5B434271">
        <w:tblPrEx>
          <w:tblCellMar>
            <w:top w:w="0" w:type="dxa"/>
            <w:left w:w="108" w:type="dxa"/>
            <w:bottom w:w="0" w:type="dxa"/>
            <w:right w:w="108" w:type="dxa"/>
          </w:tblCellMar>
        </w:tblPrEx>
        <w:trPr>
          <w:trHeight w:val="216" w:hRule="atLeast"/>
        </w:trPr>
        <w:tc>
          <w:tcPr>
            <w:tcW w:w="541" w:type="dxa"/>
            <w:tcBorders>
              <w:top w:val="nil"/>
              <w:left w:val="nil"/>
              <w:bottom w:val="nil"/>
              <w:right w:val="nil"/>
            </w:tcBorders>
            <w:shd w:val="clear" w:color="auto" w:fill="auto"/>
            <w:noWrap/>
            <w:textDirection w:val="tbRlV"/>
            <w:vAlign w:val="center"/>
          </w:tcPr>
          <w:p w14:paraId="2A47F295">
            <w:pPr>
              <w:widowControl/>
              <w:spacing w:line="240" w:lineRule="exact"/>
              <w:jc w:val="center"/>
              <w:rPr>
                <w:rFonts w:ascii="楷体_GB2312" w:hAnsi="宋体" w:eastAsia="楷体_GB2312" w:cs="宋体"/>
                <w:kern w:val="0"/>
                <w:sz w:val="20"/>
              </w:rPr>
            </w:pPr>
          </w:p>
        </w:tc>
        <w:tc>
          <w:tcPr>
            <w:tcW w:w="633" w:type="dxa"/>
            <w:tcBorders>
              <w:top w:val="nil"/>
              <w:left w:val="nil"/>
              <w:bottom w:val="nil"/>
              <w:right w:val="nil"/>
            </w:tcBorders>
            <w:shd w:val="clear" w:color="auto" w:fill="auto"/>
            <w:vAlign w:val="center"/>
          </w:tcPr>
          <w:p w14:paraId="4E6E5CCF">
            <w:pPr>
              <w:widowControl/>
              <w:spacing w:line="240" w:lineRule="exact"/>
              <w:jc w:val="center"/>
              <w:rPr>
                <w:rFonts w:ascii="楷体_GB2312" w:hAnsi="宋体" w:eastAsia="楷体_GB2312" w:cs="宋体"/>
                <w:kern w:val="0"/>
                <w:sz w:val="20"/>
              </w:rPr>
            </w:pPr>
          </w:p>
        </w:tc>
        <w:tc>
          <w:tcPr>
            <w:tcW w:w="684" w:type="dxa"/>
            <w:tcBorders>
              <w:top w:val="nil"/>
              <w:left w:val="nil"/>
              <w:bottom w:val="nil"/>
              <w:right w:val="nil"/>
            </w:tcBorders>
            <w:shd w:val="clear" w:color="auto" w:fill="auto"/>
            <w:vAlign w:val="center"/>
          </w:tcPr>
          <w:p w14:paraId="2BFE4563">
            <w:pPr>
              <w:widowControl/>
              <w:spacing w:line="240" w:lineRule="exact"/>
              <w:jc w:val="left"/>
              <w:rPr>
                <w:rFonts w:ascii="楷体_GB2312" w:hAnsi="宋体" w:eastAsia="楷体_GB2312" w:cs="宋体"/>
                <w:kern w:val="0"/>
                <w:sz w:val="20"/>
              </w:rPr>
            </w:pPr>
          </w:p>
        </w:tc>
        <w:tc>
          <w:tcPr>
            <w:tcW w:w="360" w:type="dxa"/>
            <w:tcBorders>
              <w:top w:val="nil"/>
              <w:left w:val="nil"/>
              <w:bottom w:val="nil"/>
              <w:right w:val="nil"/>
            </w:tcBorders>
            <w:shd w:val="clear" w:color="auto" w:fill="auto"/>
            <w:vAlign w:val="center"/>
          </w:tcPr>
          <w:p w14:paraId="7F34C66A">
            <w:pPr>
              <w:widowControl/>
              <w:spacing w:line="240" w:lineRule="exact"/>
              <w:jc w:val="center"/>
              <w:rPr>
                <w:rFonts w:ascii="楷体_GB2312" w:hAnsi="宋体" w:eastAsia="楷体_GB2312" w:cs="宋体"/>
                <w:kern w:val="0"/>
                <w:sz w:val="20"/>
              </w:rPr>
            </w:pPr>
          </w:p>
        </w:tc>
        <w:tc>
          <w:tcPr>
            <w:tcW w:w="3251" w:type="dxa"/>
            <w:tcBorders>
              <w:top w:val="nil"/>
              <w:left w:val="nil"/>
              <w:bottom w:val="nil"/>
              <w:right w:val="nil"/>
            </w:tcBorders>
            <w:shd w:val="clear" w:color="auto" w:fill="auto"/>
            <w:vAlign w:val="center"/>
          </w:tcPr>
          <w:p w14:paraId="0A4E7069">
            <w:pPr>
              <w:widowControl/>
              <w:spacing w:line="200" w:lineRule="exact"/>
              <w:jc w:val="left"/>
              <w:rPr>
                <w:rFonts w:ascii="楷体_GB2312" w:hAnsi="宋体" w:eastAsia="楷体_GB2312" w:cs="宋体"/>
                <w:kern w:val="0"/>
                <w:sz w:val="20"/>
              </w:rPr>
            </w:pPr>
          </w:p>
        </w:tc>
        <w:tc>
          <w:tcPr>
            <w:tcW w:w="3003" w:type="dxa"/>
            <w:gridSpan w:val="2"/>
            <w:tcBorders>
              <w:top w:val="nil"/>
              <w:left w:val="nil"/>
              <w:bottom w:val="nil"/>
              <w:right w:val="nil"/>
            </w:tcBorders>
            <w:shd w:val="clear" w:color="auto" w:fill="auto"/>
            <w:vAlign w:val="center"/>
          </w:tcPr>
          <w:p w14:paraId="7DC388AB">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nil"/>
              <w:right w:val="nil"/>
            </w:tcBorders>
            <w:shd w:val="clear" w:color="auto" w:fill="auto"/>
            <w:vAlign w:val="center"/>
          </w:tcPr>
          <w:p w14:paraId="7B53354F">
            <w:pPr>
              <w:widowControl/>
              <w:spacing w:line="200" w:lineRule="exact"/>
              <w:jc w:val="left"/>
              <w:rPr>
                <w:rFonts w:ascii="楷体_GB2312" w:hAnsi="宋体" w:eastAsia="楷体_GB2312" w:cs="宋体"/>
                <w:kern w:val="0"/>
                <w:sz w:val="20"/>
              </w:rPr>
            </w:pPr>
          </w:p>
        </w:tc>
        <w:tc>
          <w:tcPr>
            <w:tcW w:w="728" w:type="dxa"/>
            <w:gridSpan w:val="2"/>
            <w:tcBorders>
              <w:top w:val="nil"/>
              <w:left w:val="nil"/>
              <w:bottom w:val="nil"/>
              <w:right w:val="nil"/>
            </w:tcBorders>
            <w:shd w:val="clear" w:color="auto" w:fill="auto"/>
            <w:vAlign w:val="center"/>
          </w:tcPr>
          <w:p w14:paraId="21D24F8A">
            <w:pPr>
              <w:widowControl/>
              <w:spacing w:line="200" w:lineRule="exact"/>
              <w:jc w:val="left"/>
              <w:rPr>
                <w:rFonts w:ascii="楷体_GB2312" w:hAnsi="宋体" w:eastAsia="楷体_GB2312" w:cs="宋体"/>
                <w:kern w:val="0"/>
                <w:sz w:val="20"/>
              </w:rPr>
            </w:pPr>
          </w:p>
        </w:tc>
        <w:tc>
          <w:tcPr>
            <w:tcW w:w="936" w:type="dxa"/>
            <w:gridSpan w:val="2"/>
            <w:tcBorders>
              <w:top w:val="nil"/>
              <w:left w:val="nil"/>
              <w:bottom w:val="nil"/>
              <w:right w:val="nil"/>
            </w:tcBorders>
            <w:shd w:val="clear" w:color="auto" w:fill="auto"/>
            <w:vAlign w:val="center"/>
          </w:tcPr>
          <w:p w14:paraId="0EF98671">
            <w:pPr>
              <w:widowControl/>
              <w:spacing w:line="200" w:lineRule="exact"/>
              <w:jc w:val="left"/>
              <w:rPr>
                <w:rFonts w:ascii="楷体_GB2312" w:hAnsi="宋体" w:eastAsia="楷体_GB2312" w:cs="宋体"/>
                <w:kern w:val="0"/>
                <w:sz w:val="20"/>
              </w:rPr>
            </w:pPr>
          </w:p>
        </w:tc>
        <w:tc>
          <w:tcPr>
            <w:tcW w:w="757" w:type="dxa"/>
            <w:gridSpan w:val="2"/>
            <w:tcBorders>
              <w:top w:val="nil"/>
              <w:left w:val="nil"/>
              <w:bottom w:val="nil"/>
              <w:right w:val="nil"/>
            </w:tcBorders>
            <w:shd w:val="clear" w:color="auto" w:fill="auto"/>
            <w:vAlign w:val="center"/>
          </w:tcPr>
          <w:p w14:paraId="0EA6C0A9">
            <w:pPr>
              <w:widowControl/>
              <w:spacing w:line="200" w:lineRule="exact"/>
              <w:jc w:val="center"/>
              <w:rPr>
                <w:rFonts w:ascii="楷体_GB2312" w:hAnsi="宋体" w:eastAsia="楷体_GB2312" w:cs="宋体"/>
                <w:kern w:val="0"/>
                <w:sz w:val="20"/>
              </w:rPr>
            </w:pPr>
          </w:p>
        </w:tc>
        <w:tc>
          <w:tcPr>
            <w:tcW w:w="1246" w:type="dxa"/>
            <w:gridSpan w:val="2"/>
            <w:tcBorders>
              <w:top w:val="nil"/>
              <w:left w:val="nil"/>
              <w:bottom w:val="nil"/>
              <w:right w:val="nil"/>
            </w:tcBorders>
            <w:shd w:val="clear" w:color="auto" w:fill="auto"/>
            <w:noWrap/>
            <w:vAlign w:val="center"/>
          </w:tcPr>
          <w:p w14:paraId="3AF50B37">
            <w:pPr>
              <w:widowControl/>
              <w:spacing w:line="200" w:lineRule="exact"/>
              <w:jc w:val="center"/>
              <w:rPr>
                <w:rFonts w:ascii="宋体" w:hAnsi="宋体" w:eastAsia="宋体" w:cs="宋体"/>
                <w:kern w:val="0"/>
                <w:sz w:val="24"/>
                <w:szCs w:val="24"/>
              </w:rPr>
            </w:pPr>
          </w:p>
        </w:tc>
        <w:tc>
          <w:tcPr>
            <w:tcW w:w="1540" w:type="dxa"/>
            <w:tcBorders>
              <w:top w:val="nil"/>
              <w:left w:val="nil"/>
              <w:bottom w:val="nil"/>
              <w:right w:val="nil"/>
            </w:tcBorders>
            <w:shd w:val="clear" w:color="auto" w:fill="auto"/>
            <w:noWrap/>
            <w:vAlign w:val="center"/>
          </w:tcPr>
          <w:p w14:paraId="07510FE3">
            <w:pPr>
              <w:widowControl/>
              <w:spacing w:line="200" w:lineRule="exact"/>
              <w:jc w:val="left"/>
              <w:rPr>
                <w:rFonts w:ascii="宋体" w:hAnsi="宋体" w:eastAsia="宋体" w:cs="宋体"/>
                <w:kern w:val="0"/>
                <w:sz w:val="24"/>
                <w:szCs w:val="24"/>
              </w:rPr>
            </w:pPr>
          </w:p>
        </w:tc>
      </w:tr>
      <w:tr w14:paraId="59B5E89A">
        <w:tblPrEx>
          <w:tblCellMar>
            <w:top w:w="0" w:type="dxa"/>
            <w:left w:w="108" w:type="dxa"/>
            <w:bottom w:w="0" w:type="dxa"/>
            <w:right w:w="108" w:type="dxa"/>
          </w:tblCellMar>
        </w:tblPrEx>
        <w:trPr>
          <w:trHeight w:val="9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76F78BD1">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14:paraId="36C52393">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14:paraId="59C74887">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14:paraId="1030AC17">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14:paraId="28CB9136">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14:paraId="1B1AECEA">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14:paraId="7E998D24">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14:paraId="44902EF5">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14:paraId="551DB946">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14:paraId="5E85BB2F">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14:paraId="3A6D2137">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14:paraId="1404774E">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406D9BE4">
        <w:tblPrEx>
          <w:tblCellMar>
            <w:top w:w="0" w:type="dxa"/>
            <w:left w:w="108" w:type="dxa"/>
            <w:bottom w:w="0" w:type="dxa"/>
            <w:right w:w="108" w:type="dxa"/>
          </w:tblCellMar>
        </w:tblPrEx>
        <w:trPr>
          <w:trHeight w:val="349" w:hRule="atLeast"/>
        </w:trPr>
        <w:tc>
          <w:tcPr>
            <w:tcW w:w="541" w:type="dxa"/>
            <w:tcBorders>
              <w:top w:val="nil"/>
              <w:left w:val="single" w:color="auto" w:sz="4" w:space="0"/>
              <w:bottom w:val="single" w:color="auto" w:sz="4" w:space="0"/>
              <w:right w:val="single" w:color="auto" w:sz="4" w:space="0"/>
            </w:tcBorders>
            <w:shd w:val="clear" w:color="auto" w:fill="auto"/>
            <w:noWrap/>
            <w:textDirection w:val="tbRlV"/>
            <w:vAlign w:val="center"/>
          </w:tcPr>
          <w:p w14:paraId="119002D2">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tcBorders>
              <w:top w:val="nil"/>
              <w:left w:val="nil"/>
              <w:bottom w:val="single" w:color="auto" w:sz="4" w:space="0"/>
              <w:right w:val="single" w:color="auto" w:sz="4" w:space="0"/>
            </w:tcBorders>
            <w:shd w:val="clear" w:color="auto" w:fill="auto"/>
            <w:vAlign w:val="center"/>
          </w:tcPr>
          <w:p w14:paraId="48280836">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14:paraId="67713D3C">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资金使用合规性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15C673A1">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712E4526">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部门（单位）使用预算资金是否符合相关的预算财务管理制度的规定，用以反映和考核部门（单位）预算资金的规范运行情况。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2.资金的拨付有完整的审批程序和手续；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3.重大项目开支经过评估论证；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5.不存在截留、挤占、挪用、虚列支出等情况。</w:t>
            </w:r>
          </w:p>
        </w:tc>
        <w:tc>
          <w:tcPr>
            <w:tcW w:w="3003" w:type="dxa"/>
            <w:gridSpan w:val="2"/>
            <w:tcBorders>
              <w:top w:val="nil"/>
              <w:left w:val="nil"/>
              <w:bottom w:val="single" w:color="auto" w:sz="4" w:space="0"/>
              <w:right w:val="single" w:color="auto" w:sz="4" w:space="0"/>
            </w:tcBorders>
            <w:shd w:val="clear" w:color="auto" w:fill="auto"/>
            <w:vAlign w:val="center"/>
          </w:tcPr>
          <w:p w14:paraId="5242B2B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w:t>
            </w:r>
          </w:p>
        </w:tc>
        <w:tc>
          <w:tcPr>
            <w:tcW w:w="1029" w:type="dxa"/>
            <w:gridSpan w:val="2"/>
            <w:tcBorders>
              <w:top w:val="nil"/>
              <w:left w:val="nil"/>
              <w:bottom w:val="single" w:color="auto" w:sz="4" w:space="0"/>
              <w:right w:val="single" w:color="auto" w:sz="4" w:space="0"/>
            </w:tcBorders>
            <w:shd w:val="clear" w:color="auto" w:fill="auto"/>
            <w:vAlign w:val="center"/>
          </w:tcPr>
          <w:p w14:paraId="67E3B1A8">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根据本年度资产实际情况分析</w:t>
            </w:r>
          </w:p>
        </w:tc>
        <w:tc>
          <w:tcPr>
            <w:tcW w:w="728" w:type="dxa"/>
            <w:gridSpan w:val="2"/>
            <w:tcBorders>
              <w:top w:val="nil"/>
              <w:left w:val="nil"/>
              <w:bottom w:val="single" w:color="auto" w:sz="4" w:space="0"/>
              <w:right w:val="single" w:color="auto" w:sz="4" w:space="0"/>
            </w:tcBorders>
            <w:shd w:val="clear" w:color="auto" w:fill="auto"/>
            <w:vAlign w:val="center"/>
          </w:tcPr>
          <w:p w14:paraId="0F646C35">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936" w:type="dxa"/>
            <w:gridSpan w:val="2"/>
            <w:tcBorders>
              <w:top w:val="nil"/>
              <w:left w:val="nil"/>
              <w:bottom w:val="single" w:color="auto" w:sz="4" w:space="0"/>
              <w:right w:val="single" w:color="auto" w:sz="4" w:space="0"/>
            </w:tcBorders>
            <w:shd w:val="clear" w:color="auto" w:fill="auto"/>
            <w:vAlign w:val="center"/>
          </w:tcPr>
          <w:p w14:paraId="35A57454">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757" w:type="dxa"/>
            <w:gridSpan w:val="2"/>
            <w:tcBorders>
              <w:top w:val="nil"/>
              <w:left w:val="nil"/>
              <w:bottom w:val="single" w:color="auto" w:sz="4" w:space="0"/>
              <w:right w:val="single" w:color="auto" w:sz="4" w:space="0"/>
            </w:tcBorders>
            <w:shd w:val="clear" w:color="auto" w:fill="auto"/>
            <w:vAlign w:val="center"/>
          </w:tcPr>
          <w:p w14:paraId="278392E1">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noWrap/>
            <w:vAlign w:val="center"/>
          </w:tcPr>
          <w:p w14:paraId="505C39D4">
            <w:pPr>
              <w:widowControl/>
              <w:jc w:val="center"/>
              <w:rPr>
                <w:rFonts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7C7877B0">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预算资金.符合国家财经法规和财务管理制度规定以及有关专项资金管理办法的规定；资金的拨付有完整的审批程序和手续；.重大项目开支经过评估论证；符合部门预算批复的用途；不存在截留、挤占、挪用、虚列支出等情况。</w:t>
            </w:r>
          </w:p>
        </w:tc>
      </w:tr>
      <w:tr w14:paraId="19393FBA">
        <w:tblPrEx>
          <w:tblCellMar>
            <w:top w:w="0" w:type="dxa"/>
            <w:left w:w="108" w:type="dxa"/>
            <w:bottom w:w="0" w:type="dxa"/>
            <w:right w:w="108" w:type="dxa"/>
          </w:tblCellMar>
        </w:tblPrEx>
        <w:trPr>
          <w:trHeight w:val="198"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358C3DB5">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效果</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14:paraId="6C0D34E8">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履职尽责（60分）</w:t>
            </w:r>
          </w:p>
        </w:tc>
        <w:tc>
          <w:tcPr>
            <w:tcW w:w="684" w:type="dxa"/>
            <w:tcBorders>
              <w:top w:val="nil"/>
              <w:left w:val="nil"/>
              <w:bottom w:val="single" w:color="auto" w:sz="4" w:space="0"/>
              <w:right w:val="single" w:color="auto" w:sz="4" w:space="0"/>
            </w:tcBorders>
            <w:shd w:val="clear" w:color="auto" w:fill="auto"/>
            <w:vAlign w:val="center"/>
          </w:tcPr>
          <w:p w14:paraId="6F2F608F">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项目产出</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（40分）</w:t>
            </w:r>
          </w:p>
        </w:tc>
        <w:tc>
          <w:tcPr>
            <w:tcW w:w="360" w:type="dxa"/>
            <w:tcBorders>
              <w:top w:val="nil"/>
              <w:left w:val="nil"/>
              <w:bottom w:val="single" w:color="auto" w:sz="4" w:space="0"/>
              <w:right w:val="single" w:color="auto" w:sz="4" w:space="0"/>
            </w:tcBorders>
            <w:shd w:val="clear" w:color="auto" w:fill="auto"/>
            <w:vAlign w:val="center"/>
          </w:tcPr>
          <w:p w14:paraId="467362E3">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3251" w:type="dxa"/>
            <w:tcBorders>
              <w:top w:val="nil"/>
              <w:left w:val="nil"/>
              <w:bottom w:val="single" w:color="auto" w:sz="4" w:space="0"/>
              <w:right w:val="single" w:color="auto" w:sz="4" w:space="0"/>
            </w:tcBorders>
            <w:shd w:val="clear" w:color="auto" w:fill="auto"/>
            <w:vAlign w:val="center"/>
          </w:tcPr>
          <w:p w14:paraId="5FD4298A">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1853E15D">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1.若为定性指标，根据“三档”原则分别按照指标分值的100-80%（含）、80-50%（含）、50-10%来记分；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029" w:type="dxa"/>
            <w:gridSpan w:val="2"/>
            <w:tcBorders>
              <w:top w:val="nil"/>
              <w:left w:val="nil"/>
              <w:bottom w:val="single" w:color="auto" w:sz="4" w:space="0"/>
              <w:right w:val="single" w:color="auto" w:sz="4" w:space="0"/>
            </w:tcBorders>
            <w:shd w:val="clear" w:color="auto" w:fill="auto"/>
            <w:vAlign w:val="center"/>
          </w:tcPr>
          <w:p w14:paraId="0C20978D">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2019年决算数并与年初预算目标绩效表对比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14:paraId="1CA2757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936" w:type="dxa"/>
            <w:gridSpan w:val="2"/>
            <w:tcBorders>
              <w:top w:val="nil"/>
              <w:left w:val="nil"/>
              <w:bottom w:val="single" w:color="auto" w:sz="4" w:space="0"/>
              <w:right w:val="single" w:color="auto" w:sz="4" w:space="0"/>
            </w:tcBorders>
            <w:shd w:val="clear" w:color="auto" w:fill="auto"/>
            <w:vAlign w:val="center"/>
          </w:tcPr>
          <w:p w14:paraId="6D87549D">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757" w:type="dxa"/>
            <w:gridSpan w:val="2"/>
            <w:tcBorders>
              <w:top w:val="nil"/>
              <w:left w:val="nil"/>
              <w:bottom w:val="single" w:color="auto" w:sz="4" w:space="0"/>
              <w:right w:val="single" w:color="auto" w:sz="4" w:space="0"/>
            </w:tcBorders>
            <w:shd w:val="clear" w:color="auto" w:fill="auto"/>
            <w:vAlign w:val="center"/>
          </w:tcPr>
          <w:p w14:paraId="18D15341">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39</w:t>
            </w:r>
          </w:p>
        </w:tc>
        <w:tc>
          <w:tcPr>
            <w:tcW w:w="1246" w:type="dxa"/>
            <w:gridSpan w:val="2"/>
            <w:tcBorders>
              <w:top w:val="nil"/>
              <w:left w:val="nil"/>
              <w:bottom w:val="single" w:color="auto" w:sz="4" w:space="0"/>
              <w:right w:val="single" w:color="auto" w:sz="4" w:space="0"/>
            </w:tcBorders>
            <w:shd w:val="clear" w:color="auto" w:fill="auto"/>
            <w:noWrap/>
            <w:vAlign w:val="center"/>
          </w:tcPr>
          <w:p w14:paraId="5F632FA6">
            <w:pPr>
              <w:widowControl/>
              <w:jc w:val="center"/>
              <w:rPr>
                <w:rFonts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5FA03B70">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14:paraId="5BAC7F20">
        <w:tblPrEx>
          <w:tblCellMar>
            <w:top w:w="0" w:type="dxa"/>
            <w:left w:w="108" w:type="dxa"/>
            <w:bottom w:w="0" w:type="dxa"/>
            <w:right w:w="108" w:type="dxa"/>
          </w:tblCellMar>
        </w:tblPrEx>
        <w:trPr>
          <w:trHeight w:val="198" w:hRule="atLeast"/>
        </w:trPr>
        <w:tc>
          <w:tcPr>
            <w:tcW w:w="541" w:type="dxa"/>
            <w:vMerge w:val="continue"/>
            <w:tcBorders>
              <w:top w:val="nil"/>
              <w:left w:val="single" w:color="auto" w:sz="4" w:space="0"/>
              <w:bottom w:val="single" w:color="auto" w:sz="4" w:space="0"/>
              <w:right w:val="single" w:color="auto" w:sz="4" w:space="0"/>
            </w:tcBorders>
            <w:vAlign w:val="center"/>
          </w:tcPr>
          <w:p w14:paraId="3D3DD031">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67262B5F">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14:paraId="129D65D4">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项目效益</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（20分）</w:t>
            </w:r>
          </w:p>
        </w:tc>
        <w:tc>
          <w:tcPr>
            <w:tcW w:w="360" w:type="dxa"/>
            <w:tcBorders>
              <w:top w:val="nil"/>
              <w:left w:val="nil"/>
              <w:bottom w:val="single" w:color="auto" w:sz="4" w:space="0"/>
              <w:right w:val="single" w:color="auto" w:sz="4" w:space="0"/>
            </w:tcBorders>
            <w:shd w:val="clear" w:color="auto" w:fill="auto"/>
            <w:vAlign w:val="center"/>
          </w:tcPr>
          <w:p w14:paraId="457AEE3B">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3251" w:type="dxa"/>
            <w:tcBorders>
              <w:top w:val="nil"/>
              <w:left w:val="nil"/>
              <w:bottom w:val="single" w:color="auto" w:sz="4" w:space="0"/>
              <w:right w:val="single" w:color="auto" w:sz="4" w:space="0"/>
            </w:tcBorders>
            <w:shd w:val="clear" w:color="auto" w:fill="auto"/>
            <w:vAlign w:val="center"/>
          </w:tcPr>
          <w:p w14:paraId="4AD1FE0A">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continue"/>
            <w:tcBorders>
              <w:top w:val="nil"/>
              <w:left w:val="single" w:color="auto" w:sz="4" w:space="0"/>
              <w:bottom w:val="single" w:color="auto" w:sz="4" w:space="0"/>
              <w:right w:val="single" w:color="auto" w:sz="4" w:space="0"/>
            </w:tcBorders>
            <w:vAlign w:val="center"/>
          </w:tcPr>
          <w:p w14:paraId="794F1952">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single" w:color="auto" w:sz="4" w:space="0"/>
              <w:right w:val="single" w:color="auto" w:sz="4" w:space="0"/>
            </w:tcBorders>
            <w:shd w:val="clear" w:color="auto" w:fill="auto"/>
            <w:vAlign w:val="center"/>
          </w:tcPr>
          <w:p w14:paraId="603C7C2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根据工作实际与年初预算目标绩效表对比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14:paraId="4BF66F6D">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936" w:type="dxa"/>
            <w:gridSpan w:val="2"/>
            <w:tcBorders>
              <w:top w:val="nil"/>
              <w:left w:val="nil"/>
              <w:bottom w:val="single" w:color="auto" w:sz="4" w:space="0"/>
              <w:right w:val="single" w:color="auto" w:sz="4" w:space="0"/>
            </w:tcBorders>
            <w:shd w:val="clear" w:color="auto" w:fill="auto"/>
            <w:vAlign w:val="center"/>
          </w:tcPr>
          <w:p w14:paraId="20CECDA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757" w:type="dxa"/>
            <w:gridSpan w:val="2"/>
            <w:tcBorders>
              <w:top w:val="nil"/>
              <w:left w:val="nil"/>
              <w:bottom w:val="single" w:color="auto" w:sz="4" w:space="0"/>
              <w:right w:val="single" w:color="auto" w:sz="4" w:space="0"/>
            </w:tcBorders>
            <w:shd w:val="clear" w:color="auto" w:fill="auto"/>
            <w:vAlign w:val="center"/>
          </w:tcPr>
          <w:p w14:paraId="5E60B2BF">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19</w:t>
            </w:r>
          </w:p>
        </w:tc>
        <w:tc>
          <w:tcPr>
            <w:tcW w:w="1246" w:type="dxa"/>
            <w:gridSpan w:val="2"/>
            <w:tcBorders>
              <w:top w:val="nil"/>
              <w:left w:val="nil"/>
              <w:bottom w:val="single" w:color="auto" w:sz="4" w:space="0"/>
              <w:right w:val="single" w:color="auto" w:sz="4" w:space="0"/>
            </w:tcBorders>
            <w:shd w:val="clear" w:color="auto" w:fill="auto"/>
            <w:noWrap/>
            <w:vAlign w:val="center"/>
          </w:tcPr>
          <w:p w14:paraId="32D4E175">
            <w:pPr>
              <w:widowControl/>
              <w:jc w:val="center"/>
              <w:rPr>
                <w:rFonts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6EC88292">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14:paraId="56533384">
        <w:tblPrEx>
          <w:tblCellMar>
            <w:top w:w="0" w:type="dxa"/>
            <w:left w:w="108" w:type="dxa"/>
            <w:bottom w:w="0" w:type="dxa"/>
            <w:right w:w="108" w:type="dxa"/>
          </w:tblCellMar>
        </w:tblPrEx>
        <w:trPr>
          <w:trHeight w:val="1194" w:hRule="atLeast"/>
        </w:trPr>
        <w:tc>
          <w:tcPr>
            <w:tcW w:w="14708"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14:paraId="1B57F22D">
            <w:pPr>
              <w:widowControl/>
              <w:spacing w:line="200" w:lineRule="exact"/>
              <w:jc w:val="left"/>
              <w:rPr>
                <w:rFonts w:ascii="宋体" w:hAnsi="宋体" w:eastAsia="宋体" w:cs="宋体"/>
                <w:kern w:val="0"/>
                <w:sz w:val="20"/>
              </w:rPr>
            </w:pPr>
            <w:r>
              <w:rPr>
                <w:rFonts w:hint="eastAsia" w:ascii="宋体" w:hAnsi="宋体" w:eastAsia="宋体" w:cs="宋体"/>
                <w:kern w:val="0"/>
                <w:sz w:val="20"/>
              </w:rPr>
              <w:t>备注：</w:t>
            </w:r>
            <w:r>
              <w:rPr>
                <w:rFonts w:hint="eastAsia" w:ascii="宋体" w:hAnsi="宋体" w:eastAsia="宋体" w:cs="宋体"/>
                <w:kern w:val="0"/>
                <w:sz w:val="20"/>
              </w:rPr>
              <w:br w:type="textWrapping"/>
            </w:r>
            <w:r>
              <w:rPr>
                <w:rFonts w:hint="eastAsia" w:ascii="宋体" w:hAnsi="宋体" w:eastAsia="宋体" w:cs="宋体"/>
                <w:kern w:val="0"/>
                <w:sz w:val="20"/>
              </w:rPr>
              <w:t>1.“项目产出”和“项目效果”直接细化成部门年初绩效目标中的指标，并根据重要程度赋权。</w:t>
            </w:r>
            <w:r>
              <w:rPr>
                <w:rFonts w:hint="eastAsia" w:ascii="宋体" w:hAnsi="宋体" w:eastAsia="宋体" w:cs="宋体"/>
                <w:kern w:val="0"/>
                <w:sz w:val="20"/>
              </w:rPr>
              <w:br w:type="textWrapping"/>
            </w:r>
            <w:r>
              <w:rPr>
                <w:rFonts w:hint="eastAsia" w:ascii="宋体" w:hAnsi="宋体" w:eastAsia="宋体" w:cs="宋体"/>
                <w:kern w:val="0"/>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14:paraId="0654A859">
      <w:pPr>
        <w:widowControl/>
        <w:jc w:val="left"/>
        <w:rPr>
          <w:rFonts w:ascii="仿宋_GB2312" w:hAnsi="仿宋_GB2312" w:eastAsia="仿宋_GB2312" w:cs="仿宋_GB2312"/>
          <w:color w:val="000000"/>
          <w:kern w:val="0"/>
          <w:sz w:val="31"/>
          <w:szCs w:val="31"/>
        </w:rPr>
      </w:pPr>
    </w:p>
    <w:p w14:paraId="7A60893E">
      <w:pPr>
        <w:widowControl/>
        <w:jc w:val="left"/>
        <w:rPr>
          <w:rFonts w:ascii="仿宋_GB2312" w:hAnsi="仿宋_GB2312" w:eastAsia="仿宋_GB2312" w:cs="仿宋_GB2312"/>
          <w:color w:val="000000"/>
          <w:kern w:val="0"/>
          <w:sz w:val="31"/>
          <w:szCs w:val="31"/>
        </w:rPr>
      </w:pPr>
    </w:p>
    <w:p w14:paraId="6DEF54D7">
      <w:pPr>
        <w:rPr>
          <w:rFonts w:ascii="黑体" w:hAnsi="黑体" w:eastAsia="黑体"/>
          <w:color w:val="000000"/>
          <w:kern w:val="0"/>
          <w:szCs w:val="32"/>
        </w:rPr>
      </w:pPr>
    </w:p>
    <w:p w14:paraId="68AE118F">
      <w:pPr>
        <w:ind w:firstLine="640" w:firstLineChars="200"/>
        <w:rPr>
          <w:rFonts w:ascii="黑体" w:hAnsi="黑体" w:eastAsia="黑体"/>
          <w:color w:val="000000"/>
          <w:kern w:val="0"/>
          <w:szCs w:val="32"/>
        </w:rPr>
      </w:pPr>
    </w:p>
    <w:p w14:paraId="0291CD64">
      <w:pPr>
        <w:rPr>
          <w:rFonts w:ascii="黑体" w:hAnsi="黑体" w:eastAsia="黑体"/>
          <w:color w:val="000000"/>
          <w:kern w:val="0"/>
          <w:szCs w:val="32"/>
        </w:rPr>
      </w:pPr>
    </w:p>
    <w:p w14:paraId="27D81D5A">
      <w:pPr>
        <w:rPr>
          <w:rFonts w:ascii="黑体" w:hAnsi="黑体" w:eastAsia="黑体"/>
          <w:color w:val="000000"/>
          <w:kern w:val="0"/>
          <w:szCs w:val="32"/>
        </w:rPr>
        <w:sectPr>
          <w:pgSz w:w="16838" w:h="11906" w:orient="landscape"/>
          <w:pgMar w:top="1800" w:right="1440" w:bottom="1800" w:left="1440" w:header="851" w:footer="992" w:gutter="0"/>
          <w:cols w:space="425" w:num="1"/>
          <w:docGrid w:type="lines" w:linePitch="312" w:charSpace="0"/>
        </w:sectPr>
      </w:pPr>
    </w:p>
    <w:p w14:paraId="2192C326">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14:paraId="1754B8FA">
      <w:pPr>
        <w:widowControl/>
        <w:ind w:firstLine="643" w:firstLineChars="200"/>
        <w:jc w:val="left"/>
      </w:pPr>
      <w:r>
        <w:rPr>
          <w:rFonts w:hint="eastAsia" w:ascii="楷体_GB2312" w:hAnsi="宋体" w:eastAsia="楷体_GB2312" w:cs="楷体_GB2312"/>
          <w:b/>
          <w:color w:val="000000"/>
          <w:kern w:val="0"/>
          <w:szCs w:val="32"/>
        </w:rPr>
        <w:t>（一）机关运行经费支出情况说明。</w:t>
      </w:r>
      <w:r>
        <w:rPr>
          <w:rFonts w:ascii="楷体_GB2312" w:hAnsi="宋体" w:eastAsia="楷体_GB2312" w:cs="楷体_GB2312"/>
          <w:b/>
          <w:color w:val="000000"/>
          <w:kern w:val="0"/>
          <w:szCs w:val="32"/>
        </w:rPr>
        <w:t xml:space="preserve"> </w:t>
      </w:r>
    </w:p>
    <w:p w14:paraId="5DC2D1A9">
      <w:pPr>
        <w:widowControl/>
        <w:ind w:firstLine="620" w:firstLineChars="200"/>
        <w:jc w:val="left"/>
        <w:rPr>
          <w:rFonts w:ascii="仿宋_GB2312" w:hAnsi="宋体" w:eastAsia="仿宋_GB2312" w:cs="仿宋_GB2312"/>
          <w:color w:val="000000"/>
          <w:kern w:val="0"/>
          <w:szCs w:val="32"/>
        </w:rPr>
      </w:pP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年度机关运行经费</w:t>
      </w:r>
      <w:r>
        <w:rPr>
          <w:rFonts w:hint="eastAsia" w:ascii="仿宋_GB2312" w:hAnsi="宋体" w:eastAsia="仿宋_GB2312" w:cs="仿宋_GB2312"/>
          <w:color w:val="000000"/>
          <w:kern w:val="0"/>
          <w:szCs w:val="32"/>
        </w:rPr>
        <w:t>预算为</w:t>
      </w:r>
      <w:r>
        <w:rPr>
          <w:rFonts w:ascii="仿宋_GB2312" w:hAnsi="宋体" w:eastAsia="仿宋_GB2312" w:cs="仿宋_GB2312"/>
          <w:color w:val="000000"/>
          <w:kern w:val="0"/>
          <w:szCs w:val="32"/>
        </w:rPr>
        <w:t>44.82</w:t>
      </w:r>
      <w:r>
        <w:rPr>
          <w:rFonts w:hint="eastAsia" w:ascii="仿宋_GB2312" w:hAnsi="宋体" w:eastAsia="仿宋_GB2312" w:cs="仿宋_GB2312"/>
          <w:color w:val="000000"/>
          <w:kern w:val="0"/>
          <w:szCs w:val="32"/>
        </w:rPr>
        <w:t>万元，支出决算为</w:t>
      </w:r>
      <w:r>
        <w:rPr>
          <w:rFonts w:ascii="仿宋_GB2312" w:hAnsi="宋体" w:eastAsia="仿宋_GB2312" w:cs="仿宋_GB2312"/>
          <w:color w:val="000000"/>
          <w:kern w:val="0"/>
          <w:szCs w:val="32"/>
        </w:rPr>
        <w:t>39.98</w:t>
      </w:r>
      <w:r>
        <w:rPr>
          <w:rFonts w:hint="eastAsia" w:ascii="仿宋_GB2312" w:hAnsi="宋体" w:eastAsia="仿宋_GB2312" w:cs="仿宋_GB2312"/>
          <w:color w:val="000000"/>
          <w:kern w:val="0"/>
          <w:szCs w:val="32"/>
        </w:rPr>
        <w:t>万元，完成预算的</w:t>
      </w:r>
      <w:r>
        <w:rPr>
          <w:rFonts w:ascii="仿宋_GB2312" w:hAnsi="宋体" w:eastAsia="仿宋_GB2312" w:cs="仿宋_GB2312"/>
          <w:color w:val="000000"/>
          <w:kern w:val="0"/>
          <w:szCs w:val="32"/>
        </w:rPr>
        <w:t>89%</w:t>
      </w:r>
      <w:r>
        <w:rPr>
          <w:rFonts w:hint="eastAsia" w:ascii="仿宋_GB2312" w:hAnsi="宋体" w:eastAsia="仿宋_GB2312" w:cs="仿宋_GB2312"/>
          <w:color w:val="000000"/>
          <w:kern w:val="0"/>
          <w:szCs w:val="32"/>
        </w:rPr>
        <w:t>。决算数较预算数减少</w:t>
      </w:r>
      <w:r>
        <w:rPr>
          <w:rFonts w:ascii="仿宋_GB2312" w:hAnsi="宋体" w:eastAsia="仿宋_GB2312" w:cs="仿宋_GB2312"/>
          <w:color w:val="000000"/>
          <w:kern w:val="0"/>
          <w:szCs w:val="32"/>
        </w:rPr>
        <w:t>4.84</w:t>
      </w:r>
      <w:r>
        <w:rPr>
          <w:rFonts w:hint="eastAsia" w:ascii="仿宋_GB2312" w:hAnsi="宋体" w:eastAsia="仿宋_GB2312" w:cs="仿宋_GB2312"/>
          <w:color w:val="000000"/>
          <w:kern w:val="0"/>
          <w:szCs w:val="32"/>
        </w:rPr>
        <w:t>万元，主要原因是严格执行中央八项规定。</w:t>
      </w:r>
    </w:p>
    <w:p w14:paraId="1F98CD0C">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14:paraId="0D912241">
      <w:pPr>
        <w:widowControl/>
        <w:ind w:firstLine="640" w:firstLineChars="200"/>
        <w:jc w:val="left"/>
        <w:rPr>
          <w:rFonts w:ascii="仿宋_GB2312" w:hAnsi="仿宋_GB2312" w:eastAsia="仿宋_GB2312" w:cs="仿宋_GB2312"/>
          <w:szCs w:val="32"/>
        </w:rPr>
      </w:pPr>
      <w:r>
        <w:rPr>
          <w:rFonts w:ascii="仿宋_GB2312" w:hAnsi="仿宋_GB2312" w:eastAsia="仿宋_GB2312" w:cs="仿宋_GB2312"/>
          <w:szCs w:val="32"/>
        </w:rPr>
        <w:t>2019</w:t>
      </w:r>
      <w:r>
        <w:rPr>
          <w:rFonts w:hint="eastAsia" w:ascii="仿宋_GB2312" w:hAnsi="仿宋_GB2312" w:eastAsia="仿宋_GB2312" w:cs="仿宋_GB2312"/>
          <w:szCs w:val="32"/>
        </w:rPr>
        <w:t>年度本部门政府采购支出总额共</w:t>
      </w:r>
      <w:r>
        <w:rPr>
          <w:rFonts w:ascii="仿宋_GB2312" w:hAnsi="仿宋_GB2312" w:eastAsia="仿宋_GB2312" w:cs="仿宋_GB2312"/>
          <w:szCs w:val="32"/>
        </w:rPr>
        <w:t>2843.46</w:t>
      </w:r>
      <w:r>
        <w:rPr>
          <w:rFonts w:hint="eastAsia" w:ascii="仿宋_GB2312" w:hAnsi="仿宋_GB2312" w:eastAsia="仿宋_GB2312" w:cs="仿宋_GB2312"/>
          <w:szCs w:val="32"/>
        </w:rPr>
        <w:t>万元，其中政府采购货物类支出</w:t>
      </w:r>
      <w:r>
        <w:rPr>
          <w:rFonts w:ascii="仿宋_GB2312" w:hAnsi="仿宋_GB2312" w:eastAsia="仿宋_GB2312" w:cs="仿宋_GB2312"/>
          <w:szCs w:val="32"/>
        </w:rPr>
        <w:t>0</w:t>
      </w:r>
      <w:r>
        <w:rPr>
          <w:rFonts w:hint="eastAsia" w:ascii="仿宋_GB2312" w:hAnsi="仿宋_GB2312" w:eastAsia="仿宋_GB2312" w:cs="仿宋_GB2312"/>
          <w:szCs w:val="32"/>
        </w:rPr>
        <w:t>万元、政府采购服务类支出</w:t>
      </w:r>
      <w:r>
        <w:rPr>
          <w:rFonts w:ascii="仿宋_GB2312" w:hAnsi="仿宋_GB2312" w:eastAsia="仿宋_GB2312" w:cs="仿宋_GB2312"/>
          <w:szCs w:val="32"/>
        </w:rPr>
        <w:t>2843.46</w:t>
      </w:r>
      <w:r>
        <w:rPr>
          <w:rFonts w:hint="eastAsia" w:ascii="仿宋_GB2312" w:hAnsi="仿宋_GB2312" w:eastAsia="仿宋_GB2312" w:cs="仿宋_GB2312"/>
          <w:szCs w:val="32"/>
        </w:rPr>
        <w:t>万元、政府采购工程类支出</w:t>
      </w:r>
      <w:r>
        <w:rPr>
          <w:rFonts w:ascii="仿宋_GB2312" w:hAnsi="仿宋_GB2312" w:eastAsia="仿宋_GB2312" w:cs="仿宋_GB2312"/>
          <w:szCs w:val="32"/>
        </w:rPr>
        <w:t>0</w:t>
      </w:r>
      <w:r>
        <w:rPr>
          <w:rFonts w:hint="eastAsia" w:ascii="仿宋_GB2312" w:hAnsi="仿宋_GB2312" w:eastAsia="仿宋_GB2312" w:cs="仿宋_GB2312"/>
          <w:szCs w:val="32"/>
        </w:rPr>
        <w:t>万元。</w:t>
      </w:r>
      <w:r>
        <w:rPr>
          <w:rFonts w:hint="eastAsia" w:ascii="仿宋_GB2312" w:hAnsi="宋体" w:eastAsia="仿宋_GB2312" w:cs="仿宋_GB2312"/>
          <w:color w:val="000000"/>
          <w:kern w:val="0"/>
          <w:szCs w:val="32"/>
        </w:rPr>
        <w:t>授予中小企业合同金额</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万元，占政府采购支出总额的</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，其中：授予小微企业合同金额</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万元，占政府采购支出总额的</w:t>
      </w:r>
      <w:r>
        <w:rPr>
          <w:rFonts w:ascii="仿宋_GB2312" w:hAnsi="宋体" w:eastAsia="仿宋_GB2312" w:cs="仿宋_GB2312"/>
          <w:color w:val="000000"/>
          <w:kern w:val="0"/>
          <w:szCs w:val="32"/>
        </w:rPr>
        <w:t>0%</w:t>
      </w:r>
      <w:r>
        <w:rPr>
          <w:rFonts w:hint="eastAsia" w:ascii="仿宋_GB2312" w:hAnsi="宋体" w:eastAsia="仿宋_GB2312" w:cs="仿宋_GB2312"/>
          <w:color w:val="000000"/>
          <w:kern w:val="0"/>
          <w:szCs w:val="32"/>
        </w:rPr>
        <w:t>。</w:t>
      </w:r>
    </w:p>
    <w:p w14:paraId="7E292EB7">
      <w:pPr>
        <w:ind w:firstLine="640"/>
        <w:rPr>
          <w:rFonts w:ascii="仿宋_GB2312" w:hAnsi="仿宋_GB2312" w:eastAsia="仿宋_GB2312" w:cs="仿宋_GB2312"/>
          <w:szCs w:val="32"/>
        </w:rPr>
      </w:pPr>
      <w:r>
        <w:rPr>
          <w:rFonts w:hint="eastAsia" w:ascii="仿宋_GB2312" w:hAnsi="仿宋_GB2312" w:eastAsia="仿宋_GB2312" w:cs="仿宋_GB2312"/>
          <w:szCs w:val="32"/>
        </w:rPr>
        <w:t>（如不涉及，文字说明“本部门</w:t>
      </w:r>
      <w:r>
        <w:rPr>
          <w:rFonts w:ascii="仿宋_GB2312" w:hAnsi="仿宋_GB2312" w:eastAsia="仿宋_GB2312" w:cs="仿宋_GB2312"/>
          <w:szCs w:val="32"/>
        </w:rPr>
        <w:t>2019</w:t>
      </w:r>
      <w:r>
        <w:rPr>
          <w:rFonts w:hint="eastAsia" w:ascii="仿宋_GB2312" w:hAnsi="仿宋_GB2312" w:eastAsia="仿宋_GB2312" w:cs="仿宋_GB2312"/>
          <w:szCs w:val="32"/>
        </w:rPr>
        <w:t>年度无政府采购支出”）</w:t>
      </w:r>
    </w:p>
    <w:p w14:paraId="1F56EB14">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14:paraId="1C2749D1">
      <w:pPr>
        <w:ind w:firstLine="640"/>
        <w:rPr>
          <w:rFonts w:ascii="仿宋_GB2312" w:hAnsi="仿宋_GB2312" w:eastAsia="仿宋_GB2312" w:cs="仿宋_GB2312"/>
          <w:szCs w:val="32"/>
        </w:rPr>
      </w:pPr>
      <w:r>
        <w:rPr>
          <w:rFonts w:hint="eastAsia" w:ascii="仿宋_GB2312" w:hAnsi="仿宋_GB2312" w:eastAsia="仿宋_GB2312" w:cs="仿宋_GB2312"/>
          <w:szCs w:val="32"/>
        </w:rPr>
        <w:t>截至</w:t>
      </w:r>
      <w:r>
        <w:rPr>
          <w:rFonts w:ascii="仿宋_GB2312" w:hAnsi="仿宋_GB2312" w:eastAsia="仿宋_GB2312" w:cs="仿宋_GB2312"/>
          <w:szCs w:val="32"/>
        </w:rPr>
        <w:t>2019</w:t>
      </w:r>
      <w:r>
        <w:rPr>
          <w:rFonts w:hint="eastAsia" w:ascii="仿宋_GB2312" w:hAnsi="仿宋_GB2312" w:eastAsia="仿宋_GB2312" w:cs="仿宋_GB2312"/>
          <w:szCs w:val="32"/>
        </w:rPr>
        <w:t>年末，本部门机关及所属单位共有车辆</w:t>
      </w:r>
      <w:r>
        <w:rPr>
          <w:rFonts w:ascii="仿宋_GB2312" w:hAnsi="仿宋_GB2312" w:eastAsia="仿宋_GB2312" w:cs="仿宋_GB2312"/>
          <w:szCs w:val="32"/>
        </w:rPr>
        <w:t>12</w:t>
      </w:r>
      <w:r>
        <w:rPr>
          <w:rFonts w:hint="eastAsia" w:ascii="仿宋_GB2312" w:hAnsi="仿宋_GB2312" w:eastAsia="仿宋_GB2312" w:cs="仿宋_GB2312"/>
          <w:szCs w:val="32"/>
        </w:rPr>
        <w:t>辆；单价</w:t>
      </w:r>
      <w:r>
        <w:rPr>
          <w:rFonts w:ascii="仿宋_GB2312" w:hAnsi="仿宋_GB2312" w:eastAsia="仿宋_GB2312" w:cs="仿宋_GB2312"/>
          <w:szCs w:val="32"/>
        </w:rPr>
        <w:t>50</w:t>
      </w:r>
      <w:r>
        <w:rPr>
          <w:rFonts w:hint="eastAsia" w:ascii="仿宋_GB2312" w:hAnsi="仿宋_GB2312" w:eastAsia="仿宋_GB2312" w:cs="仿宋_GB2312"/>
          <w:szCs w:val="32"/>
        </w:rPr>
        <w:t>万元以上的通用设备</w:t>
      </w:r>
      <w:r>
        <w:rPr>
          <w:rFonts w:ascii="仿宋_GB2312" w:hAnsi="仿宋_GB2312" w:eastAsia="仿宋_GB2312" w:cs="仿宋_GB2312"/>
          <w:szCs w:val="32"/>
        </w:rPr>
        <w:t>0</w:t>
      </w:r>
      <w:r>
        <w:rPr>
          <w:rFonts w:hint="eastAsia" w:ascii="仿宋_GB2312" w:hAnsi="仿宋_GB2312" w:eastAsia="仿宋_GB2312" w:cs="仿宋_GB2312"/>
          <w:szCs w:val="32"/>
        </w:rPr>
        <w:t>台（套）；单价</w:t>
      </w:r>
      <w:r>
        <w:rPr>
          <w:rFonts w:ascii="仿宋_GB2312" w:hAnsi="仿宋_GB2312" w:eastAsia="仿宋_GB2312" w:cs="仿宋_GB2312"/>
          <w:szCs w:val="32"/>
        </w:rPr>
        <w:t>100</w:t>
      </w:r>
      <w:r>
        <w:rPr>
          <w:rFonts w:hint="eastAsia" w:ascii="仿宋_GB2312" w:hAnsi="仿宋_GB2312" w:eastAsia="仿宋_GB2312" w:cs="仿宋_GB2312"/>
          <w:szCs w:val="32"/>
        </w:rPr>
        <w:t>万元以上的专用设备</w:t>
      </w:r>
      <w:r>
        <w:rPr>
          <w:rFonts w:ascii="仿宋_GB2312" w:hAnsi="仿宋_GB2312" w:eastAsia="仿宋_GB2312" w:cs="仿宋_GB2312"/>
          <w:szCs w:val="32"/>
        </w:rPr>
        <w:t>0</w:t>
      </w:r>
      <w:r>
        <w:rPr>
          <w:rFonts w:hint="eastAsia" w:ascii="仿宋_GB2312" w:hAnsi="仿宋_GB2312" w:eastAsia="仿宋_GB2312" w:cs="仿宋_GB2312"/>
          <w:szCs w:val="32"/>
        </w:rPr>
        <w:t>台（套）。</w:t>
      </w:r>
      <w:r>
        <w:rPr>
          <w:rFonts w:ascii="仿宋_GB2312" w:hAnsi="仿宋_GB2312" w:eastAsia="仿宋_GB2312" w:cs="仿宋_GB2312"/>
          <w:szCs w:val="32"/>
        </w:rPr>
        <w:t>2019</w:t>
      </w:r>
      <w:r>
        <w:rPr>
          <w:rFonts w:hint="eastAsia" w:ascii="仿宋_GB2312" w:hAnsi="仿宋_GB2312" w:eastAsia="仿宋_GB2312" w:cs="仿宋_GB2312"/>
          <w:szCs w:val="32"/>
        </w:rPr>
        <w:t>年当年购置车辆</w:t>
      </w:r>
      <w:r>
        <w:rPr>
          <w:rFonts w:ascii="仿宋_GB2312" w:hAnsi="仿宋_GB2312" w:eastAsia="仿宋_GB2312" w:cs="仿宋_GB2312"/>
          <w:szCs w:val="32"/>
        </w:rPr>
        <w:t>0</w:t>
      </w:r>
      <w:r>
        <w:rPr>
          <w:rFonts w:hint="eastAsia" w:ascii="仿宋_GB2312" w:hAnsi="仿宋_GB2312" w:eastAsia="仿宋_GB2312" w:cs="仿宋_GB2312"/>
          <w:szCs w:val="32"/>
        </w:rPr>
        <w:t>辆；购置单价</w:t>
      </w:r>
      <w:r>
        <w:rPr>
          <w:rFonts w:ascii="仿宋_GB2312" w:hAnsi="仿宋_GB2312" w:eastAsia="仿宋_GB2312" w:cs="仿宋_GB2312"/>
          <w:szCs w:val="32"/>
        </w:rPr>
        <w:t>50</w:t>
      </w:r>
      <w:r>
        <w:rPr>
          <w:rFonts w:hint="eastAsia" w:ascii="仿宋_GB2312" w:hAnsi="仿宋_GB2312" w:eastAsia="仿宋_GB2312" w:cs="仿宋_GB2312"/>
          <w:szCs w:val="32"/>
        </w:rPr>
        <w:t>万元以上的通用设备</w:t>
      </w:r>
      <w:r>
        <w:rPr>
          <w:rFonts w:ascii="仿宋_GB2312" w:hAnsi="仿宋_GB2312" w:eastAsia="仿宋_GB2312" w:cs="仿宋_GB2312"/>
          <w:szCs w:val="32"/>
        </w:rPr>
        <w:t>0</w:t>
      </w:r>
      <w:r>
        <w:rPr>
          <w:rFonts w:hint="eastAsia" w:ascii="仿宋_GB2312" w:hAnsi="仿宋_GB2312" w:eastAsia="仿宋_GB2312" w:cs="仿宋_GB2312"/>
          <w:szCs w:val="32"/>
        </w:rPr>
        <w:t>台（套）；购置单价</w:t>
      </w:r>
      <w:r>
        <w:rPr>
          <w:rFonts w:ascii="仿宋_GB2312" w:hAnsi="仿宋_GB2312" w:eastAsia="仿宋_GB2312" w:cs="仿宋_GB2312"/>
          <w:szCs w:val="32"/>
        </w:rPr>
        <w:t>100</w:t>
      </w:r>
      <w:r>
        <w:rPr>
          <w:rFonts w:hint="eastAsia" w:ascii="仿宋_GB2312" w:hAnsi="仿宋_GB2312" w:eastAsia="仿宋_GB2312" w:cs="仿宋_GB2312"/>
          <w:szCs w:val="32"/>
        </w:rPr>
        <w:t>万元以上的专用设备</w:t>
      </w:r>
      <w:r>
        <w:rPr>
          <w:rFonts w:ascii="仿宋_GB2312" w:hAnsi="仿宋_GB2312" w:eastAsia="仿宋_GB2312" w:cs="仿宋_GB2312"/>
          <w:szCs w:val="32"/>
        </w:rPr>
        <w:t>0</w:t>
      </w:r>
      <w:r>
        <w:rPr>
          <w:rFonts w:hint="eastAsia" w:ascii="仿宋_GB2312" w:hAnsi="仿宋_GB2312" w:eastAsia="仿宋_GB2312" w:cs="仿宋_GB2312"/>
          <w:szCs w:val="32"/>
        </w:rPr>
        <w:t>台（套）。</w:t>
      </w:r>
    </w:p>
    <w:p w14:paraId="60A3F40C">
      <w:pPr>
        <w:widowControl/>
        <w:jc w:val="left"/>
        <w:rPr>
          <w:rFonts w:ascii="黑体" w:hAnsi="宋体" w:eastAsia="黑体"/>
          <w:color w:val="000000"/>
          <w:kern w:val="0"/>
          <w:szCs w:val="32"/>
        </w:rPr>
      </w:pPr>
    </w:p>
    <w:p w14:paraId="5EABCB52">
      <w:pPr>
        <w:widowControl/>
        <w:jc w:val="left"/>
        <w:rPr>
          <w:rFonts w:ascii="黑体" w:hAnsi="宋体" w:eastAsia="黑体"/>
          <w:color w:val="000000"/>
          <w:kern w:val="0"/>
          <w:szCs w:val="32"/>
        </w:rPr>
      </w:pPr>
    </w:p>
    <w:p w14:paraId="370D44C4">
      <w:pPr>
        <w:widowControl/>
        <w:jc w:val="left"/>
        <w:rPr>
          <w:rFonts w:ascii="黑体" w:hAnsi="宋体" w:eastAsia="黑体"/>
          <w:color w:val="000000"/>
          <w:kern w:val="0"/>
          <w:szCs w:val="32"/>
        </w:rPr>
      </w:pPr>
    </w:p>
    <w:p w14:paraId="6E81E55B">
      <w:pPr>
        <w:numPr>
          <w:ilvl w:val="0"/>
          <w:numId w:val="2"/>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14:paraId="2EE473E8">
      <w:pPr>
        <w:rPr>
          <w:rFonts w:ascii="黑体" w:hAnsi="宋体" w:eastAsia="黑体"/>
          <w:color w:val="000000"/>
          <w:kern w:val="0"/>
          <w:sz w:val="44"/>
          <w:szCs w:val="44"/>
        </w:rPr>
      </w:pPr>
    </w:p>
    <w:p w14:paraId="0E2905E1">
      <w:pPr>
        <w:ind w:firstLine="643" w:firstLineChars="200"/>
        <w:rPr>
          <w:rFonts w:ascii="仿宋_GB2312" w:hAnsi="仿宋_GB2312" w:eastAsia="仿宋_GB2312" w:cs="仿宋_GB2312"/>
          <w:szCs w:val="32"/>
        </w:rPr>
      </w:pPr>
      <w:r>
        <w:rPr>
          <w:rFonts w:ascii="仿宋_GB2312" w:hAnsi="仿宋_GB2312" w:eastAsia="仿宋_GB2312" w:cs="仿宋_GB2312"/>
          <w:b/>
          <w:bCs/>
          <w:szCs w:val="32"/>
        </w:rPr>
        <w:t>1.</w:t>
      </w:r>
      <w:r>
        <w:rPr>
          <w:rFonts w:hint="eastAsia" w:ascii="仿宋_GB2312" w:hAnsi="仿宋_GB2312" w:eastAsia="仿宋_GB2312" w:cs="仿宋_GB2312"/>
          <w:b/>
          <w:bCs/>
          <w:szCs w:val="32"/>
        </w:rPr>
        <w:t>基本支出</w:t>
      </w:r>
      <w:r>
        <w:rPr>
          <w:rFonts w:hint="eastAsia" w:ascii="仿宋_GB2312" w:hAnsi="仿宋_GB2312" w:eastAsia="仿宋_GB2312" w:cs="仿宋_GB2312"/>
          <w:szCs w:val="32"/>
        </w:rPr>
        <w:t>：指为保障机构正常运转、完成日常工作任务而发生的各项支出。</w:t>
      </w:r>
    </w:p>
    <w:p w14:paraId="685B179F">
      <w:pPr>
        <w:ind w:firstLine="643" w:firstLineChars="200"/>
        <w:rPr>
          <w:rFonts w:ascii="仿宋_GB2312" w:hAnsi="仿宋_GB2312" w:eastAsia="仿宋_GB2312" w:cs="仿宋_GB2312"/>
          <w:szCs w:val="32"/>
        </w:rPr>
      </w:pPr>
      <w:r>
        <w:rPr>
          <w:rFonts w:ascii="仿宋_GB2312" w:hAnsi="仿宋_GB2312" w:eastAsia="仿宋_GB2312" w:cs="仿宋_GB2312"/>
          <w:b/>
          <w:bCs/>
          <w:szCs w:val="32"/>
        </w:rPr>
        <w:t>2.</w:t>
      </w:r>
      <w:r>
        <w:rPr>
          <w:rFonts w:hint="eastAsia" w:ascii="仿宋_GB2312" w:hAnsi="仿宋_GB2312" w:eastAsia="仿宋_GB2312" w:cs="仿宋_GB2312"/>
          <w:b/>
          <w:bCs/>
          <w:szCs w:val="32"/>
        </w:rPr>
        <w:t>项目支出</w:t>
      </w:r>
      <w:r>
        <w:rPr>
          <w:rFonts w:hint="eastAsia" w:ascii="仿宋_GB2312" w:hAnsi="仿宋_GB2312" w:eastAsia="仿宋_GB2312" w:cs="仿宋_GB2312"/>
          <w:szCs w:val="32"/>
        </w:rPr>
        <w:t>：指单位为完成特定的行政工作任务或事业发展目标所发生的各项支出。</w:t>
      </w:r>
    </w:p>
    <w:p w14:paraId="3D2F8842">
      <w:pPr>
        <w:ind w:firstLine="640"/>
        <w:rPr>
          <w:rFonts w:ascii="仿宋_GB2312" w:hAnsi="仿宋_GB2312" w:eastAsia="仿宋_GB2312" w:cs="仿宋_GB2312"/>
          <w:szCs w:val="32"/>
        </w:rPr>
      </w:pPr>
      <w:r>
        <w:rPr>
          <w:rFonts w:ascii="仿宋_GB2312" w:hAnsi="仿宋_GB2312" w:eastAsia="仿宋_GB2312" w:cs="仿宋_GB2312"/>
          <w:b/>
          <w:bCs/>
          <w:szCs w:val="32"/>
        </w:rPr>
        <w:t>3.</w:t>
      </w:r>
      <w:r>
        <w:rPr>
          <w:rFonts w:hint="eastAsia" w:ascii="仿宋_GB2312" w:hAnsi="仿宋_GB2312" w:eastAsia="仿宋_GB2312" w:cs="仿宋_GB2312"/>
          <w:b/>
          <w:bCs/>
          <w:szCs w:val="32"/>
        </w:rPr>
        <w:t>“三公”经费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14:paraId="20DAD81F">
      <w:pPr>
        <w:ind w:firstLine="640"/>
        <w:rPr>
          <w:rFonts w:ascii="仿宋_GB2312" w:hAnsi="仿宋_GB2312" w:eastAsia="仿宋_GB2312" w:cs="仿宋_GB2312"/>
          <w:szCs w:val="32"/>
        </w:rPr>
      </w:pPr>
      <w:r>
        <w:rPr>
          <w:rFonts w:ascii="仿宋_GB2312" w:hAnsi="仿宋_GB2312" w:eastAsia="仿宋_GB2312" w:cs="仿宋_GB2312"/>
          <w:b/>
          <w:bCs/>
          <w:szCs w:val="32"/>
        </w:rPr>
        <w:t>4.</w:t>
      </w:r>
      <w:r>
        <w:rPr>
          <w:rFonts w:hint="eastAsia" w:ascii="仿宋_GB2312" w:hAnsi="仿宋_GB2312" w:eastAsia="仿宋_GB2312" w:cs="仿宋_GB2312"/>
          <w:b/>
          <w:bCs/>
          <w:szCs w:val="32"/>
        </w:rPr>
        <w:t>财政拨款收入</w:t>
      </w:r>
      <w:r>
        <w:rPr>
          <w:rFonts w:hint="eastAsia" w:ascii="仿宋_GB2312" w:hAnsi="仿宋_GB2312" w:eastAsia="仿宋_GB2312" w:cs="仿宋_GB2312"/>
          <w:szCs w:val="32"/>
        </w:rPr>
        <w:t>：指本级财政当年拨付的资金。</w:t>
      </w:r>
    </w:p>
    <w:p w14:paraId="064BFAE5">
      <w:pPr>
        <w:ind w:firstLine="640"/>
        <w:rPr>
          <w:rFonts w:ascii="仿宋_GB2312" w:hAnsi="仿宋_GB2312" w:eastAsia="仿宋_GB2312" w:cs="仿宋_GB2312"/>
          <w:szCs w:val="32"/>
        </w:rPr>
      </w:pPr>
      <w:r>
        <w:rPr>
          <w:rFonts w:ascii="仿宋_GB2312" w:hAnsi="仿宋_GB2312" w:eastAsia="仿宋_GB2312" w:cs="仿宋_GB2312"/>
          <w:b/>
          <w:bCs/>
          <w:szCs w:val="32"/>
        </w:rPr>
        <w:t>5.</w:t>
      </w:r>
      <w:r>
        <w:rPr>
          <w:rFonts w:hint="eastAsia" w:ascii="仿宋_GB2312" w:hAnsi="仿宋_GB2312" w:eastAsia="仿宋_GB2312" w:cs="仿宋_GB2312"/>
          <w:b/>
          <w:bCs/>
          <w:szCs w:val="32"/>
        </w:rPr>
        <w:t>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14:paraId="1AF6F7DC">
      <w:pPr>
        <w:widowControl/>
        <w:ind w:firstLine="620" w:firstLineChars="200"/>
        <w:jc w:val="left"/>
        <w:rPr>
          <w:rFonts w:ascii="仿宋_GB2312" w:hAnsi="仿宋_GB2312" w:eastAsia="仿宋_GB2312" w:cs="仿宋_GB2312"/>
          <w:color w:val="000000"/>
          <w:kern w:val="0"/>
          <w:sz w:val="31"/>
          <w:szCs w:val="31"/>
        </w:rPr>
      </w:pPr>
    </w:p>
    <w:p w14:paraId="6E23344D">
      <w:pPr>
        <w:widowControl/>
        <w:ind w:firstLine="620" w:firstLineChars="200"/>
        <w:jc w:val="left"/>
        <w:rPr>
          <w:rFonts w:ascii="仿宋_GB2312" w:hAnsi="仿宋_GB2312" w:eastAsia="仿宋_GB2312" w:cs="仿宋_GB2312"/>
          <w:color w:val="000000"/>
          <w:kern w:val="0"/>
          <w:sz w:val="31"/>
          <w:szCs w:val="31"/>
        </w:rPr>
      </w:pPr>
    </w:p>
    <w:p w14:paraId="5B59AA7A">
      <w:pPr>
        <w:widowControl/>
        <w:ind w:firstLine="620" w:firstLineChars="200"/>
        <w:jc w:val="left"/>
        <w:rPr>
          <w:rFonts w:ascii="仿宋_GB2312" w:hAnsi="仿宋_GB2312" w:eastAsia="仿宋_GB2312" w:cs="仿宋_GB2312"/>
          <w:color w:val="000000"/>
          <w:kern w:val="0"/>
          <w:sz w:val="31"/>
          <w:szCs w:val="31"/>
        </w:rPr>
      </w:pPr>
    </w:p>
    <w:p w14:paraId="2EE5E9EE">
      <w:pPr>
        <w:widowControl/>
        <w:ind w:firstLine="620" w:firstLineChars="200"/>
        <w:jc w:val="left"/>
        <w:rPr>
          <w:rFonts w:ascii="仿宋_GB2312" w:hAnsi="仿宋_GB2312" w:eastAsia="仿宋_GB2312" w:cs="仿宋_GB2312"/>
          <w:color w:val="000000"/>
          <w:kern w:val="0"/>
          <w:sz w:val="31"/>
          <w:szCs w:val="31"/>
        </w:rPr>
      </w:pPr>
    </w:p>
    <w:p w14:paraId="6E750171">
      <w:pPr>
        <w:widowControl/>
        <w:jc w:val="left"/>
        <w:rPr>
          <w:rFonts w:ascii="仿宋_GB2312" w:hAnsi="仿宋_GB2312" w:eastAsia="仿宋_GB2312" w:cs="仿宋_GB2312"/>
          <w:color w:val="000000"/>
          <w:kern w:val="0"/>
          <w:sz w:val="31"/>
          <w:szCs w:val="31"/>
        </w:rPr>
      </w:pPr>
    </w:p>
    <w:p w14:paraId="4F12EC81">
      <w:r>
        <w:rPr>
          <w:rFonts w:ascii="仿宋_GB2312" w:hAnsi="仿宋_GB2312" w:eastAsia="仿宋_GB2312" w:cs="仿宋_GB2312"/>
          <w:color w:val="000000"/>
          <w:kern w:val="0"/>
          <w:sz w:val="31"/>
          <w:szCs w:val="3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cs="Times New Roman"/>
      </w:rPr>
    </w:lvl>
  </w:abstractNum>
  <w:abstractNum w:abstractNumId="1">
    <w:nsid w:val="39BEA4A8"/>
    <w:multiLevelType w:val="singleLevel"/>
    <w:tmpl w:val="39BEA4A8"/>
    <w:lvl w:ilvl="0" w:tentative="0">
      <w:start w:val="4"/>
      <w:numFmt w:val="chineseCounting"/>
      <w:suff w:val="space"/>
      <w:lvlText w:val="第%1部分"/>
      <w:lvlJc w:val="left"/>
      <w:rPr>
        <w:rFonts w:hint="eastAsia"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NotTrackMoves/>
  <w:documentProtection w:enforcement="0"/>
  <w:defaultTabStop w:val="420"/>
  <w:drawingGridVerticalSpacing w:val="219"/>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E506C4"/>
    <w:rsid w:val="00005355"/>
    <w:rsid w:val="000D61A4"/>
    <w:rsid w:val="000F5BE1"/>
    <w:rsid w:val="00121382"/>
    <w:rsid w:val="00162336"/>
    <w:rsid w:val="001917BE"/>
    <w:rsid w:val="002273AA"/>
    <w:rsid w:val="00230FB2"/>
    <w:rsid w:val="00233197"/>
    <w:rsid w:val="002474E9"/>
    <w:rsid w:val="00256192"/>
    <w:rsid w:val="00256E53"/>
    <w:rsid w:val="002642AF"/>
    <w:rsid w:val="00266458"/>
    <w:rsid w:val="002A7966"/>
    <w:rsid w:val="002B73A8"/>
    <w:rsid w:val="003076E3"/>
    <w:rsid w:val="00340D98"/>
    <w:rsid w:val="00347F25"/>
    <w:rsid w:val="00394C38"/>
    <w:rsid w:val="003A3D50"/>
    <w:rsid w:val="003A75CC"/>
    <w:rsid w:val="004036C8"/>
    <w:rsid w:val="00413DEB"/>
    <w:rsid w:val="00421E1A"/>
    <w:rsid w:val="00430FBC"/>
    <w:rsid w:val="004A1C9E"/>
    <w:rsid w:val="004E21F4"/>
    <w:rsid w:val="004F3221"/>
    <w:rsid w:val="00504494"/>
    <w:rsid w:val="00521755"/>
    <w:rsid w:val="0054300B"/>
    <w:rsid w:val="00575E0A"/>
    <w:rsid w:val="00592FDC"/>
    <w:rsid w:val="005971FB"/>
    <w:rsid w:val="005B4594"/>
    <w:rsid w:val="005B4DD0"/>
    <w:rsid w:val="00684B11"/>
    <w:rsid w:val="006A2783"/>
    <w:rsid w:val="006C0F06"/>
    <w:rsid w:val="006D382E"/>
    <w:rsid w:val="006E0DF7"/>
    <w:rsid w:val="006E70DE"/>
    <w:rsid w:val="00701987"/>
    <w:rsid w:val="00712769"/>
    <w:rsid w:val="007168FE"/>
    <w:rsid w:val="00743774"/>
    <w:rsid w:val="00760A9D"/>
    <w:rsid w:val="00783F73"/>
    <w:rsid w:val="007A612B"/>
    <w:rsid w:val="007D3A6C"/>
    <w:rsid w:val="007F3430"/>
    <w:rsid w:val="00803916"/>
    <w:rsid w:val="008077EE"/>
    <w:rsid w:val="00831028"/>
    <w:rsid w:val="008402AB"/>
    <w:rsid w:val="008845BD"/>
    <w:rsid w:val="008A3F3F"/>
    <w:rsid w:val="008B5C50"/>
    <w:rsid w:val="008C4EE3"/>
    <w:rsid w:val="008E5206"/>
    <w:rsid w:val="008E60F3"/>
    <w:rsid w:val="008F19AA"/>
    <w:rsid w:val="00916EB8"/>
    <w:rsid w:val="00926DEC"/>
    <w:rsid w:val="00927D1B"/>
    <w:rsid w:val="009477E0"/>
    <w:rsid w:val="00993B56"/>
    <w:rsid w:val="009D5A14"/>
    <w:rsid w:val="009E05B2"/>
    <w:rsid w:val="009E41EE"/>
    <w:rsid w:val="00A14C68"/>
    <w:rsid w:val="00A34073"/>
    <w:rsid w:val="00A426A2"/>
    <w:rsid w:val="00A61B68"/>
    <w:rsid w:val="00A65FD2"/>
    <w:rsid w:val="00A77A2C"/>
    <w:rsid w:val="00A95434"/>
    <w:rsid w:val="00A9667A"/>
    <w:rsid w:val="00AC5343"/>
    <w:rsid w:val="00AD7AA4"/>
    <w:rsid w:val="00AF5C24"/>
    <w:rsid w:val="00B1517B"/>
    <w:rsid w:val="00B2238C"/>
    <w:rsid w:val="00B35637"/>
    <w:rsid w:val="00B72C81"/>
    <w:rsid w:val="00B919B5"/>
    <w:rsid w:val="00B91CFD"/>
    <w:rsid w:val="00BC4A55"/>
    <w:rsid w:val="00C22D50"/>
    <w:rsid w:val="00C30C91"/>
    <w:rsid w:val="00C60C79"/>
    <w:rsid w:val="00C61D66"/>
    <w:rsid w:val="00C6251C"/>
    <w:rsid w:val="00C62AEC"/>
    <w:rsid w:val="00CC4ADF"/>
    <w:rsid w:val="00CC6DD1"/>
    <w:rsid w:val="00CE14F6"/>
    <w:rsid w:val="00CE4D5B"/>
    <w:rsid w:val="00D82BDF"/>
    <w:rsid w:val="00D842AF"/>
    <w:rsid w:val="00DB233F"/>
    <w:rsid w:val="00DD702C"/>
    <w:rsid w:val="00DE7883"/>
    <w:rsid w:val="00DF5CA5"/>
    <w:rsid w:val="00DF73B2"/>
    <w:rsid w:val="00E31473"/>
    <w:rsid w:val="00E35A79"/>
    <w:rsid w:val="00E373BB"/>
    <w:rsid w:val="00E917C7"/>
    <w:rsid w:val="00EA5ABB"/>
    <w:rsid w:val="00EC05C8"/>
    <w:rsid w:val="00EC1831"/>
    <w:rsid w:val="00EE1C00"/>
    <w:rsid w:val="00F06787"/>
    <w:rsid w:val="00F10B72"/>
    <w:rsid w:val="00F11EB9"/>
    <w:rsid w:val="00F52E53"/>
    <w:rsid w:val="00FD0C39"/>
    <w:rsid w:val="03AA370D"/>
    <w:rsid w:val="04D8462B"/>
    <w:rsid w:val="051C1864"/>
    <w:rsid w:val="05FD19FE"/>
    <w:rsid w:val="06394B07"/>
    <w:rsid w:val="086C1E64"/>
    <w:rsid w:val="0DFF5BB3"/>
    <w:rsid w:val="0E0564BD"/>
    <w:rsid w:val="0EFE5E2F"/>
    <w:rsid w:val="0F0E4F51"/>
    <w:rsid w:val="0F870A6C"/>
    <w:rsid w:val="11F16AC6"/>
    <w:rsid w:val="12EF4E27"/>
    <w:rsid w:val="137A6ECB"/>
    <w:rsid w:val="13F661CA"/>
    <w:rsid w:val="14BD6957"/>
    <w:rsid w:val="14FD2268"/>
    <w:rsid w:val="15233FCA"/>
    <w:rsid w:val="157A68AB"/>
    <w:rsid w:val="1AF22409"/>
    <w:rsid w:val="1BB40D7D"/>
    <w:rsid w:val="1D8B0C78"/>
    <w:rsid w:val="1DC23A8A"/>
    <w:rsid w:val="1E127032"/>
    <w:rsid w:val="20B96E79"/>
    <w:rsid w:val="20E506C4"/>
    <w:rsid w:val="2149215A"/>
    <w:rsid w:val="218D45CE"/>
    <w:rsid w:val="223000F0"/>
    <w:rsid w:val="24A03037"/>
    <w:rsid w:val="255E3390"/>
    <w:rsid w:val="269E43E4"/>
    <w:rsid w:val="275C4B42"/>
    <w:rsid w:val="286A2A8B"/>
    <w:rsid w:val="289C576D"/>
    <w:rsid w:val="2A2612AA"/>
    <w:rsid w:val="2A817F37"/>
    <w:rsid w:val="2BCB7185"/>
    <w:rsid w:val="2CC0271D"/>
    <w:rsid w:val="2E0052CB"/>
    <w:rsid w:val="2E19702A"/>
    <w:rsid w:val="2FB23F76"/>
    <w:rsid w:val="305E6108"/>
    <w:rsid w:val="30DF4759"/>
    <w:rsid w:val="311078D9"/>
    <w:rsid w:val="326E1291"/>
    <w:rsid w:val="34E47490"/>
    <w:rsid w:val="3669223E"/>
    <w:rsid w:val="36E66B18"/>
    <w:rsid w:val="383B5BBF"/>
    <w:rsid w:val="3D904069"/>
    <w:rsid w:val="3F323835"/>
    <w:rsid w:val="3FCA23EC"/>
    <w:rsid w:val="416137BD"/>
    <w:rsid w:val="417228F7"/>
    <w:rsid w:val="424D60E4"/>
    <w:rsid w:val="42FA4769"/>
    <w:rsid w:val="43BC1030"/>
    <w:rsid w:val="44D53538"/>
    <w:rsid w:val="46FB36F2"/>
    <w:rsid w:val="47964FBE"/>
    <w:rsid w:val="49A01C00"/>
    <w:rsid w:val="4A1752A2"/>
    <w:rsid w:val="4A7B701D"/>
    <w:rsid w:val="4B18398F"/>
    <w:rsid w:val="4B454DB6"/>
    <w:rsid w:val="4CC04CBC"/>
    <w:rsid w:val="4DD11E2C"/>
    <w:rsid w:val="4EF03E51"/>
    <w:rsid w:val="52711589"/>
    <w:rsid w:val="52AC7AB3"/>
    <w:rsid w:val="53D66592"/>
    <w:rsid w:val="53D86F1C"/>
    <w:rsid w:val="54207C4C"/>
    <w:rsid w:val="566A2EE5"/>
    <w:rsid w:val="56A53947"/>
    <w:rsid w:val="57174457"/>
    <w:rsid w:val="596D661C"/>
    <w:rsid w:val="5A2B0C66"/>
    <w:rsid w:val="5DC337FD"/>
    <w:rsid w:val="5E2042F6"/>
    <w:rsid w:val="60AB22F8"/>
    <w:rsid w:val="67AA3D71"/>
    <w:rsid w:val="68A4308B"/>
    <w:rsid w:val="68B65E7C"/>
    <w:rsid w:val="69A157A9"/>
    <w:rsid w:val="6B3B79EC"/>
    <w:rsid w:val="6F094735"/>
    <w:rsid w:val="71CE302B"/>
    <w:rsid w:val="72894721"/>
    <w:rsid w:val="73431FE5"/>
    <w:rsid w:val="736D312A"/>
    <w:rsid w:val="73894DFD"/>
    <w:rsid w:val="740417EC"/>
    <w:rsid w:val="74F360AC"/>
    <w:rsid w:val="778B0394"/>
    <w:rsid w:val="78B11A10"/>
    <w:rsid w:val="79DA1C2A"/>
    <w:rsid w:val="7B6D5E4A"/>
    <w:rsid w:val="7B8F4B6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9"/>
    <w:uiPriority w:val="99"/>
    <w:rPr>
      <w:rFonts w:ascii="宋体" w:hAnsi="Courier New" w:eastAsia="宋体"/>
      <w:sz w:val="21"/>
    </w:rPr>
  </w:style>
  <w:style w:type="paragraph" w:styleId="3">
    <w:name w:val="Balloon Text"/>
    <w:basedOn w:val="1"/>
    <w:link w:val="19"/>
    <w:semiHidden/>
    <w:unhideWhenUsed/>
    <w:qFormat/>
    <w:uiPriority w:val="99"/>
    <w:rPr>
      <w:sz w:val="18"/>
      <w:szCs w:val="18"/>
    </w:rPr>
  </w:style>
  <w:style w:type="paragraph" w:styleId="4">
    <w:name w:val="footer"/>
    <w:basedOn w:val="1"/>
    <w:link w:val="18"/>
    <w:qFormat/>
    <w:uiPriority w:val="99"/>
    <w:pPr>
      <w:tabs>
        <w:tab w:val="center" w:pos="4153"/>
        <w:tab w:val="right" w:pos="8306"/>
      </w:tabs>
      <w:snapToGrid w:val="0"/>
      <w:jc w:val="left"/>
    </w:pPr>
    <w:rPr>
      <w:sz w:val="18"/>
      <w:szCs w:val="18"/>
    </w:rPr>
  </w:style>
  <w:style w:type="paragraph" w:styleId="5">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纯文本 Char"/>
    <w:link w:val="2"/>
    <w:semiHidden/>
    <w:qFormat/>
    <w:locked/>
    <w:uiPriority w:val="99"/>
    <w:rPr>
      <w:rFonts w:ascii="宋体" w:hAnsi="Courier New" w:cs="Courier New"/>
      <w:sz w:val="21"/>
      <w:szCs w:val="21"/>
    </w:rPr>
  </w:style>
  <w:style w:type="character" w:customStyle="1" w:styleId="10">
    <w:name w:val="font11"/>
    <w:qFormat/>
    <w:uiPriority w:val="99"/>
    <w:rPr>
      <w:rFonts w:ascii="宋体" w:hAnsi="宋体" w:eastAsia="宋体" w:cs="宋体"/>
      <w:b/>
      <w:color w:val="000000"/>
      <w:sz w:val="32"/>
      <w:szCs w:val="32"/>
      <w:u w:val="none"/>
    </w:rPr>
  </w:style>
  <w:style w:type="character" w:customStyle="1" w:styleId="11">
    <w:name w:val="font91"/>
    <w:qFormat/>
    <w:uiPriority w:val="99"/>
    <w:rPr>
      <w:rFonts w:ascii="宋体" w:hAnsi="宋体" w:eastAsia="宋体" w:cs="宋体"/>
      <w:color w:val="000000"/>
      <w:sz w:val="32"/>
      <w:szCs w:val="32"/>
      <w:u w:val="none"/>
    </w:rPr>
  </w:style>
  <w:style w:type="character" w:customStyle="1" w:styleId="12">
    <w:name w:val="font51"/>
    <w:qFormat/>
    <w:uiPriority w:val="99"/>
    <w:rPr>
      <w:rFonts w:ascii="宋体" w:hAnsi="宋体" w:eastAsia="宋体" w:cs="宋体"/>
      <w:color w:val="000000"/>
      <w:sz w:val="20"/>
      <w:szCs w:val="20"/>
      <w:u w:val="none"/>
    </w:rPr>
  </w:style>
  <w:style w:type="character" w:customStyle="1" w:styleId="13">
    <w:name w:val="font101"/>
    <w:qFormat/>
    <w:uiPriority w:val="99"/>
    <w:rPr>
      <w:rFonts w:ascii="宋体" w:hAnsi="宋体" w:eastAsia="宋体" w:cs="宋体"/>
      <w:color w:val="000000"/>
      <w:sz w:val="20"/>
      <w:szCs w:val="20"/>
      <w:u w:val="none"/>
    </w:rPr>
  </w:style>
  <w:style w:type="character" w:customStyle="1" w:styleId="14">
    <w:name w:val="font21"/>
    <w:qFormat/>
    <w:uiPriority w:val="99"/>
    <w:rPr>
      <w:rFonts w:ascii="宋体" w:hAnsi="宋体" w:eastAsia="宋体" w:cs="宋体"/>
      <w:color w:val="000000"/>
      <w:sz w:val="18"/>
      <w:szCs w:val="18"/>
      <w:u w:val="none"/>
    </w:rPr>
  </w:style>
  <w:style w:type="character" w:customStyle="1" w:styleId="15">
    <w:name w:val="font112"/>
    <w:qFormat/>
    <w:uiPriority w:val="99"/>
    <w:rPr>
      <w:rFonts w:ascii="宋体" w:hAnsi="宋体" w:eastAsia="宋体" w:cs="宋体"/>
      <w:color w:val="000000"/>
      <w:sz w:val="20"/>
      <w:szCs w:val="20"/>
      <w:u w:val="none"/>
    </w:rPr>
  </w:style>
  <w:style w:type="character" w:customStyle="1" w:styleId="16">
    <w:name w:val="font61"/>
    <w:qFormat/>
    <w:uiPriority w:val="99"/>
    <w:rPr>
      <w:rFonts w:ascii="宋体" w:hAnsi="宋体" w:eastAsia="宋体" w:cs="宋体"/>
      <w:color w:val="000000"/>
      <w:sz w:val="24"/>
      <w:szCs w:val="24"/>
      <w:u w:val="none"/>
    </w:rPr>
  </w:style>
  <w:style w:type="character" w:customStyle="1" w:styleId="17">
    <w:name w:val="页眉 Char"/>
    <w:link w:val="5"/>
    <w:qFormat/>
    <w:locked/>
    <w:uiPriority w:val="99"/>
    <w:rPr>
      <w:rFonts w:ascii="Calibri" w:hAnsi="Calibri" w:eastAsia="方正仿宋简体" w:cs="Times New Roman"/>
      <w:kern w:val="2"/>
      <w:sz w:val="18"/>
      <w:szCs w:val="18"/>
    </w:rPr>
  </w:style>
  <w:style w:type="character" w:customStyle="1" w:styleId="18">
    <w:name w:val="页脚 Char"/>
    <w:link w:val="4"/>
    <w:qFormat/>
    <w:locked/>
    <w:uiPriority w:val="99"/>
    <w:rPr>
      <w:rFonts w:ascii="Calibri" w:hAnsi="Calibri" w:eastAsia="方正仿宋简体" w:cs="Times New Roman"/>
      <w:kern w:val="2"/>
      <w:sz w:val="18"/>
      <w:szCs w:val="18"/>
    </w:rPr>
  </w:style>
  <w:style w:type="character" w:customStyle="1" w:styleId="19">
    <w:name w:val="批注框文本 Char"/>
    <w:basedOn w:val="8"/>
    <w:link w:val="3"/>
    <w:semiHidden/>
    <w:qFormat/>
    <w:uiPriority w:val="99"/>
    <w:rPr>
      <w:rFonts w:ascii="Calibri" w:hAnsi="Calibri" w:eastAsia="方正仿宋简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6.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1.emf"/><Relationship Id="rId10" Type="http://schemas.openxmlformats.org/officeDocument/2006/relationships/chart" Target="charts/chart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人员情况图</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编制149人</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行政</c:v>
                </c:pt>
                <c:pt idx="1">
                  <c:v>事业</c:v>
                </c:pt>
              </c:strCache>
            </c:strRef>
          </c:cat>
          <c:val>
            <c:numRef>
              <c:f>Sheet1!$B$2:$B$3</c:f>
              <c:numCache>
                <c:formatCode>General</c:formatCode>
                <c:ptCount val="2"/>
                <c:pt idx="0">
                  <c:v>14</c:v>
                </c:pt>
                <c:pt idx="1">
                  <c:v>135</c:v>
                </c:pt>
              </c:numCache>
            </c:numRef>
          </c:val>
        </c:ser>
        <c:ser>
          <c:idx val="1"/>
          <c:order val="1"/>
          <c:tx>
            <c:strRef>
              <c:f>Sheet1!$C$1</c:f>
              <c:strCache>
                <c:ptCount val="1"/>
                <c:pt idx="0">
                  <c:v>实有158人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行政</c:v>
                </c:pt>
                <c:pt idx="1">
                  <c:v>事业</c:v>
                </c:pt>
              </c:strCache>
            </c:strRef>
          </c:cat>
          <c:val>
            <c:numRef>
              <c:f>Sheet1!$C$2:$C$3</c:f>
              <c:numCache>
                <c:formatCode>General</c:formatCode>
                <c:ptCount val="2"/>
                <c:pt idx="0">
                  <c:v>14</c:v>
                </c:pt>
                <c:pt idx="1">
                  <c:v>144</c:v>
                </c:pt>
              </c:numCache>
            </c:numRef>
          </c:val>
        </c:ser>
        <c:ser>
          <c:idx val="2"/>
          <c:order val="2"/>
          <c:tx>
            <c:strRef>
              <c:f>Sheet1!$D$1</c:f>
              <c:strCache>
                <c:ptCount val="1"/>
                <c:pt idx="0">
                  <c:v>离退休0人</c:v>
                </c:pt>
              </c:strCache>
            </c:strRef>
          </c:tx>
          <c:spPr>
            <a:solidFill>
              <a:schemeClr val="accent3"/>
            </a:solidFill>
            <a:ln>
              <a:noFill/>
            </a:ln>
            <a:effectLst/>
          </c:spPr>
          <c:invertIfNegative val="0"/>
          <c:dLbls>
            <c:delete val="1"/>
          </c:dLbls>
          <c:cat>
            <c:strRef>
              <c:f>Sheet1!$A$2:$A$3</c:f>
              <c:strCache>
                <c:ptCount val="2"/>
                <c:pt idx="0">
                  <c:v>行政</c:v>
                </c:pt>
                <c:pt idx="1">
                  <c:v>事业</c:v>
                </c:pt>
              </c:strCache>
            </c:strRef>
          </c:cat>
          <c:val>
            <c:numRef>
              <c:f>Sheet1!$D$2:$D$3</c:f>
              <c:numCache>
                <c:formatCode>General</c:formatCode>
                <c:ptCount val="2"/>
                <c:pt idx="0">
                  <c:v>0</c:v>
                </c:pt>
                <c:pt idx="1">
                  <c:v>0</c:v>
                </c:pt>
              </c:numCache>
            </c:numRef>
          </c:val>
        </c:ser>
        <c:dLbls>
          <c:showLegendKey val="0"/>
          <c:showVal val="0"/>
          <c:showCatName val="0"/>
          <c:showSerName val="0"/>
          <c:showPercent val="0"/>
          <c:showBubbleSize val="0"/>
        </c:dLbls>
        <c:gapWidth val="219"/>
        <c:overlap val="-27"/>
        <c:axId val="202052736"/>
        <c:axId val="202081792"/>
      </c:barChart>
      <c:catAx>
        <c:axId val="202052736"/>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2081792"/>
        <c:crosses val="autoZero"/>
        <c:auto val="1"/>
        <c:lblAlgn val="ctr"/>
        <c:lblOffset val="100"/>
        <c:noMultiLvlLbl val="0"/>
      </c:catAx>
      <c:valAx>
        <c:axId val="202081792"/>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205273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7817e6ca-ed0c-4f7c-8fcc-851acaeb1acd}"/>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 情况图</a:t>
            </a:r>
          </a:p>
          <a:p>
            <a:pPr defTabSz="914400">
              <a:defRPr lang="zh-CN" sz="1400" b="0" i="0" u="none" strike="noStrike" kern="1200" spc="0" baseline="0">
                <a:solidFill>
                  <a:schemeClr val="tx1">
                    <a:lumMod val="65000"/>
                    <a:lumOff val="35000"/>
                  </a:schemeClr>
                </a:solidFill>
                <a:latin typeface="+mn-lt"/>
                <a:ea typeface="+mn-ea"/>
                <a:cs typeface="+mn-cs"/>
              </a:defRPr>
            </a:pPr>
            <a:r>
              <a:t>                                       </a:t>
            </a:r>
            <a:r>
              <a:rPr sz="900">
                <a:solidFill>
                  <a:schemeClr val="tx1">
                    <a:lumMod val="65000"/>
                    <a:lumOff val="35000"/>
                  </a:schemeClr>
                </a:solidFill>
                <a:uFillTx/>
              </a:rPr>
              <a:t>单位：万元</a:t>
            </a:r>
            <a:endParaRPr sz="900">
              <a:solidFill>
                <a:schemeClr val="tx1">
                  <a:lumMod val="65000"/>
                  <a:lumOff val="35000"/>
                </a:schemeClr>
              </a:solidFill>
              <a:uFillTx/>
            </a:endParaRPr>
          </a:p>
        </c:rich>
      </c:tx>
      <c:layout/>
      <c:overlay val="0"/>
      <c:spPr>
        <a:noFill/>
        <a:ln>
          <a:noFill/>
        </a:ln>
        <a:effectLst/>
      </c:spPr>
    </c:title>
    <c:autoTitleDeleted val="0"/>
    <c:plotArea>
      <c:layout>
        <c:manualLayout>
          <c:layoutTarget val="inner"/>
          <c:xMode val="edge"/>
          <c:yMode val="edge"/>
          <c:x val="0.044575"/>
          <c:y val="0.185166666666667"/>
          <c:w val="0.927925"/>
          <c:h val="0.660066666666667"/>
        </c:manualLayout>
      </c:layout>
      <c:barChart>
        <c:barDir val="col"/>
        <c:grouping val="clustered"/>
        <c:varyColors val="0"/>
        <c:ser>
          <c:idx val="0"/>
          <c:order val="0"/>
          <c:tx>
            <c:strRef>
              <c:f>Sheet1!$B$1</c:f>
              <c:strCache>
                <c:ptCount val="1"/>
                <c:pt idx="0">
                  <c:v>2018年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收入</c:v>
                </c:pt>
                <c:pt idx="1">
                  <c:v>支出</c:v>
                </c:pt>
              </c:strCache>
            </c:strRef>
          </c:cat>
          <c:val>
            <c:numRef>
              <c:f>Sheet1!$B$2:$B$3</c:f>
              <c:numCache>
                <c:formatCode>General</c:formatCode>
                <c:ptCount val="2"/>
                <c:pt idx="0">
                  <c:v>7895.12</c:v>
                </c:pt>
                <c:pt idx="1">
                  <c:v>7895.12</c:v>
                </c:pt>
              </c:numCache>
            </c:numRef>
          </c:val>
        </c:ser>
        <c:ser>
          <c:idx val="1"/>
          <c:order val="1"/>
          <c:tx>
            <c:strRef>
              <c:f>Sheet1!$C$1</c:f>
              <c:strCache>
                <c:ptCount val="1"/>
                <c:pt idx="0">
                  <c:v>2019年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收入</c:v>
                </c:pt>
                <c:pt idx="1">
                  <c:v>支出</c:v>
                </c:pt>
              </c:strCache>
            </c:strRef>
          </c:cat>
          <c:val>
            <c:numRef>
              <c:f>Sheet1!$C$2:$C$3</c:f>
              <c:numCache>
                <c:formatCode>General</c:formatCode>
                <c:ptCount val="2"/>
                <c:pt idx="0">
                  <c:v>13257.21</c:v>
                </c:pt>
                <c:pt idx="1">
                  <c:v>13257.21</c:v>
                </c:pt>
              </c:numCache>
            </c:numRef>
          </c:val>
        </c:ser>
        <c:dLbls>
          <c:showLegendKey val="0"/>
          <c:showVal val="1"/>
          <c:showCatName val="0"/>
          <c:showSerName val="0"/>
          <c:showPercent val="0"/>
          <c:showBubbleSize val="0"/>
        </c:dLbls>
        <c:gapWidth val="219"/>
        <c:overlap val="-27"/>
        <c:axId val="231250560"/>
        <c:axId val="231276928"/>
      </c:barChart>
      <c:catAx>
        <c:axId val="231250560"/>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31276928"/>
        <c:crosses val="autoZero"/>
        <c:auto val="1"/>
        <c:lblAlgn val="ctr"/>
        <c:lblOffset val="100"/>
        <c:noMultiLvlLbl val="0"/>
      </c:catAx>
      <c:valAx>
        <c:axId val="23127692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3125056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69b25ee8-e021-4f23-abc6-1260ec339d78}"/>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年度收入构成情况</a:t>
            </a:r>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0"/>
              <c:layout>
                <c:manualLayout>
                  <c:x val="0.0214990524381061"/>
                  <c:y val="-0.120969188141203"/>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t>财政拨款收入</a:t>
                    </a:r>
                  </a:p>
                  <a:p>
                    <a:pPr>
                      <a:defRPr lang="zh-CN" sz="900" b="0" i="0" u="none" strike="noStrike" kern="1200" baseline="0">
                        <a:solidFill>
                          <a:schemeClr val="tx1">
                            <a:lumMod val="75000"/>
                            <a:lumOff val="25000"/>
                          </a:schemeClr>
                        </a:solidFill>
                        <a:latin typeface="+mn-lt"/>
                        <a:ea typeface="+mn-ea"/>
                        <a:cs typeface="+mn-cs"/>
                      </a:defRPr>
                    </a:pPr>
                    <a:r>
                      <a:rPr lang="en-US" altLang="zh-CN"/>
                      <a:t>100.00%</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t>0.</a:t>
                    </a:r>
                    <a:r>
                      <a:rPr lang="en-US" altLang="zh-CN"/>
                      <a:t>00%</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extLst>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财政拨款收入</c:v>
                </c:pt>
                <c:pt idx="1">
                  <c:v>事业收入</c:v>
                </c:pt>
                <c:pt idx="2">
                  <c:v>经营性收入</c:v>
                </c:pt>
                <c:pt idx="3">
                  <c:v>其他收入</c:v>
                </c:pt>
              </c:strCache>
            </c:strRef>
          </c:cat>
          <c:val>
            <c:numRef>
              <c:f>Sheet1!$B$2:$B$5</c:f>
              <c:numCache>
                <c:formatCode>General</c:formatCode>
                <c:ptCount val="4"/>
                <c:pt idx="0">
                  <c:v>13257.21</c:v>
                </c:pt>
                <c:pt idx="1">
                  <c:v>0</c:v>
                </c:pt>
                <c:pt idx="2">
                  <c:v>0</c:v>
                </c:pt>
                <c:pt idx="3">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8e7c4f63-f908-4642-bb43-3b2a882b2088}"/>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年度支出构成情况</a:t>
            </a:r>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0"/>
              <c:layout>
                <c:manualLayout>
                  <c:x val="-0.0449557269197232"/>
                  <c:y val="0.136203569662741"/>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sz="700">
                        <a:solidFill>
                          <a:schemeClr val="tx1">
                            <a:lumMod val="75000"/>
                            <a:lumOff val="25000"/>
                          </a:schemeClr>
                        </a:solidFill>
                        <a:uFillTx/>
                      </a:rPr>
                      <a:t>基本支出</a:t>
                    </a:r>
                    <a:endParaRPr sz="700">
                      <a:solidFill>
                        <a:schemeClr val="tx1">
                          <a:lumMod val="75000"/>
                          <a:lumOff val="25000"/>
                        </a:schemeClr>
                      </a:solidFill>
                      <a:uFillTx/>
                    </a:endParaRPr>
                  </a:p>
                  <a:p>
                    <a:pPr>
                      <a:defRPr lang="zh-CN" sz="900" b="0" i="0" u="none" strike="noStrike" kern="1200" baseline="0">
                        <a:solidFill>
                          <a:schemeClr val="tx1">
                            <a:lumMod val="75000"/>
                            <a:lumOff val="25000"/>
                          </a:schemeClr>
                        </a:solidFill>
                        <a:latin typeface="+mn-lt"/>
                        <a:ea typeface="+mn-ea"/>
                        <a:cs typeface="+mn-cs"/>
                      </a:defRPr>
                    </a:pPr>
                    <a:r>
                      <a:rPr lang="en-US" altLang="zh-CN"/>
                      <a:t>10.81%</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manualLayout>
                      <c:w val="0.104837622961865"/>
                      <c:h val="0.110947678083631"/>
                    </c:manualLayout>
                  </c15:layout>
                </c:ext>
              </c:extLst>
            </c:dLbl>
            <c:dLbl>
              <c:idx val="1"/>
              <c:layout>
                <c:manualLayout>
                  <c:x val="0.10593258176912"/>
                  <c:y val="-0.175402212570779"/>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t>项目支出</a:t>
                    </a:r>
                  </a:p>
                  <a:p>
                    <a:pPr>
                      <a:defRPr lang="zh-CN" sz="900" b="0" i="0" u="none" strike="noStrike" kern="1200" baseline="0">
                        <a:solidFill>
                          <a:schemeClr val="tx1">
                            <a:lumMod val="75000"/>
                            <a:lumOff val="25000"/>
                          </a:schemeClr>
                        </a:solidFill>
                        <a:latin typeface="+mn-lt"/>
                        <a:ea typeface="+mn-ea"/>
                        <a:cs typeface="+mn-cs"/>
                      </a:defRPr>
                    </a:pPr>
                    <a:r>
                      <a:rPr lang="en-US" altLang="zh-CN"/>
                      <a:t>89.19%</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2"/>
              <c:delete val="1"/>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基本支出</c:v>
                </c:pt>
                <c:pt idx="1">
                  <c:v>项目支出</c:v>
                </c:pt>
                <c:pt idx="2">
                  <c:v>经营性支出</c:v>
                </c:pt>
              </c:strCache>
            </c:strRef>
          </c:cat>
          <c:val>
            <c:numRef>
              <c:f>Sheet1!$B$2:$B$4</c:f>
              <c:numCache>
                <c:formatCode>General</c:formatCode>
                <c:ptCount val="3"/>
                <c:pt idx="0">
                  <c:v>1433.65</c:v>
                </c:pt>
                <c:pt idx="1">
                  <c:v>11823.56</c:v>
                </c:pt>
                <c:pt idx="2">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0.292346045007411"/>
          <c:y val="0.904811935280521"/>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c81eb26b-2845-4194-9544-a6df25849a87}"/>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收支情况图</a:t>
            </a:r>
          </a:p>
          <a:p>
            <a:pPr defTabSz="914400">
              <a:defRPr lang="zh-CN" sz="1400" b="0" i="0" u="none" strike="noStrike" kern="1200" spc="0" baseline="0">
                <a:solidFill>
                  <a:schemeClr val="tx1">
                    <a:lumMod val="65000"/>
                    <a:lumOff val="35000"/>
                  </a:schemeClr>
                </a:solidFill>
                <a:latin typeface="+mn-lt"/>
                <a:ea typeface="+mn-ea"/>
                <a:cs typeface="+mn-cs"/>
              </a:defRPr>
            </a:pPr>
            <a:r>
              <a:t>                                        </a:t>
            </a:r>
            <a:r>
              <a:rPr sz="900"/>
              <a:t>单位：万元</a:t>
            </a:r>
            <a:endParaRPr sz="900"/>
          </a:p>
        </c:rich>
      </c:tx>
      <c:layout/>
      <c:overlay val="0"/>
      <c:spPr>
        <a:noFill/>
        <a:ln>
          <a:noFill/>
        </a:ln>
        <a:effectLst/>
      </c:spPr>
    </c:title>
    <c:autoTitleDeleted val="0"/>
    <c:plotArea>
      <c:layout>
        <c:manualLayout>
          <c:layoutTarget val="inner"/>
          <c:xMode val="edge"/>
          <c:yMode val="edge"/>
          <c:x val="0.0887000000000001"/>
          <c:y val="0.183"/>
          <c:w val="0.882425"/>
          <c:h val="0.6609"/>
        </c:manualLayout>
      </c:layout>
      <c:barChart>
        <c:barDir val="col"/>
        <c:grouping val="clustered"/>
        <c:varyColors val="0"/>
        <c:ser>
          <c:idx val="0"/>
          <c:order val="0"/>
          <c:tx>
            <c:strRef>
              <c:f>Sheet1!$B$1</c:f>
              <c:strCache>
                <c:ptCount val="1"/>
                <c:pt idx="0">
                  <c:v>2018年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财政拨款收入</c:v>
                </c:pt>
                <c:pt idx="1">
                  <c:v>财政拨款支出</c:v>
                </c:pt>
              </c:strCache>
            </c:strRef>
          </c:cat>
          <c:val>
            <c:numRef>
              <c:f>Sheet1!$B$2:$B$3</c:f>
              <c:numCache>
                <c:formatCode>General</c:formatCode>
                <c:ptCount val="2"/>
                <c:pt idx="0">
                  <c:v>7895.12</c:v>
                </c:pt>
                <c:pt idx="1">
                  <c:v>7895.12</c:v>
                </c:pt>
              </c:numCache>
            </c:numRef>
          </c:val>
        </c:ser>
        <c:ser>
          <c:idx val="1"/>
          <c:order val="1"/>
          <c:tx>
            <c:strRef>
              <c:f>Sheet1!$C$1</c:f>
              <c:strCache>
                <c:ptCount val="1"/>
                <c:pt idx="0">
                  <c:v>2019年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财政拨款收入</c:v>
                </c:pt>
                <c:pt idx="1">
                  <c:v>财政拨款支出</c:v>
                </c:pt>
              </c:strCache>
            </c:strRef>
          </c:cat>
          <c:val>
            <c:numRef>
              <c:f>Sheet1!$C$2:$C$3</c:f>
              <c:numCache>
                <c:formatCode>General</c:formatCode>
                <c:ptCount val="2"/>
                <c:pt idx="0">
                  <c:v>13257.21</c:v>
                </c:pt>
                <c:pt idx="1">
                  <c:v>13257.21</c:v>
                </c:pt>
              </c:numCache>
            </c:numRef>
          </c:val>
        </c:ser>
        <c:dLbls>
          <c:showLegendKey val="0"/>
          <c:showVal val="1"/>
          <c:showCatName val="0"/>
          <c:showSerName val="0"/>
          <c:showPercent val="0"/>
          <c:showBubbleSize val="0"/>
        </c:dLbls>
        <c:gapWidth val="219"/>
        <c:overlap val="-27"/>
        <c:axId val="97164672"/>
        <c:axId val="97170560"/>
      </c:barChart>
      <c:catAx>
        <c:axId val="97164672"/>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7170560"/>
        <c:crosses val="autoZero"/>
        <c:auto val="1"/>
        <c:lblAlgn val="ctr"/>
        <c:lblOffset val="100"/>
        <c:noMultiLvlLbl val="0"/>
      </c:catAx>
      <c:valAx>
        <c:axId val="97170560"/>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7164672"/>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ce47e7b-151e-4e31-9f09-debb18f484ea}"/>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年度支出构成情况</a:t>
            </a:r>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explosion val="0"/>
          <c:dPt>
            <c:idx val="0"/>
            <c:bubble3D val="0"/>
            <c:spPr>
              <a:solidFill>
                <a:schemeClr val="accent1"/>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t>财政拨款支出</a:t>
                    </a:r>
                  </a:p>
                  <a:p>
                    <a:pPr>
                      <a:defRPr lang="zh-CN" sz="900" b="0" i="0" u="none" strike="noStrike" kern="1200" baseline="0">
                        <a:solidFill>
                          <a:schemeClr val="tx1">
                            <a:lumMod val="75000"/>
                            <a:lumOff val="25000"/>
                          </a:schemeClr>
                        </a:solidFill>
                        <a:latin typeface="+mn-lt"/>
                        <a:ea typeface="+mn-ea"/>
                        <a:cs typeface="+mn-cs"/>
                      </a:defRPr>
                    </a:pPr>
                    <a:r>
                      <a:rPr lang="en-US" altLang="zh-CN"/>
                      <a:t>100%</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c:f>
              <c:strCache>
                <c:ptCount val="1"/>
                <c:pt idx="0">
                  <c:v>财政拨款支出</c:v>
                </c:pt>
              </c:strCache>
            </c:strRef>
          </c:cat>
          <c:val>
            <c:numRef>
              <c:f>Sheet1!$B$2</c:f>
              <c:numCache>
                <c:formatCode>General</c:formatCode>
                <c:ptCount val="1"/>
                <c:pt idx="0">
                  <c:v>13257.21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1d396da2-ea19-49bc-98cb-63a83e8cbede}"/>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三公经费支出构成情况</a:t>
            </a:r>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1"/>
              <c:delete val="1"/>
            </c:dLbl>
            <c:dLbl>
              <c:idx val="2"/>
              <c:layout>
                <c:manualLayout>
                  <c:x val="-0.0107508313581507"/>
                  <c:y val="-0.286192093707923"/>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t>公务用车运行维护费</a:t>
                    </a:r>
                    <a:r>
                      <a:rPr lang="en-US" altLang="zh-CN"/>
                      <a:t>100%</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因公出国（境）费</c:v>
                </c:pt>
                <c:pt idx="1">
                  <c:v>公务用车购置费</c:v>
                </c:pt>
                <c:pt idx="2">
                  <c:v>公务用车运行维护费</c:v>
                </c:pt>
                <c:pt idx="3">
                  <c:v>公务接待费</c:v>
                </c:pt>
              </c:strCache>
            </c:strRef>
          </c:cat>
          <c:val>
            <c:numRef>
              <c:f>Sheet1!$B$2:$B$5</c:f>
              <c:numCache>
                <c:formatCode>General</c:formatCode>
                <c:ptCount val="4"/>
                <c:pt idx="0">
                  <c:v>0</c:v>
                </c:pt>
                <c:pt idx="1">
                  <c:v>0</c:v>
                </c:pt>
                <c:pt idx="2">
                  <c:v>9</c:v>
                </c:pt>
                <c:pt idx="3">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ebfe107c-72e1-4cbd-aee2-f6c83d4fd6e0}"/>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36</Pages>
  <Words>3895</Words>
  <Characters>5295</Characters>
  <Lines>146</Lines>
  <Paragraphs>41</Paragraphs>
  <TotalTime>10</TotalTime>
  <ScaleCrop>false</ScaleCrop>
  <LinksUpToDate>false</LinksUpToDate>
  <CharactersWithSpaces>5340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2020-09-23T02:08:00Z</dcterms:created>
  <dc:creator>lenovo</dc:creator>
  <cp:lastModifiedBy>浪淘沙</cp:lastModifiedBy>
  <cp:lastPrinted>2020-09-17T02:30:00Z</cp:lastPrinted>
  <dcterms:modified xsi:type="dcterms:W3CDTF">2025-11-13T08:27:06Z</dcterms:modified>
  <dc:title>附件</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E4E60FD89DAD4A8B950EC74A4D79067C_13</vt:lpwstr>
  </property>
  <property fmtid="{D5CDD505-2E9C-101B-9397-08002B2CF9AE}" pid="4" name="KSOTemplateDocerSaveRecord">
    <vt:lpwstr>eyJoZGlkIjoiMjBhY2ZmMTIyMTM1MTgwODg5OTlkOWViNWE0Nzg2MzEiLCJ1c2VySWQiOiIxMTQ2OTk3NzQ2In0=</vt:lpwstr>
  </property>
</Properties>
</file>