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A45C">
      <w:pPr>
        <w:adjustRightInd w:val="0"/>
        <w:snapToGrid w:val="0"/>
        <w:jc w:val="center"/>
        <w:rPr>
          <w:rFonts w:hint="eastAsia" w:ascii="黑体" w:hAnsi="黑体" w:eastAsia="黑体" w:cs="黑体"/>
          <w:sz w:val="44"/>
          <w:szCs w:val="44"/>
        </w:rPr>
      </w:pPr>
      <w:r>
        <w:rPr>
          <w:rFonts w:hint="eastAsia" w:ascii="黑体" w:hAnsi="黑体" w:eastAsia="黑体" w:cs="黑体"/>
          <w:sz w:val="44"/>
          <w:szCs w:val="44"/>
        </w:rPr>
        <w:t>中共蓝田县纪律检查委员会</w:t>
      </w:r>
    </w:p>
    <w:p w14:paraId="05F6C705">
      <w:pPr>
        <w:adjustRightInd w:val="0"/>
        <w:snapToGrid w:val="0"/>
        <w:jc w:val="center"/>
        <w:rPr>
          <w:rFonts w:hint="eastAsia" w:ascii="黑体" w:hAnsi="黑体" w:eastAsia="黑体" w:cs="黑体"/>
          <w:sz w:val="44"/>
          <w:szCs w:val="44"/>
        </w:rPr>
      </w:pPr>
      <w:r>
        <w:rPr>
          <w:rFonts w:hint="eastAsia" w:ascii="黑体" w:hAnsi="黑体" w:eastAsia="黑体" w:cs="黑体"/>
          <w:sz w:val="44"/>
          <w:szCs w:val="44"/>
        </w:rPr>
        <w:t>2019年部门综合预算说明</w:t>
      </w:r>
    </w:p>
    <w:p w14:paraId="1E690D2F">
      <w:pPr>
        <w:adjustRightInd w:val="0"/>
        <w:snapToGrid w:val="0"/>
        <w:rPr>
          <w:rFonts w:hint="eastAsia" w:ascii="仿宋_GB2312" w:eastAsia="仿宋_GB2312"/>
          <w:sz w:val="32"/>
          <w:szCs w:val="32"/>
        </w:rPr>
      </w:pPr>
    </w:p>
    <w:p w14:paraId="41705FBD">
      <w:pPr>
        <w:adjustRightInd w:val="0"/>
        <w:snapToGrid w:val="0"/>
        <w:rPr>
          <w:rFonts w:hint="eastAsia" w:ascii="仿宋_GB2312" w:eastAsia="仿宋_GB2312"/>
          <w:sz w:val="32"/>
          <w:szCs w:val="32"/>
        </w:rPr>
      </w:pPr>
    </w:p>
    <w:p w14:paraId="1A9D50F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一、部门主要职责及机构设置</w:t>
      </w:r>
    </w:p>
    <w:p w14:paraId="7EFDC5EC">
      <w:pPr>
        <w:spacing w:line="620" w:lineRule="exact"/>
        <w:ind w:firstLine="640" w:firstLineChars="200"/>
        <w:rPr>
          <w:rFonts w:hint="eastAsia" w:ascii="仿宋_GB2312" w:hAnsi="仿宋" w:eastAsia="仿宋_GB2312"/>
          <w:sz w:val="32"/>
          <w:szCs w:val="32"/>
        </w:rPr>
      </w:pPr>
      <w:r>
        <w:rPr>
          <w:rFonts w:hint="eastAsia" w:ascii="仿宋_GB2312" w:eastAsia="仿宋_GB2312"/>
          <w:sz w:val="32"/>
          <w:szCs w:val="32"/>
        </w:rPr>
        <w:t>部门</w:t>
      </w:r>
      <w:r>
        <w:rPr>
          <w:rFonts w:hint="eastAsia" w:ascii="仿宋_GB2312" w:hAnsi="仿宋" w:eastAsia="仿宋_GB2312"/>
          <w:sz w:val="32"/>
          <w:szCs w:val="32"/>
        </w:rPr>
        <w:t>主要职责：</w:t>
      </w:r>
    </w:p>
    <w:p w14:paraId="51DBD75C">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（一）负责主管全县党的纪律检查和行政监察工作。贯彻落实</w:t>
      </w:r>
      <w:r>
        <w:rPr>
          <w:rFonts w:hint="eastAsia" w:ascii="仿宋_GB2312" w:hAnsi="仿宋" w:eastAsia="仿宋_GB2312"/>
          <w:sz w:val="32"/>
          <w:szCs w:val="32"/>
          <w:lang w:val="en-US" w:eastAsia="zh-CN"/>
        </w:rPr>
        <w:t>党</w:t>
      </w:r>
      <w:r>
        <w:rPr>
          <w:rFonts w:hint="eastAsia" w:ascii="仿宋_GB2312" w:hAnsi="仿宋" w:eastAsia="仿宋_GB2312"/>
          <w:sz w:val="32"/>
          <w:szCs w:val="32"/>
        </w:rPr>
        <w:t>中央、省、市和县委关于加强党风廉政建设的决定，协助县委加强党风建设和组织协调反腐败工作，维护党章和纪律检查等党内法规，检查党的路线、方针、政策和决议执行情况；协助县委加强党风建设和组织协调反腐败工作；贯彻落实市委、市政府和县委、县政府有关行政监察工作的决定，监督检查县政府各部门及其工作人员和各镇政府、街道办及其主要负责人执行国家政策和法律法规、国民经济和社会发展计划及县政府颁发的决议和命令情况。</w:t>
      </w:r>
    </w:p>
    <w:p w14:paraId="0C5208D9">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负责查办腐败案件有关工作。检查并处理县委、县政府机关各部门、各镇（街办）党组织和县委管理的党员领导干部违反党章及其他党内法规案件，决定或取消对这些案件中的党员干部处分；负责调查处理县政府各部门及其工作人员、各镇政府、街道办及其负责人违反国家政策、法律、法规以及违反政纪的行为，并根据责任人所犯错误的情节轻重，作出撤职及撤职以下的行政处分；受理党员的控告和申诉，可直接查处派驻纪检组管辖范围内的比较重要或复杂的案件；受理监察对象不服政纪处分的申诉，受理个人或单位对监察对象违纪行为的检举、控告。</w:t>
      </w:r>
    </w:p>
    <w:p w14:paraId="60F84E07">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负责作出关于维护党纪的决定，制定全县党风党纪教育规划，配合有关部门做好党的纪检工作方针、政策的宣传和党员遵守纪律的教育；会同有关部门做好行政监察工作方针、政策和法律法规的宣传，教育国家机关工作人员遵纪守法、为政清廉。</w:t>
      </w:r>
    </w:p>
    <w:p w14:paraId="46F7FC11">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负责对党的纪检工作理论及有关问题进行调查研究，拟订党纪条规和政策规定，参与制定党内法规；调查研究县政府各部门和各镇政府、街道办执行有关行政监察的政策、法规情况，对其违反国家法律、法规的条款，提出修改、补充的建议。</w:t>
      </w:r>
    </w:p>
    <w:p w14:paraId="5DBBD0E0">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负责全县纪检监察系统干部队伍建设和组织建设。会同有关部门负责县纪检监察系统领导班子建设；会同有关部门负责镇纪委、街道纪工委、县级部门派驻纪检组的人员考察、组织建设等相关工作；负责落实派驻机构统一管理工作；组织和指导全县纪检监察系统干部培训工作。</w:t>
      </w:r>
    </w:p>
    <w:p w14:paraId="04A28FB2">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（六）负责全县预防腐败工作的组织协调、综合规划、政策制定、检查指导等工作。</w:t>
      </w:r>
    </w:p>
    <w:p w14:paraId="20EDD838">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（七）承办县委、县政府和市纪委、市监察局授权和交办的其他事项。</w:t>
      </w:r>
    </w:p>
    <w:p w14:paraId="5616B4BC">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内设机构设置：</w:t>
      </w:r>
    </w:p>
    <w:p w14:paraId="3E199F7A">
      <w:pPr>
        <w:ind w:firstLine="640" w:firstLineChars="200"/>
        <w:rPr>
          <w:rFonts w:hint="eastAsia" w:ascii="仿宋_GB2312" w:hAnsi="仿宋" w:eastAsia="仿宋_GB2312"/>
          <w:sz w:val="32"/>
          <w:szCs w:val="32"/>
        </w:rPr>
      </w:pPr>
      <w:r>
        <w:rPr>
          <w:rFonts w:hint="eastAsia" w:ascii="仿宋_GB2312" w:hAnsi="仿宋" w:eastAsia="仿宋_GB2312"/>
          <w:sz w:val="32"/>
          <w:szCs w:val="32"/>
        </w:rPr>
        <w:t>内设13个部门：办公室、组织宣传部、信访室、党风政风监督室、案件审理室、案件管理室、第一纪检监察室、第二纪检监察室、第三纪检监察室、第四纪检监察室、第五纪检监察室、第六纪检监察室、第七纪检监察室。</w:t>
      </w:r>
    </w:p>
    <w:p w14:paraId="0559657F">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下属1个事业单位：县投资商及企业投诉服务中心。</w:t>
      </w:r>
    </w:p>
    <w:p w14:paraId="2868B62A">
      <w:pPr>
        <w:ind w:firstLine="640" w:firstLineChars="200"/>
        <w:rPr>
          <w:rFonts w:hint="eastAsia" w:ascii="仿宋_GB2312" w:hAnsi="仿宋" w:eastAsia="仿宋_GB2312"/>
          <w:sz w:val="32"/>
          <w:szCs w:val="32"/>
        </w:rPr>
      </w:pPr>
      <w:r>
        <w:rPr>
          <w:rFonts w:hint="eastAsia" w:ascii="仿宋_GB2312" w:hAnsi="仿宋" w:eastAsia="仿宋_GB2312"/>
          <w:sz w:val="32"/>
          <w:szCs w:val="32"/>
        </w:rPr>
        <w:t>二、2019年年度部门工作任务</w:t>
      </w:r>
    </w:p>
    <w:p w14:paraId="1F0D99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以习近平新时代中国特色社会主义思想为指导，增强“四个意识”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定“四个自信”，坚决维护习近平总书记党中央的核心、全党的核心地位，坚决维护习近平总书记党中央权威和集中统一领导，坚持稳中求进工作总基调，继续深化监察体制改革，持之以恒正风肃纪、反腐倡廉，营造风清气正的良好政治生态。</w:t>
      </w:r>
    </w:p>
    <w:p w14:paraId="3B80EE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一是聚焦主责主业，对照市纪委党风廉政建设14项考核指标和县委总体部署，用好监督执纪“四种形态”和调查处置12项措施，落实“越往后执纪越严”的总要求，推动全面从严治党向纵深发展。</w:t>
      </w:r>
    </w:p>
    <w:p w14:paraId="4CCFCB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二是突出工作重点，围绕严查违反中央八项规定精神问题、扶贫领域、生态环保领域、扫黑除恶、优化营商环境等5个重点专项工作，服务保障追赶超越工作大局。</w:t>
      </w:r>
    </w:p>
    <w:p w14:paraId="4C61B2D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三是强化警示教育，建立健全党风廉政惩防体系，严格执行任前廉政考核、发放提醒函等制度措施，加大各类典型案例通报曝光力度，开展党风廉政建设和作风纪律教育培训，</w:t>
      </w:r>
      <w:bookmarkStart w:id="0" w:name="_GoBack"/>
      <w:bookmarkEnd w:id="0"/>
      <w:r>
        <w:rPr>
          <w:rFonts w:hint="eastAsia" w:ascii="仿宋_GB2312" w:hAnsi="仿宋_GB2312" w:eastAsia="仿宋_GB2312" w:cs="仿宋_GB2312"/>
          <w:sz w:val="32"/>
          <w:szCs w:val="32"/>
        </w:rPr>
        <w:t>增强全县干部廉洁从政意识。</w:t>
      </w:r>
    </w:p>
    <w:p w14:paraId="2088C520">
      <w:pPr>
        <w:spacing w:line="560" w:lineRule="exact"/>
        <w:ind w:firstLine="640" w:firstLineChars="200"/>
        <w:rPr>
          <w:rFonts w:hint="eastAsia" w:ascii="仿宋_GB2312" w:hAnsi="仿宋" w:eastAsia="仿宋_GB2312"/>
          <w:color w:val="FF0000"/>
          <w:sz w:val="32"/>
          <w:szCs w:val="32"/>
        </w:rPr>
      </w:pPr>
      <w:r>
        <w:rPr>
          <w:rFonts w:hint="eastAsia" w:ascii="仿宋_GB2312" w:hAnsi="仿宋_GB2312" w:eastAsia="仿宋_GB2312" w:cs="仿宋_GB2312"/>
          <w:sz w:val="32"/>
          <w:szCs w:val="32"/>
        </w:rPr>
        <w:t>四是加强自身建设，严格执行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中国共产党章程》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监察法》《监督执纪工作规则》等党规法律制度，强化审查调查安全意识，严防“灯下黑”，努力打造对党忠诚、作风过硬、本领高强、务实清廉的蓝田纪检铁军队伍。</w:t>
      </w:r>
    </w:p>
    <w:p w14:paraId="7620D6BB">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三、部门预算单位构成</w:t>
      </w:r>
    </w:p>
    <w:p w14:paraId="66B2CBD8">
      <w:pPr>
        <w:ind w:firstLine="640" w:firstLineChars="200"/>
        <w:rPr>
          <w:rFonts w:hint="eastAsia" w:ascii="仿宋_GB2312" w:hAnsi="仿宋" w:eastAsia="仿宋_GB2312"/>
          <w:sz w:val="32"/>
          <w:szCs w:val="32"/>
        </w:rPr>
      </w:pPr>
      <w:r>
        <w:rPr>
          <w:rFonts w:hint="eastAsia" w:ascii="仿宋_GB2312" w:hAnsi="仿宋" w:eastAsia="仿宋_GB2312"/>
          <w:sz w:val="32"/>
          <w:szCs w:val="32"/>
        </w:rPr>
        <w:t>从预算单位构成看，本部门的部门预算包括部门本级（机关）预算和所属事业单位预算。</w:t>
      </w:r>
    </w:p>
    <w:p w14:paraId="6E6BB089">
      <w:pPr>
        <w:adjustRightInd w:val="0"/>
        <w:snapToGrid w:val="0"/>
        <w:spacing w:line="360" w:lineRule="auto"/>
        <w:ind w:firstLine="640" w:firstLineChars="200"/>
        <w:rPr>
          <w:rFonts w:ascii="仿宋_GB2312" w:eastAsia="仿宋_GB2312"/>
          <w:sz w:val="32"/>
          <w:szCs w:val="32"/>
          <w:lang w:val="en-US" w:eastAsia="zh-CN"/>
        </w:rPr>
      </w:pPr>
      <w:r>
        <w:rPr>
          <w:rFonts w:hint="eastAsia" w:ascii="仿宋_GB2312" w:eastAsia="仿宋_GB2312"/>
          <w:sz w:val="32"/>
          <w:szCs w:val="32"/>
        </w:rPr>
        <w:t>纳入本部门2019年部门预算编制范围的二级预算单位共有1个，包括：</w:t>
      </w:r>
    </w:p>
    <w:tbl>
      <w:tblPr>
        <w:tblStyle w:val="8"/>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70"/>
        <w:gridCol w:w="6370"/>
      </w:tblGrid>
      <w:tr w14:paraId="26A71F6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59" w:hRule="atLeast"/>
          <w:tblCellSpacing w:w="0" w:type="dxa"/>
          <w:jc w:val="center"/>
        </w:trPr>
        <w:tc>
          <w:tcPr>
            <w:tcW w:w="127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E639E84">
            <w:pPr>
              <w:widowControl/>
              <w:jc w:val="center"/>
              <w:rPr>
                <w:rFonts w:hint="eastAsia" w:ascii="仿宋_GB2312" w:hAnsi="仿宋_GB2312" w:eastAsia="仿宋_GB2312" w:cs="仿宋_GB2312"/>
                <w:color w:val="3D3D3C"/>
                <w:kern w:val="0"/>
                <w:sz w:val="32"/>
                <w:szCs w:val="32"/>
              </w:rPr>
            </w:pPr>
            <w:r>
              <w:rPr>
                <w:rFonts w:hint="eastAsia" w:ascii="仿宋_GB2312" w:hAnsi="仿宋_GB2312" w:eastAsia="仿宋_GB2312" w:cs="仿宋_GB2312"/>
                <w:color w:val="3D3D3C"/>
                <w:kern w:val="0"/>
                <w:sz w:val="32"/>
                <w:szCs w:val="32"/>
              </w:rPr>
              <w:t>序号</w:t>
            </w:r>
          </w:p>
        </w:tc>
        <w:tc>
          <w:tcPr>
            <w:tcW w:w="637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D443E65">
            <w:pPr>
              <w:widowControl/>
              <w:jc w:val="center"/>
              <w:rPr>
                <w:rFonts w:hint="eastAsia" w:ascii="仿宋_GB2312" w:hAnsi="仿宋_GB2312" w:eastAsia="仿宋_GB2312" w:cs="仿宋_GB2312"/>
                <w:color w:val="3D3D3C"/>
                <w:kern w:val="0"/>
                <w:sz w:val="32"/>
                <w:szCs w:val="32"/>
              </w:rPr>
            </w:pPr>
            <w:r>
              <w:rPr>
                <w:rFonts w:hint="eastAsia" w:ascii="仿宋_GB2312" w:hAnsi="仿宋_GB2312" w:eastAsia="仿宋_GB2312" w:cs="仿宋_GB2312"/>
                <w:color w:val="3D3D3C"/>
                <w:kern w:val="0"/>
                <w:sz w:val="32"/>
                <w:szCs w:val="32"/>
              </w:rPr>
              <w:t>单位名称</w:t>
            </w:r>
          </w:p>
        </w:tc>
      </w:tr>
      <w:tr w14:paraId="5420132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34" w:hRule="atLeast"/>
          <w:tblCellSpacing w:w="0" w:type="dxa"/>
          <w:jc w:val="center"/>
        </w:trPr>
        <w:tc>
          <w:tcPr>
            <w:tcW w:w="1270" w:type="dxa"/>
            <w:tcBorders>
              <w:top w:val="outset" w:color="000000" w:sz="6" w:space="0"/>
              <w:left w:val="outset" w:color="000000" w:sz="6" w:space="0"/>
              <w:bottom w:val="outset" w:color="000000" w:sz="6" w:space="0"/>
              <w:right w:val="outset" w:color="000000" w:sz="6" w:space="0"/>
            </w:tcBorders>
            <w:shd w:val="clear" w:color="auto" w:fill="FFFFFF"/>
          </w:tcPr>
          <w:p w14:paraId="601A4B36">
            <w:pPr>
              <w:spacing w:line="560" w:lineRule="exact"/>
              <w:jc w:val="center"/>
              <w:rPr>
                <w:rFonts w:hint="eastAsia" w:ascii="仿宋_GB2312" w:hAnsi="仿宋_GB2312" w:eastAsia="仿宋_GB2312" w:cs="仿宋_GB2312"/>
                <w:color w:val="3D3D3C"/>
                <w:kern w:val="0"/>
                <w:sz w:val="32"/>
                <w:szCs w:val="32"/>
              </w:rPr>
            </w:pPr>
            <w:r>
              <w:rPr>
                <w:rFonts w:hint="eastAsia" w:ascii="仿宋_GB2312" w:hAnsi="仿宋" w:eastAsia="仿宋_GB2312" w:cs="仿宋_GB2312"/>
                <w:sz w:val="32"/>
                <w:szCs w:val="32"/>
              </w:rPr>
              <w:t>1</w:t>
            </w:r>
          </w:p>
        </w:tc>
        <w:tc>
          <w:tcPr>
            <w:tcW w:w="6370" w:type="dxa"/>
            <w:tcBorders>
              <w:top w:val="outset" w:color="000000" w:sz="6" w:space="0"/>
              <w:left w:val="outset" w:color="000000" w:sz="6" w:space="0"/>
              <w:bottom w:val="outset" w:color="000000" w:sz="6" w:space="0"/>
              <w:right w:val="outset" w:color="000000" w:sz="6" w:space="0"/>
            </w:tcBorders>
            <w:shd w:val="clear" w:color="auto" w:fill="FFFFFF"/>
          </w:tcPr>
          <w:p w14:paraId="09FE0F96">
            <w:pPr>
              <w:spacing w:line="560" w:lineRule="exact"/>
              <w:rPr>
                <w:rFonts w:hint="eastAsia" w:ascii="仿宋_GB2312" w:hAnsi="仿宋_GB2312" w:eastAsia="仿宋_GB2312" w:cs="仿宋_GB2312"/>
                <w:color w:val="3D3D3C"/>
                <w:kern w:val="0"/>
                <w:sz w:val="32"/>
                <w:szCs w:val="32"/>
              </w:rPr>
            </w:pPr>
            <w:r>
              <w:rPr>
                <w:rFonts w:hint="eastAsia" w:ascii="仿宋_GB2312" w:hAnsi="仿宋" w:eastAsia="仿宋_GB2312" w:cs="仿宋_GB2312"/>
                <w:sz w:val="32"/>
                <w:szCs w:val="32"/>
              </w:rPr>
              <w:t>中共蓝田县纪律检查委员会本级（机关）</w:t>
            </w:r>
          </w:p>
        </w:tc>
      </w:tr>
      <w:tr w14:paraId="3F61C07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4" w:hRule="atLeast"/>
          <w:tblCellSpacing w:w="0" w:type="dxa"/>
          <w:jc w:val="center"/>
        </w:trPr>
        <w:tc>
          <w:tcPr>
            <w:tcW w:w="127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3ED4CA39">
            <w:pPr>
              <w:widowControl/>
              <w:jc w:val="center"/>
              <w:rPr>
                <w:rFonts w:hint="eastAsia" w:ascii="仿宋_GB2312" w:hAnsi="仿宋_GB2312" w:eastAsia="仿宋_GB2312" w:cs="仿宋_GB2312"/>
                <w:color w:val="3D3D3C"/>
                <w:kern w:val="0"/>
                <w:sz w:val="32"/>
                <w:szCs w:val="32"/>
              </w:rPr>
            </w:pPr>
            <w:r>
              <w:rPr>
                <w:rFonts w:hint="eastAsia" w:ascii="仿宋_GB2312" w:hAnsi="仿宋_GB2312" w:eastAsia="仿宋_GB2312" w:cs="仿宋_GB2312"/>
                <w:color w:val="3D3D3C"/>
                <w:kern w:val="0"/>
                <w:sz w:val="32"/>
                <w:szCs w:val="32"/>
              </w:rPr>
              <w:t>2</w:t>
            </w:r>
          </w:p>
        </w:tc>
        <w:tc>
          <w:tcPr>
            <w:tcW w:w="6370"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1C2D9302">
            <w:pPr>
              <w:widowControl/>
              <w:jc w:val="left"/>
              <w:rPr>
                <w:rFonts w:hint="eastAsia" w:ascii="仿宋_GB2312" w:hAnsi="仿宋_GB2312" w:eastAsia="仿宋_GB2312" w:cs="仿宋_GB2312"/>
                <w:color w:val="3D3D3C"/>
                <w:kern w:val="0"/>
                <w:sz w:val="32"/>
                <w:szCs w:val="32"/>
              </w:rPr>
            </w:pPr>
            <w:r>
              <w:rPr>
                <w:rFonts w:hint="eastAsia" w:ascii="仿宋_GB2312" w:hAnsi="仿宋_GB2312" w:eastAsia="仿宋_GB2312" w:cs="仿宋_GB2312"/>
                <w:color w:val="3D3D3C"/>
                <w:kern w:val="0"/>
                <w:sz w:val="32"/>
                <w:szCs w:val="32"/>
              </w:rPr>
              <w:t> 蓝田县投资商及企业投诉服务中心</w:t>
            </w:r>
          </w:p>
        </w:tc>
      </w:tr>
    </w:tbl>
    <w:p w14:paraId="7AF7D81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四、部门人员情况说明</w:t>
      </w:r>
    </w:p>
    <w:p w14:paraId="29A6B72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截止2018年底，本部门人员编制67人，其中行政编制61人，事业编制6人；实有人员65人，其中行政人员53人，事业人员12人。单位管理的离退休人员3人。</w:t>
      </w:r>
    </w:p>
    <w:p w14:paraId="4F4B5759">
      <w:pPr>
        <w:adjustRightInd w:val="0"/>
        <w:snapToGrid w:val="0"/>
        <w:spacing w:line="360" w:lineRule="auto"/>
        <w:ind w:firstLine="420" w:firstLineChars="200"/>
        <w:rPr>
          <w:rFonts w:hint="eastAsia" w:ascii="仿宋_GB2312" w:eastAsia="仿宋_GB2312"/>
          <w:sz w:val="32"/>
          <w:szCs w:val="32"/>
        </w:rPr>
      </w:pPr>
      <w:r>
        <w:drawing>
          <wp:inline distT="0" distB="0" distL="0" distR="0">
            <wp:extent cx="4572000" cy="27432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77584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五、部门国有资产占有使用及资产购置情况说明</w:t>
      </w:r>
    </w:p>
    <w:p w14:paraId="31C6D88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截</w:t>
      </w:r>
      <w:r>
        <w:rPr>
          <w:rFonts w:hint="eastAsia" w:ascii="仿宋_GB2312" w:eastAsia="仿宋_GB2312"/>
          <w:sz w:val="32"/>
          <w:szCs w:val="32"/>
          <w:lang w:val="en-US" w:eastAsia="zh-CN"/>
        </w:rPr>
        <w:t>至</w:t>
      </w:r>
      <w:r>
        <w:rPr>
          <w:rFonts w:hint="eastAsia" w:ascii="仿宋_GB2312" w:eastAsia="仿宋_GB2312"/>
          <w:sz w:val="32"/>
          <w:szCs w:val="32"/>
        </w:rPr>
        <w:t>2018年底，本部门所属预算单位共有车辆8辆，单价20万元以上的设备0台（套）。2019年部门预算安排购置车辆0辆；安排购置单价20万元以上的设备0台（套）。</w:t>
      </w:r>
    </w:p>
    <w:p w14:paraId="17E6062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六、部门预算绩效目标说明</w:t>
      </w:r>
    </w:p>
    <w:p w14:paraId="5951395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2019年本部门实现了绩效目标管理全覆盖，涉及一般公共预算当年拨款703.96万元,政府性基金预算当年拨款0万元。</w:t>
      </w:r>
    </w:p>
    <w:p w14:paraId="4ECEE52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七、2019年部门预算收支说明</w:t>
      </w:r>
    </w:p>
    <w:p w14:paraId="5DC7DEC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（一）收支预算总体情况。</w:t>
      </w:r>
    </w:p>
    <w:p w14:paraId="2B17F1CD">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2019年本部门预算收入703.96万元，其中一般公共预算拨款收入703.96万元、政府性基金拨款收入0万元，2019年本部门预算收入较上年548.32万元增加155.64万元，主要原因是人员工资福利支出增加和养老保险单位缴费支出纳入部门预算；2019年本部门预算支出703.96万元，其中一般公共预算拨款支出703.96万元、政府性基金拨款支出0万元，2019年本部门预算支出较上年548.32万元增加155.64万元，主要原因是人员工资福利支出增加和养老保险单位缴费支出纳入部门预算。</w:t>
      </w:r>
    </w:p>
    <w:p w14:paraId="70D5A327">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（二）财政拨款收支情况。</w:t>
      </w:r>
    </w:p>
    <w:p w14:paraId="4C610A3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2019年本部门财政拨款收入703.96万元，其中一般公共预算拨款收入703.96万元、政府性基金拨款收入0万元，2019年本部门财政拨款收入较上年548.32万元增加155.64万元，主要原因是人员工资福利支出增加和养老保险单位缴费支出纳入部门预算；2019年本部门财政拨款支出703.96万元，其中一般公共预算拨款支出703.96万元、政府性基金拨款支出0万元，2019年本部门财政拨款支出较上年548.32万元增加155.64万元，主要原因是人员工资福利支出增加和养老保险单位缴费支出纳入部门预算。</w:t>
      </w:r>
    </w:p>
    <w:p w14:paraId="2269425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（三）一般公共预算拨款支出明细情况。</w:t>
      </w:r>
    </w:p>
    <w:p w14:paraId="7D389A0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1、一般公共预算当年拨款规模变化情况。</w:t>
      </w:r>
    </w:p>
    <w:p w14:paraId="798896C0">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2019年本部门一般公共预算拨款支出703.96万元，较上年548.32万元增加155.64万元，主要原因是人员工资福利支出增加和养老保险单位缴费支出纳入部门预算。</w:t>
      </w:r>
    </w:p>
    <w:p w14:paraId="2934F8A8">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2、支出按功能科目分类的明细情况。</w:t>
      </w:r>
    </w:p>
    <w:p w14:paraId="07D7126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本部门2019年一般公共预算支出703.96万元，其中：</w:t>
      </w:r>
    </w:p>
    <w:p w14:paraId="43540944">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（1）行政运行（2011101）546.65万元，较上年501.18万元增加45.47万元，原因是人员增加，导致工资福利支出增加；</w:t>
      </w:r>
    </w:p>
    <w:p w14:paraId="29AF6689">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（2）事业运行（2011150）74.99万元，较上年47.14万元增加27.85万元，原因是人员增加，导致工资福利支出增加；</w:t>
      </w:r>
    </w:p>
    <w:p w14:paraId="5E4E7F2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（3）机关事业单位基本养老保险缴费支出（ 2080505）82.32万元，较上年增加82.32万元，原因是2019年机关事业单位养老保险改革，养老保险单位缴费支出纳入部门预算。</w:t>
      </w:r>
    </w:p>
    <w:p w14:paraId="56CA3A0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3、支出按经济科目分类的明细情况</w:t>
      </w:r>
    </w:p>
    <w:p w14:paraId="3A98AC48">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（1）按照部门预算支出经济分类的类级科目说明。</w:t>
      </w:r>
    </w:p>
    <w:p w14:paraId="2FD74F3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2019年本部门一般公共预算支出703.96万元，其中：</w:t>
      </w:r>
    </w:p>
    <w:p w14:paraId="1F4059A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工资福利支出（301）559.20万元，较上年412.35万元增加146.85万元，原因是人员增加，导致工资福利支出增加；</w:t>
      </w:r>
    </w:p>
    <w:p w14:paraId="24123C37">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商品和服务支出（302）119.04万元，较上年110.33增加8.71万元，原因是人员增加，导致商品和服务支出增加；</w:t>
      </w:r>
    </w:p>
    <w:p w14:paraId="4C9D4C6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对个人和家庭的补助支出（303）25.72万元，较上年25.65增加0.07万元，原因是离休人员离休费增加和遗属人员补助减少综合导致。</w:t>
      </w:r>
    </w:p>
    <w:p w14:paraId="2C9B72A9">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（2）按照政府预算支出经济分类的类级科目说明。</w:t>
      </w:r>
    </w:p>
    <w:p w14:paraId="44C52E24">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2019年本部门一般公共预算支出703.96万元，其中：</w:t>
      </w:r>
    </w:p>
    <w:p w14:paraId="6284C25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机关工资福利支出（501）559.20万元，较上年412.35万元增加146.85万元，原因是人员增加，导致工资福利支出增加；</w:t>
      </w:r>
    </w:p>
    <w:p w14:paraId="2A8FF0D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机关商品和服务支出（502）119.04万元，较上年110.33增加8.71万元，原因是人员增加，导致商品和服务支出增加；</w:t>
      </w:r>
    </w:p>
    <w:p w14:paraId="57361B2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对个人和家庭的补助支出（509）25.72万元，较上年25.65增加0.07万元，原因是离休人员离休费增加和遗属人员补助减少综合导致。</w:t>
      </w:r>
    </w:p>
    <w:p w14:paraId="79DE100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（四）政府性基金预算支出情况。</w:t>
      </w:r>
    </w:p>
    <w:p w14:paraId="58FDA00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本部门无政府性基金预算收支，并已公开空表。</w:t>
      </w:r>
    </w:p>
    <w:p w14:paraId="1ED8A0B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（五）国有资本经营预算拨款收支情况。</w:t>
      </w:r>
    </w:p>
    <w:p w14:paraId="4DCD792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本部门无国有资本经营预算拨款收支。</w:t>
      </w:r>
    </w:p>
    <w:p w14:paraId="6638EF93">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（六）“三公”经费等预算情况。</w:t>
      </w:r>
    </w:p>
    <w:p w14:paraId="382E53C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2019年本部门一般公共预算“三公”经费预算支出11.10万元，较上年14万元减少2.90万元（20.71%），原因是按照有关规定，严格控制公务接待和公车运行支出。其中：公务接待费1万元，较上年2万元减少1万元（50%），原因是按照有关规定，严格控制公务接待支出；公务用车运行维护费10.1万元，较上年12万元减少1.90万元（15.83%），原因是按照有关规定，严格控制公车运行支出；2018年和2019年，本部门无公务用车购置费和因公出国（境）经费预算。2019年本部门一般公共预算会议费2万元，较上年3万元减少1万元（33.33%），原因是精简会议，减少开支；培训费2万元，较上年10万元减少8万元（80%），原因是加强网络在线教育，控制外出培训支出。</w:t>
      </w:r>
    </w:p>
    <w:p w14:paraId="19EED10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（七）机关运行经费安排情况。</w:t>
      </w:r>
    </w:p>
    <w:p w14:paraId="3B2295C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本部门2019年机关运行经费预算安排678.24万元，较上年522.68增加155.56万元，是主要原因是人员工资福利支出增加和养老保险单位缴费支出纳入部门预算。</w:t>
      </w:r>
    </w:p>
    <w:p w14:paraId="3FA548C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（八）政府采购情况。</w:t>
      </w:r>
    </w:p>
    <w:p w14:paraId="08C45D9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本部门2019年无政府采购预算，并已公开空表。</w:t>
      </w:r>
    </w:p>
    <w:p w14:paraId="38ADB93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八、专业名词解释</w:t>
      </w:r>
    </w:p>
    <w:p w14:paraId="1203B7A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14:paraId="3D344765">
      <w:pPr>
        <w:adjustRightInd w:val="0"/>
        <w:snapToGrid w:val="0"/>
        <w:spacing w:line="360" w:lineRule="auto"/>
        <w:ind w:firstLine="640" w:firstLineChars="200"/>
        <w:rPr>
          <w:rFonts w:ascii="仿宋_GB2312" w:eastAsia="仿宋_GB2312"/>
          <w:sz w:val="32"/>
        </w:rPr>
      </w:pPr>
      <w:r>
        <w:rPr>
          <w:rFonts w:hint="eastAsia" w:ascii="仿宋_GB2312" w:eastAsia="仿宋_GB2312"/>
          <w:sz w:val="32"/>
          <w:szCs w:val="32"/>
        </w:rPr>
        <w:t>2.本部门2019年无新增专业名词。</w:t>
      </w:r>
      <w:r>
        <w:rPr>
          <w:rFonts w:hint="eastAsia" w:ascii="仿宋_GB2312" w:hAnsi="宋体" w:eastAsia="仿宋_GB2312"/>
          <w:sz w:val="32"/>
        </w:rPr>
        <w:t xml:space="preserve">                              </w:t>
      </w:r>
    </w:p>
    <w:p w14:paraId="40504368">
      <w:pPr>
        <w:jc w:val="left"/>
        <w:rPr>
          <w:rFonts w:hint="eastAsia" w:ascii="仿宋_GB2312" w:eastAsia="仿宋_GB2312"/>
          <w:sz w:val="32"/>
        </w:rPr>
      </w:pPr>
    </w:p>
    <w:p w14:paraId="6020E133">
      <w:pPr>
        <w:spacing w:line="360" w:lineRule="auto"/>
        <w:jc w:val="center"/>
        <w:rPr>
          <w:rFonts w:hint="eastAsia" w:ascii="仿宋_GB2312" w:eastAsia="仿宋_GB2312"/>
          <w:sz w:val="32"/>
        </w:rPr>
      </w:pPr>
    </w:p>
    <w:sectPr>
      <w:headerReference r:id="rId3" w:type="default"/>
      <w:footerReference r:id="rId4" w:type="default"/>
      <w:footerReference r:id="rId5" w:type="even"/>
      <w:pgSz w:w="11906" w:h="16838"/>
      <w:pgMar w:top="1440" w:right="1588" w:bottom="11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0000500000000000000"/>
    <w:charset w:val="86"/>
    <w:family w:val="auto"/>
    <w:pitch w:val="default"/>
    <w:sig w:usb0="A0000287" w:usb1="180F1C13" w:usb2="00000016" w:usb3="00000000" w:csb0="600401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2C244">
    <w:pPr>
      <w:pStyle w:val="6"/>
      <w:ind w:right="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63C405E">
                <w:pPr>
                  <w:pStyle w:val="6"/>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- 4 -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8E74">
    <w:pPr>
      <w:pStyle w:val="6"/>
      <w:framePr w:wrap="around" w:vAnchor="text" w:hAnchor="margin" w:xAlign="right" w:y="1"/>
      <w:rPr>
        <w:rStyle w:val="10"/>
      </w:rPr>
    </w:pPr>
    <w:r>
      <w:fldChar w:fldCharType="begin"/>
    </w:r>
    <w:r>
      <w:rPr>
        <w:rStyle w:val="10"/>
      </w:rPr>
      <w:instrText xml:space="preserve">PAGE  </w:instrText>
    </w:r>
    <w:r>
      <w:fldChar w:fldCharType="end"/>
    </w:r>
  </w:p>
  <w:p w14:paraId="76D4FDFC">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C1C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56F07"/>
    <w:rsid w:val="00032AAC"/>
    <w:rsid w:val="000335CB"/>
    <w:rsid w:val="00054DF8"/>
    <w:rsid w:val="00056F07"/>
    <w:rsid w:val="00075E65"/>
    <w:rsid w:val="0009104F"/>
    <w:rsid w:val="00094B09"/>
    <w:rsid w:val="000A7023"/>
    <w:rsid w:val="000B04B7"/>
    <w:rsid w:val="000C1ABA"/>
    <w:rsid w:val="000C3402"/>
    <w:rsid w:val="000D0F0D"/>
    <w:rsid w:val="000D3689"/>
    <w:rsid w:val="000D4803"/>
    <w:rsid w:val="000D75BF"/>
    <w:rsid w:val="000F053C"/>
    <w:rsid w:val="000F69BF"/>
    <w:rsid w:val="00127870"/>
    <w:rsid w:val="001309D5"/>
    <w:rsid w:val="00142F7E"/>
    <w:rsid w:val="00143279"/>
    <w:rsid w:val="00151927"/>
    <w:rsid w:val="001519F3"/>
    <w:rsid w:val="001537B9"/>
    <w:rsid w:val="00156BE5"/>
    <w:rsid w:val="00160170"/>
    <w:rsid w:val="00161B64"/>
    <w:rsid w:val="001626B8"/>
    <w:rsid w:val="0016613F"/>
    <w:rsid w:val="00185EB0"/>
    <w:rsid w:val="00187DBC"/>
    <w:rsid w:val="00196931"/>
    <w:rsid w:val="00196F56"/>
    <w:rsid w:val="001A1D0E"/>
    <w:rsid w:val="001A47B7"/>
    <w:rsid w:val="001A6842"/>
    <w:rsid w:val="001A7652"/>
    <w:rsid w:val="001B2146"/>
    <w:rsid w:val="001B3586"/>
    <w:rsid w:val="001C23F1"/>
    <w:rsid w:val="001D1EA2"/>
    <w:rsid w:val="001F3FCC"/>
    <w:rsid w:val="0021063C"/>
    <w:rsid w:val="00216D70"/>
    <w:rsid w:val="002251E2"/>
    <w:rsid w:val="00230E93"/>
    <w:rsid w:val="00232064"/>
    <w:rsid w:val="0023632D"/>
    <w:rsid w:val="002365E6"/>
    <w:rsid w:val="00245899"/>
    <w:rsid w:val="002519A3"/>
    <w:rsid w:val="002537A6"/>
    <w:rsid w:val="00270C53"/>
    <w:rsid w:val="00277E0A"/>
    <w:rsid w:val="0028559D"/>
    <w:rsid w:val="00297860"/>
    <w:rsid w:val="002A0806"/>
    <w:rsid w:val="002A78CA"/>
    <w:rsid w:val="002B4141"/>
    <w:rsid w:val="002C7B51"/>
    <w:rsid w:val="002D4270"/>
    <w:rsid w:val="002E16E9"/>
    <w:rsid w:val="00306FA4"/>
    <w:rsid w:val="0031205D"/>
    <w:rsid w:val="00314565"/>
    <w:rsid w:val="00315662"/>
    <w:rsid w:val="00316B8B"/>
    <w:rsid w:val="00316DCC"/>
    <w:rsid w:val="00324145"/>
    <w:rsid w:val="00357C8E"/>
    <w:rsid w:val="00364FC7"/>
    <w:rsid w:val="003765FD"/>
    <w:rsid w:val="00377E4C"/>
    <w:rsid w:val="00385D7E"/>
    <w:rsid w:val="003977B1"/>
    <w:rsid w:val="003A040A"/>
    <w:rsid w:val="003A1252"/>
    <w:rsid w:val="003A5ED6"/>
    <w:rsid w:val="003C37CF"/>
    <w:rsid w:val="003D0581"/>
    <w:rsid w:val="003E25D1"/>
    <w:rsid w:val="003E425D"/>
    <w:rsid w:val="003F68FD"/>
    <w:rsid w:val="004037D4"/>
    <w:rsid w:val="00420D69"/>
    <w:rsid w:val="00423228"/>
    <w:rsid w:val="004621F7"/>
    <w:rsid w:val="00462D7E"/>
    <w:rsid w:val="0046367F"/>
    <w:rsid w:val="0046555A"/>
    <w:rsid w:val="00467776"/>
    <w:rsid w:val="004739BF"/>
    <w:rsid w:val="00483610"/>
    <w:rsid w:val="00483F0E"/>
    <w:rsid w:val="004B14E3"/>
    <w:rsid w:val="004B1894"/>
    <w:rsid w:val="004B3ECC"/>
    <w:rsid w:val="004C5700"/>
    <w:rsid w:val="004D0697"/>
    <w:rsid w:val="004D4620"/>
    <w:rsid w:val="004D4B30"/>
    <w:rsid w:val="004D6AFA"/>
    <w:rsid w:val="004F28E5"/>
    <w:rsid w:val="00501F70"/>
    <w:rsid w:val="0050384E"/>
    <w:rsid w:val="00523166"/>
    <w:rsid w:val="00532700"/>
    <w:rsid w:val="00550250"/>
    <w:rsid w:val="00554FCC"/>
    <w:rsid w:val="0056042E"/>
    <w:rsid w:val="0056649E"/>
    <w:rsid w:val="00592A7E"/>
    <w:rsid w:val="00597A51"/>
    <w:rsid w:val="005A05C2"/>
    <w:rsid w:val="005A6BEF"/>
    <w:rsid w:val="00621ABB"/>
    <w:rsid w:val="00622D02"/>
    <w:rsid w:val="006243EB"/>
    <w:rsid w:val="00624513"/>
    <w:rsid w:val="00641C94"/>
    <w:rsid w:val="00651EA7"/>
    <w:rsid w:val="006530F8"/>
    <w:rsid w:val="006641B2"/>
    <w:rsid w:val="0066462F"/>
    <w:rsid w:val="00666636"/>
    <w:rsid w:val="006769FB"/>
    <w:rsid w:val="006865BE"/>
    <w:rsid w:val="006A4AD1"/>
    <w:rsid w:val="006B4CAC"/>
    <w:rsid w:val="006D2D63"/>
    <w:rsid w:val="00703D05"/>
    <w:rsid w:val="00707D1F"/>
    <w:rsid w:val="00710CD4"/>
    <w:rsid w:val="007218B1"/>
    <w:rsid w:val="00724AAB"/>
    <w:rsid w:val="00727EE1"/>
    <w:rsid w:val="00733D6F"/>
    <w:rsid w:val="007468A6"/>
    <w:rsid w:val="00757645"/>
    <w:rsid w:val="007854FF"/>
    <w:rsid w:val="00786F31"/>
    <w:rsid w:val="007B0D88"/>
    <w:rsid w:val="007B421D"/>
    <w:rsid w:val="007C608F"/>
    <w:rsid w:val="007E141F"/>
    <w:rsid w:val="00815646"/>
    <w:rsid w:val="00816B6D"/>
    <w:rsid w:val="00821C07"/>
    <w:rsid w:val="008244B4"/>
    <w:rsid w:val="00846BE9"/>
    <w:rsid w:val="00852614"/>
    <w:rsid w:val="00860DDA"/>
    <w:rsid w:val="008617AC"/>
    <w:rsid w:val="00864C4C"/>
    <w:rsid w:val="00883414"/>
    <w:rsid w:val="008C121A"/>
    <w:rsid w:val="008C16E7"/>
    <w:rsid w:val="008E4372"/>
    <w:rsid w:val="008F3258"/>
    <w:rsid w:val="008F3E4E"/>
    <w:rsid w:val="008F46C1"/>
    <w:rsid w:val="008F5966"/>
    <w:rsid w:val="00902815"/>
    <w:rsid w:val="009035DC"/>
    <w:rsid w:val="00907C7D"/>
    <w:rsid w:val="009273CD"/>
    <w:rsid w:val="0093016B"/>
    <w:rsid w:val="00930633"/>
    <w:rsid w:val="00934BEF"/>
    <w:rsid w:val="00934F12"/>
    <w:rsid w:val="009513AB"/>
    <w:rsid w:val="00984E6B"/>
    <w:rsid w:val="009942F8"/>
    <w:rsid w:val="00995B03"/>
    <w:rsid w:val="009A13CF"/>
    <w:rsid w:val="009B14B7"/>
    <w:rsid w:val="009D24B7"/>
    <w:rsid w:val="009E1782"/>
    <w:rsid w:val="009E1D37"/>
    <w:rsid w:val="009E4AAF"/>
    <w:rsid w:val="009E7D19"/>
    <w:rsid w:val="00A0302B"/>
    <w:rsid w:val="00A10300"/>
    <w:rsid w:val="00A27FBF"/>
    <w:rsid w:val="00A3790D"/>
    <w:rsid w:val="00A45BC7"/>
    <w:rsid w:val="00A471DB"/>
    <w:rsid w:val="00A5001C"/>
    <w:rsid w:val="00A51070"/>
    <w:rsid w:val="00A520AE"/>
    <w:rsid w:val="00A91886"/>
    <w:rsid w:val="00AB1099"/>
    <w:rsid w:val="00AB53DA"/>
    <w:rsid w:val="00AB6203"/>
    <w:rsid w:val="00AC2E7B"/>
    <w:rsid w:val="00AC3661"/>
    <w:rsid w:val="00AE05EA"/>
    <w:rsid w:val="00AE0AFE"/>
    <w:rsid w:val="00AE76DA"/>
    <w:rsid w:val="00AF1182"/>
    <w:rsid w:val="00AF1BCA"/>
    <w:rsid w:val="00AF1C03"/>
    <w:rsid w:val="00AF7FD6"/>
    <w:rsid w:val="00B03201"/>
    <w:rsid w:val="00B15170"/>
    <w:rsid w:val="00B237E5"/>
    <w:rsid w:val="00B45150"/>
    <w:rsid w:val="00B55F14"/>
    <w:rsid w:val="00B7272E"/>
    <w:rsid w:val="00B72823"/>
    <w:rsid w:val="00B736B3"/>
    <w:rsid w:val="00BA0044"/>
    <w:rsid w:val="00BA5D4C"/>
    <w:rsid w:val="00BC0F22"/>
    <w:rsid w:val="00BC1983"/>
    <w:rsid w:val="00BC6204"/>
    <w:rsid w:val="00BD1514"/>
    <w:rsid w:val="00BF1B72"/>
    <w:rsid w:val="00BF2A9B"/>
    <w:rsid w:val="00BF5D1F"/>
    <w:rsid w:val="00C03E64"/>
    <w:rsid w:val="00C172ED"/>
    <w:rsid w:val="00C21D08"/>
    <w:rsid w:val="00C235D3"/>
    <w:rsid w:val="00C2444C"/>
    <w:rsid w:val="00C249BC"/>
    <w:rsid w:val="00C32A3E"/>
    <w:rsid w:val="00C33219"/>
    <w:rsid w:val="00C414FF"/>
    <w:rsid w:val="00C47075"/>
    <w:rsid w:val="00C83500"/>
    <w:rsid w:val="00C87B0D"/>
    <w:rsid w:val="00CA65F4"/>
    <w:rsid w:val="00CB5D3C"/>
    <w:rsid w:val="00CC01EA"/>
    <w:rsid w:val="00CC3103"/>
    <w:rsid w:val="00CC66F8"/>
    <w:rsid w:val="00CD09EF"/>
    <w:rsid w:val="00CD5CED"/>
    <w:rsid w:val="00CE5661"/>
    <w:rsid w:val="00CE5A1A"/>
    <w:rsid w:val="00D10433"/>
    <w:rsid w:val="00D25A4A"/>
    <w:rsid w:val="00D31469"/>
    <w:rsid w:val="00D32217"/>
    <w:rsid w:val="00D347D7"/>
    <w:rsid w:val="00D83E1C"/>
    <w:rsid w:val="00D92B24"/>
    <w:rsid w:val="00DB0B9F"/>
    <w:rsid w:val="00DB42B3"/>
    <w:rsid w:val="00DC23B5"/>
    <w:rsid w:val="00DC2D6F"/>
    <w:rsid w:val="00DD5C16"/>
    <w:rsid w:val="00DD6416"/>
    <w:rsid w:val="00DE32B6"/>
    <w:rsid w:val="00DF205A"/>
    <w:rsid w:val="00DF731D"/>
    <w:rsid w:val="00DF7BAF"/>
    <w:rsid w:val="00E00411"/>
    <w:rsid w:val="00E12217"/>
    <w:rsid w:val="00E244C9"/>
    <w:rsid w:val="00E40FCB"/>
    <w:rsid w:val="00E51439"/>
    <w:rsid w:val="00E55580"/>
    <w:rsid w:val="00E56F98"/>
    <w:rsid w:val="00E6177F"/>
    <w:rsid w:val="00E6507B"/>
    <w:rsid w:val="00E66211"/>
    <w:rsid w:val="00E67A3B"/>
    <w:rsid w:val="00E72485"/>
    <w:rsid w:val="00E7308E"/>
    <w:rsid w:val="00E734A3"/>
    <w:rsid w:val="00E73C29"/>
    <w:rsid w:val="00E82A52"/>
    <w:rsid w:val="00E86175"/>
    <w:rsid w:val="00E90D20"/>
    <w:rsid w:val="00EB3ABB"/>
    <w:rsid w:val="00ED38DC"/>
    <w:rsid w:val="00ED7397"/>
    <w:rsid w:val="00F00ADC"/>
    <w:rsid w:val="00F03D52"/>
    <w:rsid w:val="00F0673E"/>
    <w:rsid w:val="00F20E70"/>
    <w:rsid w:val="00F65756"/>
    <w:rsid w:val="00F66C84"/>
    <w:rsid w:val="00F722C4"/>
    <w:rsid w:val="00F7507A"/>
    <w:rsid w:val="00F777C1"/>
    <w:rsid w:val="00F81D6C"/>
    <w:rsid w:val="00F831FA"/>
    <w:rsid w:val="00F943DE"/>
    <w:rsid w:val="00FB6841"/>
    <w:rsid w:val="00FE1B1E"/>
    <w:rsid w:val="00FE2351"/>
    <w:rsid w:val="00FE491F"/>
    <w:rsid w:val="00FE6910"/>
    <w:rsid w:val="023E6980"/>
    <w:rsid w:val="04AA089A"/>
    <w:rsid w:val="04B7535A"/>
    <w:rsid w:val="08192AE4"/>
    <w:rsid w:val="08472F05"/>
    <w:rsid w:val="09772F44"/>
    <w:rsid w:val="0A4368C3"/>
    <w:rsid w:val="0B6557CF"/>
    <w:rsid w:val="0E4E33C8"/>
    <w:rsid w:val="0EE72B6B"/>
    <w:rsid w:val="0FCB0B19"/>
    <w:rsid w:val="108870F7"/>
    <w:rsid w:val="112A35BD"/>
    <w:rsid w:val="131C1865"/>
    <w:rsid w:val="13E901A5"/>
    <w:rsid w:val="14F02A8F"/>
    <w:rsid w:val="15027315"/>
    <w:rsid w:val="1644044B"/>
    <w:rsid w:val="16950E09"/>
    <w:rsid w:val="174B4A51"/>
    <w:rsid w:val="17DD6C87"/>
    <w:rsid w:val="18224671"/>
    <w:rsid w:val="19D1101F"/>
    <w:rsid w:val="1AC24878"/>
    <w:rsid w:val="1C1261AB"/>
    <w:rsid w:val="1D365E42"/>
    <w:rsid w:val="1F044B87"/>
    <w:rsid w:val="202D5BEB"/>
    <w:rsid w:val="21413529"/>
    <w:rsid w:val="25CE6813"/>
    <w:rsid w:val="268C3AAB"/>
    <w:rsid w:val="28DD3B0B"/>
    <w:rsid w:val="290874CC"/>
    <w:rsid w:val="2D3640A7"/>
    <w:rsid w:val="2E29444F"/>
    <w:rsid w:val="2EF22462"/>
    <w:rsid w:val="2FAF64B4"/>
    <w:rsid w:val="30185332"/>
    <w:rsid w:val="32931EC1"/>
    <w:rsid w:val="359471A3"/>
    <w:rsid w:val="36AF44CE"/>
    <w:rsid w:val="39B209D1"/>
    <w:rsid w:val="3B6A43E4"/>
    <w:rsid w:val="3D3673FA"/>
    <w:rsid w:val="3F7F2FB9"/>
    <w:rsid w:val="3F917700"/>
    <w:rsid w:val="436C3E97"/>
    <w:rsid w:val="442741BB"/>
    <w:rsid w:val="448C71BD"/>
    <w:rsid w:val="44EF7EC2"/>
    <w:rsid w:val="47E22C3B"/>
    <w:rsid w:val="480605F6"/>
    <w:rsid w:val="48410311"/>
    <w:rsid w:val="4A4906FD"/>
    <w:rsid w:val="4CE05E76"/>
    <w:rsid w:val="4E3A7919"/>
    <w:rsid w:val="4F343456"/>
    <w:rsid w:val="511C47AE"/>
    <w:rsid w:val="570D368E"/>
    <w:rsid w:val="5716555F"/>
    <w:rsid w:val="5B537C63"/>
    <w:rsid w:val="5BBA71F5"/>
    <w:rsid w:val="5E2526D1"/>
    <w:rsid w:val="5EA87FCC"/>
    <w:rsid w:val="5F7701BA"/>
    <w:rsid w:val="5FAC09A9"/>
    <w:rsid w:val="5FED1FD2"/>
    <w:rsid w:val="614C4695"/>
    <w:rsid w:val="61FF2696"/>
    <w:rsid w:val="62E66F71"/>
    <w:rsid w:val="64597AB0"/>
    <w:rsid w:val="67972921"/>
    <w:rsid w:val="67AB3F4C"/>
    <w:rsid w:val="6AEA38E9"/>
    <w:rsid w:val="6D2A4AA7"/>
    <w:rsid w:val="70D13160"/>
    <w:rsid w:val="72EC7AAA"/>
    <w:rsid w:val="74287608"/>
    <w:rsid w:val="74B92C15"/>
    <w:rsid w:val="74EE6419"/>
    <w:rsid w:val="756954BE"/>
    <w:rsid w:val="777B4347"/>
    <w:rsid w:val="777E455A"/>
    <w:rsid w:val="779E7362"/>
    <w:rsid w:val="7A0C453B"/>
    <w:rsid w:val="7B4D050B"/>
    <w:rsid w:val="7B7C5A7F"/>
    <w:rsid w:val="7BF44378"/>
    <w:rsid w:val="7C8F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uiPriority w:val="0"/>
    <w:pPr>
      <w:ind w:firstLine="624" w:firstLineChars="200"/>
    </w:pPr>
    <w:rPr>
      <w:rFonts w:ascii="方正仿宋简体" w:eastAsia="方正仿宋简体"/>
      <w:spacing w:val="30"/>
      <w:w w:val="80"/>
      <w:sz w:val="32"/>
      <w:szCs w:val="20"/>
    </w:rPr>
  </w:style>
  <w:style w:type="paragraph" w:styleId="4">
    <w:name w:val="Body Text Indent 2"/>
    <w:basedOn w:val="1"/>
    <w:uiPriority w:val="0"/>
    <w:pPr>
      <w:ind w:firstLine="659" w:firstLineChars="206"/>
    </w:pPr>
    <w:rPr>
      <w:rFonts w:ascii="仿宋_GB2312" w:hAnsi="宋体" w:eastAsia="仿宋_GB2312"/>
      <w:bCs/>
      <w:sz w:val="32"/>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paragraph" w:customStyle="1" w:styleId="11">
    <w:name w:val="Char Char Char Char"/>
    <w:basedOn w:val="2"/>
    <w:uiPriority w:val="0"/>
    <w:pPr>
      <w:adjustRightInd w:val="0"/>
      <w:snapToGrid w:val="0"/>
      <w:spacing w:line="360" w:lineRule="auto"/>
    </w:pPr>
    <w:rPr>
      <w:rFonts w:ascii="Tahoma" w:hAnsi="Tahoma"/>
      <w:sz w:val="24"/>
    </w:rPr>
  </w:style>
  <w:style w:type="paragraph" w:customStyle="1" w:styleId="12">
    <w:name w:val=" Char Char Char Char Char Char Char"/>
    <w:basedOn w:val="1"/>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founder\&#26700;&#38754;\&#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人员情况柱状图</a:t>
            </a:r>
          </a:p>
        </c:rich>
      </c:tx>
      <c:layout/>
      <c:overlay val="0"/>
      <c:spPr>
        <a:noFill/>
        <a:ln>
          <a:noFill/>
        </a:ln>
        <a:effectLst/>
      </c:spPr>
    </c:title>
    <c:autoTitleDeleted val="0"/>
    <c:plotArea>
      <c:layout/>
      <c:barChart>
        <c:barDir val="col"/>
        <c:grouping val="clustered"/>
        <c:varyColors val="0"/>
        <c:ser>
          <c:idx val="0"/>
          <c:order val="0"/>
          <c:tx>
            <c:strRef>
              <c:f>'[新建 Microsoft Excel 工作表.xlsx]Sheet1'!$A$2</c:f>
              <c:strCache>
                <c:ptCount val="1"/>
                <c:pt idx="0">
                  <c:v>行政人员</c:v>
                </c:pt>
              </c:strCache>
            </c:strRef>
          </c:tx>
          <c:spPr>
            <a:solidFill>
              <a:srgbClr val="4F81BD"/>
            </a:solidFill>
            <a:ln>
              <a:noFill/>
            </a:ln>
            <a:effectLst/>
          </c:spPr>
          <c:invertIfNegative val="0"/>
          <c:dLbls>
            <c:delete val="1"/>
          </c:dLbls>
          <c:cat>
            <c:strRef>
              <c:f>'[新建 Microsoft Excel 工作表.xlsx]Sheet1'!$B$1:$C$1</c:f>
              <c:strCache>
                <c:ptCount val="2"/>
                <c:pt idx="0">
                  <c:v>编制人数</c:v>
                </c:pt>
                <c:pt idx="1">
                  <c:v>实有人数</c:v>
                </c:pt>
              </c:strCache>
            </c:strRef>
          </c:cat>
          <c:val>
            <c:numRef>
              <c:f>'[新建 Microsoft Excel 工作表.xlsx]Sheet1'!$B$2:$C$2</c:f>
              <c:numCache>
                <c:formatCode>General</c:formatCode>
                <c:ptCount val="2"/>
                <c:pt idx="0">
                  <c:v>61</c:v>
                </c:pt>
                <c:pt idx="1">
                  <c:v>53</c:v>
                </c:pt>
              </c:numCache>
            </c:numRef>
          </c:val>
        </c:ser>
        <c:ser>
          <c:idx val="1"/>
          <c:order val="1"/>
          <c:tx>
            <c:strRef>
              <c:f>'[新建 Microsoft Excel 工作表.xlsx]Sheet1'!$A$3</c:f>
              <c:strCache>
                <c:ptCount val="1"/>
                <c:pt idx="0">
                  <c:v>事业人员</c:v>
                </c:pt>
              </c:strCache>
            </c:strRef>
          </c:tx>
          <c:spPr>
            <a:solidFill>
              <a:srgbClr val="C0504D"/>
            </a:solidFill>
            <a:ln>
              <a:noFill/>
            </a:ln>
            <a:effectLst/>
          </c:spPr>
          <c:invertIfNegative val="0"/>
          <c:dLbls>
            <c:delete val="1"/>
          </c:dLbls>
          <c:cat>
            <c:strRef>
              <c:f>'[新建 Microsoft Excel 工作表.xlsx]Sheet1'!$B$1:$C$1</c:f>
              <c:strCache>
                <c:ptCount val="2"/>
                <c:pt idx="0">
                  <c:v>编制人数</c:v>
                </c:pt>
                <c:pt idx="1">
                  <c:v>实有人数</c:v>
                </c:pt>
              </c:strCache>
            </c:strRef>
          </c:cat>
          <c:val>
            <c:numRef>
              <c:f>'[新建 Microsoft Excel 工作表.xlsx]Sheet1'!$B$3:$C$3</c:f>
              <c:numCache>
                <c:formatCode>General</c:formatCode>
                <c:ptCount val="2"/>
                <c:pt idx="0">
                  <c:v>6</c:v>
                </c:pt>
                <c:pt idx="1">
                  <c:v>12</c:v>
                </c:pt>
              </c:numCache>
            </c:numRef>
          </c:val>
        </c:ser>
        <c:dLbls>
          <c:showLegendKey val="0"/>
          <c:showVal val="0"/>
          <c:showCatName val="0"/>
          <c:showSerName val="0"/>
          <c:showPercent val="0"/>
          <c:showBubbleSize val="0"/>
        </c:dLbls>
        <c:gapWidth val="219"/>
        <c:overlap val="-27"/>
        <c:axId val="69726976"/>
        <c:axId val="69728512"/>
      </c:barChart>
      <c:catAx>
        <c:axId val="69726976"/>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9728512"/>
        <c:crosses val="autoZero"/>
        <c:auto val="1"/>
        <c:lblAlgn val="ctr"/>
        <c:lblOffset val="100"/>
        <c:noMultiLvlLbl val="0"/>
      </c:catAx>
      <c:valAx>
        <c:axId val="6972851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97269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91f470ad-12f1-4b88-ba9e-cb605c80f4f8}"/>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Company>
  <Pages>8</Pages>
  <Words>3616</Words>
  <Characters>4019</Characters>
  <Lines>29</Lines>
  <Paragraphs>8</Paragraphs>
  <TotalTime>12</TotalTime>
  <ScaleCrop>false</ScaleCrop>
  <LinksUpToDate>false</LinksUpToDate>
  <CharactersWithSpaces>4051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2022-04-01T08:46:00Z</dcterms:created>
  <dc:creator>ningna</dc:creator>
  <cp:lastModifiedBy>Administrator</cp:lastModifiedBy>
  <cp:lastPrinted>2013-09-23T01:03:00Z</cp:lastPrinted>
  <dcterms:modified xsi:type="dcterms:W3CDTF">2025-12-03T07:47:22Z</dcterms:modified>
  <dc:title>关于表彰2006年度先进集体、先进全人的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eyJoZGlkIjoiYWVhYjFmODgzYzM0NjExZTlhNzM0OTM0ZWZkMGMwZWYifQ==</vt:lpwstr>
  </property>
  <property fmtid="{D5CDD505-2E9C-101B-9397-08002B2CF9AE}" pid="4" name="ICV">
    <vt:lpwstr>D1260A0F01C44EB7A5A4C8C789AA3743_12</vt:lpwstr>
  </property>
</Properties>
</file>