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C55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Arial" w:hAnsi="Arial" w:eastAsia="方正小标宋简体" w:cs="Arial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华胥镇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 w14:paraId="2723540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A9DD71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7046323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今年以来，在县委、县政府的坚强领导下，华胥镇全面贯彻落实党的二十大和二十届历次全会精神，深入学习贯彻习近平总书记重要讲话重要指示精神，严格按照《中华人民共和国政府信息公开条例》有关要求，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持续增强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组织领导，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不断健全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工作机制，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积极主动做好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主动公开、依申请公开、政府信息管理、平台建设、监督保障等工作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落实。</w:t>
      </w:r>
      <w:bookmarkStart w:id="0" w:name="_GoBack"/>
      <w:bookmarkEnd w:id="0"/>
    </w:p>
    <w:p w14:paraId="4B52B7E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（一）主动公开情况</w:t>
      </w:r>
    </w:p>
    <w:p w14:paraId="7566FE6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2025年，我镇严格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按照《中华人民共和国政府信息公开条例》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要求，根据政府信息公开相关条例，对机关职能、机构设置、领导信息等相关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进行了更新，并依次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《华胥镇政府信息公开目录》《华胥镇政府信息公开指南》《华胥镇信息公开规定》《华胥镇各领域基层政务公开标准目录》等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内容进行了公开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102E397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（二）依申请公开情况</w:t>
      </w:r>
    </w:p>
    <w:p w14:paraId="4BD653A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华胥镇未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收到依申请公开件。</w:t>
      </w:r>
    </w:p>
    <w:p w14:paraId="596B9F0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（三）政府信息管理情况</w:t>
      </w:r>
    </w:p>
    <w:p w14:paraId="4CDAD92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华胥镇深入贯彻落实《中华人民共和国政府信息公开条例》及上级关于政务公开工作的决策部署，严格执行信息发布审核制度，持续优化信息发布流程，确保公开信息真实准确、合法合规。健全完善信息动态管理机制，定期开展公开信息自查工作，及时对失效信息进行更新、处置，确保政府信息发布准确无误、时效突出、效用显著，切实保障人民群众的知情权、参与权和监督权。</w:t>
      </w:r>
    </w:p>
    <w:p w14:paraId="6543F5E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</w:t>
      </w:r>
    </w:p>
    <w:p w14:paraId="25407F7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华胥镇严格按照信息公开工作有关要求，将蓝田县人民政府网站作为信息公开的重要平台，通过制度化、规范化管理，确保政策文件、工作动态等重点信息及时主动公开，建立信息发布全流程管控机制，持续优化内容审核、更新维护等环节，不断提升信息公开的时效性、准确性和规范性，保障群众知情权。</w:t>
      </w:r>
    </w:p>
    <w:p w14:paraId="3A8C61B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（五）监督保障情况</w:t>
      </w:r>
    </w:p>
    <w:p w14:paraId="5BE09B9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为确保信息公开各项工作落实到位，我镇严格按照县政府关于信息公开要求，不断健全监督保障机制，明确专人负责，夯实工作责任，定期开展自查自纠工作，确保信息公开准确、规范、高效。</w:t>
      </w:r>
    </w:p>
    <w:p w14:paraId="1AA8567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8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070"/>
        <w:gridCol w:w="1935"/>
        <w:gridCol w:w="2010"/>
      </w:tblGrid>
      <w:tr w14:paraId="173A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5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1CA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263C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6F9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31D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E0E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D6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56AA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090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381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1C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D8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4A1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7A6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4A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6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6C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B7B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55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BF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0C6E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B3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84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577E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6A9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C0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DCE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55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DFC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37C6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F4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F8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4A74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AF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D40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BB7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49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91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40B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55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8A1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7A27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45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B5F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625F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4F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4F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2EC4B58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017" w:type="dxa"/>
        <w:tblInd w:w="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55"/>
        <w:gridCol w:w="3226"/>
        <w:gridCol w:w="600"/>
        <w:gridCol w:w="741"/>
        <w:gridCol w:w="713"/>
        <w:gridCol w:w="765"/>
        <w:gridCol w:w="762"/>
        <w:gridCol w:w="349"/>
        <w:gridCol w:w="451"/>
      </w:tblGrid>
      <w:tr w14:paraId="4B9A78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3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21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38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49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申请人情况</w:t>
            </w:r>
          </w:p>
        </w:tc>
      </w:tr>
      <w:tr w14:paraId="147EC5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3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C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10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33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814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4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2E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 w14:paraId="263CD3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3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5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9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44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E0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EE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57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2B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C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B5E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3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CD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5B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7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C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9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8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3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8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5AFD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3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6C9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B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B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B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4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6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2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B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5C0D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76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28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F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3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B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74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D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B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A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2898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4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F9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EF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C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2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D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1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2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E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16A8D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0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C0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AA4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2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4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1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A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3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AD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1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A6E3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2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3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3EA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36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F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E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1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C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0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6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3870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0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4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522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73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9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5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B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6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39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C9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CEB9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7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B9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CF2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2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1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6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8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6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E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8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1A46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F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7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660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C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C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E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FD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B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D5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C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68BD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F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7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FBF6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4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8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B7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3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7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3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7C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AA4A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A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05A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D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3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4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1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A8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B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1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8375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8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9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71E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2F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7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E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F5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B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2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B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5851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B1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547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C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C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E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08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B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2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E817F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F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F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94C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A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F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0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77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A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5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67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CD97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7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1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68F7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A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B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8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D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8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7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E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44FFB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7D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38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0DB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9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6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6A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1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79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A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4FE73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F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E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4A0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5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9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B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3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B6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0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E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E14C5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C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C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312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9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54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CB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E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D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4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6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659D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5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7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EC9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C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9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B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D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4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D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5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613B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E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63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2C2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B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1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A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3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7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0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6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4A05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8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5B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0C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B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4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1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D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4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FA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0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8A026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7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C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7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C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0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6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F2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4C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A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2B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F7DF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F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A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F8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2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2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F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5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4C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5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F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F75CC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3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9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7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2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2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5F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7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A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A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2C75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3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26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5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1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67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8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5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B8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D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740BE5C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D1C151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464"/>
        <w:gridCol w:w="465"/>
        <w:gridCol w:w="456"/>
        <w:gridCol w:w="456"/>
        <w:gridCol w:w="799"/>
        <w:gridCol w:w="721"/>
        <w:gridCol w:w="705"/>
        <w:gridCol w:w="720"/>
        <w:gridCol w:w="420"/>
        <w:gridCol w:w="750"/>
        <w:gridCol w:w="735"/>
        <w:gridCol w:w="780"/>
        <w:gridCol w:w="780"/>
        <w:gridCol w:w="480"/>
      </w:tblGrid>
      <w:tr w14:paraId="7BD1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DE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89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0A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行政诉讼</w:t>
            </w:r>
          </w:p>
        </w:tc>
      </w:tr>
      <w:tr w14:paraId="71B41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5AA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D1A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46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169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C2F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4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D2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36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B2B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52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11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复议后起诉</w:t>
            </w:r>
          </w:p>
        </w:tc>
      </w:tr>
      <w:tr w14:paraId="1E61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5D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9A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3B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04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AD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F92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49F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6BE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77F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4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70C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8F8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3C0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0DF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E78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4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A57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</w:tr>
      <w:tr w14:paraId="1ACA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AC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5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9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A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E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1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6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D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6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08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F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E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D6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A1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D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0946E1A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 w14:paraId="522F5E8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（一）存在的问题：华胥镇信息公开工作虽取得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一定的成效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，但与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高质量、高时效公开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要求还有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差距：一是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部分政府信息公开不够细化，内容较为简单。二是信息公开大部分是以文字为主，方式方法较为单一。</w:t>
      </w:r>
    </w:p>
    <w:p w14:paraId="21B6CE8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（二）改进情况：一是进一步完善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信息公开内容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群众提供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更为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全面完整的信息，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聚焦群众关注重点领域，了解群众需求，积极主动进行更新。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创新信息公开形式，解放思想，通过文字配图、制作图解等方式，加强信息宣传。三是进一步加强信息公开管理，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规范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信息公开流程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确保能够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及时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、准确、高效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信息。</w:t>
      </w:r>
    </w:p>
    <w:p w14:paraId="7FBC8E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 w14:paraId="5D71B18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年度本机关未收取信息处理费。发出收费通知的件数和总金额，以及实际收取的总金额为0。</w:t>
      </w:r>
    </w:p>
    <w:p w14:paraId="4FFB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</w:pPr>
    </w:p>
    <w:sectPr>
      <w:pgSz w:w="11906" w:h="16838"/>
      <w:pgMar w:top="2098" w:right="1474" w:bottom="1417" w:left="1588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FE51741-D744-46A7-95E8-61A7D92FAB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B221A9-1961-43D1-8950-79CDBAD992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E13C73C-0860-4ADC-A733-58AD78D730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667E90-8FB7-4A90-817C-9FB55726F65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6E35FD8-656B-417B-8C7E-80C476F09B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jFmODgzYzM0NjExZTlhNzM0OTM0ZWZkMGMwZWYifQ=="/>
  </w:docVars>
  <w:rsids>
    <w:rsidRoot w:val="7F3362C2"/>
    <w:rsid w:val="03376644"/>
    <w:rsid w:val="049A15CE"/>
    <w:rsid w:val="0870689E"/>
    <w:rsid w:val="10633EF3"/>
    <w:rsid w:val="11FA068F"/>
    <w:rsid w:val="1492384F"/>
    <w:rsid w:val="19770D05"/>
    <w:rsid w:val="20FD573C"/>
    <w:rsid w:val="27A84291"/>
    <w:rsid w:val="38CA4224"/>
    <w:rsid w:val="5641011F"/>
    <w:rsid w:val="5D44519E"/>
    <w:rsid w:val="5F56368D"/>
    <w:rsid w:val="64693149"/>
    <w:rsid w:val="6E3B1B98"/>
    <w:rsid w:val="7F33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18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1965</Words>
  <Characters>1999</Characters>
  <Lines>0</Lines>
  <Paragraphs>0</Paragraphs>
  <TotalTime>7</TotalTime>
  <ScaleCrop>false</ScaleCrop>
  <LinksUpToDate>false</LinksUpToDate>
  <CharactersWithSpaces>1999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2023-12-29T03:06:00Z</dcterms:created>
  <dc:creator>byx</dc:creator>
  <cp:lastModifiedBy>Administrator</cp:lastModifiedBy>
  <cp:lastPrinted>2026-01-06T09:46:00Z</cp:lastPrinted>
  <dcterms:modified xsi:type="dcterms:W3CDTF">2026-01-09T07:42:45Z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3F4AC956490642BCA365FF05C2DF1D92_13</vt:lpwstr>
  </property>
  <property fmtid="{D5CDD505-2E9C-101B-9397-08002B2CF9AE}" pid="4" name="KSOTemplateDocerSaveRecord">
    <vt:lpwstr>eyJoZGlkIjoiYWVhYjFmODgzYzM0NjExZTlhNzM0OTM0ZWZkMGMwZWYifQ==</vt:lpwstr>
  </property>
</Properties>
</file>