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</w:p>
    <w:p w:rsidR="00543E8D" w:rsidRDefault="00543E8D" w:rsidP="00543E8D">
      <w:pPr>
        <w:pStyle w:val="a5"/>
        <w:spacing w:before="0" w:beforeAutospacing="0" w:after="0" w:afterAutospacing="0" w:line="375" w:lineRule="atLeast"/>
        <w:jc w:val="center"/>
        <w:rPr>
          <w:b/>
          <w:color w:val="000000" w:themeColor="text1"/>
          <w:sz w:val="44"/>
          <w:szCs w:val="44"/>
        </w:rPr>
      </w:pPr>
      <w:r w:rsidRPr="00AC716A">
        <w:rPr>
          <w:b/>
          <w:color w:val="000000" w:themeColor="text1"/>
          <w:sz w:val="44"/>
          <w:szCs w:val="44"/>
        </w:rPr>
        <w:t>西安蓝田工业园管理委员会201</w:t>
      </w:r>
      <w:r>
        <w:rPr>
          <w:rFonts w:hint="eastAsia"/>
          <w:b/>
          <w:color w:val="000000" w:themeColor="text1"/>
          <w:sz w:val="44"/>
          <w:szCs w:val="44"/>
        </w:rPr>
        <w:t>9</w:t>
      </w:r>
      <w:r w:rsidRPr="00AC716A">
        <w:rPr>
          <w:b/>
          <w:color w:val="000000" w:themeColor="text1"/>
          <w:sz w:val="44"/>
          <w:szCs w:val="44"/>
        </w:rPr>
        <w:t>部门</w:t>
      </w:r>
    </w:p>
    <w:p w:rsidR="00543E8D" w:rsidRPr="00AC716A" w:rsidRDefault="00543E8D" w:rsidP="00543E8D">
      <w:pPr>
        <w:pStyle w:val="a5"/>
        <w:spacing w:before="0" w:beforeAutospacing="0" w:after="0" w:afterAutospacing="0" w:line="375" w:lineRule="atLeast"/>
        <w:jc w:val="center"/>
        <w:rPr>
          <w:b/>
          <w:color w:val="000000" w:themeColor="text1"/>
          <w:sz w:val="44"/>
          <w:szCs w:val="44"/>
        </w:rPr>
      </w:pPr>
      <w:r w:rsidRPr="00AC716A">
        <w:rPr>
          <w:b/>
          <w:color w:val="000000" w:themeColor="text1"/>
          <w:sz w:val="44"/>
          <w:szCs w:val="44"/>
        </w:rPr>
        <w:t>预算公开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一、主要职责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1、贯彻执行国家、省、市、县有关开发区建设的法律、法规和行政规章。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2、依据蓝田县城市总体规划和经济社会发展计划，编制开发区内的建设规划，制订园区产业发展，经批准后组织实施。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3、综合分析开发区建设和发展情况，指导开发区内所有单位的建设与管理，协调开发区建设中的重大问题。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4、根据县政府授权交办，行使相关管理职能。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5、负责行使园区内规划、建设管理职能。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6、负责园区土地的管理、征用，办理有关土地征用手续。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7、做好招商引资，项目实施及后期管理工作。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8、根据城市总体规划和土地利用总体规划，做好征地相关协调工作并做好区块开发建设的经济分析。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9、做好园区基础设施和公用设施的管理、环保及环境卫生工作，为入驻企业提供完善的设施服务。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10、对园区内的企业、事业单位进行协调和服务。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11、承办市、县人民政府交办的其他工作。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t>二、工作任务目标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lastRenderedPageBreak/>
        <w:t>目前，园区入区企业共有70家，已建成企业56家，在建16家，新签约企业8家。截止12月底共完成固定资产投资17亿元，完成产值27.7亿元，实现税收9260万元，为全县经济持续快速发展提供坚强的保障。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三、2019年工作计划</w:t>
      </w:r>
    </w:p>
    <w:p w:rsidR="00543E8D" w:rsidRDefault="00543E8D" w:rsidP="00543E8D">
      <w:pPr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2018年在县委、县政府的领导支持下，在县级各部门的帮助下和园区广大干部职工的共同努力下，工业园管委会的各项工作虽然取得了一定的成绩，但同时也存在着一些问题，一是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土地储备不足。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因招商引资所需要的熟地较少，基本上是招商与征地同时进行，导致从项目引进到开工建设周期过长，影响客商投资信心和项目的落地，容易导致签约项目建设进展缓慢。</w:t>
      </w:r>
      <w:r>
        <w:rPr>
          <w:rFonts w:ascii="仿宋" w:eastAsia="仿宋" w:hAnsi="仿宋" w:hint="eastAsia"/>
          <w:b/>
          <w:sz w:val="32"/>
          <w:szCs w:val="32"/>
        </w:rPr>
        <w:t>二是基础设施建设不完善。</w:t>
      </w:r>
      <w:r>
        <w:rPr>
          <w:rFonts w:ascii="仿宋" w:eastAsia="仿宋" w:hAnsi="仿宋" w:hint="eastAsia"/>
          <w:sz w:val="32"/>
          <w:szCs w:val="32"/>
        </w:rPr>
        <w:t>园区内规划道路  条，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由于发展资金短缺，目前文姬北路延伸段和</w:t>
      </w:r>
      <w:r>
        <w:rPr>
          <w:rFonts w:ascii="仿宋" w:eastAsia="仿宋" w:hAnsi="仿宋" w:hint="eastAsia"/>
          <w:sz w:val="32"/>
          <w:szCs w:val="32"/>
        </w:rPr>
        <w:t>二期污水管网暂未接通，影响地块开发和项目进度。三是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产业项目少。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园区企业大多数规模小，科技含量低，产业链短，缺少带动力强的项目，园区经济总量低，形不成规模效应。</w:t>
      </w:r>
    </w:p>
    <w:p w:rsidR="00543E8D" w:rsidRDefault="00543E8D" w:rsidP="00543E8D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针对以上这些问题，在下一年的工作中我们着重做好以下几方面工作：</w:t>
      </w:r>
    </w:p>
    <w:p w:rsidR="00543E8D" w:rsidRDefault="00543E8D" w:rsidP="00543E8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（一）</w:t>
      </w:r>
      <w:r>
        <w:rPr>
          <w:rFonts w:ascii="楷体" w:eastAsia="楷体" w:hAnsi="楷体" w:cs="仿宋_GB2312" w:hint="eastAsia"/>
          <w:b/>
          <w:sz w:val="32"/>
          <w:szCs w:val="32"/>
        </w:rPr>
        <w:t>加强基建力度</w:t>
      </w:r>
      <w:r>
        <w:rPr>
          <w:rFonts w:ascii="楷体" w:eastAsia="楷体" w:hAnsi="楷体" w:cs="仿宋_GB2312" w:hint="eastAsia"/>
          <w:sz w:val="32"/>
          <w:szCs w:val="32"/>
        </w:rPr>
        <w:t>。</w:t>
      </w:r>
    </w:p>
    <w:p w:rsidR="00543E8D" w:rsidRDefault="00543E8D" w:rsidP="00543E8D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一是</w:t>
      </w:r>
      <w:r>
        <w:rPr>
          <w:rFonts w:ascii="仿宋_GB2312" w:eastAsia="仿宋_GB2312" w:hAnsi="仿宋_GB2312" w:cs="仿宋_GB2312" w:hint="eastAsia"/>
          <w:sz w:val="32"/>
          <w:szCs w:val="32"/>
        </w:rPr>
        <w:t>完成南环线、规划一路延伸段道路建设，在园区内形成环线，建立园区路网格局；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sz w:val="32"/>
          <w:szCs w:val="32"/>
        </w:rPr>
        <w:t>完成二期水、电、气，建设，为项目开工创造良好的条件；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加快推进污水管网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及工业园污水处理站建设，解决二期企业建成后排污问题；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四是</w:t>
      </w:r>
      <w:r>
        <w:rPr>
          <w:rFonts w:ascii="仿宋_GB2312" w:eastAsia="仿宋_GB2312" w:hAnsi="仿宋_GB2312" w:cs="仿宋_GB2312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产城融合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建设为抓手</w:t>
      </w:r>
      <w:r>
        <w:rPr>
          <w:rFonts w:ascii="仿宋" w:eastAsia="仿宋" w:hAnsi="仿宋" w:hint="eastAsia"/>
          <w:sz w:val="32"/>
          <w:szCs w:val="32"/>
        </w:rPr>
        <w:t>，对</w:t>
      </w:r>
      <w:proofErr w:type="gramStart"/>
      <w:r>
        <w:rPr>
          <w:rFonts w:ascii="仿宋" w:eastAsia="仿宋" w:hAnsi="仿宋" w:hint="eastAsia"/>
          <w:sz w:val="32"/>
          <w:szCs w:val="32"/>
        </w:rPr>
        <w:t>上楼村至洩</w:t>
      </w:r>
      <w:proofErr w:type="gramEnd"/>
      <w:r>
        <w:rPr>
          <w:rFonts w:ascii="仿宋" w:eastAsia="仿宋" w:hAnsi="仿宋" w:hint="eastAsia"/>
          <w:sz w:val="32"/>
          <w:szCs w:val="32"/>
        </w:rPr>
        <w:t>湖段4.7KM道路两侧实施绿化改造、路灯安装、人行道铺设等工程，计划2019年上半年完工。</w:t>
      </w:r>
    </w:p>
    <w:p w:rsidR="00543E8D" w:rsidRDefault="00543E8D" w:rsidP="00543E8D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（二）</w:t>
      </w:r>
      <w:r>
        <w:rPr>
          <w:rFonts w:ascii="楷体" w:eastAsia="楷体" w:hAnsi="楷体" w:cs="仿宋_GB2312" w:hint="eastAsia"/>
          <w:b/>
          <w:sz w:val="32"/>
          <w:szCs w:val="32"/>
        </w:rPr>
        <w:t>加大土地储备</w:t>
      </w:r>
      <w:r>
        <w:rPr>
          <w:rFonts w:ascii="楷体" w:eastAsia="楷体" w:hAnsi="楷体" w:cs="仿宋_GB2312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整合土地资源，实现集约用地，针对工业园土地利用率低、高科技、优质量项目少、缺乏大项目引领等问题，我们将严格按照国家政策，对园区停产企业、闲置工业用地进行梳理，挤出发展空间，同时</w:t>
      </w:r>
      <w:r>
        <w:rPr>
          <w:rFonts w:ascii="仿宋_GB2312" w:eastAsia="仿宋_GB2312" w:hint="eastAsia"/>
          <w:sz w:val="32"/>
          <w:szCs w:val="32"/>
        </w:rPr>
        <w:t>配合</w:t>
      </w:r>
      <w:proofErr w:type="gramStart"/>
      <w:r>
        <w:rPr>
          <w:rFonts w:ascii="宋体" w:hAnsi="宋体" w:cs="宋体" w:hint="eastAsia"/>
          <w:sz w:val="32"/>
          <w:szCs w:val="32"/>
        </w:rPr>
        <w:t>洩</w:t>
      </w:r>
      <w:proofErr w:type="gramEnd"/>
      <w:r>
        <w:rPr>
          <w:rFonts w:ascii="仿宋_GB2312" w:eastAsia="仿宋_GB2312" w:hint="eastAsia"/>
          <w:sz w:val="32"/>
          <w:szCs w:val="32"/>
        </w:rPr>
        <w:t>湖镇、三里镇、土地局做好土地储备工作，计划完成土地储备1000亩，力争做到“当年签约、当年建设、尽快投产”。</w:t>
      </w:r>
    </w:p>
    <w:p w:rsidR="00543E8D" w:rsidRDefault="00543E8D" w:rsidP="00543E8D">
      <w:pPr>
        <w:widowControl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cs="仿宋_GB2312" w:hint="eastAsia"/>
          <w:b/>
          <w:sz w:val="32"/>
          <w:szCs w:val="32"/>
        </w:rPr>
        <w:t>（三）加快项目推进</w:t>
      </w:r>
      <w:r>
        <w:rPr>
          <w:rFonts w:ascii="楷体" w:eastAsia="楷体" w:hAnsi="楷体" w:hint="eastAsia"/>
          <w:b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全力做好宝供物流、布衣小镇、玉石小镇、京东物流项目启动工作，</w:t>
      </w:r>
      <w:r>
        <w:rPr>
          <w:rFonts w:ascii="仿宋_GB2312" w:eastAsia="仿宋_GB2312" w:hAnsi="仿宋" w:cs="仿宋" w:hint="eastAsia"/>
          <w:sz w:val="32"/>
          <w:szCs w:val="32"/>
        </w:rPr>
        <w:t>力争2019年年内动工建设；</w:t>
      </w:r>
      <w:r>
        <w:rPr>
          <w:rFonts w:ascii="仿宋_GB2312" w:eastAsia="仿宋_GB2312" w:hAnsi="仿宋" w:hint="eastAsia"/>
          <w:sz w:val="32"/>
          <w:szCs w:val="32"/>
        </w:rPr>
        <w:t>全力协调解决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韵达物流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、高科幕墙、永和豆浆等10个在建项目建设过程中的各类问题和困难，力争年内建成投产</w:t>
      </w:r>
      <w:r>
        <w:rPr>
          <w:rFonts w:ascii="仿宋_GB2312" w:eastAsia="仿宋_GB2312" w:hAnsi="仿宋" w:cs="仿宋" w:hint="eastAsia"/>
          <w:sz w:val="32"/>
          <w:szCs w:val="32"/>
        </w:rPr>
        <w:t>；积极与意向企业洽谈，选大商，择优商，力争项目尽快落地蓝田，为县域发展加油续航。</w:t>
      </w:r>
    </w:p>
    <w:p w:rsidR="00543E8D" w:rsidRDefault="00543E8D" w:rsidP="00543E8D">
      <w:pPr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(四)加速</w:t>
      </w:r>
      <w:proofErr w:type="gramStart"/>
      <w:r>
        <w:rPr>
          <w:rFonts w:ascii="楷体" w:eastAsia="楷体" w:hAnsi="楷体" w:hint="eastAsia"/>
          <w:b/>
          <w:sz w:val="32"/>
          <w:szCs w:val="32"/>
        </w:rPr>
        <w:t>规</w:t>
      </w:r>
      <w:proofErr w:type="gramEnd"/>
      <w:r>
        <w:rPr>
          <w:rFonts w:ascii="楷体" w:eastAsia="楷体" w:hAnsi="楷体" w:hint="eastAsia"/>
          <w:b/>
          <w:sz w:val="32"/>
          <w:szCs w:val="32"/>
        </w:rPr>
        <w:t>上培育。</w:t>
      </w:r>
      <w:r>
        <w:rPr>
          <w:rFonts w:ascii="仿宋" w:eastAsia="仿宋" w:hAnsi="仿宋" w:hint="eastAsia"/>
          <w:sz w:val="32"/>
          <w:szCs w:val="32"/>
        </w:rPr>
        <w:t>对标大邑，瞄准高新，引导企业加快转型升级，加速</w:t>
      </w:r>
      <w:proofErr w:type="gramStart"/>
      <w:r>
        <w:rPr>
          <w:rFonts w:ascii="仿宋" w:eastAsia="仿宋" w:hAnsi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hint="eastAsia"/>
          <w:sz w:val="32"/>
          <w:szCs w:val="32"/>
        </w:rPr>
        <w:t>上企业、龙头产业培育，努力形成以食品加工和现代物流为主导的现代工业园区，不断推进工业园二次创业。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四</w:t>
      </w:r>
      <w:r>
        <w:rPr>
          <w:rFonts w:ascii="仿宋" w:eastAsia="仿宋" w:hAnsi="仿宋"/>
          <w:color w:val="3D3D3C"/>
          <w:sz w:val="32"/>
          <w:szCs w:val="32"/>
        </w:rPr>
        <w:t>、部门情况：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/>
          <w:color w:val="3D3D3C"/>
          <w:sz w:val="32"/>
          <w:szCs w:val="32"/>
        </w:rPr>
        <w:lastRenderedPageBreak/>
        <w:t>西安蓝田工业园管理委员会是蓝田县政府于1997年7月1日开设的省级开发区，属蓝田县政府外派的参照公务员法管理的全额财政拨款事业单位，共有行政人员编制9人。实有人员1</w:t>
      </w:r>
      <w:r>
        <w:rPr>
          <w:rFonts w:ascii="仿宋" w:eastAsia="仿宋" w:hAnsi="仿宋" w:hint="eastAsia"/>
          <w:color w:val="3D3D3C"/>
          <w:sz w:val="32"/>
          <w:szCs w:val="32"/>
        </w:rPr>
        <w:t>9</w:t>
      </w:r>
      <w:r>
        <w:rPr>
          <w:rFonts w:ascii="仿宋" w:eastAsia="仿宋" w:hAnsi="仿宋"/>
          <w:color w:val="3D3D3C"/>
          <w:sz w:val="32"/>
          <w:szCs w:val="32"/>
        </w:rPr>
        <w:t>人，其中行政人员</w:t>
      </w:r>
      <w:r>
        <w:rPr>
          <w:rFonts w:ascii="仿宋" w:eastAsia="仿宋" w:hAnsi="仿宋" w:hint="eastAsia"/>
          <w:color w:val="3D3D3C"/>
          <w:sz w:val="32"/>
          <w:szCs w:val="32"/>
        </w:rPr>
        <w:t>12</w:t>
      </w:r>
      <w:r>
        <w:rPr>
          <w:rFonts w:ascii="仿宋" w:eastAsia="仿宋" w:hAnsi="仿宋"/>
          <w:color w:val="3D3D3C"/>
          <w:sz w:val="32"/>
          <w:szCs w:val="32"/>
        </w:rPr>
        <w:t>人、事业人员</w:t>
      </w:r>
      <w:r>
        <w:rPr>
          <w:rFonts w:ascii="仿宋" w:eastAsia="仿宋" w:hAnsi="仿宋" w:hint="eastAsia"/>
          <w:color w:val="3D3D3C"/>
          <w:sz w:val="32"/>
          <w:szCs w:val="32"/>
        </w:rPr>
        <w:t>7</w:t>
      </w:r>
      <w:r>
        <w:rPr>
          <w:rFonts w:ascii="仿宋" w:eastAsia="仿宋" w:hAnsi="仿宋"/>
          <w:color w:val="3D3D3C"/>
          <w:sz w:val="32"/>
          <w:szCs w:val="32"/>
        </w:rPr>
        <w:t>人。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我单位经费形式属财政全额拨款，按照2018年我县行政事业单位部门预算有关标准，2018年预算收入安排1843709元，财政拨款具体内容为：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工资福利支出1661549元，包括在职人员的工资和各项津贴、补贴。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商品和服务支出182160元，包括按相应标准安排的日常公用经费。</w:t>
      </w:r>
    </w:p>
    <w:p w:rsidR="00543E8D" w:rsidRDefault="00543E8D" w:rsidP="00EA272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 w:rsidRPr="001F4460">
        <w:rPr>
          <w:rFonts w:ascii="仿宋" w:eastAsia="仿宋" w:hAnsi="仿宋" w:hint="eastAsia"/>
          <w:color w:val="3D3D3C"/>
          <w:sz w:val="32"/>
          <w:szCs w:val="32"/>
        </w:rPr>
        <w:t>五、</w:t>
      </w:r>
      <w:r>
        <w:rPr>
          <w:rFonts w:ascii="仿宋" w:eastAsia="仿宋" w:hAnsi="仿宋" w:hint="eastAsia"/>
          <w:color w:val="3D3D3C"/>
          <w:sz w:val="32"/>
          <w:szCs w:val="32"/>
        </w:rPr>
        <w:t>预算绩效管理情况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2018年本部门实现了绩效目标管理全覆盖，涉及一般公共预算拨款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1843709</w:t>
      </w:r>
      <w:r>
        <w:rPr>
          <w:rFonts w:ascii="仿宋" w:eastAsia="仿宋" w:hAnsi="仿宋" w:hint="eastAsia"/>
          <w:color w:val="3D3D3C"/>
          <w:sz w:val="32"/>
          <w:szCs w:val="32"/>
        </w:rPr>
        <w:t>元。</w:t>
      </w:r>
    </w:p>
    <w:p w:rsidR="00543E8D" w:rsidRDefault="00EA2720" w:rsidP="00543E8D">
      <w:pPr>
        <w:pStyle w:val="a5"/>
        <w:shd w:val="clear" w:color="auto" w:fill="FFFFFF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六</w:t>
      </w:r>
      <w:r w:rsidR="00543E8D">
        <w:rPr>
          <w:rFonts w:ascii="仿宋" w:eastAsia="仿宋" w:hAnsi="仿宋" w:hint="eastAsia"/>
          <w:color w:val="3D3D3C"/>
          <w:sz w:val="32"/>
          <w:szCs w:val="32"/>
        </w:rPr>
        <w:t>、部门国有资本经营预算收入情况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本部门无国有资本经营预算拨款收支情况</w:t>
      </w:r>
    </w:p>
    <w:p w:rsidR="00543E8D" w:rsidRDefault="00EA2720" w:rsidP="00543E8D">
      <w:pPr>
        <w:pStyle w:val="a5"/>
        <w:shd w:val="clear" w:color="auto" w:fill="FFFFFF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七</w:t>
      </w:r>
      <w:r w:rsidR="00543E8D">
        <w:rPr>
          <w:rFonts w:ascii="仿宋" w:eastAsia="仿宋" w:hAnsi="仿宋" w:hint="eastAsia"/>
          <w:color w:val="3D3D3C"/>
          <w:sz w:val="32"/>
          <w:szCs w:val="32"/>
        </w:rPr>
        <w:t>、部门政府基金收支情况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本部门无政府性基金预算收支。</w:t>
      </w:r>
    </w:p>
    <w:p w:rsidR="00543E8D" w:rsidRDefault="00EA2720" w:rsidP="00543E8D">
      <w:pPr>
        <w:pStyle w:val="a5"/>
        <w:shd w:val="clear" w:color="auto" w:fill="FFFFFF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八</w:t>
      </w:r>
      <w:r w:rsidR="00543E8D">
        <w:rPr>
          <w:rFonts w:ascii="仿宋" w:eastAsia="仿宋" w:hAnsi="仿宋" w:hint="eastAsia"/>
          <w:color w:val="3D3D3C"/>
          <w:sz w:val="32"/>
          <w:szCs w:val="32"/>
        </w:rPr>
        <w:t>、部门一般公共预算收支情况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lastRenderedPageBreak/>
        <w:t>201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9</w:t>
      </w:r>
      <w:r>
        <w:rPr>
          <w:rFonts w:ascii="仿宋" w:eastAsia="仿宋" w:hAnsi="仿宋" w:hint="eastAsia"/>
          <w:color w:val="3D3D3C"/>
          <w:sz w:val="32"/>
          <w:szCs w:val="32"/>
        </w:rPr>
        <w:t>年预算收入安排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1843709</w:t>
      </w:r>
      <w:r>
        <w:rPr>
          <w:rFonts w:ascii="仿宋" w:eastAsia="仿宋" w:hAnsi="仿宋" w:hint="eastAsia"/>
          <w:color w:val="3D3D3C"/>
          <w:sz w:val="32"/>
          <w:szCs w:val="32"/>
        </w:rPr>
        <w:t>元，财政拨款具体内容为：工资福利支出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1661549</w:t>
      </w:r>
      <w:r>
        <w:rPr>
          <w:rFonts w:ascii="仿宋" w:eastAsia="仿宋" w:hAnsi="仿宋" w:hint="eastAsia"/>
          <w:color w:val="3D3D3C"/>
          <w:sz w:val="32"/>
          <w:szCs w:val="32"/>
        </w:rPr>
        <w:t>元，包括在职人员的工资和各项津贴、补贴。商品和服务支出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182160</w:t>
      </w:r>
      <w:r>
        <w:rPr>
          <w:rFonts w:ascii="仿宋" w:eastAsia="仿宋" w:hAnsi="仿宋" w:hint="eastAsia"/>
          <w:color w:val="3D3D3C"/>
          <w:sz w:val="32"/>
          <w:szCs w:val="32"/>
        </w:rPr>
        <w:t>元，包括按相应标准安排的日常公用经费。201</w:t>
      </w:r>
      <w:r w:rsidR="0030349F">
        <w:rPr>
          <w:rFonts w:ascii="仿宋" w:eastAsia="仿宋" w:hAnsi="仿宋" w:hint="eastAsia"/>
          <w:color w:val="3D3D3C"/>
          <w:sz w:val="32"/>
          <w:szCs w:val="32"/>
        </w:rPr>
        <w:t>9</w:t>
      </w:r>
      <w:r>
        <w:rPr>
          <w:rFonts w:ascii="仿宋" w:eastAsia="仿宋" w:hAnsi="仿宋" w:hint="eastAsia"/>
          <w:color w:val="3D3D3C"/>
          <w:sz w:val="32"/>
          <w:szCs w:val="32"/>
        </w:rPr>
        <w:t>年预算支出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1843709</w:t>
      </w:r>
      <w:r>
        <w:rPr>
          <w:rFonts w:ascii="仿宋" w:eastAsia="仿宋" w:hAnsi="仿宋" w:hint="eastAsia"/>
          <w:color w:val="3D3D3C"/>
          <w:sz w:val="32"/>
          <w:szCs w:val="32"/>
        </w:rPr>
        <w:t>元</w:t>
      </w:r>
    </w:p>
    <w:p w:rsidR="00543E8D" w:rsidRDefault="00543E8D" w:rsidP="00543E8D">
      <w:pPr>
        <w:pStyle w:val="a5"/>
        <w:shd w:val="clear" w:color="auto" w:fill="FFFFFF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十、预算收支增减变化情况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201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9</w:t>
      </w:r>
      <w:r>
        <w:rPr>
          <w:rFonts w:ascii="仿宋" w:eastAsia="仿宋" w:hAnsi="仿宋" w:hint="eastAsia"/>
          <w:color w:val="3D3D3C"/>
          <w:sz w:val="32"/>
          <w:szCs w:val="32"/>
        </w:rPr>
        <w:t>年预算收入安排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1843709</w:t>
      </w:r>
      <w:r>
        <w:rPr>
          <w:rFonts w:ascii="仿宋" w:eastAsia="仿宋" w:hAnsi="仿宋" w:hint="eastAsia"/>
          <w:color w:val="3D3D3C"/>
          <w:sz w:val="32"/>
          <w:szCs w:val="32"/>
        </w:rPr>
        <w:t>元，201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8</w:t>
      </w:r>
      <w:r>
        <w:rPr>
          <w:rFonts w:ascii="仿宋" w:eastAsia="仿宋" w:hAnsi="仿宋" w:hint="eastAsia"/>
          <w:color w:val="3D3D3C"/>
          <w:sz w:val="32"/>
          <w:szCs w:val="32"/>
        </w:rPr>
        <w:t>年预算收入安排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1383296</w:t>
      </w:r>
      <w:r>
        <w:rPr>
          <w:rFonts w:ascii="仿宋" w:eastAsia="仿宋" w:hAnsi="仿宋" w:hint="eastAsia"/>
          <w:color w:val="3D3D3C"/>
          <w:sz w:val="32"/>
          <w:szCs w:val="32"/>
        </w:rPr>
        <w:t>元，比201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8</w:t>
      </w:r>
      <w:r>
        <w:rPr>
          <w:rFonts w:ascii="仿宋" w:eastAsia="仿宋" w:hAnsi="仿宋" w:hint="eastAsia"/>
          <w:color w:val="3D3D3C"/>
          <w:sz w:val="32"/>
          <w:szCs w:val="32"/>
        </w:rPr>
        <w:t>年增加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460413</w:t>
      </w:r>
      <w:r>
        <w:rPr>
          <w:rFonts w:ascii="仿宋" w:eastAsia="仿宋" w:hAnsi="仿宋" w:hint="eastAsia"/>
          <w:color w:val="3D3D3C"/>
          <w:sz w:val="32"/>
          <w:szCs w:val="32"/>
        </w:rPr>
        <w:t>元。其中工资福利增加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648173</w:t>
      </w:r>
      <w:r>
        <w:rPr>
          <w:rFonts w:ascii="仿宋" w:eastAsia="仿宋" w:hAnsi="仿宋" w:hint="eastAsia"/>
          <w:color w:val="3D3D3C"/>
          <w:sz w:val="32"/>
          <w:szCs w:val="32"/>
        </w:rPr>
        <w:t>元，增加原因为人员增加，增加了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基本</w:t>
      </w:r>
      <w:r>
        <w:rPr>
          <w:rFonts w:ascii="仿宋" w:eastAsia="仿宋" w:hAnsi="仿宋" w:hint="eastAsia"/>
          <w:color w:val="3D3D3C"/>
          <w:sz w:val="32"/>
          <w:szCs w:val="32"/>
        </w:rPr>
        <w:t>工资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及行政事业人员养老保险等费用</w:t>
      </w:r>
      <w:r>
        <w:rPr>
          <w:rFonts w:ascii="仿宋" w:eastAsia="仿宋" w:hAnsi="仿宋" w:hint="eastAsia"/>
          <w:color w:val="3D3D3C"/>
          <w:sz w:val="32"/>
          <w:szCs w:val="32"/>
        </w:rPr>
        <w:t>；商品和服务支出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减少5600</w:t>
      </w:r>
      <w:r>
        <w:rPr>
          <w:rFonts w:ascii="仿宋" w:eastAsia="仿宋" w:hAnsi="仿宋" w:hint="eastAsia"/>
          <w:color w:val="3D3D3C"/>
          <w:sz w:val="32"/>
          <w:szCs w:val="32"/>
        </w:rPr>
        <w:t>元，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减少</w:t>
      </w:r>
      <w:r>
        <w:rPr>
          <w:rFonts w:ascii="仿宋" w:eastAsia="仿宋" w:hAnsi="仿宋" w:hint="eastAsia"/>
          <w:color w:val="3D3D3C"/>
          <w:sz w:val="32"/>
          <w:szCs w:val="32"/>
        </w:rPr>
        <w:t>原因为人员经费</w:t>
      </w:r>
      <w:r w:rsidR="00EA2720">
        <w:rPr>
          <w:rFonts w:ascii="仿宋" w:eastAsia="仿宋" w:hAnsi="仿宋" w:hint="eastAsia"/>
          <w:color w:val="3D3D3C"/>
          <w:sz w:val="32"/>
          <w:szCs w:val="32"/>
        </w:rPr>
        <w:t>减少</w:t>
      </w:r>
      <w:r>
        <w:rPr>
          <w:rFonts w:ascii="仿宋" w:eastAsia="仿宋" w:hAnsi="仿宋" w:hint="eastAsia"/>
          <w:color w:val="3D3D3C"/>
          <w:sz w:val="32"/>
          <w:szCs w:val="32"/>
        </w:rPr>
        <w:t>。</w:t>
      </w:r>
    </w:p>
    <w:p w:rsidR="00543E8D" w:rsidRPr="001F4460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 w:rsidRPr="001F4460">
        <w:rPr>
          <w:rFonts w:ascii="仿宋" w:eastAsia="仿宋" w:hAnsi="仿宋" w:hint="eastAsia"/>
          <w:color w:val="3D3D3C"/>
          <w:sz w:val="32"/>
          <w:szCs w:val="32"/>
        </w:rPr>
        <w:t>十一、</w:t>
      </w:r>
      <w:r w:rsidRPr="001F4460">
        <w:rPr>
          <w:rFonts w:ascii="仿宋" w:eastAsia="仿宋" w:hAnsi="仿宋"/>
          <w:color w:val="3D3D3C"/>
          <w:sz w:val="32"/>
          <w:szCs w:val="32"/>
        </w:rPr>
        <w:t>机关运行经费安排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Simsun" w:hAnsi="Simsun" w:hint="eastAsia"/>
          <w:color w:val="3D3D3C"/>
          <w:sz w:val="21"/>
          <w:szCs w:val="21"/>
        </w:rPr>
      </w:pPr>
      <w:r w:rsidRPr="001F4460">
        <w:rPr>
          <w:rFonts w:ascii="仿宋" w:eastAsia="仿宋" w:hAnsi="仿宋"/>
          <w:color w:val="3D3D3C"/>
          <w:sz w:val="32"/>
          <w:szCs w:val="32"/>
        </w:rPr>
        <w:t>201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9</w:t>
      </w:r>
      <w:r w:rsidRPr="001F4460">
        <w:rPr>
          <w:rFonts w:ascii="仿宋" w:eastAsia="仿宋" w:hAnsi="仿宋"/>
          <w:color w:val="3D3D3C"/>
          <w:sz w:val="32"/>
          <w:szCs w:val="32"/>
        </w:rPr>
        <w:t>年预算收入安排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1843709</w:t>
      </w:r>
      <w:r w:rsidRPr="001F4460">
        <w:rPr>
          <w:rFonts w:ascii="仿宋" w:eastAsia="仿宋" w:hAnsi="仿宋"/>
          <w:color w:val="3D3D3C"/>
          <w:sz w:val="32"/>
          <w:szCs w:val="32"/>
        </w:rPr>
        <w:t>元，其中工资福利支出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1661549</w:t>
      </w:r>
      <w:r w:rsidRPr="001F4460">
        <w:rPr>
          <w:rFonts w:ascii="仿宋" w:eastAsia="仿宋" w:hAnsi="仿宋"/>
          <w:color w:val="3D3D3C"/>
          <w:sz w:val="32"/>
          <w:szCs w:val="32"/>
        </w:rPr>
        <w:t>元，商品和服务支出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182160</w:t>
      </w:r>
      <w:r w:rsidRPr="001F4460">
        <w:rPr>
          <w:rFonts w:ascii="仿宋" w:eastAsia="仿宋" w:hAnsi="仿宋"/>
          <w:color w:val="3D3D3C"/>
          <w:sz w:val="32"/>
          <w:szCs w:val="32"/>
        </w:rPr>
        <w:t>元。</w:t>
      </w:r>
    </w:p>
    <w:p w:rsidR="00543E8D" w:rsidRDefault="00543E8D" w:rsidP="00543E8D">
      <w:pPr>
        <w:pStyle w:val="a5"/>
        <w:shd w:val="clear" w:color="auto" w:fill="FFFFFF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十二、政府采购情况</w:t>
      </w:r>
    </w:p>
    <w:p w:rsidR="00543E8D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本部门2018年无政府采购预算，并已公开空表。</w:t>
      </w:r>
    </w:p>
    <w:p w:rsidR="00543E8D" w:rsidRDefault="00543E8D" w:rsidP="00543E8D">
      <w:pPr>
        <w:widowControl/>
        <w:ind w:firstLineChars="200" w:firstLine="640"/>
        <w:jc w:val="left"/>
        <w:rPr>
          <w:rFonts w:ascii="仿宋" w:eastAsia="仿宋" w:hAnsi="仿宋" w:cs="宋体"/>
          <w:color w:val="3D3D3C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D3D3C"/>
          <w:kern w:val="0"/>
          <w:sz w:val="32"/>
          <w:szCs w:val="32"/>
        </w:rPr>
        <w:t>十三、“三公”经费增减变化及原因</w:t>
      </w:r>
    </w:p>
    <w:p w:rsidR="00543E8D" w:rsidRPr="001F4460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  <w:r>
        <w:rPr>
          <w:rFonts w:ascii="仿宋" w:eastAsia="仿宋" w:hAnsi="仿宋" w:hint="eastAsia"/>
          <w:color w:val="3D3D3C"/>
          <w:sz w:val="32"/>
          <w:szCs w:val="32"/>
        </w:rPr>
        <w:t>本部门201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9</w:t>
      </w:r>
      <w:r>
        <w:rPr>
          <w:rFonts w:ascii="仿宋" w:eastAsia="仿宋" w:hAnsi="仿宋" w:hint="eastAsia"/>
          <w:color w:val="3D3D3C"/>
          <w:sz w:val="32"/>
          <w:szCs w:val="32"/>
        </w:rPr>
        <w:t>年度</w:t>
      </w:r>
      <w:bookmarkStart w:id="0" w:name="_GoBack"/>
      <w:bookmarkEnd w:id="0"/>
      <w:r w:rsidR="005F7D8F">
        <w:rPr>
          <w:rFonts w:ascii="仿宋" w:eastAsia="仿宋" w:hAnsi="仿宋" w:hint="eastAsia"/>
          <w:color w:val="3D3D3C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3D3D3C"/>
          <w:sz w:val="32"/>
          <w:szCs w:val="32"/>
        </w:rPr>
        <w:t>“三公”经费支出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为会议费5000元</w:t>
      </w:r>
      <w:r>
        <w:rPr>
          <w:rFonts w:ascii="仿宋" w:eastAsia="仿宋" w:hAnsi="仿宋" w:hint="eastAsia"/>
          <w:color w:val="3D3D3C"/>
          <w:sz w:val="32"/>
          <w:szCs w:val="32"/>
        </w:rPr>
        <w:t>，并已公开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“三公经费”支出预算</w:t>
      </w:r>
      <w:r>
        <w:rPr>
          <w:rFonts w:ascii="仿宋" w:eastAsia="仿宋" w:hAnsi="仿宋" w:hint="eastAsia"/>
          <w:color w:val="3D3D3C"/>
          <w:sz w:val="32"/>
          <w:szCs w:val="32"/>
        </w:rPr>
        <w:t>表</w:t>
      </w:r>
      <w:r w:rsidR="005F7D8F">
        <w:rPr>
          <w:rFonts w:ascii="仿宋" w:eastAsia="仿宋" w:hAnsi="仿宋" w:hint="eastAsia"/>
          <w:color w:val="3D3D3C"/>
          <w:sz w:val="32"/>
          <w:szCs w:val="32"/>
        </w:rPr>
        <w:t>。</w:t>
      </w:r>
    </w:p>
    <w:p w:rsidR="00543E8D" w:rsidRPr="001F4460" w:rsidRDefault="00543E8D" w:rsidP="00543E8D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3D3D3C"/>
          <w:sz w:val="32"/>
          <w:szCs w:val="32"/>
        </w:rPr>
      </w:pPr>
    </w:p>
    <w:p w:rsidR="00E117DB" w:rsidRPr="00543E8D" w:rsidRDefault="00E117DB"/>
    <w:sectPr w:rsidR="00E117DB" w:rsidRPr="00543E8D" w:rsidSect="005B15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3C4" w:rsidRDefault="00CC23C4" w:rsidP="00543E8D">
      <w:r>
        <w:separator/>
      </w:r>
    </w:p>
  </w:endnote>
  <w:endnote w:type="continuationSeparator" w:id="0">
    <w:p w:rsidR="00CC23C4" w:rsidRDefault="00CC23C4" w:rsidP="00543E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3C4" w:rsidRDefault="00CC23C4" w:rsidP="00543E8D">
      <w:r>
        <w:separator/>
      </w:r>
    </w:p>
  </w:footnote>
  <w:footnote w:type="continuationSeparator" w:id="0">
    <w:p w:rsidR="00CC23C4" w:rsidRDefault="00CC23C4" w:rsidP="00543E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4F9C3"/>
    <w:multiLevelType w:val="singleLevel"/>
    <w:tmpl w:val="5A14F9C3"/>
    <w:lvl w:ilvl="0">
      <w:start w:val="7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E8D"/>
    <w:rsid w:val="001146C6"/>
    <w:rsid w:val="00187BDB"/>
    <w:rsid w:val="0030349F"/>
    <w:rsid w:val="00521BB1"/>
    <w:rsid w:val="00543E8D"/>
    <w:rsid w:val="005A700A"/>
    <w:rsid w:val="005B15AC"/>
    <w:rsid w:val="005B52A2"/>
    <w:rsid w:val="005F7D8F"/>
    <w:rsid w:val="009777C0"/>
    <w:rsid w:val="00AB482A"/>
    <w:rsid w:val="00AD3EBD"/>
    <w:rsid w:val="00C80B3C"/>
    <w:rsid w:val="00CC23C4"/>
    <w:rsid w:val="00E117DB"/>
    <w:rsid w:val="00EA2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3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3E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3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3E8D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43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2019-02-14T01:02:00Z</dcterms:created>
  <dcterms:modified xsi:type="dcterms:W3CDTF">2019-02-14T01:24:00Z</dcterms:modified>
</cp:coreProperties>
</file>