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694" w:rsidRPr="00F63694" w:rsidRDefault="00F63694" w:rsidP="00F63694">
      <w:pPr>
        <w:adjustRightInd w:val="0"/>
        <w:snapToGrid w:val="0"/>
        <w:ind w:firstLine="640"/>
        <w:jc w:val="center"/>
        <w:rPr>
          <w:rFonts w:ascii="黑体" w:eastAsia="黑体" w:hAnsi="黑体"/>
          <w:sz w:val="32"/>
          <w:szCs w:val="32"/>
        </w:rPr>
      </w:pPr>
      <w:r w:rsidRPr="00F63694">
        <w:rPr>
          <w:rFonts w:ascii="黑体" w:eastAsia="黑体" w:hAnsi="黑体" w:hint="eastAsia"/>
          <w:sz w:val="32"/>
          <w:szCs w:val="32"/>
        </w:rPr>
        <w:t>蓝田县</w:t>
      </w:r>
      <w:r w:rsidR="00ED3463">
        <w:rPr>
          <w:rFonts w:ascii="黑体" w:eastAsia="黑体" w:hAnsi="黑体" w:hint="eastAsia"/>
          <w:sz w:val="32"/>
          <w:szCs w:val="32"/>
        </w:rPr>
        <w:t>年度目标责任考核委员会办公室</w:t>
      </w:r>
    </w:p>
    <w:p w:rsidR="00F63694" w:rsidRPr="00F63694" w:rsidRDefault="00F63694" w:rsidP="00F63694">
      <w:pPr>
        <w:adjustRightInd w:val="0"/>
        <w:snapToGrid w:val="0"/>
        <w:ind w:firstLine="640"/>
        <w:jc w:val="center"/>
        <w:rPr>
          <w:rFonts w:ascii="黑体" w:eastAsia="黑体" w:hAnsi="黑体"/>
          <w:sz w:val="32"/>
          <w:szCs w:val="32"/>
        </w:rPr>
      </w:pPr>
      <w:r w:rsidRPr="00F63694">
        <w:rPr>
          <w:rFonts w:ascii="黑体" w:eastAsia="黑体" w:hAnsi="黑体" w:hint="eastAsia"/>
          <w:sz w:val="32"/>
          <w:szCs w:val="32"/>
        </w:rPr>
        <w:t>2020年部门综合预算说明</w:t>
      </w:r>
    </w:p>
    <w:p w:rsidR="00F474A1" w:rsidRDefault="00F474A1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目  录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第一部分   部门概况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一、部门主要职责及机构设置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二、2020年年度部门工作任务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三、部门预算单位构成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四、部门人员情况说明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第二部分   收支情况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五、2020年部门预算收支说明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第三部分   其他说明情况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六、部门预算“三公”经费等情况说明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七、部门国有资产占有使用及资产购置情况说明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八、部门政府采购情况说明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九、部门预算绩效目标说明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十、机关运行经费安排说明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十一、专业名词解释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第四部分   公开报表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（具体部门预算公开报表）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第一部分  部门概况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一、部门主要职责及机构设置</w:t>
      </w:r>
    </w:p>
    <w:p w:rsidR="00ED3463" w:rsidRDefault="00ED3463" w:rsidP="00ED3463">
      <w:pPr>
        <w:adjustRightInd w:val="0"/>
        <w:snapToGrid w:val="0"/>
        <w:spacing w:line="360" w:lineRule="auto"/>
        <w:ind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主要职责：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1.负责全县年度目标责任考核工作的组织实施；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2.起草制定全县年度目标责任考核工作的有关规定；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3.细化分解市委、市政府下达我县的年度目标任务，起草制定县委、县政府下达各镇、各部门的年度目标任务，对市、县目标任务的运行情况和项目建设形象进度进行督促检查；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4.协调有关部门定期召开联席会议，研究解决全县年度目标责任考核工作中的具体问题；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5.对全县年度目标责任考核结果运用提出意见建议；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6.负责牵头做好我县迎接省、市考核办考核检查的有关工作；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7.指导各镇、各部门开展年度目标责任考核工作；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8.完成县委、县政府和县考核委员会交办的其他事项。</w:t>
      </w:r>
    </w:p>
    <w:p w:rsidR="00ED3463" w:rsidRDefault="00ED3463" w:rsidP="00ED3463">
      <w:pPr>
        <w:adjustRightInd w:val="0"/>
        <w:snapToGrid w:val="0"/>
        <w:spacing w:line="360" w:lineRule="auto"/>
        <w:ind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机构设置：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考核办为全额财政拨款一级预算行政单位。无二级单位,无下属单位，无内设科室。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二、2020年度部门工作任务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领导2020年度全县年度目标责任考核工作，负责审核相关工作制度，确定2020年度考核指标和实施方案，审定考核结果，研究解决考核工作中的重大问题。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县考核办具体负责2020年度目标责任考核工作，完成以下任务：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1.负责全县2020年度目标责任考核工作的组织实施；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2.起草制定全县2020年度目标责任考核工作的有关规定；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3.细化分解市委、市政府下达我县的2020年度五张报表目标任务，起草制定县委、县政府下达各镇、各部门的年度目标任务，对市、县目标任务的运行情况和项目建设形象进度进行督促检查；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4.协调有关部门定期召开联席会议，研究解决全县2020年度目标责任考核工作中的具体问题；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5.对2020年度全县目标责任考核结果运用提出意见建议；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6.负责牵头做好我县迎接省、市考核办考核检查的有关工作； 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7.指导各镇、各部门开展2020年度目标责任考核工作；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三、部门预算单位构成</w:t>
      </w:r>
    </w:p>
    <w:p w:rsidR="00ED3463" w:rsidRDefault="00ED3463" w:rsidP="00ED3463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从预算单位构成看，考核办为全额财政拨款一级预算行政单位，无二级单位,无下属单位，无内设科室。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660"/>
        <w:gridCol w:w="5098"/>
        <w:gridCol w:w="2087"/>
      </w:tblGrid>
      <w:tr w:rsidR="00F474A1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5098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单位名称</w:t>
            </w:r>
          </w:p>
        </w:tc>
        <w:tc>
          <w:tcPr>
            <w:tcW w:w="2087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拟变动情况</w:t>
            </w:r>
          </w:p>
        </w:tc>
      </w:tr>
      <w:tr w:rsidR="00F474A1" w:rsidTr="00F427E0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5098" w:type="dxa"/>
            <w:vAlign w:val="center"/>
          </w:tcPr>
          <w:p w:rsidR="00F474A1" w:rsidRPr="00F427E0" w:rsidRDefault="00F427E0" w:rsidP="00F427E0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  <w:r w:rsidRPr="00F427E0">
              <w:rPr>
                <w:rFonts w:ascii="仿宋" w:eastAsia="仿宋" w:hAnsi="仿宋" w:cs="仿宋" w:hint="eastAsia"/>
              </w:rPr>
              <w:t>蓝田县年度目标责任考核委员会办公室</w:t>
            </w:r>
            <w:r w:rsidR="00E047B3" w:rsidRPr="00F427E0">
              <w:rPr>
                <w:rFonts w:ascii="仿宋" w:eastAsia="仿宋" w:hAnsi="仿宋" w:cs="仿宋" w:hint="eastAsia"/>
              </w:rPr>
              <w:t>（机关）</w:t>
            </w:r>
          </w:p>
        </w:tc>
        <w:tc>
          <w:tcPr>
            <w:tcW w:w="2087" w:type="dxa"/>
          </w:tcPr>
          <w:p w:rsidR="00F474A1" w:rsidRDefault="00F474A1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474A1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5098" w:type="dxa"/>
          </w:tcPr>
          <w:p w:rsidR="00F474A1" w:rsidRDefault="00E047B3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……</w:t>
            </w:r>
          </w:p>
        </w:tc>
        <w:tc>
          <w:tcPr>
            <w:tcW w:w="2087" w:type="dxa"/>
          </w:tcPr>
          <w:p w:rsidR="00F474A1" w:rsidRDefault="00F474A1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474A1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……</w:t>
            </w:r>
          </w:p>
        </w:tc>
        <w:tc>
          <w:tcPr>
            <w:tcW w:w="5098" w:type="dxa"/>
          </w:tcPr>
          <w:p w:rsidR="00F474A1" w:rsidRDefault="00E047B3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……</w:t>
            </w:r>
          </w:p>
        </w:tc>
        <w:tc>
          <w:tcPr>
            <w:tcW w:w="2087" w:type="dxa"/>
          </w:tcPr>
          <w:p w:rsidR="00F474A1" w:rsidRDefault="00F474A1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四、部门人员情况说明</w:t>
      </w:r>
    </w:p>
    <w:p w:rsidR="00690B25" w:rsidRDefault="00690B25" w:rsidP="00690B25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截止2019年底，本部门人员编制5人，其中行政编制2人，事业编制3人；实有人员4人，其中行政人员1人，事业人员3人。</w:t>
      </w:r>
    </w:p>
    <w:p w:rsidR="00F427E0" w:rsidRDefault="00F753E9" w:rsidP="00F753E9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 w:rsidRPr="00F753E9"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4572000" cy="27432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第二部分  收支情况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五、2020年部门预算收支说明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（一）收支预算总体情况。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按照综合预算的原则，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所有收入和支出均纳入部门预算管理。2020年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预算收入</w:t>
      </w:r>
      <w:r w:rsidR="00122038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 w:rsidR="00122038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 w:rsidR="00A213EC">
        <w:rPr>
          <w:rFonts w:ascii="仿宋" w:eastAsia="仿宋" w:hAnsi="仿宋" w:cs="仿宋" w:hint="eastAsia"/>
          <w:sz w:val="32"/>
          <w:szCs w:val="32"/>
        </w:rPr>
        <w:t>0万元</w:t>
      </w:r>
      <w:r>
        <w:rPr>
          <w:rFonts w:ascii="仿宋" w:eastAsia="仿宋" w:hAnsi="仿宋" w:cs="仿宋" w:hint="eastAsia"/>
          <w:sz w:val="32"/>
          <w:szCs w:val="32"/>
        </w:rPr>
        <w:t>、</w:t>
      </w:r>
      <w:r w:rsidR="00122038" w:rsidRPr="00122038">
        <w:rPr>
          <w:rFonts w:ascii="仿宋" w:eastAsia="仿宋" w:hAnsi="仿宋" w:cs="仿宋" w:hint="eastAsia"/>
          <w:sz w:val="32"/>
          <w:szCs w:val="32"/>
        </w:rPr>
        <w:t>国有资本经营预算收入</w:t>
      </w:r>
      <w:r w:rsidR="00A213EC">
        <w:rPr>
          <w:rFonts w:ascii="仿宋" w:eastAsia="仿宋" w:hAnsi="仿宋" w:cs="仿宋" w:hint="eastAsia"/>
          <w:sz w:val="32"/>
          <w:szCs w:val="32"/>
        </w:rPr>
        <w:t>0万元</w:t>
      </w:r>
      <w:r>
        <w:rPr>
          <w:rFonts w:ascii="仿宋" w:eastAsia="仿宋" w:hAnsi="仿宋" w:cs="仿宋" w:hint="eastAsia"/>
          <w:sz w:val="32"/>
          <w:szCs w:val="32"/>
        </w:rPr>
        <w:t>，2020年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预算收入较上年减少</w:t>
      </w:r>
      <w:r w:rsidR="00122038">
        <w:rPr>
          <w:rFonts w:ascii="仿宋" w:eastAsia="仿宋" w:hAnsi="仿宋" w:cs="仿宋" w:hint="eastAsia"/>
          <w:sz w:val="32"/>
          <w:szCs w:val="32"/>
        </w:rPr>
        <w:t>2999.67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122038">
        <w:rPr>
          <w:rFonts w:ascii="仿宋" w:eastAsia="仿宋" w:hAnsi="仿宋" w:cs="仿宋" w:hint="eastAsia"/>
          <w:sz w:val="32"/>
          <w:szCs w:val="32"/>
        </w:rPr>
        <w:t>2020年年度目标责任制奖没有纳入预算</w:t>
      </w:r>
      <w:r>
        <w:rPr>
          <w:rFonts w:ascii="仿宋" w:eastAsia="仿宋" w:hAnsi="仿宋" w:cs="仿宋" w:hint="eastAsia"/>
          <w:sz w:val="32"/>
          <w:szCs w:val="32"/>
        </w:rPr>
        <w:t>；2020年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预算支出</w:t>
      </w:r>
      <w:r w:rsidR="00A213EC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 w:rsidR="00A213EC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 w:rsidR="00A213EC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万元、</w:t>
      </w:r>
      <w:r w:rsidR="00A213EC" w:rsidRPr="00122038">
        <w:rPr>
          <w:rFonts w:ascii="仿宋" w:eastAsia="仿宋" w:hAnsi="仿宋" w:cs="仿宋" w:hint="eastAsia"/>
          <w:sz w:val="32"/>
          <w:szCs w:val="32"/>
        </w:rPr>
        <w:t>国有资本经营预算</w:t>
      </w:r>
      <w:r w:rsidR="00A213EC">
        <w:rPr>
          <w:rFonts w:ascii="仿宋" w:eastAsia="仿宋" w:hAnsi="仿宋" w:cs="仿宋" w:hint="eastAsia"/>
          <w:sz w:val="32"/>
          <w:szCs w:val="32"/>
        </w:rPr>
        <w:t>支出0万元</w:t>
      </w:r>
      <w:r>
        <w:rPr>
          <w:rFonts w:ascii="仿宋" w:eastAsia="仿宋" w:hAnsi="仿宋" w:cs="仿宋" w:hint="eastAsia"/>
          <w:sz w:val="32"/>
          <w:szCs w:val="32"/>
        </w:rPr>
        <w:t>，2020年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预算支出较上年减少</w:t>
      </w:r>
      <w:r w:rsidR="00A213EC">
        <w:rPr>
          <w:rFonts w:ascii="仿宋" w:eastAsia="仿宋" w:hAnsi="仿宋" w:cs="仿宋" w:hint="eastAsia"/>
          <w:sz w:val="32"/>
          <w:szCs w:val="32"/>
        </w:rPr>
        <w:t>2999.67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A213EC">
        <w:rPr>
          <w:rFonts w:ascii="仿宋" w:eastAsia="仿宋" w:hAnsi="仿宋" w:cs="仿宋" w:hint="eastAsia"/>
          <w:sz w:val="32"/>
          <w:szCs w:val="32"/>
        </w:rPr>
        <w:t>2020年年度目标</w:t>
      </w:r>
      <w:r w:rsidR="00A213EC">
        <w:rPr>
          <w:rFonts w:ascii="仿宋" w:eastAsia="仿宋" w:hAnsi="仿宋" w:cs="仿宋" w:hint="eastAsia"/>
          <w:sz w:val="32"/>
          <w:szCs w:val="32"/>
        </w:rPr>
        <w:lastRenderedPageBreak/>
        <w:t>责任制奖没有纳入预算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（二）财政拨款收支情况。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财政拨款收入</w:t>
      </w:r>
      <w:r w:rsidR="00A213EC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 w:rsidR="00A213EC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 w:rsidR="00A213EC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万元、</w:t>
      </w:r>
      <w:r w:rsidR="00A213EC" w:rsidRPr="00122038">
        <w:rPr>
          <w:rFonts w:ascii="仿宋" w:eastAsia="仿宋" w:hAnsi="仿宋" w:cs="仿宋" w:hint="eastAsia"/>
          <w:sz w:val="32"/>
          <w:szCs w:val="32"/>
        </w:rPr>
        <w:t>国有资本经营预算收入</w:t>
      </w:r>
      <w:r w:rsidR="00A213EC">
        <w:rPr>
          <w:rFonts w:ascii="仿宋" w:eastAsia="仿宋" w:hAnsi="仿宋" w:cs="仿宋" w:hint="eastAsia"/>
          <w:sz w:val="32"/>
          <w:szCs w:val="32"/>
        </w:rPr>
        <w:t>0万元</w:t>
      </w:r>
      <w:r>
        <w:rPr>
          <w:rFonts w:ascii="仿宋" w:eastAsia="仿宋" w:hAnsi="仿宋" w:cs="仿宋" w:hint="eastAsia"/>
          <w:sz w:val="32"/>
          <w:szCs w:val="32"/>
        </w:rPr>
        <w:t>，2020年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财政拨款收入</w:t>
      </w:r>
      <w:r w:rsidR="00A213EC" w:rsidRPr="00A213EC">
        <w:rPr>
          <w:rFonts w:ascii="仿宋" w:eastAsia="仿宋" w:hAnsi="仿宋" w:cs="仿宋" w:hint="eastAsia"/>
          <w:sz w:val="32"/>
          <w:szCs w:val="32"/>
        </w:rPr>
        <w:t>较上年减少2999.67万元，主要原因是2020年度目标责任制奖没有纳入预算</w:t>
      </w:r>
      <w:r>
        <w:rPr>
          <w:rFonts w:ascii="仿宋" w:eastAsia="仿宋" w:hAnsi="仿宋" w:cs="仿宋" w:hint="eastAsia"/>
          <w:sz w:val="32"/>
          <w:szCs w:val="32"/>
        </w:rPr>
        <w:t>；2020年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财政拨款支出</w:t>
      </w:r>
      <w:r w:rsidR="00A213EC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 w:rsidR="00A213EC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 w:rsidR="00A213EC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万元、</w:t>
      </w:r>
      <w:r w:rsidR="00DB15A4" w:rsidRPr="00122038">
        <w:rPr>
          <w:rFonts w:ascii="仿宋" w:eastAsia="仿宋" w:hAnsi="仿宋" w:cs="仿宋" w:hint="eastAsia"/>
          <w:sz w:val="32"/>
          <w:szCs w:val="32"/>
        </w:rPr>
        <w:t>国有资本经营预算</w:t>
      </w:r>
      <w:r w:rsidR="00DB15A4">
        <w:rPr>
          <w:rFonts w:ascii="仿宋" w:eastAsia="仿宋" w:hAnsi="仿宋" w:cs="仿宋" w:hint="eastAsia"/>
          <w:sz w:val="32"/>
          <w:szCs w:val="32"/>
        </w:rPr>
        <w:t>支出0万元</w:t>
      </w:r>
      <w:r>
        <w:rPr>
          <w:rFonts w:ascii="仿宋" w:eastAsia="仿宋" w:hAnsi="仿宋" w:cs="仿宋" w:hint="eastAsia"/>
          <w:sz w:val="32"/>
          <w:szCs w:val="32"/>
        </w:rPr>
        <w:t>，2020年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财政拨款支出</w:t>
      </w:r>
      <w:r w:rsidR="00A213EC">
        <w:rPr>
          <w:rFonts w:ascii="仿宋" w:eastAsia="仿宋" w:hAnsi="仿宋" w:cs="仿宋" w:hint="eastAsia"/>
          <w:sz w:val="32"/>
          <w:szCs w:val="32"/>
        </w:rPr>
        <w:t>较上年减少2999.67万元，主要原因是2020年度目标责任制奖没有纳入预算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（三）一般公共预算拨款支出明细情况。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</w:t>
      </w:r>
      <w:r>
        <w:rPr>
          <w:rFonts w:ascii="仿宋" w:eastAsia="仿宋" w:hAnsi="仿宋" w:cs="仿宋" w:hint="eastAsia"/>
          <w:sz w:val="32"/>
          <w:szCs w:val="32"/>
        </w:rPr>
        <w:t>一般公共预算当年拨款规模变化情况。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当年一般公共预算拨款支出</w:t>
      </w:r>
      <w:r w:rsidR="00DB15A4">
        <w:rPr>
          <w:rFonts w:ascii="仿宋" w:eastAsia="仿宋" w:hAnsi="仿宋" w:cs="仿宋" w:hint="eastAsia"/>
          <w:sz w:val="32"/>
          <w:szCs w:val="32"/>
        </w:rPr>
        <w:t>35.63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 w:rsidR="00DB15A4">
        <w:rPr>
          <w:rFonts w:ascii="仿宋" w:eastAsia="仿宋" w:hAnsi="仿宋" w:cs="仿宋" w:hint="eastAsia"/>
          <w:sz w:val="32"/>
          <w:szCs w:val="32"/>
        </w:rPr>
        <w:t>较上年减少2999.67万元，主要原因是2020年度目标责任制奖没有纳入预算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DB15A4" w:rsidRDefault="00DB15A4" w:rsidP="00DB15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 w:rsidRPr="00DB15A4"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4448175" cy="196215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2、</w:t>
      </w:r>
      <w:r>
        <w:rPr>
          <w:rFonts w:ascii="仿宋" w:eastAsia="仿宋" w:hAnsi="仿宋" w:cs="仿宋" w:hint="eastAsia"/>
          <w:sz w:val="32"/>
          <w:szCs w:val="32"/>
        </w:rPr>
        <w:t>支出按功能科目分类的明细情况。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2020年当年一般公共预算支出</w:t>
      </w:r>
      <w:r w:rsidR="00023A9D">
        <w:rPr>
          <w:rFonts w:ascii="仿宋" w:eastAsia="仿宋" w:hAnsi="仿宋" w:cs="仿宋" w:hint="eastAsia"/>
          <w:sz w:val="32"/>
          <w:szCs w:val="32"/>
        </w:rPr>
        <w:t>35.63</w:t>
      </w:r>
      <w:r w:rsidR="00E047B3"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EA167A" w:rsidRDefault="00E047B3" w:rsidP="00EA167A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（1）行政运行（201</w:t>
      </w:r>
      <w:r w:rsidR="00023A9D"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601）</w:t>
      </w:r>
      <w:r w:rsidR="00023A9D">
        <w:rPr>
          <w:rFonts w:ascii="仿宋" w:eastAsia="仿宋" w:hAnsi="仿宋" w:cs="仿宋" w:hint="eastAsia"/>
          <w:sz w:val="32"/>
          <w:szCs w:val="32"/>
        </w:rPr>
        <w:t>30.5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 w:rsidR="00EA167A">
        <w:rPr>
          <w:rFonts w:ascii="仿宋" w:eastAsia="仿宋" w:hAnsi="仿宋" w:cs="仿宋" w:hint="eastAsia"/>
          <w:sz w:val="32"/>
          <w:szCs w:val="32"/>
        </w:rPr>
        <w:t>较上年减少2999.67万元，主要原因是2020年度目标责任制奖没有纳入预算。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</w:t>
      </w:r>
      <w:r w:rsidR="00023A9D" w:rsidRPr="00023A9D">
        <w:rPr>
          <w:rFonts w:ascii="仿宋" w:eastAsia="仿宋" w:hAnsi="仿宋" w:cs="仿宋" w:hint="eastAsia"/>
          <w:sz w:val="32"/>
          <w:szCs w:val="32"/>
        </w:rPr>
        <w:t>机关事业单位基本养老保险缴费支出</w:t>
      </w:r>
      <w:r>
        <w:rPr>
          <w:rFonts w:ascii="仿宋" w:eastAsia="仿宋" w:hAnsi="仿宋" w:cs="仿宋" w:hint="eastAsia"/>
          <w:sz w:val="32"/>
          <w:szCs w:val="32"/>
        </w:rPr>
        <w:t>（</w:t>
      </w:r>
      <w:r w:rsidR="00023A9D" w:rsidRPr="00023A9D">
        <w:rPr>
          <w:rFonts w:ascii="仿宋" w:eastAsia="仿宋" w:hAnsi="仿宋" w:cs="仿宋"/>
          <w:sz w:val="32"/>
          <w:szCs w:val="32"/>
        </w:rPr>
        <w:t>2080505</w:t>
      </w:r>
      <w:r>
        <w:rPr>
          <w:rFonts w:ascii="仿宋" w:eastAsia="仿宋" w:hAnsi="仿宋" w:cs="仿宋" w:hint="eastAsia"/>
          <w:sz w:val="32"/>
          <w:szCs w:val="32"/>
        </w:rPr>
        <w:t>）</w:t>
      </w:r>
      <w:r w:rsidR="005076E6">
        <w:rPr>
          <w:rFonts w:ascii="仿宋" w:eastAsia="仿宋" w:hAnsi="仿宋" w:cs="仿宋" w:hint="eastAsia"/>
          <w:sz w:val="32"/>
          <w:szCs w:val="32"/>
        </w:rPr>
        <w:t>40100</w:t>
      </w:r>
      <w:r>
        <w:rPr>
          <w:rFonts w:ascii="仿宋" w:eastAsia="仿宋" w:hAnsi="仿宋" w:cs="仿宋" w:hint="eastAsia"/>
          <w:sz w:val="32"/>
          <w:szCs w:val="32"/>
        </w:rPr>
        <w:t>元，较上年减少</w:t>
      </w:r>
      <w:r w:rsidR="005076E6">
        <w:rPr>
          <w:rFonts w:ascii="仿宋" w:eastAsia="仿宋" w:hAnsi="仿宋" w:cs="仿宋" w:hint="eastAsia"/>
          <w:sz w:val="32"/>
          <w:szCs w:val="32"/>
        </w:rPr>
        <w:t>2110</w:t>
      </w:r>
      <w:r>
        <w:rPr>
          <w:rFonts w:ascii="仿宋" w:eastAsia="仿宋" w:hAnsi="仿宋" w:cs="仿宋" w:hint="eastAsia"/>
          <w:sz w:val="32"/>
          <w:szCs w:val="32"/>
        </w:rPr>
        <w:t>元，原因是</w:t>
      </w:r>
      <w:r w:rsidR="005076E6">
        <w:rPr>
          <w:rFonts w:ascii="仿宋" w:eastAsia="仿宋" w:hAnsi="仿宋" w:cs="仿宋" w:hint="eastAsia"/>
          <w:sz w:val="32"/>
          <w:szCs w:val="32"/>
        </w:rPr>
        <w:t>2019年6月份</w:t>
      </w:r>
      <w:r w:rsidR="005076E6" w:rsidRPr="00023A9D">
        <w:rPr>
          <w:rFonts w:ascii="仿宋" w:eastAsia="仿宋" w:hAnsi="仿宋" w:cs="仿宋" w:hint="eastAsia"/>
          <w:sz w:val="32"/>
          <w:szCs w:val="32"/>
        </w:rPr>
        <w:t>机关事业单位基本养老保险</w:t>
      </w:r>
      <w:r w:rsidR="005076E6">
        <w:rPr>
          <w:rFonts w:ascii="仿宋" w:eastAsia="仿宋" w:hAnsi="仿宋" w:cs="仿宋" w:hint="eastAsia"/>
          <w:sz w:val="32"/>
          <w:szCs w:val="32"/>
        </w:rPr>
        <w:t>财政负担部分比例下调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</w:t>
      </w:r>
      <w:r w:rsidR="00023A9D">
        <w:rPr>
          <w:rFonts w:ascii="仿宋" w:eastAsia="仿宋" w:hAnsi="仿宋" w:cs="仿宋" w:hint="eastAsia"/>
          <w:sz w:val="32"/>
          <w:szCs w:val="32"/>
        </w:rPr>
        <w:t>行政单位医疗</w:t>
      </w:r>
      <w:r>
        <w:rPr>
          <w:rFonts w:ascii="仿宋" w:eastAsia="仿宋" w:hAnsi="仿宋" w:cs="仿宋" w:hint="eastAsia"/>
          <w:sz w:val="32"/>
          <w:szCs w:val="32"/>
        </w:rPr>
        <w:t>（</w:t>
      </w:r>
      <w:r w:rsidR="007A1312">
        <w:rPr>
          <w:rFonts w:ascii="仿宋" w:eastAsia="仿宋" w:hAnsi="仿宋" w:cs="仿宋" w:hint="eastAsia"/>
          <w:sz w:val="32"/>
          <w:szCs w:val="32"/>
        </w:rPr>
        <w:t>2101101</w:t>
      </w:r>
      <w:r>
        <w:rPr>
          <w:rFonts w:ascii="仿宋" w:eastAsia="仿宋" w:hAnsi="仿宋" w:cs="仿宋" w:hint="eastAsia"/>
          <w:sz w:val="32"/>
          <w:szCs w:val="32"/>
        </w:rPr>
        <w:t>）</w:t>
      </w:r>
      <w:r w:rsidR="007A1312">
        <w:rPr>
          <w:rFonts w:ascii="仿宋" w:eastAsia="仿宋" w:hAnsi="仿宋" w:cs="仿宋" w:hint="eastAsia"/>
          <w:sz w:val="32"/>
          <w:szCs w:val="32"/>
        </w:rPr>
        <w:t>0.97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EA167A">
        <w:rPr>
          <w:rFonts w:ascii="仿宋" w:eastAsia="仿宋" w:hAnsi="仿宋" w:cs="仿宋" w:hint="eastAsia"/>
          <w:sz w:val="32"/>
          <w:szCs w:val="32"/>
        </w:rPr>
        <w:t>无法对比</w:t>
      </w:r>
      <w:r>
        <w:rPr>
          <w:rFonts w:ascii="仿宋" w:eastAsia="仿宋" w:hAnsi="仿宋" w:cs="仿宋" w:hint="eastAsia"/>
          <w:sz w:val="32"/>
          <w:szCs w:val="32"/>
        </w:rPr>
        <w:t>，原因是</w:t>
      </w:r>
      <w:r w:rsidR="00EA167A">
        <w:rPr>
          <w:rFonts w:ascii="仿宋" w:eastAsia="仿宋" w:hAnsi="仿宋" w:cs="仿宋" w:hint="eastAsia"/>
          <w:sz w:val="32"/>
          <w:szCs w:val="32"/>
        </w:rPr>
        <w:t>上年未设置此科目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</w:t>
      </w:r>
      <w:r w:rsidR="007A1312">
        <w:rPr>
          <w:rFonts w:ascii="仿宋" w:eastAsia="仿宋" w:hAnsi="仿宋" w:cs="仿宋" w:hint="eastAsia"/>
          <w:sz w:val="32"/>
          <w:szCs w:val="32"/>
        </w:rPr>
        <w:t>公务员医疗补助</w:t>
      </w:r>
      <w:r>
        <w:rPr>
          <w:rFonts w:ascii="仿宋" w:eastAsia="仿宋" w:hAnsi="仿宋" w:cs="仿宋" w:hint="eastAsia"/>
          <w:sz w:val="32"/>
          <w:szCs w:val="32"/>
        </w:rPr>
        <w:t>（</w:t>
      </w:r>
      <w:r w:rsidR="007A1312">
        <w:rPr>
          <w:rFonts w:ascii="仿宋" w:eastAsia="仿宋" w:hAnsi="仿宋" w:cs="仿宋" w:hint="eastAsia"/>
          <w:sz w:val="32"/>
          <w:szCs w:val="32"/>
        </w:rPr>
        <w:t>2101103</w:t>
      </w:r>
      <w:r>
        <w:rPr>
          <w:rFonts w:ascii="仿宋" w:eastAsia="仿宋" w:hAnsi="仿宋" w:cs="仿宋" w:hint="eastAsia"/>
          <w:sz w:val="32"/>
          <w:szCs w:val="32"/>
        </w:rPr>
        <w:t>）</w:t>
      </w:r>
      <w:r w:rsidR="007A1312">
        <w:rPr>
          <w:rFonts w:ascii="仿宋" w:eastAsia="仿宋" w:hAnsi="仿宋" w:cs="仿宋" w:hint="eastAsia"/>
          <w:sz w:val="32"/>
          <w:szCs w:val="32"/>
        </w:rPr>
        <w:t>384</w:t>
      </w:r>
      <w:r>
        <w:rPr>
          <w:rFonts w:ascii="仿宋" w:eastAsia="仿宋" w:hAnsi="仿宋" w:cs="仿宋" w:hint="eastAsia"/>
          <w:sz w:val="32"/>
          <w:szCs w:val="32"/>
        </w:rPr>
        <w:t>元，</w:t>
      </w:r>
      <w:r w:rsidR="00EA167A">
        <w:rPr>
          <w:rFonts w:ascii="仿宋" w:eastAsia="仿宋" w:hAnsi="仿宋" w:cs="仿宋" w:hint="eastAsia"/>
          <w:sz w:val="32"/>
          <w:szCs w:val="32"/>
        </w:rPr>
        <w:t>较上年无法对比，原因是上年未设置此科目；</w:t>
      </w:r>
    </w:p>
    <w:p w:rsidR="00F474A1" w:rsidRDefault="007A1312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（5）其他卫生健康支出（2019901）1150元，</w:t>
      </w:r>
      <w:r w:rsidR="00EA167A">
        <w:rPr>
          <w:rFonts w:ascii="仿宋" w:eastAsia="仿宋" w:hAnsi="仿宋" w:cs="仿宋" w:hint="eastAsia"/>
          <w:sz w:val="32"/>
          <w:szCs w:val="32"/>
        </w:rPr>
        <w:t>较上年无法对比，原因是上年未设置此科目</w:t>
      </w:r>
      <w:r w:rsidR="00E047B3">
        <w:rPr>
          <w:rFonts w:ascii="仿宋" w:eastAsia="仿宋" w:hAnsi="仿宋" w:cs="仿宋" w:hint="eastAsia"/>
          <w:sz w:val="32"/>
          <w:szCs w:val="32"/>
        </w:rPr>
        <w:t>。</w:t>
      </w:r>
    </w:p>
    <w:p w:rsidR="00EA167A" w:rsidRDefault="00235DDC" w:rsidP="00235DDC">
      <w:pPr>
        <w:spacing w:line="360" w:lineRule="auto"/>
        <w:ind w:firstLineChars="0" w:firstLine="0"/>
        <w:rPr>
          <w:rFonts w:ascii="仿宋" w:eastAsia="仿宋" w:hAnsi="仿宋" w:cs="仿宋"/>
          <w:sz w:val="32"/>
          <w:szCs w:val="32"/>
        </w:rPr>
      </w:pPr>
      <w:r w:rsidRPr="00235DDC"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5531485" cy="2971800"/>
            <wp:effectExtent l="0" t="0" r="0" b="0"/>
            <wp:docPr id="5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3、</w:t>
      </w:r>
      <w:r>
        <w:rPr>
          <w:rFonts w:ascii="仿宋" w:eastAsia="仿宋" w:hAnsi="仿宋" w:cs="仿宋" w:hint="eastAsia"/>
          <w:sz w:val="32"/>
          <w:szCs w:val="32"/>
        </w:rPr>
        <w:t>支出按经济科目分类的明细情况。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（1）2020年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当年一般公共预算支出</w:t>
      </w:r>
      <w:r w:rsidR="00235DDC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工资福利支出（301）</w:t>
      </w:r>
      <w:r w:rsidR="00AA4998">
        <w:rPr>
          <w:rFonts w:ascii="仿宋" w:eastAsia="仿宋" w:hAnsi="仿宋" w:cs="仿宋" w:hint="eastAsia"/>
          <w:sz w:val="32"/>
          <w:szCs w:val="32"/>
        </w:rPr>
        <w:t>31.49</w:t>
      </w:r>
      <w:r>
        <w:rPr>
          <w:rFonts w:ascii="仿宋" w:eastAsia="仿宋" w:hAnsi="仿宋" w:cs="仿宋" w:hint="eastAsia"/>
          <w:sz w:val="32"/>
          <w:szCs w:val="32"/>
        </w:rPr>
        <w:t>万元，较上年减少</w:t>
      </w:r>
      <w:r w:rsidR="00AA4998">
        <w:rPr>
          <w:rFonts w:ascii="仿宋" w:eastAsia="仿宋" w:hAnsi="仿宋" w:cs="仿宋" w:hint="eastAsia"/>
          <w:sz w:val="32"/>
          <w:szCs w:val="32"/>
        </w:rPr>
        <w:t>2999.83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 w:rsidR="00AA4998">
        <w:rPr>
          <w:rFonts w:ascii="仿宋" w:eastAsia="仿宋" w:hAnsi="仿宋" w:cs="仿宋" w:hint="eastAsia"/>
          <w:sz w:val="32"/>
          <w:szCs w:val="32"/>
        </w:rPr>
        <w:t>主要原因是2020年度目标责任制奖没有纳入预算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商品和服务支出（302）</w:t>
      </w:r>
      <w:r w:rsidR="00AA4998">
        <w:rPr>
          <w:rFonts w:ascii="仿宋" w:eastAsia="仿宋" w:hAnsi="仿宋" w:cs="仿宋" w:hint="eastAsia"/>
          <w:sz w:val="32"/>
          <w:szCs w:val="32"/>
        </w:rPr>
        <w:t>4.16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AA4998">
        <w:rPr>
          <w:rFonts w:ascii="仿宋" w:eastAsia="仿宋" w:hAnsi="仿宋" w:cs="仿宋" w:hint="eastAsia"/>
          <w:sz w:val="32"/>
          <w:szCs w:val="32"/>
        </w:rPr>
        <w:t>0.16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 w:rsidR="00AA4998">
        <w:rPr>
          <w:rFonts w:ascii="仿宋" w:eastAsia="仿宋" w:hAnsi="仿宋" w:cs="仿宋" w:hint="eastAsia"/>
          <w:sz w:val="32"/>
          <w:szCs w:val="32"/>
        </w:rPr>
        <w:t>考核的指标结构调整，工作业务量变化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对个人和家庭的补助支出（303）</w:t>
      </w:r>
      <w:r w:rsidR="00AA4998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AA4998">
        <w:rPr>
          <w:rFonts w:ascii="仿宋" w:eastAsia="仿宋" w:hAnsi="仿宋" w:cs="仿宋" w:hint="eastAsia"/>
          <w:sz w:val="32"/>
          <w:szCs w:val="32"/>
        </w:rPr>
        <w:t>无变化</w:t>
      </w:r>
      <w:r>
        <w:rPr>
          <w:rFonts w:ascii="仿宋" w:eastAsia="仿宋" w:hAnsi="仿宋" w:cs="仿宋" w:hint="eastAsia"/>
          <w:sz w:val="32"/>
          <w:szCs w:val="32"/>
        </w:rPr>
        <w:t>，原因是</w:t>
      </w:r>
      <w:r w:rsidR="00AA4998">
        <w:rPr>
          <w:rFonts w:ascii="仿宋" w:eastAsia="仿宋" w:hAnsi="仿宋" w:cs="仿宋" w:hint="eastAsia"/>
          <w:sz w:val="32"/>
          <w:szCs w:val="32"/>
        </w:rPr>
        <w:t>上年对个人和家庭的补助支出0万元。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当年一般公共预算支出</w:t>
      </w:r>
      <w:r w:rsidR="00F8671D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机关工资福利支出（501）</w:t>
      </w:r>
      <w:r w:rsidR="00F8671D">
        <w:rPr>
          <w:rFonts w:ascii="仿宋" w:eastAsia="仿宋" w:hAnsi="仿宋" w:cs="仿宋" w:hint="eastAsia"/>
          <w:sz w:val="32"/>
          <w:szCs w:val="32"/>
        </w:rPr>
        <w:t>23.45万元，较上年减少3007.87万元，主要原因是2020年度目标责任制奖没有纳入预算；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机关商品和服务支出（502）</w:t>
      </w:r>
      <w:r w:rsidR="00F8671D">
        <w:rPr>
          <w:rFonts w:ascii="仿宋" w:eastAsia="仿宋" w:hAnsi="仿宋" w:cs="仿宋" w:hint="eastAsia"/>
          <w:sz w:val="32"/>
          <w:szCs w:val="32"/>
        </w:rPr>
        <w:t>4.16万元，较上年增加0.16万元，考核的指标结构调整，工作业务量变化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机关资本性支出（一）（503）</w:t>
      </w:r>
      <w:r w:rsidR="005710D4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 w:rsidR="005710D4">
        <w:rPr>
          <w:rFonts w:ascii="仿宋" w:eastAsia="仿宋" w:hAnsi="仿宋" w:cs="仿宋" w:hint="eastAsia"/>
          <w:sz w:val="32"/>
          <w:szCs w:val="32"/>
        </w:rPr>
        <w:t>较上年无变化</w:t>
      </w:r>
      <w:r>
        <w:rPr>
          <w:rFonts w:ascii="仿宋" w:eastAsia="仿宋" w:hAnsi="仿宋" w:cs="仿宋" w:hint="eastAsia"/>
          <w:sz w:val="32"/>
          <w:szCs w:val="32"/>
        </w:rPr>
        <w:t>，原因</w:t>
      </w:r>
      <w:r w:rsidR="005710D4">
        <w:rPr>
          <w:rFonts w:ascii="仿宋" w:eastAsia="仿宋" w:hAnsi="仿宋" w:cs="仿宋" w:hint="eastAsia"/>
          <w:sz w:val="32"/>
          <w:szCs w:val="32"/>
        </w:rPr>
        <w:t>上年资本性支出0万元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机关资本性支出（二）（504）</w:t>
      </w:r>
      <w:r w:rsidR="005710D4">
        <w:rPr>
          <w:rFonts w:ascii="仿宋" w:eastAsia="仿宋" w:hAnsi="仿宋" w:cs="仿宋" w:hint="eastAsia"/>
          <w:sz w:val="32"/>
          <w:szCs w:val="32"/>
        </w:rPr>
        <w:t>0万元，较上年无变化，原因上年资本性支出0万元；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对事业单位经常性补助（505）</w:t>
      </w:r>
      <w:r w:rsidR="005710D4">
        <w:rPr>
          <w:rFonts w:ascii="仿宋" w:eastAsia="仿宋" w:hAnsi="仿宋" w:cs="仿宋" w:hint="eastAsia"/>
          <w:sz w:val="32"/>
          <w:szCs w:val="32"/>
        </w:rPr>
        <w:t>8.04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5710D4">
        <w:rPr>
          <w:rFonts w:ascii="仿宋" w:eastAsia="仿宋" w:hAnsi="仿宋" w:cs="仿宋" w:hint="eastAsia"/>
          <w:sz w:val="32"/>
          <w:szCs w:val="32"/>
        </w:rPr>
        <w:t>无变化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对事业单位资本性补助（506）</w:t>
      </w:r>
      <w:r w:rsidR="005710D4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5710D4">
        <w:rPr>
          <w:rFonts w:ascii="仿宋" w:eastAsia="仿宋" w:hAnsi="仿宋" w:cs="仿宋" w:hint="eastAsia"/>
          <w:sz w:val="32"/>
          <w:szCs w:val="32"/>
        </w:rPr>
        <w:t>无变化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原因是</w:t>
      </w:r>
      <w:r w:rsidR="005710D4">
        <w:rPr>
          <w:rFonts w:ascii="仿宋" w:eastAsia="仿宋" w:hAnsi="仿宋" w:cs="仿宋" w:hint="eastAsia"/>
          <w:sz w:val="32"/>
          <w:szCs w:val="32"/>
        </w:rPr>
        <w:t>上年事业单位资本性补助0万元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5710D4" w:rsidRDefault="005710D4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其他本年度预算为0万元；较上年均无变化，原因上年度预算也均为0万元。</w:t>
      </w:r>
    </w:p>
    <w:p w:rsidR="00F474A1" w:rsidRDefault="00E047B3" w:rsidP="00A8395A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4、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无2019年结转的一般公共预算拨款资金支出。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（四）政府性基金预算支出情况。</w:t>
      </w:r>
    </w:p>
    <w:p w:rsidR="00F474A1" w:rsidRDefault="00E047B3" w:rsidP="00A8395A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无当年政府性基金预算收支，并已公开空表。</w:t>
      </w:r>
    </w:p>
    <w:p w:rsidR="00F474A1" w:rsidRDefault="00E047B3" w:rsidP="00A8395A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2、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无2019年结转的政府性基金预算拨款支出。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（五）国有资本经营预算拨款收支情况。</w:t>
      </w:r>
    </w:p>
    <w:p w:rsidR="00F474A1" w:rsidRDefault="00A17631" w:rsidP="00A17631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无当年国有资本经营预算拨款收支，并在财政拨款收支总体情况表中列示。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无2019年结转的国有资本经营预算拨款支出。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第三部分  其他说明情况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六、部门预算“三公”经费等预算情况说明</w:t>
      </w:r>
    </w:p>
    <w:p w:rsidR="00F474A1" w:rsidRDefault="001A0725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2020年一般公共预算未安排“三公”经费支出，并</w:t>
      </w:r>
      <w:r>
        <w:rPr>
          <w:rFonts w:ascii="仿宋" w:eastAsia="仿宋" w:hAnsi="仿宋" w:cs="仿宋" w:hint="eastAsia"/>
          <w:sz w:val="32"/>
          <w:szCs w:val="32"/>
        </w:rPr>
        <w:t>未</w:t>
      </w:r>
      <w:r w:rsidR="00E047B3">
        <w:rPr>
          <w:rFonts w:ascii="仿宋" w:eastAsia="仿宋" w:hAnsi="仿宋" w:cs="仿宋" w:hint="eastAsia"/>
          <w:sz w:val="32"/>
          <w:szCs w:val="32"/>
        </w:rPr>
        <w:t>通过其他具体资金来源（如政府性基金）安排的“三公”经费支出</w:t>
      </w:r>
      <w:r>
        <w:rPr>
          <w:rFonts w:ascii="仿宋" w:eastAsia="仿宋" w:hAnsi="仿宋" w:cs="仿宋" w:hint="eastAsia"/>
          <w:sz w:val="32"/>
          <w:szCs w:val="32"/>
        </w:rPr>
        <w:t>，2019年“三公”经费支出为0万元，较上年无变化。</w:t>
      </w:r>
    </w:p>
    <w:p w:rsidR="001A0725" w:rsidRDefault="001A0725" w:rsidP="001A0725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2.考核办2020年一般公共预算未安排会议费支出，2019年会议费支出为0万元，较上年无变化。</w:t>
      </w:r>
    </w:p>
    <w:p w:rsidR="001A0725" w:rsidRDefault="001A0725" w:rsidP="001A0725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3.考核办2020年一般公共预算培训费支出0.1万元，2019年会议费支出为0万元，较上年增加0.1万元，增加原因为2020年区县考核指标体系变化较大，需加强培训。</w:t>
      </w:r>
    </w:p>
    <w:p w:rsidR="00F474A1" w:rsidRDefault="001A0725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4.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无2019年结转的财政拨款‘三公’经费支出。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七、部门国有资产占有使用及资产购置情况说明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截止2019年底，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所属预算单位共有车辆</w:t>
      </w:r>
      <w:r w:rsidR="006F338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辆，单价20万元以上的设备</w:t>
      </w:r>
      <w:r w:rsidR="006F338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台（套）。2020年当年部门预算安排购置车辆</w:t>
      </w:r>
      <w:r w:rsidR="006F338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辆；安排购置单价20万元以上的设备</w:t>
      </w:r>
      <w:r w:rsidR="006F338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无2019年结转的财政拨款支出资产购置。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八、部门政府采购情况说明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2020年无政府采购预算，并已公开空表。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无2019年结转的政府采购资金支出。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九、部门预算绩效目标说明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</w:t>
      </w:r>
      <w:r w:rsidR="00122038">
        <w:rPr>
          <w:rFonts w:ascii="仿宋" w:eastAsia="仿宋" w:hAnsi="仿宋" w:cs="仿宋" w:hint="eastAsia"/>
          <w:sz w:val="32"/>
          <w:szCs w:val="32"/>
        </w:rPr>
        <w:t>考核办</w:t>
      </w:r>
      <w:r>
        <w:rPr>
          <w:rFonts w:ascii="仿宋" w:eastAsia="仿宋" w:hAnsi="仿宋" w:cs="仿宋" w:hint="eastAsia"/>
          <w:sz w:val="32"/>
          <w:szCs w:val="32"/>
        </w:rPr>
        <w:t>绩效目标管理全覆盖，涉及当年一般公共预算拨款</w:t>
      </w:r>
      <w:r w:rsidR="006F3385">
        <w:rPr>
          <w:rFonts w:ascii="仿宋" w:eastAsia="仿宋" w:hAnsi="仿宋" w:cs="仿宋" w:hint="eastAsia"/>
          <w:sz w:val="32"/>
          <w:szCs w:val="32"/>
        </w:rPr>
        <w:t>35.65</w:t>
      </w:r>
      <w:r>
        <w:rPr>
          <w:rFonts w:ascii="仿宋" w:eastAsia="仿宋" w:hAnsi="仿宋" w:cs="仿宋" w:hint="eastAsia"/>
          <w:sz w:val="32"/>
          <w:szCs w:val="32"/>
        </w:rPr>
        <w:t>万元,当年政府性基金预算拨款</w:t>
      </w:r>
      <w:r w:rsidR="006F338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万元，当年国有资本经营预算拨款</w:t>
      </w:r>
      <w:r w:rsidR="006F338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万元（详见公开报表中的绩效目标表）。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无2019年结转的财政拨款支出涉及的绩效目标管理。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十、机关运行经费安排说明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当年机关运行经费预算安排</w:t>
      </w:r>
      <w:r w:rsidR="006F3385">
        <w:rPr>
          <w:rFonts w:ascii="仿宋" w:eastAsia="仿宋" w:hAnsi="仿宋" w:cs="仿宋" w:hint="eastAsia"/>
          <w:sz w:val="32"/>
          <w:szCs w:val="32"/>
        </w:rPr>
        <w:t>35.65</w:t>
      </w:r>
      <w:r w:rsidR="00E047B3"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6F3385">
        <w:rPr>
          <w:rFonts w:ascii="仿宋" w:eastAsia="仿宋" w:hAnsi="仿宋" w:cs="仿宋" w:hint="eastAsia"/>
          <w:sz w:val="32"/>
          <w:szCs w:val="32"/>
        </w:rPr>
        <w:t>0.33</w:t>
      </w:r>
      <w:r w:rsidR="00E047B3"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6F3385">
        <w:rPr>
          <w:rFonts w:ascii="仿宋" w:eastAsia="仿宋" w:hAnsi="仿宋" w:cs="仿宋" w:hint="eastAsia"/>
          <w:sz w:val="32"/>
          <w:szCs w:val="32"/>
        </w:rPr>
        <w:t>机构改革人员类型调整</w:t>
      </w:r>
      <w:r w:rsidR="00E047B3"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122038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考核办</w:t>
      </w:r>
      <w:r w:rsidR="00E047B3">
        <w:rPr>
          <w:rFonts w:ascii="仿宋" w:eastAsia="仿宋" w:hAnsi="仿宋" w:cs="仿宋" w:hint="eastAsia"/>
          <w:sz w:val="32"/>
          <w:szCs w:val="32"/>
        </w:rPr>
        <w:t>无2019年结转的财政拨款机关运行经费支出。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十一、专业名词解释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1.机关运行经费：指各部门的公用经费，包括办公及印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刷费、邮电费、差旅费、会议费、福利费、日常维修费、专用材料及一般设备购置费、办公用房水电费、办公用房取暖费、办公用房物业管理费、公务用车运行费以及其他费用。</w:t>
      </w:r>
    </w:p>
    <w:p w:rsidR="00EB785C" w:rsidRDefault="00EB785C" w:rsidP="00EB785C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2.本部门2020年无新增专业名词。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第四部分  公开报表</w:t>
      </w:r>
    </w:p>
    <w:sectPr w:rsidR="00F474A1" w:rsidSect="00F474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45C" w:rsidRDefault="00F6045C" w:rsidP="00670DA4">
      <w:pPr>
        <w:spacing w:line="240" w:lineRule="auto"/>
        <w:ind w:firstLine="480"/>
      </w:pPr>
      <w:r>
        <w:separator/>
      </w:r>
    </w:p>
  </w:endnote>
  <w:endnote w:type="continuationSeparator" w:id="0">
    <w:p w:rsidR="00F6045C" w:rsidRDefault="00F6045C" w:rsidP="00670DA4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4A1" w:rsidRDefault="009E36BF" w:rsidP="00670DA4">
    <w:pPr>
      <w:pStyle w:val="a3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200pt;margin-top:-2.3pt;width:80pt;height:21.1pt;z-index:251658240;mso-position-horizontal:outside;mso-position-horizontal-relative:margin" o:gfxdata="UEsDBAoAAAAAAIdO4kAAAAAAAAAAAAAAAAAEAAAAZHJzL1BLAwQUAAAACACHTuJAxlJfJ9cAAAAJ&#10;AQAADwAAAGRycy9kb3ducmV2LnhtbE2PTU/DMAyG70j8h8hI3LakDHVTqbsDHzc+B0hwSxvTVjRO&#10;laTd+PdkJzhZth+9flxuD3YQM/nQO0bIlgoEceNMzy3C2+vdYgMiRM1GD44J4YcCbKvTk1IXxu35&#10;heZdbEUK4VBohC7GsZAyNB1ZHZZuJE67L+etjqn1rTRe71O4HeSFUrm0uud0odMjXXfUfO8mizB8&#10;BH9fq/g537QP8flJTu+32SPi+VmmrkBEOsQ/GI76SR2q5FS7iU0QA0K+VnlCERaXqSZgszoOaoTV&#10;OgdZlfL/B9UvUEsDBBQAAAAIAIdO4kD5ms1QxQIAANcFAAAOAAAAZHJzL2Uyb0RvYy54bWytVMtu&#10;1DAU3SPxD5b3aZJpmnmomWo6aRDSiFYqiLXHcSYWiW1sz6NUbOEPWLFhz3f1O7h2JtMHCCFgFp4b&#10;3+c59/qenu3aBm2YNlyKDMdHEUZMUFlyscrwm9dFMMLIWCJK0kjBMnzDDD6bPn92ulUTNpC1bEqm&#10;EQQRZrJVGa6tVZMwNLRmLTFHUjEBykrqllj41Kuw1GQL0dsmHERRGm6lLpWWlBkDt3mnxFMfv6oY&#10;tZdVZZhFTYahNutP7c+lO8PpKZmsNFE1p/syyF9U0RIuIOkhVE4sQWvNfwrVcqqlkZU9orINZVVx&#10;yjwGQBNHT9Bc10QxjwXIMepAk/l/YemrzZVGvITeYSRICy26+/L57uv3u2+fUOzo2SozAatrBXZ2&#10;dy53znR/b+DSod5VunX/gAeBHoi+OZDLdhZR5xTFaRSBioJukA7HQ89+eO+ttLEvmGyREzKsoXme&#10;U7JZGAsZwbQ3ccmELHjT+AY2Am0znB6fRN7hoAGPRjhbKAJi7KWuMbfjaHwxuhglQTJIL4IkyvNg&#10;VsyTIC3i4Ul+nM/nefzRxYuTSc3LkgmXrx+SOPmzJuzHtWvvYUyMbHjpwrmSjF4t541GGwJDWvif&#10;IxiKf2AWPi7DqwHVE0jxIInOB+OgSEfDICmSkwBoHgVRPD4fp1EyTvLiMaQFF+zfIT1i/0HRXcMO&#10;2JYNoe9+C82Vcw8NGOgbF7ox7MbNSXa33O1ncCnLGxhNLbu3bRQtOMzPghh7RTQ8Zhg5WFD2Eo6q&#10;kTAnci9hVEv94Vf3zh7aC1qMtrAcMmzer4lmGDUvBbw+t0l6QffCshfEup1LaCW8KKjGi+CgbdOL&#10;lZbtW9hbM5cFVERQyJVh24tz260o2HuUzWbeaK00X9WdA+wORexCXCvq0rghEHK2trLi/qE4ijpe&#10;gEz3AdvD07rfdG49Pfz2Vvf7eP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xlJfJ9cAAAAJAQAA&#10;DwAAAAAAAAABACAAAAAiAAAAZHJzL2Rvd25yZXYueG1sUEsBAhQAFAAAAAgAh07iQPmazVDFAgAA&#10;1wUAAA4AAAAAAAAAAQAgAAAAJgEAAGRycy9lMm9Eb2MueG1sUEsFBgAAAAAGAAYAWQEAAF0GAAAA&#10;AA==&#10;" filled="f" stroked="f" strokeweight=".5pt">
          <v:textbox inset="0,0,0,0">
            <w:txbxContent>
              <w:p w:rsidR="00F474A1" w:rsidRDefault="00F474A1" w:rsidP="00F61A77">
                <w:pPr>
                  <w:pStyle w:val="a3"/>
                  <w:ind w:firstLineChars="0" w:firstLine="0"/>
                  <w:rPr>
                    <w:sz w:val="28"/>
                    <w:szCs w:val="44"/>
                  </w:rPr>
                </w:pP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45C" w:rsidRDefault="00F6045C" w:rsidP="00670DA4">
      <w:pPr>
        <w:spacing w:line="240" w:lineRule="auto"/>
        <w:ind w:firstLine="480"/>
      </w:pPr>
      <w:r>
        <w:separator/>
      </w:r>
    </w:p>
  </w:footnote>
  <w:footnote w:type="continuationSeparator" w:id="0">
    <w:p w:rsidR="00F6045C" w:rsidRDefault="00F6045C" w:rsidP="00670DA4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D0381D"/>
    <w:rsid w:val="000127AC"/>
    <w:rsid w:val="00021752"/>
    <w:rsid w:val="00023A9D"/>
    <w:rsid w:val="000562DC"/>
    <w:rsid w:val="00122038"/>
    <w:rsid w:val="00192A11"/>
    <w:rsid w:val="001A0725"/>
    <w:rsid w:val="00235DDC"/>
    <w:rsid w:val="00283CD4"/>
    <w:rsid w:val="005076E6"/>
    <w:rsid w:val="005710D4"/>
    <w:rsid w:val="005F0B4E"/>
    <w:rsid w:val="00670DA4"/>
    <w:rsid w:val="00690B25"/>
    <w:rsid w:val="00691ADE"/>
    <w:rsid w:val="006E261C"/>
    <w:rsid w:val="006F3385"/>
    <w:rsid w:val="007054F0"/>
    <w:rsid w:val="007A1312"/>
    <w:rsid w:val="009B6591"/>
    <w:rsid w:val="009E36BF"/>
    <w:rsid w:val="00A17631"/>
    <w:rsid w:val="00A213EC"/>
    <w:rsid w:val="00A6254D"/>
    <w:rsid w:val="00A8395A"/>
    <w:rsid w:val="00AA4998"/>
    <w:rsid w:val="00AD6E92"/>
    <w:rsid w:val="00BF541B"/>
    <w:rsid w:val="00D35F0B"/>
    <w:rsid w:val="00DB15A4"/>
    <w:rsid w:val="00E047B3"/>
    <w:rsid w:val="00E3381A"/>
    <w:rsid w:val="00EA167A"/>
    <w:rsid w:val="00EA3375"/>
    <w:rsid w:val="00EB785C"/>
    <w:rsid w:val="00ED3463"/>
    <w:rsid w:val="00F427E0"/>
    <w:rsid w:val="00F474A1"/>
    <w:rsid w:val="00F6045C"/>
    <w:rsid w:val="00F61A77"/>
    <w:rsid w:val="00F63694"/>
    <w:rsid w:val="00F753E9"/>
    <w:rsid w:val="00F8671D"/>
    <w:rsid w:val="1ED0381D"/>
    <w:rsid w:val="34DA761D"/>
    <w:rsid w:val="5C546F19"/>
    <w:rsid w:val="680A78E7"/>
    <w:rsid w:val="70527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4A1"/>
    <w:pPr>
      <w:widowControl w:val="0"/>
      <w:spacing w:line="366" w:lineRule="exact"/>
      <w:ind w:firstLineChars="200" w:firstLine="20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474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F474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5">
    <w:name w:val="Balloon Text"/>
    <w:basedOn w:val="a"/>
    <w:link w:val="Char"/>
    <w:rsid w:val="00F753E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rsid w:val="00F753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>
        <c:rich>
          <a:bodyPr/>
          <a:lstStyle/>
          <a:p>
            <a:pPr>
              <a:defRPr/>
            </a:pPr>
            <a:r>
              <a:rPr lang="en-US" altLang="zh-CN" sz="1200" b="1" i="0" u="none" strike="noStrike" baseline="0">
                <a:latin typeface="+mn-ea"/>
                <a:ea typeface="+mn-ea"/>
              </a:rPr>
              <a:t>2019</a:t>
            </a:r>
            <a:r>
              <a:rPr lang="zh-CN" altLang="zh-CN" sz="1200" b="1" i="0" u="none" strike="noStrike" baseline="0">
                <a:latin typeface="+mn-ea"/>
                <a:ea typeface="+mn-ea"/>
              </a:rPr>
              <a:t>年底人员情况柱状图</a:t>
            </a:r>
            <a:r>
              <a:rPr lang="zh-CN" altLang="en-US" sz="1200" b="1" i="0" u="none" strike="noStrike" baseline="0">
                <a:latin typeface="+mn-ea"/>
                <a:ea typeface="+mn-ea"/>
              </a:rPr>
              <a:t>（考核办）</a:t>
            </a:r>
            <a:endParaRPr lang="zh-CN" altLang="en-US" sz="1200">
              <a:latin typeface="+mn-ea"/>
              <a:ea typeface="+mn-ea"/>
            </a:endParaRP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Sheet1!$B$5</c:f>
              <c:strCache>
                <c:ptCount val="1"/>
                <c:pt idx="0">
                  <c:v>编制数</c:v>
                </c:pt>
              </c:strCache>
            </c:strRef>
          </c:tx>
          <c:cat>
            <c:strRef>
              <c:f>Sheet1!$C$4:$D$4</c:f>
              <c:strCache>
                <c:ptCount val="2"/>
                <c:pt idx="0">
                  <c:v>行政人员</c:v>
                </c:pt>
                <c:pt idx="1">
                  <c:v>事业人员</c:v>
                </c:pt>
              </c:strCache>
            </c:strRef>
          </c:cat>
          <c:val>
            <c:numRef>
              <c:f>Sheet1!$C$5:$D$5</c:f>
              <c:numCache>
                <c:formatCode>General</c:formatCode>
                <c:ptCount val="2"/>
                <c:pt idx="0">
                  <c:v>2</c:v>
                </c:pt>
                <c:pt idx="1">
                  <c:v>3</c:v>
                </c:pt>
              </c:numCache>
            </c:numRef>
          </c:val>
        </c:ser>
        <c:ser>
          <c:idx val="1"/>
          <c:order val="1"/>
          <c:tx>
            <c:strRef>
              <c:f>Sheet1!$B$6</c:f>
              <c:strCache>
                <c:ptCount val="1"/>
                <c:pt idx="0">
                  <c:v>实有人数</c:v>
                </c:pt>
              </c:strCache>
            </c:strRef>
          </c:tx>
          <c:cat>
            <c:strRef>
              <c:f>Sheet1!$C$4:$D$4</c:f>
              <c:strCache>
                <c:ptCount val="2"/>
                <c:pt idx="0">
                  <c:v>行政人员</c:v>
                </c:pt>
                <c:pt idx="1">
                  <c:v>事业人员</c:v>
                </c:pt>
              </c:strCache>
            </c:strRef>
          </c:cat>
          <c:val>
            <c:numRef>
              <c:f>Sheet1!$C$6:$D$6</c:f>
              <c:numCache>
                <c:formatCode>General</c:formatCode>
                <c:ptCount val="2"/>
                <c:pt idx="0">
                  <c:v>2</c:v>
                </c:pt>
                <c:pt idx="1">
                  <c:v>3</c:v>
                </c:pt>
              </c:numCache>
            </c:numRef>
          </c:val>
        </c:ser>
        <c:axId val="64466944"/>
        <c:axId val="64470400"/>
      </c:barChart>
      <c:catAx>
        <c:axId val="64466944"/>
        <c:scaling>
          <c:orientation val="minMax"/>
        </c:scaling>
        <c:axPos val="b"/>
        <c:majorTickMark val="none"/>
        <c:tickLblPos val="nextTo"/>
        <c:crossAx val="64470400"/>
        <c:crosses val="autoZero"/>
        <c:auto val="1"/>
        <c:lblAlgn val="ctr"/>
        <c:lblOffset val="100"/>
      </c:catAx>
      <c:valAx>
        <c:axId val="64470400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crossAx val="64466944"/>
        <c:crosses val="autoZero"/>
        <c:crossBetween val="between"/>
        <c:majorUnit val="1"/>
      </c:valAx>
      <c:dTable>
        <c:showHorzBorder val="1"/>
        <c:showVertBorder val="1"/>
        <c:showOutline val="1"/>
        <c:showKeys val="1"/>
      </c:dTable>
    </c:plotArea>
    <c:plotVisOnly val="1"/>
  </c:chart>
  <c:spPr>
    <a:noFill/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>
        <c:rich>
          <a:bodyPr/>
          <a:lstStyle/>
          <a:p>
            <a:pPr>
              <a:defRPr sz="1100"/>
            </a:pPr>
            <a:r>
              <a:rPr lang="zh-CN" altLang="en-US" sz="1100"/>
              <a:t>考核办一般公共预算</a:t>
            </a:r>
          </a:p>
        </c:rich>
      </c:tx>
      <c:layout>
        <c:manualLayout>
          <c:xMode val="edge"/>
          <c:yMode val="edge"/>
          <c:x val="0.4730485564304463"/>
          <c:y val="2.7777777777777863E-2"/>
        </c:manualLayout>
      </c:layout>
    </c:title>
    <c:plotArea>
      <c:layout/>
      <c:barChart>
        <c:barDir val="col"/>
        <c:grouping val="clustered"/>
        <c:ser>
          <c:idx val="0"/>
          <c:order val="0"/>
          <c:tx>
            <c:strRef>
              <c:f>Sheet1!$B$5</c:f>
              <c:strCache>
                <c:ptCount val="1"/>
                <c:pt idx="0">
                  <c:v>一般公共预算</c:v>
                </c:pt>
              </c:strCache>
            </c:strRef>
          </c:tx>
          <c:cat>
            <c:strRef>
              <c:f>Sheet1!$C$4:$D$4</c:f>
              <c:strCache>
                <c:ptCount val="2"/>
                <c:pt idx="0">
                  <c:v>2019年</c:v>
                </c:pt>
                <c:pt idx="1">
                  <c:v>2020年</c:v>
                </c:pt>
              </c:strCache>
            </c:strRef>
          </c:cat>
          <c:val>
            <c:numRef>
              <c:f>Sheet1!$C$5:$D$5</c:f>
              <c:numCache>
                <c:formatCode>General</c:formatCode>
                <c:ptCount val="2"/>
                <c:pt idx="0">
                  <c:v>3035.3</c:v>
                </c:pt>
                <c:pt idx="1">
                  <c:v>35.630000000000003</c:v>
                </c:pt>
              </c:numCache>
            </c:numRef>
          </c:val>
        </c:ser>
        <c:axId val="64455040"/>
        <c:axId val="64456576"/>
      </c:barChart>
      <c:catAx>
        <c:axId val="64455040"/>
        <c:scaling>
          <c:orientation val="minMax"/>
        </c:scaling>
        <c:axPos val="b"/>
        <c:majorTickMark val="none"/>
        <c:tickLblPos val="nextTo"/>
        <c:crossAx val="64456576"/>
        <c:crosses val="autoZero"/>
        <c:auto val="1"/>
        <c:lblAlgn val="ctr"/>
        <c:lblOffset val="100"/>
      </c:catAx>
      <c:valAx>
        <c:axId val="64456576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zh-CN" altLang="en-US"/>
                  <a:t>单位：万元</a:t>
                </a:r>
              </a:p>
            </c:rich>
          </c:tx>
        </c:title>
        <c:numFmt formatCode="General" sourceLinked="1"/>
        <c:majorTickMark val="none"/>
        <c:tickLblPos val="nextTo"/>
        <c:crossAx val="6445504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</c:chart>
  <c:spPr>
    <a:noFill/>
    <a:ln>
      <a:noFill/>
    </a:ln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CN"/>
  <c:chart>
    <c:title>
      <c:tx>
        <c:rich>
          <a:bodyPr/>
          <a:lstStyle/>
          <a:p>
            <a:pPr>
              <a:defRPr/>
            </a:pPr>
            <a:r>
              <a:rPr lang="en-US" altLang="zh-CN" sz="1100"/>
              <a:t>2020</a:t>
            </a:r>
            <a:r>
              <a:rPr lang="zh-CN" altLang="en-US" sz="1100"/>
              <a:t>年一般公共预算支出（按功能科目分类）</a:t>
            </a:r>
          </a:p>
        </c:rich>
      </c:tx>
      <c:layout>
        <c:manualLayout>
          <c:xMode val="edge"/>
          <c:yMode val="edge"/>
          <c:x val="0.24681163865349295"/>
          <c:y val="3.2448377581121075E-2"/>
        </c:manualLayout>
      </c:layout>
    </c:title>
    <c:plotArea>
      <c:layout/>
      <c:pieChart>
        <c:varyColors val="1"/>
        <c:ser>
          <c:idx val="0"/>
          <c:order val="0"/>
          <c:dLbls>
            <c:numFmt formatCode="0.00%" sourceLinked="0"/>
            <c:showPercent val="1"/>
            <c:showLeaderLines val="1"/>
          </c:dLbls>
          <c:cat>
            <c:strRef>
              <c:f>Sheet2!$C$4:$C$9</c:f>
              <c:strCache>
                <c:ptCount val="6"/>
                <c:pt idx="0">
                  <c:v>合计</c:v>
                </c:pt>
                <c:pt idx="1">
                  <c:v>行政运行</c:v>
                </c:pt>
                <c:pt idx="2">
                  <c:v>机关事业单位基本养老保险缴费支出</c:v>
                </c:pt>
                <c:pt idx="3">
                  <c:v>行政单位医疗</c:v>
                </c:pt>
                <c:pt idx="4">
                  <c:v>公务员医疗补助</c:v>
                </c:pt>
                <c:pt idx="5">
                  <c:v>其他卫生健康支出</c:v>
                </c:pt>
              </c:strCache>
            </c:strRef>
          </c:cat>
          <c:val>
            <c:numRef>
              <c:f>Sheet2!$D$4:$D$9</c:f>
              <c:numCache>
                <c:formatCode>#,##0.00</c:formatCode>
                <c:ptCount val="6"/>
                <c:pt idx="0">
                  <c:v>356451.93000000028</c:v>
                </c:pt>
                <c:pt idx="1">
                  <c:v>305137.93000000028</c:v>
                </c:pt>
                <c:pt idx="2">
                  <c:v>40100</c:v>
                </c:pt>
                <c:pt idx="3">
                  <c:v>9680</c:v>
                </c:pt>
                <c:pt idx="4" formatCode="General">
                  <c:v>384</c:v>
                </c:pt>
                <c:pt idx="5">
                  <c:v>1150</c:v>
                </c:pt>
              </c:numCache>
            </c:numRef>
          </c:val>
        </c:ser>
        <c:dLbls>
          <c:showPercent val="1"/>
        </c:dLbls>
        <c:firstSliceAng val="0"/>
      </c:pieChart>
    </c:plotArea>
    <c:legend>
      <c:legendPos val="r"/>
    </c:legend>
    <c:plotVisOnly val="1"/>
  </c:chart>
  <c:spPr>
    <a:noFill/>
    <a:ln>
      <a:noFill/>
    </a:ln>
  </c:spPr>
  <c:externalData r:id="rId1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10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郭超(拟稿)</dc:creator>
  <cp:lastModifiedBy>dreamsummit</cp:lastModifiedBy>
  <cp:revision>17</cp:revision>
  <cp:lastPrinted>2020-01-06T07:32:00Z</cp:lastPrinted>
  <dcterms:created xsi:type="dcterms:W3CDTF">2019-11-29T08:56:00Z</dcterms:created>
  <dcterms:modified xsi:type="dcterms:W3CDTF">2020-02-05T08:53:00Z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