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40" w:lineRule="exact"/>
        <w:ind w:left="0" w:leftChars="0" w:firstLine="0" w:firstLineChars="0"/>
        <w:jc w:val="center"/>
        <w:textAlignment w:val="auto"/>
        <w:rPr>
          <w:rStyle w:val="7"/>
          <w:rFonts w:ascii="方正小标宋简体" w:eastAsia="方正小标宋简体"/>
          <w:b w:val="0"/>
          <w:color w:val="auto"/>
          <w:sz w:val="44"/>
          <w:szCs w:val="44"/>
        </w:rPr>
      </w:pPr>
      <w:r>
        <w:rPr>
          <w:rStyle w:val="7"/>
          <w:rFonts w:hint="eastAsia" w:ascii="方正小标宋简体" w:eastAsia="方正小标宋简体"/>
          <w:b w:val="0"/>
          <w:color w:val="auto"/>
          <w:sz w:val="44"/>
          <w:szCs w:val="44"/>
        </w:rPr>
        <w:t>共青团蓝田县委</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Lines="100" w:afterAutospacing="0" w:line="640" w:lineRule="exact"/>
        <w:ind w:left="0" w:leftChars="0" w:firstLine="0" w:firstLineChars="0"/>
        <w:jc w:val="center"/>
        <w:textAlignment w:val="auto"/>
        <w:rPr>
          <w:rStyle w:val="7"/>
          <w:rFonts w:ascii="方正小标宋简体" w:eastAsia="方正小标宋简体"/>
          <w:b w:val="0"/>
          <w:color w:val="auto"/>
          <w:sz w:val="44"/>
          <w:szCs w:val="44"/>
        </w:rPr>
      </w:pPr>
      <w:r>
        <w:rPr>
          <w:rStyle w:val="7"/>
          <w:rFonts w:hint="eastAsia" w:ascii="方正小标宋简体" w:eastAsia="方正小标宋简体"/>
          <w:b w:val="0"/>
          <w:color w:val="auto"/>
          <w:sz w:val="44"/>
          <w:szCs w:val="44"/>
          <w:lang w:val="en-US" w:eastAsia="zh-CN"/>
        </w:rPr>
        <w:t>2020</w:t>
      </w:r>
      <w:r>
        <w:rPr>
          <w:rStyle w:val="7"/>
          <w:rFonts w:hint="eastAsia" w:ascii="方正小标宋简体" w:eastAsia="方正小标宋简体"/>
          <w:b w:val="0"/>
          <w:color w:val="auto"/>
          <w:sz w:val="44"/>
          <w:szCs w:val="44"/>
        </w:rPr>
        <w:t>年部门综合预算说明</w:t>
      </w:r>
    </w:p>
    <w:p>
      <w:pPr>
        <w:keepNext w:val="0"/>
        <w:keepLines w:val="0"/>
        <w:pageBreakBefore w:val="0"/>
        <w:kinsoku/>
        <w:wordWrap/>
        <w:overflowPunct/>
        <w:topLinePunct w:val="0"/>
        <w:autoSpaceDE/>
        <w:autoSpaceDN/>
        <w:bidi w:val="0"/>
        <w:adjustRightInd/>
        <w:snapToGrid/>
        <w:spacing w:line="560" w:lineRule="exact"/>
        <w:ind w:firstLine="643"/>
        <w:jc w:val="left"/>
        <w:textAlignment w:val="auto"/>
        <w:rPr>
          <w:rFonts w:hint="default" w:ascii="仿宋" w:hAnsi="仿宋" w:eastAsia="仿宋" w:cs="仿宋"/>
          <w:i w:val="0"/>
          <w:caps w:val="0"/>
          <w:color w:val="auto"/>
          <w:spacing w:val="0"/>
          <w:sz w:val="32"/>
          <w:szCs w:val="32"/>
          <w:shd w:val="clear" w:fill="FFFFFF"/>
          <w:lang w:val="en-US" w:eastAsia="zh-CN"/>
        </w:rPr>
      </w:pPr>
      <w:r>
        <w:rPr>
          <w:rFonts w:ascii="仿宋" w:hAnsi="仿宋" w:eastAsia="仿宋" w:cs="仿宋"/>
          <w:i w:val="0"/>
          <w:caps w:val="0"/>
          <w:color w:val="auto"/>
          <w:spacing w:val="0"/>
          <w:sz w:val="32"/>
          <w:szCs w:val="32"/>
          <w:shd w:val="clear" w:fill="FFFFFF"/>
        </w:rPr>
        <w:t>按照《关于</w:t>
      </w:r>
      <w:r>
        <w:rPr>
          <w:rFonts w:hint="eastAsia" w:ascii="仿宋" w:hAnsi="仿宋" w:eastAsia="仿宋" w:cs="仿宋"/>
          <w:i w:val="0"/>
          <w:caps w:val="0"/>
          <w:color w:val="auto"/>
          <w:spacing w:val="0"/>
          <w:sz w:val="32"/>
          <w:szCs w:val="32"/>
          <w:shd w:val="clear" w:fill="FFFFFF"/>
          <w:lang w:val="en-US" w:eastAsia="zh-CN"/>
        </w:rPr>
        <w:t>2020</w:t>
      </w:r>
      <w:r>
        <w:rPr>
          <w:rFonts w:hint="eastAsia" w:ascii="仿宋" w:hAnsi="仿宋" w:eastAsia="仿宋" w:cs="仿宋"/>
          <w:i w:val="0"/>
          <w:caps w:val="0"/>
          <w:color w:val="auto"/>
          <w:spacing w:val="0"/>
          <w:sz w:val="32"/>
          <w:szCs w:val="32"/>
          <w:shd w:val="clear" w:fill="FFFFFF"/>
        </w:rPr>
        <w:t>年度部门预算公开工作的通知》要求，为做好预算公开工作，提升预算管理水平，更好地保障公民的知情权、参与权和监督权，现将共青团蓝田县委</w:t>
      </w:r>
      <w:r>
        <w:rPr>
          <w:rFonts w:hint="eastAsia" w:ascii="仿宋" w:hAnsi="仿宋" w:eastAsia="仿宋" w:cs="仿宋"/>
          <w:i w:val="0"/>
          <w:caps w:val="0"/>
          <w:color w:val="auto"/>
          <w:spacing w:val="0"/>
          <w:sz w:val="32"/>
          <w:szCs w:val="32"/>
          <w:shd w:val="clear" w:fill="FFFFFF"/>
          <w:lang w:val="en-US" w:eastAsia="zh-CN"/>
        </w:rPr>
        <w:t>2020</w:t>
      </w:r>
      <w:r>
        <w:rPr>
          <w:rFonts w:hint="eastAsia" w:ascii="仿宋" w:hAnsi="仿宋" w:eastAsia="仿宋" w:cs="仿宋"/>
          <w:i w:val="0"/>
          <w:caps w:val="0"/>
          <w:color w:val="auto"/>
          <w:spacing w:val="0"/>
          <w:sz w:val="32"/>
          <w:szCs w:val="32"/>
          <w:shd w:val="clear" w:fill="FFFFFF"/>
        </w:rPr>
        <w:t>年部门预算公布如下：</w:t>
      </w:r>
    </w:p>
    <w:p>
      <w:pPr>
        <w:keepNext w:val="0"/>
        <w:keepLines w:val="0"/>
        <w:pageBreakBefore w:val="0"/>
        <w:kinsoku/>
        <w:wordWrap/>
        <w:overflowPunct/>
        <w:topLinePunct w:val="0"/>
        <w:autoSpaceDE/>
        <w:autoSpaceDN/>
        <w:bidi w:val="0"/>
        <w:adjustRightInd/>
        <w:snapToGrid/>
        <w:spacing w:line="560" w:lineRule="exact"/>
        <w:ind w:firstLine="2560" w:firstLineChars="8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第一部分   部门概况</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华文中宋" w:hAnsi="华文中宋" w:eastAsia="华文中宋" w:cs="华文中宋"/>
          <w:b w:val="0"/>
          <w:bCs w:val="0"/>
          <w:color w:val="auto"/>
          <w:sz w:val="32"/>
          <w:szCs w:val="32"/>
          <w:lang w:val="en-US" w:eastAsia="zh-CN"/>
        </w:rPr>
      </w:pPr>
      <w:r>
        <w:rPr>
          <w:rFonts w:hint="eastAsia" w:ascii="华文中宋" w:hAnsi="华文中宋" w:eastAsia="华文中宋" w:cs="华文中宋"/>
          <w:b w:val="0"/>
          <w:bCs w:val="0"/>
          <w:color w:val="auto"/>
          <w:sz w:val="32"/>
          <w:szCs w:val="32"/>
        </w:rPr>
        <w:t>一、部门主要职责</w:t>
      </w:r>
      <w:r>
        <w:rPr>
          <w:rFonts w:hint="eastAsia" w:ascii="华文中宋" w:hAnsi="华文中宋" w:eastAsia="华文中宋" w:cs="华文中宋"/>
          <w:b w:val="0"/>
          <w:bCs w:val="0"/>
          <w:color w:val="auto"/>
          <w:sz w:val="32"/>
          <w:szCs w:val="32"/>
          <w:lang w:eastAsia="zh-CN"/>
        </w:rPr>
        <w:t>及机构设置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宋体" w:hAnsi="宋体" w:eastAsia="宋体" w:cs="宋体"/>
          <w:i w:val="0"/>
          <w:caps w:val="0"/>
          <w:color w:val="auto"/>
          <w:spacing w:val="0"/>
          <w:sz w:val="24"/>
          <w:szCs w:val="24"/>
        </w:rPr>
      </w:pPr>
      <w:r>
        <w:rPr>
          <w:rFonts w:ascii="仿宋" w:hAnsi="仿宋" w:eastAsia="仿宋" w:cs="仿宋"/>
          <w:i w:val="0"/>
          <w:caps w:val="0"/>
          <w:color w:val="auto"/>
          <w:spacing w:val="0"/>
          <w:sz w:val="32"/>
          <w:szCs w:val="32"/>
          <w:shd w:val="clear" w:fill="FFFFFF"/>
        </w:rPr>
        <w:t>1.领导全县共青团工作,组织全县共青团组织围绕蓝田改革、发展、稳定的大局开展工作，在全县政治、经济、文化等活动中发挥党的助手作用。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2.制定全县青少年事业发展规划并组织实施；负责全县共青团和青年工作的理论研究，调查青年思想动态和青年工作情况，为县委、县政府决策提供依据。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3.负责团结带领全县团员青年围绕县委、县政府中心工作，组织团员青年在经济建设、政治建设、文化建设、社会建设、生态文明建设中发挥生力军和突击队作用。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4.负责引导团员青年自觉培育和践行社会主义核心价值观，推进全县青少年精神文明建设；负责指导并组织实施全县青少年思想道德建设、宣传文化活动；指导全县青年志愿者工作。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5.参与创新社会治理和维护社会稳定；协助、参与协调处理各种与青少年权益相关的工作。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6.负责全县共青团组织建设和干部队伍建设，指导共青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left"/>
        <w:textAlignment w:val="auto"/>
        <w:rPr>
          <w:rFonts w:hint="eastAsia" w:ascii="宋体" w:hAnsi="宋体" w:eastAsia="宋体" w:cs="宋体"/>
          <w:i w:val="0"/>
          <w:caps w:val="0"/>
          <w:color w:val="auto"/>
          <w:spacing w:val="0"/>
          <w:sz w:val="24"/>
          <w:szCs w:val="24"/>
        </w:rPr>
      </w:pPr>
      <w:r>
        <w:rPr>
          <w:rFonts w:ascii="仿宋" w:hAnsi="仿宋" w:eastAsia="仿宋" w:cs="仿宋"/>
          <w:i w:val="0"/>
          <w:caps w:val="0"/>
          <w:color w:val="auto"/>
          <w:spacing w:val="0"/>
          <w:sz w:val="32"/>
          <w:szCs w:val="32"/>
          <w:shd w:val="clear" w:fill="FFFFFF"/>
        </w:rPr>
        <w:t>团基层组织建设，加强共青团干部作风建设，协助党组织管理、培养、选拔共青团干部。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7.负责全县青年统战工作，开展全县共青团系统外事工作和青少年对外交流工作；筹措青少年事业发展经费。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8.受县委委托领导本县少先队工作。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9.加强新媒体平台及实体阵地建设、网络宣传、网上网下融合，提高共青团组织网上群众工作水平。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caps w:val="0"/>
          <w:color w:val="auto"/>
          <w:spacing w:val="0"/>
          <w:sz w:val="24"/>
          <w:szCs w:val="24"/>
        </w:rPr>
      </w:pPr>
      <w:r>
        <w:rPr>
          <w:rFonts w:hint="eastAsia" w:ascii="仿宋" w:hAnsi="仿宋" w:eastAsia="仿宋" w:cs="仿宋"/>
          <w:i w:val="0"/>
          <w:caps w:val="0"/>
          <w:color w:val="auto"/>
          <w:spacing w:val="0"/>
          <w:sz w:val="32"/>
          <w:szCs w:val="32"/>
          <w:shd w:val="clear" w:fill="FFFFFF"/>
        </w:rPr>
        <w:t>10.加强共青团组织参与社会事务管理。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11.承办县委、县政府和上级团组织交办的其他事项。</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Times New Roman"/>
          <w:color w:val="auto"/>
          <w:kern w:val="2"/>
          <w:sz w:val="32"/>
          <w:szCs w:val="32"/>
        </w:rPr>
        <w:t>根据三定方案，团县委无内设机构。</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二、2020年度部门工作任务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1.纪念五四运动101周年暨建团98周年系列活动；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 xml:space="preserve">2.全县群团工作会议，党建带团建，推进基层团组织规范化建设（综合试点工作、擂台赛）,基层团组织综合试点总结验收；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3.中学团校建设、返乡青年座谈交流会；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4.5.春季植树、志愿者服务月；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5.全县优秀青年干部培训；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6.六一儿童节全县少先队鼓号队展演,少先队建队日、少先队辅导员培训；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7.大学生志愿服务西部计划项目；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8.蓝田县童心港湾暑期夏令营；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9.农村青年电子商务培训；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rPr>
      </w:pPr>
      <w:r>
        <w:rPr>
          <w:rFonts w:hint="eastAsia" w:ascii="仿宋" w:hAnsi="仿宋" w:eastAsia="仿宋" w:cs="仿宋"/>
          <w:i w:val="0"/>
          <w:color w:val="auto"/>
          <w:kern w:val="0"/>
          <w:sz w:val="32"/>
          <w:szCs w:val="32"/>
          <w:u w:val="none"/>
          <w:lang w:val="en-US" w:eastAsia="zh-CN" w:bidi="ar"/>
        </w:rPr>
        <w:t>10.青春助力脱贫攻坚，乡村振兴主题活动，“暖冬行动”关爱留守儿童主题活动。</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textAlignment w:val="auto"/>
        <w:rPr>
          <w:rFonts w:hint="eastAsia" w:ascii="华文中宋" w:hAnsi="华文中宋" w:eastAsia="华文中宋" w:cs="华文中宋"/>
          <w:color w:val="auto"/>
          <w:sz w:val="32"/>
          <w:szCs w:val="32"/>
        </w:rPr>
      </w:pPr>
      <w:r>
        <w:rPr>
          <w:rFonts w:hint="eastAsia" w:ascii="华文中宋" w:hAnsi="华文中宋" w:eastAsia="华文中宋" w:cs="华文中宋"/>
          <w:color w:val="auto"/>
          <w:sz w:val="32"/>
          <w:szCs w:val="32"/>
        </w:rPr>
        <w:t>部门预算单位构成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b/>
          <w:color w:val="auto"/>
          <w:sz w:val="32"/>
          <w:szCs w:val="32"/>
        </w:rPr>
      </w:pPr>
      <w:r>
        <w:rPr>
          <w:rFonts w:hint="eastAsia" w:ascii="仿宋" w:hAnsi="仿宋" w:eastAsia="仿宋"/>
          <w:color w:val="auto"/>
          <w:sz w:val="32"/>
          <w:szCs w:val="32"/>
        </w:rPr>
        <w:t>我委全称为中国共产主义青年团蓝田县委员会，全额拨款行政机关</w:t>
      </w:r>
      <w:r>
        <w:rPr>
          <w:rFonts w:hint="eastAsia" w:ascii="仿宋" w:hAnsi="仿宋" w:eastAsia="仿宋"/>
          <w:color w:val="auto"/>
          <w:sz w:val="32"/>
          <w:szCs w:val="32"/>
          <w:lang w:eastAsia="zh-CN"/>
        </w:rPr>
        <w:t>，</w:t>
      </w:r>
      <w:r>
        <w:rPr>
          <w:rFonts w:hint="eastAsia" w:ascii="仿宋" w:hAnsi="仿宋" w:eastAsia="仿宋"/>
          <w:color w:val="auto"/>
          <w:sz w:val="32"/>
          <w:szCs w:val="32"/>
        </w:rPr>
        <w:t>县级一级预算单位</w:t>
      </w:r>
      <w:r>
        <w:rPr>
          <w:rFonts w:hint="eastAsia" w:ascii="仿宋" w:hAnsi="仿宋" w:eastAsia="仿宋"/>
          <w:color w:val="auto"/>
          <w:sz w:val="32"/>
          <w:szCs w:val="32"/>
          <w:lang w:eastAsia="zh-CN"/>
        </w:rPr>
        <w:t>。</w:t>
      </w:r>
      <w:r>
        <w:rPr>
          <w:rFonts w:hint="eastAsia" w:ascii="仿宋" w:hAnsi="仿宋" w:eastAsia="仿宋"/>
          <w:color w:val="auto"/>
          <w:sz w:val="32"/>
          <w:szCs w:val="32"/>
        </w:rPr>
        <w:t>从预算单位构成看，</w:t>
      </w:r>
      <w:r>
        <w:rPr>
          <w:rFonts w:hint="eastAsia" w:ascii="仿宋" w:hAnsi="仿宋" w:eastAsia="仿宋"/>
          <w:color w:val="auto"/>
          <w:sz w:val="32"/>
          <w:szCs w:val="32"/>
          <w:lang w:eastAsia="zh-CN"/>
        </w:rPr>
        <w:t>团县委</w:t>
      </w:r>
      <w:r>
        <w:rPr>
          <w:rFonts w:hint="eastAsia" w:ascii="仿宋" w:hAnsi="仿宋" w:eastAsia="仿宋"/>
          <w:color w:val="auto"/>
          <w:sz w:val="32"/>
          <w:szCs w:val="32"/>
        </w:rPr>
        <w:t>部门预算为部门本级（机关）预算，没有下级单位</w:t>
      </w:r>
      <w:r>
        <w:rPr>
          <w:rFonts w:hint="eastAsia" w:ascii="仿宋" w:hAnsi="仿宋" w:eastAsia="仿宋"/>
          <w:color w:val="auto"/>
          <w:sz w:val="32"/>
          <w:szCs w:val="32"/>
          <w:lang w:eastAsia="zh-CN"/>
        </w:rPr>
        <w:t>，</w:t>
      </w:r>
      <w:r>
        <w:rPr>
          <w:rFonts w:hint="eastAsia" w:ascii="仿宋" w:hAnsi="仿宋" w:eastAsia="仿宋"/>
          <w:color w:val="auto"/>
          <w:sz w:val="32"/>
          <w:szCs w:val="32"/>
        </w:rPr>
        <w:t>没有内设机构。</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华文中宋" w:hAnsi="华文中宋" w:eastAsia="华文中宋" w:cs="华文中宋"/>
          <w:color w:val="auto"/>
          <w:sz w:val="32"/>
          <w:szCs w:val="32"/>
        </w:rPr>
      </w:pPr>
      <w:r>
        <w:rPr>
          <w:rFonts w:hint="eastAsia" w:ascii="华文中宋" w:hAnsi="华文中宋" w:eastAsia="华文中宋" w:cs="华文中宋"/>
          <w:color w:val="auto"/>
          <w:sz w:val="32"/>
          <w:szCs w:val="32"/>
        </w:rPr>
        <w:t>部门人员情况说明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截止201</w:t>
      </w:r>
      <w:r>
        <w:rPr>
          <w:rFonts w:hint="eastAsia" w:ascii="仿宋" w:hAnsi="仿宋" w:eastAsia="仿宋"/>
          <w:color w:val="auto"/>
          <w:sz w:val="32"/>
          <w:szCs w:val="32"/>
          <w:lang w:val="en-US" w:eastAsia="zh-CN"/>
        </w:rPr>
        <w:t>9</w:t>
      </w:r>
      <w:r>
        <w:rPr>
          <w:rFonts w:hint="eastAsia" w:ascii="仿宋" w:hAnsi="仿宋" w:eastAsia="仿宋"/>
          <w:color w:val="auto"/>
          <w:sz w:val="32"/>
          <w:szCs w:val="32"/>
        </w:rPr>
        <w:t>年底，团县委人员编制5人，其中行政编制5人；实有人员</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人，其中行政</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人。团县委离退休人员0人。</w:t>
      </w:r>
    </w:p>
    <w:p>
      <w:pPr>
        <w:spacing w:line="240" w:lineRule="auto"/>
        <w:ind w:firstLine="640" w:firstLineChars="200"/>
        <w:rPr>
          <w:rFonts w:hint="eastAsia" w:ascii="仿宋" w:hAnsi="仿宋" w:eastAsia="仿宋"/>
          <w:color w:val="auto"/>
          <w:sz w:val="32"/>
          <w:szCs w:val="32"/>
          <w:lang w:eastAsia="zh-CN"/>
        </w:rPr>
      </w:pPr>
      <w:r>
        <w:rPr>
          <w:rFonts w:hint="eastAsia" w:ascii="仿宋" w:hAnsi="仿宋" w:eastAsia="仿宋"/>
          <w:color w:val="auto"/>
          <w:sz w:val="32"/>
          <w:szCs w:val="32"/>
          <w:lang w:eastAsia="zh-CN"/>
        </w:rPr>
        <w:drawing>
          <wp:inline distT="0" distB="0" distL="114300" distR="114300">
            <wp:extent cx="4581525" cy="2981960"/>
            <wp:effectExtent l="0" t="0" r="9525" b="8890"/>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10"/>
                    <a:stretch>
                      <a:fillRect/>
                    </a:stretch>
                  </pic:blipFill>
                  <pic:spPr>
                    <a:xfrm>
                      <a:off x="0" y="0"/>
                      <a:ext cx="4581525" cy="29819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643"/>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收支情况</w:t>
      </w:r>
    </w:p>
    <w:p>
      <w:pPr>
        <w:spacing w:line="360" w:lineRule="auto"/>
        <w:ind w:firstLine="643"/>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五、2020年部门预算收支说明</w:t>
      </w:r>
    </w:p>
    <w:p>
      <w:pPr>
        <w:spacing w:line="360" w:lineRule="auto"/>
        <w:ind w:firstLine="643"/>
        <w:rPr>
          <w:rFonts w:ascii="仿宋" w:hAnsi="仿宋" w:eastAsia="仿宋" w:cs="仿宋"/>
          <w:b/>
          <w:bCs/>
          <w:color w:val="auto"/>
          <w:sz w:val="32"/>
          <w:szCs w:val="32"/>
        </w:rPr>
      </w:pPr>
      <w:r>
        <w:rPr>
          <w:rFonts w:hint="eastAsia" w:ascii="仿宋" w:hAnsi="仿宋" w:eastAsia="仿宋" w:cs="仿宋"/>
          <w:b/>
          <w:bCs/>
          <w:color w:val="auto"/>
          <w:sz w:val="32"/>
          <w:szCs w:val="32"/>
        </w:rPr>
        <w:t>（一）收支预算总体情况。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olor w:val="auto"/>
          <w:sz w:val="32"/>
          <w:szCs w:val="32"/>
          <w:highlight w:val="yellow"/>
        </w:rPr>
      </w:pPr>
      <w:r>
        <w:rPr>
          <w:rFonts w:hint="eastAsia" w:ascii="仿宋" w:hAnsi="仿宋" w:eastAsia="仿宋" w:cs="仿宋"/>
          <w:color w:val="auto"/>
          <w:sz w:val="32"/>
          <w:szCs w:val="32"/>
        </w:rPr>
        <w:t>按照综合预算的原则，</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所有收入和支出均纳入部门预算管理。</w:t>
      </w:r>
      <w:r>
        <w:rPr>
          <w:rFonts w:hint="eastAsia" w:ascii="仿宋" w:hAnsi="仿宋" w:eastAsia="仿宋"/>
          <w:color w:val="auto"/>
          <w:sz w:val="32"/>
          <w:szCs w:val="32"/>
        </w:rPr>
        <w:t>20</w:t>
      </w:r>
      <w:r>
        <w:rPr>
          <w:rFonts w:hint="eastAsia" w:ascii="仿宋" w:hAnsi="仿宋" w:eastAsia="仿宋"/>
          <w:color w:val="auto"/>
          <w:sz w:val="32"/>
          <w:szCs w:val="32"/>
          <w:lang w:val="en-US" w:eastAsia="zh-CN"/>
        </w:rPr>
        <w:t>20</w:t>
      </w:r>
      <w:r>
        <w:rPr>
          <w:rFonts w:hint="eastAsia" w:ascii="仿宋" w:hAnsi="仿宋" w:eastAsia="仿宋"/>
          <w:color w:val="auto"/>
          <w:sz w:val="32"/>
          <w:szCs w:val="32"/>
        </w:rPr>
        <w:t>年</w:t>
      </w:r>
      <w:r>
        <w:rPr>
          <w:rFonts w:hint="eastAsia" w:ascii="仿宋" w:hAnsi="仿宋" w:eastAsia="仿宋"/>
          <w:color w:val="auto"/>
          <w:sz w:val="32"/>
          <w:szCs w:val="32"/>
          <w:lang w:eastAsia="zh-CN"/>
        </w:rPr>
        <w:t>团县委</w:t>
      </w:r>
      <w:r>
        <w:rPr>
          <w:rFonts w:hint="eastAsia" w:ascii="仿宋" w:hAnsi="仿宋" w:eastAsia="仿宋"/>
          <w:color w:val="auto"/>
          <w:sz w:val="32"/>
          <w:szCs w:val="32"/>
        </w:rPr>
        <w:t>预算收</w:t>
      </w:r>
      <w:r>
        <w:rPr>
          <w:rFonts w:hint="eastAsia" w:ascii="仿宋" w:hAnsi="仿宋" w:eastAsia="仿宋"/>
          <w:color w:val="auto"/>
          <w:sz w:val="32"/>
          <w:szCs w:val="32"/>
          <w:lang w:eastAsia="zh-CN"/>
        </w:rPr>
        <w:t>入</w:t>
      </w:r>
      <w:r>
        <w:rPr>
          <w:rFonts w:hint="eastAsia" w:ascii="仿宋" w:hAnsi="仿宋" w:eastAsia="仿宋"/>
          <w:color w:val="auto"/>
          <w:sz w:val="32"/>
          <w:szCs w:val="32"/>
          <w:lang w:val="en-US" w:eastAsia="zh-CN"/>
        </w:rPr>
        <w:t>360756.33元，</w:t>
      </w:r>
      <w:r>
        <w:rPr>
          <w:rFonts w:hint="eastAsia" w:ascii="仿宋" w:hAnsi="仿宋" w:eastAsia="仿宋"/>
          <w:color w:val="auto"/>
          <w:sz w:val="32"/>
          <w:szCs w:val="32"/>
        </w:rPr>
        <w:t>其中一般公共预算拨款收入</w:t>
      </w:r>
      <w:r>
        <w:rPr>
          <w:rFonts w:hint="eastAsia" w:ascii="仿宋" w:hAnsi="仿宋" w:eastAsia="仿宋"/>
          <w:color w:val="auto"/>
          <w:sz w:val="32"/>
          <w:szCs w:val="32"/>
          <w:lang w:val="en-US" w:eastAsia="zh-CN"/>
        </w:rPr>
        <w:t>360756.33</w:t>
      </w:r>
      <w:r>
        <w:rPr>
          <w:rFonts w:hint="eastAsia" w:ascii="仿宋" w:hAnsi="仿宋" w:eastAsia="仿宋"/>
          <w:color w:val="auto"/>
          <w:sz w:val="32"/>
          <w:szCs w:val="32"/>
          <w:lang w:eastAsia="zh-CN"/>
        </w:rPr>
        <w:t>元</w:t>
      </w:r>
      <w:r>
        <w:rPr>
          <w:rFonts w:hint="eastAsia" w:ascii="仿宋" w:hAnsi="仿宋" w:eastAsia="仿宋"/>
          <w:color w:val="auto"/>
          <w:sz w:val="32"/>
          <w:szCs w:val="32"/>
        </w:rPr>
        <w:t>，</w:t>
      </w:r>
      <w:r>
        <w:rPr>
          <w:rFonts w:hint="eastAsia" w:ascii="仿宋" w:hAnsi="仿宋" w:eastAsia="仿宋"/>
          <w:color w:val="auto"/>
          <w:sz w:val="32"/>
          <w:szCs w:val="32"/>
          <w:lang w:val="en-US" w:eastAsia="zh-CN"/>
        </w:rPr>
        <w:t>2020</w:t>
      </w:r>
      <w:r>
        <w:rPr>
          <w:rFonts w:hint="eastAsia" w:ascii="仿宋" w:hAnsi="仿宋" w:eastAsia="仿宋"/>
          <w:color w:val="auto"/>
          <w:sz w:val="32"/>
          <w:szCs w:val="32"/>
        </w:rPr>
        <w:t>年</w:t>
      </w:r>
      <w:r>
        <w:rPr>
          <w:rFonts w:hint="eastAsia" w:ascii="仿宋" w:hAnsi="仿宋" w:eastAsia="仿宋"/>
          <w:color w:val="auto"/>
          <w:sz w:val="32"/>
          <w:szCs w:val="32"/>
          <w:lang w:eastAsia="zh-CN"/>
        </w:rPr>
        <w:t>团县委预算收入</w:t>
      </w:r>
      <w:r>
        <w:rPr>
          <w:rFonts w:hint="eastAsia" w:ascii="仿宋" w:hAnsi="仿宋" w:eastAsia="仿宋"/>
          <w:color w:val="auto"/>
          <w:sz w:val="32"/>
          <w:szCs w:val="32"/>
        </w:rPr>
        <w:t>较</w:t>
      </w:r>
      <w:r>
        <w:rPr>
          <w:rFonts w:hint="eastAsia" w:ascii="仿宋" w:hAnsi="仿宋" w:eastAsia="仿宋"/>
          <w:color w:val="auto"/>
          <w:sz w:val="32"/>
          <w:szCs w:val="32"/>
          <w:lang w:val="en-US" w:eastAsia="zh-CN"/>
        </w:rPr>
        <w:t>2019年预算</w:t>
      </w:r>
      <w:r>
        <w:rPr>
          <w:rFonts w:hint="eastAsia" w:ascii="仿宋" w:hAnsi="仿宋" w:eastAsia="仿宋"/>
          <w:color w:val="auto"/>
          <w:sz w:val="32"/>
          <w:szCs w:val="32"/>
        </w:rPr>
        <w:t>增加</w:t>
      </w:r>
      <w:r>
        <w:rPr>
          <w:rFonts w:hint="eastAsia" w:ascii="仿宋" w:hAnsi="仿宋" w:eastAsia="仿宋"/>
          <w:color w:val="auto"/>
          <w:sz w:val="32"/>
          <w:szCs w:val="32"/>
          <w:highlight w:val="none"/>
        </w:rPr>
        <w:t>68163.53元，主要原因</w:t>
      </w:r>
      <w:r>
        <w:rPr>
          <w:rFonts w:hint="eastAsia" w:ascii="仿宋" w:hAnsi="仿宋" w:eastAsia="仿宋"/>
          <w:color w:val="auto"/>
          <w:sz w:val="32"/>
          <w:szCs w:val="32"/>
          <w:highlight w:val="none"/>
          <w:lang w:eastAsia="zh-CN"/>
        </w:rPr>
        <w:t>是预算中增加了机关职工养老、医疗等单位缴纳部分金额</w:t>
      </w:r>
      <w:r>
        <w:rPr>
          <w:rFonts w:hint="eastAsia" w:ascii="仿宋" w:hAnsi="仿宋" w:eastAsia="仿宋"/>
          <w:color w:val="auto"/>
          <w:sz w:val="32"/>
          <w:szCs w:val="32"/>
          <w:highlight w:val="none"/>
        </w:rPr>
        <w:t>。</w:t>
      </w: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lang w:val="en-US" w:eastAsia="zh-CN"/>
        </w:rPr>
        <w:t>020</w:t>
      </w:r>
      <w:r>
        <w:rPr>
          <w:rFonts w:hint="eastAsia" w:ascii="仿宋_GB2312" w:eastAsia="仿宋_GB2312"/>
          <w:color w:val="auto"/>
          <w:sz w:val="32"/>
          <w:szCs w:val="32"/>
        </w:rPr>
        <w:t>年</w:t>
      </w:r>
      <w:r>
        <w:rPr>
          <w:rFonts w:hint="eastAsia" w:ascii="仿宋_GB2312" w:eastAsia="仿宋_GB2312"/>
          <w:color w:val="auto"/>
          <w:sz w:val="32"/>
          <w:szCs w:val="32"/>
          <w:lang w:eastAsia="zh-CN"/>
        </w:rPr>
        <w:t>团县委</w:t>
      </w:r>
      <w:r>
        <w:rPr>
          <w:rFonts w:hint="eastAsia" w:ascii="仿宋_GB2312" w:eastAsia="仿宋_GB2312"/>
          <w:color w:val="auto"/>
          <w:sz w:val="32"/>
          <w:szCs w:val="32"/>
        </w:rPr>
        <w:t>预算支出</w:t>
      </w:r>
      <w:r>
        <w:rPr>
          <w:rFonts w:hint="eastAsia" w:ascii="仿宋" w:hAnsi="仿宋" w:eastAsia="仿宋"/>
          <w:color w:val="auto"/>
          <w:sz w:val="32"/>
          <w:szCs w:val="32"/>
          <w:lang w:val="en-US" w:eastAsia="zh-CN"/>
        </w:rPr>
        <w:t>360756.33</w:t>
      </w:r>
      <w:r>
        <w:rPr>
          <w:rFonts w:hint="eastAsia" w:ascii="仿宋" w:hAnsi="仿宋" w:eastAsia="仿宋"/>
          <w:color w:val="auto"/>
          <w:sz w:val="32"/>
          <w:szCs w:val="32"/>
        </w:rPr>
        <w:t>元</w:t>
      </w:r>
      <w:r>
        <w:rPr>
          <w:rFonts w:hint="eastAsia" w:ascii="仿宋" w:hAnsi="仿宋" w:eastAsia="仿宋"/>
          <w:color w:val="auto"/>
          <w:sz w:val="32"/>
          <w:szCs w:val="32"/>
          <w:lang w:eastAsia="zh-CN"/>
        </w:rPr>
        <w:t>，</w:t>
      </w:r>
      <w:r>
        <w:rPr>
          <w:rFonts w:hint="eastAsia" w:ascii="仿宋" w:hAnsi="仿宋" w:eastAsia="仿宋"/>
          <w:color w:val="auto"/>
          <w:sz w:val="32"/>
          <w:szCs w:val="32"/>
        </w:rPr>
        <w:t>其中一般公共预算拨款支出</w:t>
      </w:r>
      <w:r>
        <w:rPr>
          <w:rFonts w:hint="eastAsia" w:ascii="仿宋" w:hAnsi="仿宋" w:eastAsia="仿宋"/>
          <w:color w:val="auto"/>
          <w:sz w:val="32"/>
          <w:szCs w:val="32"/>
          <w:lang w:val="en-US" w:eastAsia="zh-CN"/>
        </w:rPr>
        <w:t>360756.33元</w:t>
      </w:r>
      <w:r>
        <w:rPr>
          <w:rFonts w:hint="eastAsia" w:ascii="仿宋" w:hAnsi="仿宋" w:eastAsia="仿宋"/>
          <w:color w:val="auto"/>
          <w:sz w:val="32"/>
          <w:szCs w:val="32"/>
        </w:rPr>
        <w:t>，</w:t>
      </w: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预算支出</w:t>
      </w:r>
      <w:r>
        <w:rPr>
          <w:rFonts w:hint="eastAsia" w:ascii="仿宋" w:hAnsi="仿宋" w:eastAsia="仿宋"/>
          <w:color w:val="auto"/>
          <w:sz w:val="32"/>
          <w:szCs w:val="32"/>
        </w:rPr>
        <w:t>较</w:t>
      </w:r>
      <w:r>
        <w:rPr>
          <w:rFonts w:hint="eastAsia" w:ascii="仿宋" w:hAnsi="仿宋" w:eastAsia="仿宋"/>
          <w:color w:val="auto"/>
          <w:sz w:val="32"/>
          <w:szCs w:val="32"/>
          <w:lang w:val="en-US" w:eastAsia="zh-CN"/>
        </w:rPr>
        <w:t>2019年</w:t>
      </w:r>
      <w:r>
        <w:rPr>
          <w:rFonts w:hint="eastAsia" w:ascii="仿宋" w:hAnsi="仿宋" w:eastAsia="仿宋"/>
          <w:color w:val="auto"/>
          <w:sz w:val="32"/>
          <w:szCs w:val="32"/>
        </w:rPr>
        <w:t>增加</w:t>
      </w:r>
      <w:r>
        <w:rPr>
          <w:rFonts w:hint="eastAsia" w:ascii="仿宋" w:hAnsi="仿宋" w:eastAsia="仿宋"/>
          <w:color w:val="auto"/>
          <w:sz w:val="32"/>
          <w:szCs w:val="32"/>
          <w:highlight w:val="none"/>
        </w:rPr>
        <w:t>68163.53元，主要原因</w:t>
      </w:r>
      <w:r>
        <w:rPr>
          <w:rFonts w:hint="eastAsia" w:ascii="仿宋" w:hAnsi="仿宋" w:eastAsia="仿宋"/>
          <w:color w:val="auto"/>
          <w:sz w:val="32"/>
          <w:szCs w:val="32"/>
          <w:highlight w:val="none"/>
          <w:lang w:eastAsia="zh-CN"/>
        </w:rPr>
        <w:t>是预算中增加了机关职工养老、医疗等单位缴纳部分金额</w:t>
      </w:r>
      <w:r>
        <w:rPr>
          <w:rFonts w:hint="eastAsia" w:ascii="仿宋"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（二）财政拨款收支情况。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财政拨款收入</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，其中一般公共预算拨款收入</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财政拨款收入较</w:t>
      </w:r>
      <w:r>
        <w:rPr>
          <w:rFonts w:hint="eastAsia" w:ascii="仿宋" w:hAnsi="仿宋" w:eastAsia="仿宋" w:cs="仿宋"/>
          <w:color w:val="auto"/>
          <w:sz w:val="32"/>
          <w:szCs w:val="32"/>
          <w:lang w:val="en-US" w:eastAsia="zh-CN"/>
        </w:rPr>
        <w:t>2019年</w:t>
      </w:r>
      <w:r>
        <w:rPr>
          <w:rFonts w:hint="eastAsia" w:ascii="仿宋" w:hAnsi="仿宋" w:eastAsia="仿宋" w:cs="仿宋"/>
          <w:color w:val="auto"/>
          <w:sz w:val="32"/>
          <w:szCs w:val="32"/>
        </w:rPr>
        <w:t>增加</w:t>
      </w:r>
      <w:r>
        <w:rPr>
          <w:rFonts w:hint="eastAsia" w:ascii="仿宋" w:hAnsi="仿宋" w:eastAsia="仿宋"/>
          <w:color w:val="auto"/>
          <w:sz w:val="32"/>
          <w:szCs w:val="32"/>
          <w:highlight w:val="none"/>
        </w:rPr>
        <w:t>68163.53元</w:t>
      </w:r>
      <w:r>
        <w:rPr>
          <w:rFonts w:hint="eastAsia" w:ascii="仿宋" w:hAnsi="仿宋" w:eastAsia="仿宋" w:cs="仿宋"/>
          <w:color w:val="auto"/>
          <w:sz w:val="32"/>
          <w:szCs w:val="32"/>
        </w:rPr>
        <w:t>，主要原因是</w:t>
      </w:r>
      <w:r>
        <w:rPr>
          <w:rFonts w:hint="eastAsia" w:ascii="仿宋" w:hAnsi="仿宋" w:eastAsia="仿宋"/>
          <w:color w:val="auto"/>
          <w:sz w:val="32"/>
          <w:szCs w:val="32"/>
          <w:highlight w:val="none"/>
          <w:lang w:eastAsia="zh-CN"/>
        </w:rPr>
        <w:t>预算中增加了机关职工养老、医疗等单位缴纳部分金额。</w:t>
      </w: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财政拨款支出</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，其中一般公共预算拨款支出</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财政拨款支出较</w:t>
      </w:r>
      <w:r>
        <w:rPr>
          <w:rFonts w:hint="eastAsia" w:ascii="仿宋" w:hAnsi="仿宋" w:eastAsia="仿宋" w:cs="仿宋"/>
          <w:color w:val="auto"/>
          <w:sz w:val="32"/>
          <w:szCs w:val="32"/>
          <w:lang w:val="en-US" w:eastAsia="zh-CN"/>
        </w:rPr>
        <w:t>2019年</w:t>
      </w:r>
      <w:r>
        <w:rPr>
          <w:rFonts w:hint="eastAsia" w:ascii="仿宋" w:hAnsi="仿宋" w:eastAsia="仿宋" w:cs="仿宋"/>
          <w:color w:val="auto"/>
          <w:sz w:val="32"/>
          <w:szCs w:val="32"/>
        </w:rPr>
        <w:t>增加</w:t>
      </w:r>
      <w:r>
        <w:rPr>
          <w:rFonts w:hint="eastAsia" w:ascii="仿宋" w:hAnsi="仿宋" w:eastAsia="仿宋"/>
          <w:color w:val="auto"/>
          <w:sz w:val="32"/>
          <w:szCs w:val="32"/>
          <w:highlight w:val="none"/>
        </w:rPr>
        <w:t>68163.53元</w:t>
      </w:r>
      <w:r>
        <w:rPr>
          <w:rFonts w:hint="eastAsia" w:ascii="仿宋" w:hAnsi="仿宋" w:eastAsia="仿宋" w:cs="仿宋"/>
          <w:color w:val="auto"/>
          <w:sz w:val="32"/>
          <w:szCs w:val="32"/>
        </w:rPr>
        <w:t>，</w:t>
      </w:r>
      <w:r>
        <w:rPr>
          <w:rFonts w:hint="eastAsia" w:ascii="仿宋" w:hAnsi="仿宋" w:eastAsia="仿宋"/>
          <w:color w:val="auto"/>
          <w:sz w:val="32"/>
          <w:szCs w:val="32"/>
          <w:highlight w:val="none"/>
        </w:rPr>
        <w:t>主要原因</w:t>
      </w:r>
      <w:r>
        <w:rPr>
          <w:rFonts w:hint="eastAsia" w:ascii="仿宋" w:hAnsi="仿宋" w:eastAsia="仿宋"/>
          <w:color w:val="auto"/>
          <w:sz w:val="32"/>
          <w:szCs w:val="32"/>
          <w:highlight w:val="none"/>
          <w:lang w:eastAsia="zh-CN"/>
        </w:rPr>
        <w:t>是预算中增加了机关职工养老、医疗等单位缴纳部分金额</w:t>
      </w:r>
      <w:r>
        <w:rPr>
          <w:rFonts w:hint="eastAsia" w:ascii="仿宋"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（三）一般公共预算拨款支出明细情况。</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ascii="仿宋" w:hAnsi="仿宋" w:eastAsia="仿宋" w:cs="仿宋"/>
          <w:color w:val="auto"/>
          <w:sz w:val="32"/>
          <w:szCs w:val="32"/>
        </w:rPr>
      </w:pPr>
      <w:r>
        <w:rPr>
          <w:rFonts w:hint="eastAsia" w:ascii="仿宋" w:hAnsi="仿宋" w:eastAsia="仿宋" w:cs="仿宋"/>
          <w:b w:val="0"/>
          <w:bCs w:val="0"/>
          <w:color w:val="auto"/>
          <w:sz w:val="32"/>
          <w:szCs w:val="32"/>
        </w:rPr>
        <w:t>1</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rPr>
        <w:t>一般公共预算当年拨款规模变化情况。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一般公共预算拨款支出</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，较上年增加</w:t>
      </w:r>
      <w:r>
        <w:rPr>
          <w:rFonts w:hint="eastAsia" w:ascii="仿宋" w:hAnsi="仿宋" w:eastAsia="仿宋"/>
          <w:color w:val="auto"/>
          <w:sz w:val="32"/>
          <w:szCs w:val="32"/>
          <w:highlight w:val="none"/>
        </w:rPr>
        <w:t>68163.53元</w:t>
      </w:r>
      <w:r>
        <w:rPr>
          <w:rFonts w:hint="eastAsia" w:ascii="仿宋" w:hAnsi="仿宋" w:eastAsia="仿宋" w:cs="仿宋"/>
          <w:color w:val="auto"/>
          <w:sz w:val="32"/>
          <w:szCs w:val="32"/>
        </w:rPr>
        <w:t>，主要原因是</w:t>
      </w:r>
      <w:r>
        <w:rPr>
          <w:rFonts w:hint="eastAsia" w:ascii="仿宋" w:hAnsi="仿宋" w:eastAsia="仿宋"/>
          <w:color w:val="auto"/>
          <w:sz w:val="32"/>
          <w:szCs w:val="32"/>
          <w:highlight w:val="none"/>
          <w:lang w:eastAsia="zh-CN"/>
        </w:rPr>
        <w:t>预算中增加了机关职工养老、医疗等单位缴纳部分金额。</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ascii="仿宋" w:hAnsi="仿宋" w:eastAsia="仿宋" w:cs="仿宋"/>
          <w:color w:val="auto"/>
          <w:sz w:val="32"/>
          <w:szCs w:val="32"/>
        </w:rPr>
      </w:pPr>
      <w:r>
        <w:rPr>
          <w:rFonts w:hint="eastAsia" w:ascii="仿宋" w:hAnsi="仿宋" w:eastAsia="仿宋" w:cs="仿宋"/>
          <w:b w:val="0"/>
          <w:bCs w:val="0"/>
          <w:color w:val="auto"/>
          <w:sz w:val="32"/>
          <w:szCs w:val="32"/>
        </w:rPr>
        <w:t>2</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rPr>
        <w:t>支</w:t>
      </w:r>
      <w:r>
        <w:rPr>
          <w:rFonts w:hint="eastAsia" w:ascii="仿宋" w:hAnsi="仿宋" w:eastAsia="仿宋" w:cs="仿宋"/>
          <w:color w:val="auto"/>
          <w:sz w:val="32"/>
          <w:szCs w:val="32"/>
        </w:rPr>
        <w:t>出按功能科目分类的明细情况。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2020年一般公共预算支出</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，其中：</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行政运行（2010601）297043.53元，较上年增加</w:t>
      </w:r>
      <w:r>
        <w:rPr>
          <w:rFonts w:hint="eastAsia" w:ascii="仿宋" w:hAnsi="仿宋" w:eastAsia="仿宋" w:cs="仿宋"/>
          <w:color w:val="auto"/>
          <w:sz w:val="32"/>
          <w:szCs w:val="32"/>
          <w:highlight w:val="none"/>
          <w:lang w:val="en-US" w:eastAsia="zh-CN"/>
        </w:rPr>
        <w:t>4450.73</w:t>
      </w:r>
      <w:r>
        <w:rPr>
          <w:rFonts w:hint="eastAsia" w:ascii="仿宋" w:hAnsi="仿宋" w:eastAsia="仿宋" w:cs="仿宋"/>
          <w:color w:val="auto"/>
          <w:sz w:val="32"/>
          <w:szCs w:val="32"/>
          <w:highlight w:val="none"/>
        </w:rPr>
        <w:t>元，原因是</w:t>
      </w:r>
      <w:r>
        <w:rPr>
          <w:rFonts w:hint="eastAsia" w:ascii="仿宋" w:hAnsi="仿宋" w:eastAsia="仿宋" w:cs="仿宋"/>
          <w:color w:val="auto"/>
          <w:sz w:val="32"/>
          <w:szCs w:val="32"/>
          <w:highlight w:val="none"/>
          <w:lang w:eastAsia="zh-CN"/>
        </w:rPr>
        <w:t>人员工资增减、增加工会经费等。</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机关事业单位基本养老保险缴费支出（2080505）37067.16元，较上年增加37067.16元，原因是</w:t>
      </w:r>
      <w:r>
        <w:rPr>
          <w:rFonts w:hint="eastAsia" w:ascii="仿宋" w:hAnsi="仿宋" w:eastAsia="仿宋" w:cs="仿宋"/>
          <w:color w:val="auto"/>
          <w:sz w:val="32"/>
          <w:szCs w:val="32"/>
          <w:highlight w:val="none"/>
          <w:lang w:eastAsia="zh-CN"/>
        </w:rPr>
        <w:t>机关干部养老保险单位部分由所在单位自行缴纳。</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机关事业单位职业年金缴费支出（2080506）18533.64元，较上年增加18533.64元，原因是</w:t>
      </w:r>
      <w:r>
        <w:rPr>
          <w:rFonts w:hint="eastAsia" w:ascii="仿宋" w:hAnsi="仿宋" w:eastAsia="仿宋" w:cs="仿宋"/>
          <w:color w:val="auto"/>
          <w:sz w:val="32"/>
          <w:szCs w:val="32"/>
          <w:highlight w:val="none"/>
          <w:lang w:eastAsia="zh-CN"/>
        </w:rPr>
        <w:t>机关干部职业年金单位部分由所在单位自行缴纳。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（4）行政单位医疗（2101101）7200元，较上年增加</w:t>
      </w:r>
      <w:r>
        <w:rPr>
          <w:rFonts w:hint="eastAsia" w:ascii="仿宋" w:hAnsi="仿宋" w:eastAsia="仿宋" w:cs="仿宋"/>
          <w:color w:val="auto"/>
          <w:sz w:val="32"/>
          <w:szCs w:val="32"/>
          <w:lang w:val="en-US" w:eastAsia="zh-CN"/>
        </w:rPr>
        <w:t>7200元</w:t>
      </w: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机关干部医疗保险单位部分由所在单位自行缴纳。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）公务员医疗补助（2101103）</w:t>
      </w:r>
      <w:r>
        <w:rPr>
          <w:rFonts w:hint="eastAsia" w:ascii="仿宋" w:hAnsi="仿宋" w:eastAsia="仿宋" w:cs="仿宋"/>
          <w:color w:val="auto"/>
          <w:sz w:val="32"/>
          <w:szCs w:val="32"/>
          <w:lang w:val="en-US" w:eastAsia="zh-CN"/>
        </w:rPr>
        <w:t>312</w:t>
      </w:r>
      <w:r>
        <w:rPr>
          <w:rFonts w:hint="eastAsia" w:ascii="仿宋" w:hAnsi="仿宋" w:eastAsia="仿宋" w:cs="仿宋"/>
          <w:color w:val="auto"/>
          <w:sz w:val="32"/>
          <w:szCs w:val="32"/>
        </w:rPr>
        <w:t>元，较上年增加</w:t>
      </w:r>
      <w:r>
        <w:rPr>
          <w:rFonts w:hint="eastAsia" w:ascii="仿宋" w:hAnsi="仿宋" w:eastAsia="仿宋" w:cs="仿宋"/>
          <w:color w:val="auto"/>
          <w:sz w:val="32"/>
          <w:szCs w:val="32"/>
          <w:lang w:val="en-US" w:eastAsia="zh-CN"/>
        </w:rPr>
        <w:t>312</w:t>
      </w:r>
      <w:r>
        <w:rPr>
          <w:rFonts w:hint="eastAsia" w:ascii="仿宋" w:hAnsi="仿宋" w:eastAsia="仿宋" w:cs="仿宋"/>
          <w:color w:val="auto"/>
          <w:sz w:val="32"/>
          <w:szCs w:val="32"/>
        </w:rPr>
        <w:t>元，原因是</w:t>
      </w:r>
      <w:r>
        <w:rPr>
          <w:rFonts w:hint="eastAsia" w:ascii="仿宋" w:hAnsi="仿宋" w:eastAsia="仿宋" w:cs="仿宋"/>
          <w:color w:val="auto"/>
          <w:sz w:val="32"/>
          <w:szCs w:val="32"/>
          <w:lang w:eastAsia="zh-CN"/>
        </w:rPr>
        <w:t>机关干部医疗补助单位部分由所在单位自行缴纳。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）其他卫生健康支出（2109901）</w:t>
      </w:r>
      <w:r>
        <w:rPr>
          <w:rFonts w:hint="eastAsia" w:ascii="仿宋" w:hAnsi="仿宋" w:eastAsia="仿宋" w:cs="仿宋"/>
          <w:color w:val="auto"/>
          <w:sz w:val="32"/>
          <w:szCs w:val="32"/>
          <w:lang w:val="en-US" w:eastAsia="zh-CN"/>
        </w:rPr>
        <w:t>600</w:t>
      </w:r>
      <w:r>
        <w:rPr>
          <w:rFonts w:hint="eastAsia" w:ascii="仿宋" w:hAnsi="仿宋" w:eastAsia="仿宋" w:cs="仿宋"/>
          <w:color w:val="auto"/>
          <w:sz w:val="32"/>
          <w:szCs w:val="32"/>
        </w:rPr>
        <w:t>元，较上年增加</w:t>
      </w:r>
      <w:r>
        <w:rPr>
          <w:rFonts w:hint="eastAsia" w:ascii="仿宋" w:hAnsi="仿宋" w:eastAsia="仿宋" w:cs="仿宋"/>
          <w:color w:val="auto"/>
          <w:sz w:val="32"/>
          <w:szCs w:val="32"/>
          <w:lang w:val="en-US" w:eastAsia="zh-CN"/>
        </w:rPr>
        <w:t>600</w:t>
      </w:r>
      <w:r>
        <w:rPr>
          <w:rFonts w:hint="eastAsia" w:ascii="仿宋" w:hAnsi="仿宋" w:eastAsia="仿宋" w:cs="仿宋"/>
          <w:color w:val="auto"/>
          <w:sz w:val="32"/>
          <w:szCs w:val="32"/>
        </w:rPr>
        <w:t>元，原因是</w:t>
      </w:r>
      <w:r>
        <w:rPr>
          <w:rFonts w:hint="eastAsia" w:ascii="仿宋" w:hAnsi="仿宋" w:eastAsia="仿宋" w:cs="仿宋"/>
          <w:color w:val="auto"/>
          <w:sz w:val="32"/>
          <w:szCs w:val="32"/>
          <w:lang w:eastAsia="zh-CN"/>
        </w:rPr>
        <w:t>生育保险、大额医疗等其他卫生健康支出单位部分由所在单位自行缴纳。</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5075555" cy="3189605"/>
            <wp:effectExtent l="0" t="0" r="10795" b="1079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11"/>
                    <a:stretch>
                      <a:fillRect/>
                    </a:stretch>
                  </pic:blipFill>
                  <pic:spPr>
                    <a:xfrm>
                      <a:off x="0" y="0"/>
                      <a:ext cx="5075555" cy="31896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sz w:val="32"/>
          <w:szCs w:val="32"/>
        </w:rPr>
      </w:pPr>
      <w:r>
        <w:rPr>
          <w:rFonts w:hint="eastAsia" w:ascii="仿宋" w:hAnsi="仿宋" w:eastAsia="仿宋" w:cs="仿宋"/>
          <w:b w:val="0"/>
          <w:bCs w:val="0"/>
          <w:color w:val="auto"/>
          <w:sz w:val="32"/>
          <w:szCs w:val="32"/>
        </w:rPr>
        <w:t>3</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rPr>
        <w:t>支出按经济科目分类的明细情况。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一般公共预算支出</w:t>
      </w:r>
      <w:r>
        <w:rPr>
          <w:rFonts w:hint="eastAsia" w:ascii="仿宋" w:hAnsi="仿宋" w:eastAsia="仿宋"/>
          <w:color w:val="auto"/>
          <w:sz w:val="32"/>
          <w:szCs w:val="32"/>
          <w:lang w:val="en-US" w:eastAsia="zh-CN"/>
        </w:rPr>
        <w:t>360756.33元</w:t>
      </w:r>
      <w:r>
        <w:rPr>
          <w:rFonts w:hint="eastAsia" w:ascii="仿宋" w:hAnsi="仿宋" w:eastAsia="仿宋" w:cs="仿宋"/>
          <w:color w:val="auto"/>
          <w:sz w:val="32"/>
          <w:szCs w:val="32"/>
        </w:rPr>
        <w:t>，其中：</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机关</w:t>
      </w:r>
      <w:r>
        <w:rPr>
          <w:rFonts w:hint="eastAsia" w:ascii="仿宋" w:hAnsi="仿宋" w:eastAsia="仿宋" w:cs="仿宋"/>
          <w:color w:val="auto"/>
          <w:sz w:val="32"/>
          <w:szCs w:val="32"/>
        </w:rPr>
        <w:t>工资福利支出（301）</w:t>
      </w:r>
      <w:r>
        <w:rPr>
          <w:rFonts w:hint="eastAsia" w:ascii="仿宋" w:hAnsi="仿宋" w:eastAsia="仿宋" w:cs="仿宋"/>
          <w:color w:val="auto"/>
          <w:sz w:val="32"/>
          <w:szCs w:val="32"/>
          <w:lang w:val="en-US" w:eastAsia="zh-CN"/>
        </w:rPr>
        <w:t>316303.8</w:t>
      </w:r>
      <w:r>
        <w:rPr>
          <w:rFonts w:hint="eastAsia" w:ascii="仿宋" w:hAnsi="仿宋" w:eastAsia="仿宋" w:cs="仿宋"/>
          <w:color w:val="auto"/>
          <w:sz w:val="32"/>
          <w:szCs w:val="32"/>
        </w:rPr>
        <w:t>元，较上年增加</w:t>
      </w:r>
      <w:r>
        <w:rPr>
          <w:rFonts w:hint="eastAsia" w:ascii="仿宋" w:hAnsi="仿宋" w:eastAsia="仿宋" w:cs="仿宋"/>
          <w:color w:val="auto"/>
          <w:sz w:val="32"/>
          <w:szCs w:val="32"/>
          <w:lang w:val="en-US" w:eastAsia="zh-CN"/>
        </w:rPr>
        <w:t>66711</w:t>
      </w:r>
      <w:r>
        <w:rPr>
          <w:rFonts w:hint="eastAsia" w:ascii="仿宋" w:hAnsi="仿宋" w:eastAsia="仿宋" w:cs="仿宋"/>
          <w:color w:val="auto"/>
          <w:sz w:val="32"/>
          <w:szCs w:val="32"/>
        </w:rPr>
        <w:t>元，原因是</w:t>
      </w:r>
      <w:r>
        <w:rPr>
          <w:rFonts w:hint="eastAsia" w:ascii="仿宋" w:hAnsi="仿宋" w:eastAsia="仿宋" w:cs="仿宋"/>
          <w:color w:val="auto"/>
          <w:sz w:val="32"/>
          <w:szCs w:val="32"/>
          <w:lang w:eastAsia="zh-CN"/>
        </w:rPr>
        <w:t>一名公务员转正，工资变动。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商品和服务支出（302）</w:t>
      </w:r>
      <w:r>
        <w:rPr>
          <w:rFonts w:hint="eastAsia" w:ascii="仿宋" w:hAnsi="仿宋" w:eastAsia="仿宋" w:cs="仿宋"/>
          <w:color w:val="auto"/>
          <w:sz w:val="32"/>
          <w:szCs w:val="32"/>
          <w:lang w:val="en-US" w:eastAsia="zh-CN"/>
        </w:rPr>
        <w:t>44452.53</w:t>
      </w:r>
      <w:r>
        <w:rPr>
          <w:rFonts w:hint="eastAsia" w:ascii="仿宋" w:hAnsi="仿宋" w:eastAsia="仿宋" w:cs="仿宋"/>
          <w:color w:val="auto"/>
          <w:sz w:val="32"/>
          <w:szCs w:val="32"/>
        </w:rPr>
        <w:t>元，较上年增加</w:t>
      </w:r>
      <w:r>
        <w:rPr>
          <w:rFonts w:hint="eastAsia" w:ascii="仿宋" w:hAnsi="仿宋" w:eastAsia="仿宋" w:cs="仿宋"/>
          <w:color w:val="auto"/>
          <w:sz w:val="32"/>
          <w:szCs w:val="32"/>
          <w:lang w:val="en-US" w:eastAsia="zh-CN"/>
        </w:rPr>
        <w:t>1452.53</w:t>
      </w:r>
      <w:r>
        <w:rPr>
          <w:rFonts w:hint="eastAsia" w:ascii="仿宋" w:hAnsi="仿宋" w:eastAsia="仿宋" w:cs="仿宋"/>
          <w:color w:val="auto"/>
          <w:sz w:val="32"/>
          <w:szCs w:val="32"/>
        </w:rPr>
        <w:t>元，原因是</w:t>
      </w:r>
      <w:r>
        <w:rPr>
          <w:rFonts w:hint="eastAsia" w:ascii="仿宋" w:hAnsi="仿宋" w:eastAsia="仿宋" w:cs="仿宋"/>
          <w:color w:val="auto"/>
          <w:sz w:val="32"/>
          <w:szCs w:val="32"/>
          <w:lang w:eastAsia="zh-CN"/>
        </w:rPr>
        <w:t>一名公务员转正，车补增加。</w:t>
      </w:r>
    </w:p>
    <w:p>
      <w:pPr>
        <w:keepNext w:val="0"/>
        <w:keepLines w:val="0"/>
        <w:pageBreakBefore w:val="0"/>
        <w:widowControl w:val="0"/>
        <w:kinsoku/>
        <w:wordWrap/>
        <w:overflowPunct/>
        <w:topLinePunct w:val="0"/>
        <w:autoSpaceDE/>
        <w:autoSpaceDN/>
        <w:bidi w:val="0"/>
        <w:adjustRightInd/>
        <w:snapToGrid/>
        <w:spacing w:line="240" w:lineRule="auto"/>
        <w:ind w:firstLine="640"/>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4298950" cy="2584450"/>
            <wp:effectExtent l="0" t="0" r="6350" b="6350"/>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12"/>
                    <a:stretch>
                      <a:fillRect/>
                    </a:stretch>
                  </pic:blipFill>
                  <pic:spPr>
                    <a:xfrm>
                      <a:off x="0" y="0"/>
                      <a:ext cx="4298950" cy="25844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left="958" w:leftChars="266" w:hanging="320" w:hangingChars="100"/>
        <w:textAlignment w:val="auto"/>
        <w:rPr>
          <w:rFonts w:hint="eastAsia" w:ascii="仿宋" w:hAnsi="仿宋" w:eastAsia="仿宋" w:cs="仿宋"/>
          <w:color w:val="auto"/>
          <w:sz w:val="32"/>
          <w:szCs w:val="32"/>
        </w:rPr>
      </w:pPr>
      <w:r>
        <w:rPr>
          <w:rFonts w:hint="eastAsia" w:ascii="仿宋" w:hAnsi="仿宋" w:eastAsia="仿宋" w:cs="仿宋"/>
          <w:b w:val="0"/>
          <w:bCs w:val="0"/>
          <w:color w:val="auto"/>
          <w:sz w:val="32"/>
          <w:szCs w:val="32"/>
        </w:rPr>
        <w:t>4</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rPr>
        <w:t>2019年结转财政资金一般公共预算拨款支出情况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无2019年结转的一般公共预算拨款资金支出</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第三部分  其他说明情况</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六、部门预算“三公”经费等预算情况说明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rPr>
        <w:t>2020年</w:t>
      </w: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一般公共预算“三公”经费预算支出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元，较</w:t>
      </w:r>
      <w:r>
        <w:rPr>
          <w:rFonts w:hint="eastAsia" w:ascii="仿宋" w:hAnsi="仿宋" w:eastAsia="仿宋" w:cs="仿宋"/>
          <w:color w:val="auto"/>
          <w:sz w:val="32"/>
          <w:szCs w:val="32"/>
          <w:lang w:val="en-US" w:eastAsia="zh-CN"/>
        </w:rPr>
        <w:t>2019年未变动</w:t>
      </w:r>
      <w:r>
        <w:rPr>
          <w:rFonts w:hint="eastAsia" w:ascii="仿宋" w:hAnsi="仿宋" w:eastAsia="仿宋" w:cs="仿宋"/>
          <w:color w:val="auto"/>
          <w:sz w:val="32"/>
          <w:szCs w:val="32"/>
        </w:rPr>
        <w:t>。其中：因公出国（境）经费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元，较</w:t>
      </w:r>
      <w:r>
        <w:rPr>
          <w:rFonts w:hint="eastAsia" w:ascii="仿宋" w:hAnsi="仿宋" w:eastAsia="仿宋" w:cs="仿宋"/>
          <w:color w:val="auto"/>
          <w:sz w:val="32"/>
          <w:szCs w:val="32"/>
          <w:lang w:val="en-US" w:eastAsia="zh-CN"/>
        </w:rPr>
        <w:t>2019年未变动</w:t>
      </w: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元，较</w:t>
      </w:r>
      <w:r>
        <w:rPr>
          <w:rFonts w:hint="eastAsia" w:ascii="仿宋" w:hAnsi="仿宋" w:eastAsia="仿宋" w:cs="仿宋"/>
          <w:color w:val="auto"/>
          <w:sz w:val="32"/>
          <w:szCs w:val="32"/>
          <w:lang w:val="en-US" w:eastAsia="zh-CN"/>
        </w:rPr>
        <w:t>2019年未变动</w:t>
      </w:r>
      <w:r>
        <w:rPr>
          <w:rFonts w:hint="eastAsia" w:ascii="仿宋" w:hAnsi="仿宋" w:eastAsia="仿宋" w:cs="仿宋"/>
          <w:color w:val="auto"/>
          <w:sz w:val="32"/>
          <w:szCs w:val="32"/>
        </w:rPr>
        <w:t>；公务用车运行费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元，较</w:t>
      </w:r>
      <w:r>
        <w:rPr>
          <w:rFonts w:hint="eastAsia" w:ascii="仿宋" w:hAnsi="仿宋" w:eastAsia="仿宋" w:cs="仿宋"/>
          <w:color w:val="auto"/>
          <w:sz w:val="32"/>
          <w:szCs w:val="32"/>
          <w:lang w:val="en-US" w:eastAsia="zh-CN"/>
        </w:rPr>
        <w:t>2019年未变动</w:t>
      </w: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元，较</w:t>
      </w:r>
      <w:r>
        <w:rPr>
          <w:rFonts w:hint="eastAsia" w:ascii="仿宋" w:hAnsi="仿宋" w:eastAsia="仿宋" w:cs="仿宋"/>
          <w:color w:val="auto"/>
          <w:sz w:val="32"/>
          <w:szCs w:val="32"/>
          <w:lang w:val="en-US" w:eastAsia="zh-CN"/>
        </w:rPr>
        <w:t>2019年未变动。</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七、部门国有资产占有使用及资产购置情况说明</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rPr>
        <w:t>截止2019年底，</w:t>
      </w:r>
      <w:r>
        <w:rPr>
          <w:rFonts w:hint="eastAsia" w:ascii="仿宋" w:hAnsi="仿宋" w:eastAsia="仿宋" w:cs="仿宋"/>
          <w:color w:val="auto"/>
          <w:sz w:val="32"/>
          <w:szCs w:val="32"/>
          <w:lang w:eastAsia="zh-CN"/>
        </w:rPr>
        <w:t>团县委</w:t>
      </w:r>
      <w:r>
        <w:rPr>
          <w:rFonts w:hint="eastAsia" w:ascii="仿宋" w:hAnsi="仿宋" w:eastAsia="仿宋"/>
          <w:color w:val="auto"/>
          <w:sz w:val="32"/>
          <w:szCs w:val="32"/>
        </w:rPr>
        <w:t>固定资产共有办公桌椅、电脑、打印机等，累计人民币 50370元。团县委公务</w:t>
      </w:r>
      <w:r>
        <w:rPr>
          <w:rFonts w:hint="eastAsia" w:ascii="仿宋" w:hAnsi="仿宋" w:eastAsia="仿宋"/>
          <w:color w:val="auto"/>
          <w:sz w:val="32"/>
          <w:szCs w:val="32"/>
          <w:lang w:eastAsia="zh-CN"/>
        </w:rPr>
        <w:t>用</w:t>
      </w:r>
      <w:r>
        <w:rPr>
          <w:rFonts w:hint="eastAsia" w:ascii="仿宋" w:hAnsi="仿宋" w:eastAsia="仿宋" w:cs="仿宋"/>
          <w:color w:val="auto"/>
          <w:sz w:val="32"/>
          <w:szCs w:val="32"/>
        </w:rPr>
        <w:t>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辆，单价20万元以上的设备</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台（套）。2020年</w:t>
      </w:r>
      <w:r>
        <w:rPr>
          <w:rFonts w:hint="eastAsia" w:ascii="仿宋" w:hAnsi="仿宋" w:eastAsia="仿宋" w:cs="仿宋"/>
          <w:color w:val="auto"/>
          <w:sz w:val="32"/>
          <w:szCs w:val="32"/>
          <w:lang w:eastAsia="zh-CN"/>
        </w:rPr>
        <w:t>当年</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辆；安排购置单价20万元以上的设备</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台（套）。</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八、部门政府采购情况说明</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rPr>
        <w:t>2020年无政府采购预算，并已公开空表。</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九、部门预算绩效目标说明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年团县委实现了绩效目标管理全覆盖，涉及一般公共预算当年拨款</w:t>
      </w:r>
      <w:r>
        <w:rPr>
          <w:rFonts w:hint="eastAsia" w:ascii="仿宋" w:hAnsi="仿宋" w:eastAsia="仿宋"/>
          <w:color w:val="auto"/>
          <w:sz w:val="32"/>
          <w:szCs w:val="32"/>
          <w:lang w:val="en-US" w:eastAsia="zh-CN"/>
        </w:rPr>
        <w:t>360756.33</w:t>
      </w:r>
      <w:r>
        <w:rPr>
          <w:rFonts w:hint="eastAsia" w:ascii="仿宋" w:hAnsi="仿宋" w:eastAsia="仿宋" w:cs="仿宋"/>
          <w:color w:val="auto"/>
          <w:sz w:val="32"/>
          <w:szCs w:val="32"/>
        </w:rPr>
        <w:t>元。（详见公开报表中的绩效目标表）。</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十、机关运行经费安排说明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团县委</w:t>
      </w: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年机关运行经费预算安排297043.53元，</w:t>
      </w:r>
      <w:r>
        <w:rPr>
          <w:rFonts w:hint="eastAsia" w:ascii="仿宋" w:hAnsi="仿宋" w:eastAsia="仿宋" w:cs="仿宋"/>
          <w:color w:val="auto"/>
          <w:sz w:val="32"/>
          <w:szCs w:val="32"/>
          <w:highlight w:val="none"/>
        </w:rPr>
        <w:t>较</w:t>
      </w:r>
      <w:r>
        <w:rPr>
          <w:rFonts w:hint="eastAsia" w:ascii="仿宋" w:hAnsi="仿宋" w:eastAsia="仿宋" w:cs="仿宋"/>
          <w:color w:val="auto"/>
          <w:sz w:val="32"/>
          <w:szCs w:val="32"/>
          <w:highlight w:val="none"/>
          <w:lang w:val="en-US" w:eastAsia="zh-CN"/>
        </w:rPr>
        <w:t>2019年</w:t>
      </w:r>
      <w:r>
        <w:rPr>
          <w:rFonts w:hint="eastAsia" w:ascii="仿宋" w:hAnsi="仿宋" w:eastAsia="仿宋" w:cs="仿宋"/>
          <w:color w:val="auto"/>
          <w:sz w:val="32"/>
          <w:szCs w:val="32"/>
          <w:highlight w:val="none"/>
        </w:rPr>
        <w:t>增加</w:t>
      </w:r>
      <w:r>
        <w:rPr>
          <w:rFonts w:hint="eastAsia" w:ascii="仿宋" w:hAnsi="仿宋" w:eastAsia="仿宋" w:cs="仿宋"/>
          <w:color w:val="auto"/>
          <w:sz w:val="32"/>
          <w:szCs w:val="32"/>
          <w:highlight w:val="none"/>
          <w:lang w:val="en-US" w:eastAsia="zh-CN"/>
        </w:rPr>
        <w:t>4450.73</w:t>
      </w:r>
      <w:r>
        <w:rPr>
          <w:rFonts w:hint="eastAsia" w:ascii="仿宋" w:hAnsi="仿宋" w:eastAsia="仿宋" w:cs="仿宋"/>
          <w:color w:val="auto"/>
          <w:sz w:val="32"/>
          <w:szCs w:val="32"/>
          <w:highlight w:val="none"/>
        </w:rPr>
        <w:t>元，</w:t>
      </w:r>
      <w:r>
        <w:rPr>
          <w:rFonts w:hint="eastAsia" w:ascii="仿宋" w:hAnsi="仿宋" w:eastAsia="仿宋" w:cs="仿宋"/>
          <w:color w:val="auto"/>
          <w:sz w:val="32"/>
          <w:szCs w:val="32"/>
          <w:highlight w:val="none"/>
          <w:lang w:eastAsia="zh-CN"/>
        </w:rPr>
        <w:t>主要</w:t>
      </w:r>
      <w:r>
        <w:rPr>
          <w:rFonts w:hint="eastAsia" w:ascii="仿宋" w:hAnsi="仿宋" w:eastAsia="仿宋" w:cs="仿宋"/>
          <w:color w:val="auto"/>
          <w:sz w:val="32"/>
          <w:szCs w:val="32"/>
          <w:highlight w:val="none"/>
        </w:rPr>
        <w:t>原因是</w:t>
      </w:r>
      <w:r>
        <w:rPr>
          <w:rFonts w:hint="eastAsia" w:ascii="仿宋" w:hAnsi="仿宋" w:eastAsia="仿宋" w:cs="仿宋"/>
          <w:color w:val="auto"/>
          <w:sz w:val="32"/>
          <w:szCs w:val="32"/>
          <w:highlight w:val="none"/>
          <w:lang w:eastAsia="zh-CN"/>
        </w:rPr>
        <w:t>人员工资增减、增加工会经费等。</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华文中宋" w:hAnsi="华文中宋" w:eastAsia="华文中宋" w:cs="华文中宋"/>
          <w:b w:val="0"/>
          <w:bCs w:val="0"/>
          <w:color w:val="auto"/>
          <w:sz w:val="32"/>
          <w:szCs w:val="32"/>
        </w:rPr>
      </w:pPr>
      <w:r>
        <w:rPr>
          <w:rFonts w:hint="eastAsia" w:ascii="华文中宋" w:hAnsi="华文中宋" w:eastAsia="华文中宋" w:cs="华文中宋"/>
          <w:b w:val="0"/>
          <w:bCs w:val="0"/>
          <w:color w:val="auto"/>
          <w:sz w:val="32"/>
          <w:szCs w:val="32"/>
        </w:rPr>
        <w:t>十一、专业名词解释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1.基本支出：指为保障机构正常运转、完成日常工作任务而发生的各项支出。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2.项目支出：指单位为完成特定的行政工作任务或事业发展目标所发生的各项支出。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3.“三公”经费：指部门使用一般公共预算财政拨款安排的因公出国（境）费、公务用车购置及运行费和公务接待费支出。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4.机关运行经费：指行政单位和参照公务员法管理的事业单位使用一般公共预算财政拨款安排的日常公共经费支出。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2240" w:firstLineChars="7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第四部分  </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公开报表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（1）2020年部门综合预算收支总表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（2）2020年部门综合预算收入总表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（3）2020年部门综合预算支出总表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（4）2020年部门综合预算财政拨款收支总表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（5）2020年部门综合预算一般公共预算支出明细表（按支出功能分类科目）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（6）2020年部门综合预算一般公共预算支出明细表（按支出经济分类科目）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（7）2020年部门综合预算一般公共预算基本支出明细表（按支出功能分类科目）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（8）2020年部门综合预算一般公共预算基本支出明细表（按支出经济分类科目）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（9）2020年部门综合预算政府性基金收支表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（10）2020年部门综合预算专项业务经费支出表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（11）2020年部门综合预算政府采购（资产购置、服务购买）预算表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（12）2020年部门综合预算一般公共预算拨款“三公”经费及会议费、培训费支出预算表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（13）2020年部门专项业务经费重点项目绩效目标表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color w:val="auto"/>
          <w:kern w:val="0"/>
          <w:sz w:val="32"/>
          <w:szCs w:val="32"/>
          <w:u w:val="none"/>
          <w:lang w:val="en-US" w:eastAsia="zh-CN" w:bidi="ar"/>
        </w:rPr>
      </w:pPr>
      <w:r>
        <w:rPr>
          <w:rFonts w:hint="eastAsia" w:ascii="仿宋" w:hAnsi="仿宋" w:eastAsia="仿宋" w:cs="仿宋"/>
          <w:i w:val="0"/>
          <w:color w:val="auto"/>
          <w:kern w:val="0"/>
          <w:sz w:val="32"/>
          <w:szCs w:val="32"/>
          <w:u w:val="none"/>
          <w:lang w:val="en-US" w:eastAsia="zh-CN" w:bidi="ar"/>
        </w:rPr>
        <w:t>（14）2020年部门整体支出绩效目标表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仿宋" w:hAnsi="仿宋" w:eastAsia="仿宋" w:cs="仿宋"/>
          <w:color w:val="auto"/>
          <w:sz w:val="32"/>
          <w:szCs w:val="32"/>
        </w:rPr>
      </w:pPr>
      <w:r>
        <w:rPr>
          <w:rFonts w:hint="eastAsia" w:ascii="仿宋" w:hAnsi="仿宋" w:eastAsia="仿宋" w:cs="仿宋"/>
          <w:i w:val="0"/>
          <w:color w:val="auto"/>
          <w:kern w:val="0"/>
          <w:sz w:val="32"/>
          <w:szCs w:val="32"/>
          <w:u w:val="none"/>
          <w:lang w:val="en-US" w:eastAsia="zh-CN" w:bidi="ar"/>
        </w:rPr>
        <w:t>（15）2020年专项资金整体绩效目标表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-29210</wp:posOffset>
              </wp:positionV>
              <wp:extent cx="1016000" cy="2679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16000" cy="267970"/>
                      </a:xfrm>
                      <a:prstGeom prst="rect">
                        <a:avLst/>
                      </a:prstGeom>
                      <a:noFill/>
                      <a:ln w="6350">
                        <a:noFill/>
                      </a:ln>
                      <a:effectLst/>
                    </wps:spPr>
                    <wps:txbx>
                      <w:txbxContent>
                        <w:p>
                          <w:pPr>
                            <w:pStyle w:val="2"/>
                            <w:ind w:firstLine="0" w:firstLineChars="0"/>
                            <w:rPr>
                              <w:sz w:val="28"/>
                              <w:szCs w:val="44"/>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3pt;height:21.1pt;width:80pt;mso-position-horizontal:outside;mso-position-horizontal-relative:margin;z-index:251658240;mso-width-relative:page;mso-height-relative:page;" filled="f" stroked="f" coordsize="21600,21600" o:gfxdata="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J+og9UAAAAG&#10;AQAADwAAAAAAAAABACAAAAAiAAAAZHJzL2Rvd25yZXYueG1sUEsBAhQAFAAAAAgAh07iQJq3oWwf&#10;AgAAIgQAAA4AAAAAAAAAAQAgAAAAJAEAAGRycy9lMm9Eb2MueG1sUEsFBgAAAAAGAAYAWQEAALUF&#10;AAAAAA==&#10;">
              <v:fill on="f" focussize="0,0"/>
              <v:stroke on="f" weight="0.5pt"/>
              <v:imagedata o:title=""/>
              <o:lock v:ext="edit" aspectratio="f"/>
              <v:textbox inset="0mm,0mm,0mm,0mm">
                <w:txbxContent>
                  <w:p>
                    <w:pPr>
                      <w:pStyle w:val="2"/>
                      <w:ind w:firstLine="0" w:firstLineChars="0"/>
                      <w:rPr>
                        <w:sz w:val="28"/>
                        <w:szCs w:val="4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A4CF8E"/>
    <w:multiLevelType w:val="singleLevel"/>
    <w:tmpl w:val="A0A4CF8E"/>
    <w:lvl w:ilvl="0" w:tentative="0">
      <w:start w:val="3"/>
      <w:numFmt w:val="chineseCounting"/>
      <w:suff w:val="nothing"/>
      <w:lvlText w:val="%1、"/>
      <w:lvlJc w:val="left"/>
      <w:rPr>
        <w:rFonts w:hint="eastAsia"/>
      </w:rPr>
    </w:lvl>
  </w:abstractNum>
  <w:abstractNum w:abstractNumId="1">
    <w:nsid w:val="659B38FD"/>
    <w:multiLevelType w:val="singleLevel"/>
    <w:tmpl w:val="659B38F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0381D"/>
    <w:rsid w:val="00021752"/>
    <w:rsid w:val="000562DC"/>
    <w:rsid w:val="005F0B4E"/>
    <w:rsid w:val="00670DA4"/>
    <w:rsid w:val="009B6591"/>
    <w:rsid w:val="00A6254D"/>
    <w:rsid w:val="00E047B3"/>
    <w:rsid w:val="00F474A1"/>
    <w:rsid w:val="00F61A77"/>
    <w:rsid w:val="00F63694"/>
    <w:rsid w:val="018D70DD"/>
    <w:rsid w:val="07C37A67"/>
    <w:rsid w:val="15B250B7"/>
    <w:rsid w:val="1AA55C97"/>
    <w:rsid w:val="1ED0381D"/>
    <w:rsid w:val="1FED29CF"/>
    <w:rsid w:val="21DB6422"/>
    <w:rsid w:val="26BF3995"/>
    <w:rsid w:val="2A14749D"/>
    <w:rsid w:val="312B3489"/>
    <w:rsid w:val="34994E8C"/>
    <w:rsid w:val="34DA761D"/>
    <w:rsid w:val="3823464A"/>
    <w:rsid w:val="428A1FC4"/>
    <w:rsid w:val="443632D5"/>
    <w:rsid w:val="47424AD1"/>
    <w:rsid w:val="49FB0976"/>
    <w:rsid w:val="4F1D3A7E"/>
    <w:rsid w:val="528D5DEB"/>
    <w:rsid w:val="57CC6A8D"/>
    <w:rsid w:val="5C546F19"/>
    <w:rsid w:val="5C987DB8"/>
    <w:rsid w:val="680A78E7"/>
    <w:rsid w:val="6A8005B2"/>
    <w:rsid w:val="70527932"/>
    <w:rsid w:val="758F7F5D"/>
    <w:rsid w:val="76CE7592"/>
    <w:rsid w:val="790B19E8"/>
    <w:rsid w:val="79EF401E"/>
    <w:rsid w:val="7B196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bCs/>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854</Words>
  <Characters>4869</Characters>
  <Lines>40</Lines>
  <Paragraphs>11</Paragraphs>
  <TotalTime>3</TotalTime>
  <ScaleCrop>false</ScaleCrop>
  <LinksUpToDate>false</LinksUpToDate>
  <CharactersWithSpaces>5712</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an</cp:lastModifiedBy>
  <cp:lastPrinted>2020-01-06T07:32:00Z</cp:lastPrinted>
  <dcterms:modified xsi:type="dcterms:W3CDTF">2020-02-10T07:43:25Z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