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蓝田县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2020年部门综合预算说明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  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第一部分   部门概况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一、部门主要职责及机构设置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二、2020年年度部门工作任务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三、部门预算单位构成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四、部门人员情况说明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第二部分   收支情况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五、2020年部门预算收支说明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第三部分   其他说明情况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六、部门预算“三公”经费等情况说明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七、部门国有资产占有使用及资产购置情况说明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八、部门政府采购情况说明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九、部门预算绩效目标说明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十、机关运行经费安排说明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十一、专业名词解释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第四部分   公开报表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部门概况</w:t>
      </w:r>
    </w:p>
    <w:p>
      <w:pPr>
        <w:pStyle w:val="2"/>
        <w:numPr>
          <w:ilvl w:val="0"/>
          <w:numId w:val="0"/>
        </w:numPr>
        <w:ind w:leftChars="400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一、部门主要职责及机构设置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1、主要职责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（1）预防、制止和侦查违法犯罪活动；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（2）维护社会治安秩序，制止危害社会治安秩序的行为；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（3）维护交通安全和交通秩序，处理交通事故；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（4）组织、实施消防工作，实行消防监督；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（5）管理枪支弹药、管制刀具和易燃易爆、剧毒、放射性等危险物品；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（6）对法律、法规规定的特种行业进行管理；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（7）警卫国家规定的特定人员，守卫重要的场所和设施；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（8）管理集会、游行、示威活动；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（9）管理户政、国籍、入境出境事务和外国人在中国境内居留、旅行的有关事务；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（10）维护国（边）境地区的治安秩序；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（11）对被判处管制、拘役、剥夺政治权利的罪犯和监外执行的罪犯执行刑罚，对被宣告缓刑、假释的罪犯实行监督、考察；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（12）监督管理计算机信息系统的安全保护工作；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（13）指导和监督国家机关、社会团体、企业事业组织和重点建设工程的治安保卫工作，指导治安保卫委员会等群众性组织的治安防范工作；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（14）法律、法规规定的其他职责。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2、机构设置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蓝田县公安局</w:t>
      </w:r>
      <w:r>
        <w:rPr>
          <w:rFonts w:hint="eastAsia" w:ascii="仿宋_GB2312" w:hAnsi="仿宋_GB2312" w:eastAsia="仿宋_GB2312" w:cs="仿宋_GB2312"/>
          <w:sz w:val="32"/>
          <w:szCs w:val="32"/>
        </w:rPr>
        <w:t>正科级建制，现有室、队、所、科、中心</w:t>
      </w:r>
      <w:r>
        <w:rPr>
          <w:rFonts w:hint="eastAsia" w:ascii="仿宋_GB2312" w:eastAsia="仿宋_GB2312"/>
          <w:sz w:val="32"/>
          <w:szCs w:val="32"/>
        </w:rPr>
        <w:t>33个，其中综合管理机构5个，执法勤务机构11个，监管场所2个，派出所15个。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二、2020年度部门工作任务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方正仿宋简体" w:hAnsi="宋体" w:eastAsia="方正仿宋简体" w:cs="宋体"/>
          <w:kern w:val="0"/>
          <w:sz w:val="32"/>
          <w:szCs w:val="32"/>
        </w:rPr>
      </w:pPr>
      <w:r>
        <w:rPr>
          <w:rFonts w:hint="eastAsia" w:ascii="方正仿宋简体" w:hAnsi="宋体" w:eastAsia="方正仿宋简体" w:cs="宋体"/>
          <w:kern w:val="0"/>
          <w:sz w:val="32"/>
          <w:szCs w:val="32"/>
        </w:rPr>
        <w:t>2020年，我们将紧紧围绕县委、县政府中心工作，以维护全县稳定为中心，以深入推进扫黑除恶专项斗争为抓手，切实增强人民群众的安全感和满意度，为蓝田创造和谐稳定的社会治安环境奠定坚实基础。具体抓好以下几项工作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简体" w:hAnsi="宋体" w:eastAsia="方正仿宋简体" w:cs="宋体"/>
          <w:kern w:val="0"/>
          <w:sz w:val="32"/>
          <w:szCs w:val="32"/>
        </w:rPr>
      </w:pPr>
      <w:r>
        <w:rPr>
          <w:rFonts w:hint="eastAsia" w:ascii="方正楷体简体" w:eastAsia="方正楷体简体"/>
          <w:b w:val="0"/>
          <w:bCs/>
          <w:sz w:val="32"/>
          <w:szCs w:val="32"/>
        </w:rPr>
        <w:t>一是全力以赴维护全县社会稳定。</w:t>
      </w:r>
      <w:r>
        <w:rPr>
          <w:rFonts w:hint="eastAsia" w:ascii="方正仿宋简体" w:eastAsia="方正仿宋简体"/>
          <w:sz w:val="32"/>
          <w:szCs w:val="32"/>
        </w:rPr>
        <w:t>通过进一步强化情报信息工作，积极化解不安定因素，快速反应，依法妥善处置群体性事件，为蓝田经济发展保驾护航。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楷体简体" w:hAnsi="宋体" w:eastAsia="方正楷体简体" w:cs="宋体"/>
          <w:b w:val="0"/>
          <w:bCs/>
          <w:kern w:val="0"/>
          <w:sz w:val="32"/>
          <w:szCs w:val="32"/>
        </w:rPr>
        <w:t>二是深入推进扫黑除恶斗争。</w:t>
      </w:r>
      <w:r>
        <w:rPr>
          <w:rFonts w:hint="eastAsia" w:ascii="方正仿宋简体" w:eastAsia="方正仿宋简体"/>
          <w:color w:val="000000"/>
          <w:sz w:val="32"/>
          <w:szCs w:val="32"/>
        </w:rPr>
        <w:t>我们将进一步加强线索摸排、专案攻坚、舆论宣传和执纪问责，采取挂牌督办、限期侦办、提级侦办、异地用警等措施，下重拳、出硬手，穷尽手段、全力以赴，扭转落后局面，再掀扫黑除恶新高潮。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简体" w:eastAsia="方正仿宋简体"/>
          <w:color w:val="000000"/>
          <w:sz w:val="32"/>
          <w:szCs w:val="32"/>
        </w:rPr>
      </w:pPr>
      <w:r>
        <w:rPr>
          <w:rFonts w:hint="eastAsia" w:ascii="方正楷体简体" w:eastAsia="方正楷体简体"/>
          <w:b w:val="0"/>
          <w:bCs/>
          <w:sz w:val="32"/>
          <w:szCs w:val="32"/>
        </w:rPr>
        <w:t>三是进一步提升打击效能。</w:t>
      </w:r>
      <w:r>
        <w:rPr>
          <w:rFonts w:hint="eastAsia" w:ascii="方正仿宋简体" w:eastAsia="方正仿宋简体"/>
          <w:color w:val="000000"/>
          <w:sz w:val="32"/>
          <w:szCs w:val="32"/>
        </w:rPr>
        <w:t>我们将按照“打防并重，以打促防”的方针，精细研判发案特点，保持对各类刑事犯罪的严打高压态势充分发挥多警种合成作战，打防并重的优势，综合整治，严厉打击，做忠诚卫士，铸蓝田平安</w:t>
      </w:r>
      <w:r>
        <w:rPr>
          <w:rFonts w:ascii="方正仿宋简体" w:eastAsia="方正仿宋简体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简体" w:hAnsi="Arial" w:eastAsia="方正仿宋简体" w:cs="Arial"/>
          <w:color w:val="000000"/>
          <w:sz w:val="32"/>
          <w:szCs w:val="32"/>
        </w:rPr>
      </w:pPr>
      <w:r>
        <w:rPr>
          <w:rFonts w:hint="eastAsia" w:ascii="方正楷体简体" w:hAnsi="宋体" w:eastAsia="方正楷体简体" w:cs="宋体"/>
          <w:b w:val="0"/>
          <w:bCs/>
          <w:kern w:val="0"/>
          <w:sz w:val="32"/>
          <w:szCs w:val="32"/>
        </w:rPr>
        <w:t>四是不断深化平安建设。</w:t>
      </w:r>
      <w:r>
        <w:rPr>
          <w:rFonts w:hint="eastAsia" w:ascii="方正仿宋简体" w:hAnsi="Arial" w:eastAsia="方正仿宋简体" w:cs="Arial"/>
          <w:color w:val="000000"/>
          <w:sz w:val="32"/>
          <w:szCs w:val="32"/>
        </w:rPr>
        <w:t>我们将按照上报的社会治安整改方案，调整打防思路和措施，全面加强社会面管控和打击力度，不断提升群众满意度。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hAnsi="宋体" w:eastAsia="方正仿宋简体" w:cs="宋体"/>
          <w:kern w:val="0"/>
          <w:sz w:val="32"/>
          <w:szCs w:val="32"/>
        </w:rPr>
      </w:pPr>
      <w:r>
        <w:rPr>
          <w:rFonts w:hint="eastAsia" w:ascii="方正楷体简体" w:hAnsi="宋体" w:eastAsia="方正楷体简体" w:cs="宋体"/>
          <w:b w:val="0"/>
          <w:bCs/>
          <w:kern w:val="0"/>
          <w:sz w:val="32"/>
          <w:szCs w:val="32"/>
        </w:rPr>
        <w:t>五是不断加强队伍建设。</w:t>
      </w:r>
      <w:r>
        <w:rPr>
          <w:rFonts w:hint="eastAsia" w:ascii="方正仿宋简体" w:hAnsi="宋体" w:eastAsia="方正仿宋简体" w:cs="宋体"/>
          <w:kern w:val="0"/>
          <w:sz w:val="32"/>
          <w:szCs w:val="32"/>
        </w:rPr>
        <w:t>我们将继续深入开展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“不忘初心、牢记使命”主题教育，</w:t>
      </w:r>
      <w:r>
        <w:rPr>
          <w:rFonts w:hint="eastAsia" w:ascii="方正仿宋简体" w:eastAsia="方正仿宋简体" w:cs="仿宋_GB2312"/>
          <w:color w:val="000000"/>
          <w:sz w:val="32"/>
          <w:szCs w:val="32"/>
        </w:rPr>
        <w:t>坚持不懈用习近平新时代中国特色社会主义思想武装全警头脑，</w:t>
      </w:r>
      <w:r>
        <w:rPr>
          <w:rFonts w:hint="eastAsia" w:ascii="方正仿宋简体" w:hAnsi="宋体" w:eastAsia="方正仿宋简体" w:cs="宋体"/>
          <w:kern w:val="0"/>
          <w:sz w:val="32"/>
          <w:szCs w:val="32"/>
        </w:rPr>
        <w:t>进一步凝聚警心，提高队伍战斗力，推进全局各项工作取得新成效、迈上新台阶</w:t>
      </w:r>
      <w:r>
        <w:rPr>
          <w:rFonts w:hint="eastAsia" w:hAnsi="宋体" w:eastAsia="方正仿宋简体" w:cs="宋体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三、部门预算单位构成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从预算单位构成看，本部门的部门预算包括部门本级预算和所属二级预算单位预算。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纳入本部门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2020</w:t>
      </w:r>
      <w:r>
        <w:rPr>
          <w:rFonts w:hint="eastAsia" w:ascii="仿宋_GB2312" w:eastAsia="仿宋_GB2312"/>
          <w:sz w:val="32"/>
          <w:szCs w:val="32"/>
        </w:rPr>
        <w:t>年部门预算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编制范围的一级预算单位1个，为蓝田县公安局</w:t>
      </w:r>
      <w:r>
        <w:rPr>
          <w:rFonts w:hint="eastAsia" w:ascii="仿宋_GB2312" w:eastAsia="仿宋_GB2312"/>
          <w:sz w:val="32"/>
          <w:szCs w:val="32"/>
          <w:lang w:eastAsia="zh-CN"/>
        </w:rPr>
        <w:t>机关</w:t>
      </w:r>
      <w:r>
        <w:rPr>
          <w:rFonts w:hint="eastAsia" w:ascii="仿宋_GB2312" w:eastAsia="仿宋_GB2312"/>
          <w:sz w:val="32"/>
          <w:szCs w:val="32"/>
        </w:rPr>
        <w:t>。二级预算单</w:t>
      </w:r>
      <w:r>
        <w:rPr>
          <w:rFonts w:hint="eastAsia" w:ascii="仿宋_GB2312" w:eastAsia="仿宋_GB2312"/>
          <w:sz w:val="32"/>
          <w:szCs w:val="32"/>
          <w:highlight w:val="none"/>
          <w:shd w:val="clear" w:color="auto" w:fill="auto"/>
        </w:rPr>
        <w:t>位</w:t>
      </w:r>
      <w:r>
        <w:rPr>
          <w:rFonts w:hint="eastAsia" w:ascii="仿宋_GB2312" w:eastAsia="仿宋_GB2312"/>
          <w:sz w:val="32"/>
          <w:szCs w:val="32"/>
          <w:highlight w:val="none"/>
          <w:shd w:val="clear" w:color="auto" w:fill="auto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highlight w:val="none"/>
          <w:shd w:val="clear" w:color="auto" w:fill="auto"/>
        </w:rPr>
        <w:t>个</w:t>
      </w:r>
      <w:r>
        <w:rPr>
          <w:rFonts w:hint="eastAsia" w:ascii="仿宋_GB2312" w:eastAsia="仿宋_GB2312"/>
          <w:sz w:val="32"/>
          <w:szCs w:val="32"/>
        </w:rPr>
        <w:t>，具体如下：蓝田县公安局交通管理大队、蓝田县公安局消防大队。</w:t>
      </w:r>
    </w:p>
    <w:tbl>
      <w:tblPr>
        <w:tblStyle w:val="7"/>
        <w:tblW w:w="80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预算级次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一级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蓝田县公安局机关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二级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蓝田县公安局交通管理大队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二级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蓝田县公安局消防大队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四、部门人员情况说明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截止201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年底，本部门人员编制274人，其中行政编制274人；实有人员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494</w:t>
      </w:r>
      <w:r>
        <w:rPr>
          <w:rFonts w:hint="eastAsia" w:ascii="仿宋_GB2312" w:eastAsia="仿宋_GB2312"/>
          <w:sz w:val="32"/>
          <w:szCs w:val="32"/>
        </w:rPr>
        <w:t>人，其中行政4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93</w:t>
      </w:r>
      <w:r>
        <w:rPr>
          <w:rFonts w:hint="eastAsia" w:ascii="仿宋_GB2312" w:eastAsia="仿宋_GB2312"/>
          <w:sz w:val="32"/>
          <w:szCs w:val="32"/>
        </w:rPr>
        <w:t>人、事业1人。单位管理的离退休人员1人。</w:t>
      </w:r>
    </w:p>
    <w:p>
      <w:pPr>
        <w:pStyle w:val="2"/>
        <w:spacing w:line="240" w:lineRule="auto"/>
        <w:ind w:left="0" w:leftChars="0" w:firstLine="0" w:firstLineChars="0"/>
        <w:jc w:val="center"/>
        <w:rPr>
          <w:rFonts w:hint="eastAsia" w:eastAsia="仿宋_GB2312"/>
          <w:lang w:eastAsia="zh-CN"/>
        </w:rPr>
      </w:pPr>
      <w:r>
        <w:rPr>
          <w:rFonts w:hint="eastAsia" w:eastAsia="仿宋_GB2312"/>
          <w:lang w:eastAsia="zh-CN"/>
        </w:rPr>
        <w:drawing>
          <wp:inline distT="0" distB="0" distL="114300" distR="114300">
            <wp:extent cx="5271770" cy="2911475"/>
            <wp:effectExtent l="0" t="0" r="5080" b="3175"/>
            <wp:docPr id="3" name="图片 3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1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numPr>
          <w:ilvl w:val="0"/>
          <w:numId w:val="1"/>
        </w:num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收支情况</w:t>
      </w:r>
    </w:p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r>
        <w:rPr>
          <w:rFonts w:hint="eastAsia" w:ascii="黑体" w:hAnsi="黑体" w:eastAsia="黑体" w:cs="黑体"/>
          <w:sz w:val="32"/>
          <w:szCs w:val="32"/>
        </w:rPr>
        <w:t>五、2020年部门预算收支说明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（一）收支预算总体情况。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按照综合预算的原则，本部门所有收入和支出均纳入部门预算管理。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2020</w:t>
      </w:r>
      <w:r>
        <w:rPr>
          <w:rFonts w:hint="eastAsia" w:ascii="仿宋_GB2312" w:eastAsia="仿宋_GB2312"/>
          <w:sz w:val="32"/>
          <w:szCs w:val="32"/>
        </w:rPr>
        <w:t>年本部门预算收入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8802.10</w:t>
      </w:r>
      <w:r>
        <w:rPr>
          <w:rFonts w:hint="eastAsia" w:ascii="仿宋_GB2312" w:eastAsia="仿宋_GB2312"/>
          <w:sz w:val="32"/>
          <w:szCs w:val="32"/>
        </w:rPr>
        <w:t>万元，其中一般公共预算拨款收入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8802.10</w:t>
      </w:r>
      <w:r>
        <w:rPr>
          <w:rFonts w:hint="eastAsia" w:ascii="仿宋_GB2312" w:eastAsia="仿宋_GB2312"/>
          <w:sz w:val="32"/>
          <w:szCs w:val="32"/>
        </w:rPr>
        <w:t>万元、政府性基金拨款收入0万元，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2020</w:t>
      </w:r>
      <w:r>
        <w:rPr>
          <w:rFonts w:hint="eastAsia" w:ascii="仿宋_GB2312" w:eastAsia="仿宋_GB2312"/>
          <w:sz w:val="32"/>
          <w:szCs w:val="32"/>
        </w:rPr>
        <w:t>年本部门预算收入较上年增加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538.08</w:t>
      </w:r>
      <w:r>
        <w:rPr>
          <w:rFonts w:hint="eastAsia" w:ascii="仿宋_GB2312" w:eastAsia="仿宋_GB2312"/>
          <w:sz w:val="32"/>
          <w:szCs w:val="32"/>
        </w:rPr>
        <w:t>万元，增长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6.51</w:t>
      </w:r>
      <w:r>
        <w:rPr>
          <w:rFonts w:hint="eastAsia" w:ascii="仿宋_GB2312" w:eastAsia="仿宋_GB2312"/>
          <w:sz w:val="32"/>
          <w:szCs w:val="32"/>
        </w:rPr>
        <w:t>%，主要原因是人员工资</w:t>
      </w:r>
      <w:r>
        <w:rPr>
          <w:rFonts w:hint="eastAsia" w:ascii="仿宋_GB2312" w:eastAsia="仿宋_GB2312"/>
          <w:sz w:val="32"/>
          <w:szCs w:val="32"/>
          <w:lang w:eastAsia="zh-CN"/>
        </w:rPr>
        <w:t>福利</w:t>
      </w:r>
      <w:r>
        <w:rPr>
          <w:rFonts w:hint="eastAsia" w:ascii="仿宋_GB2312" w:eastAsia="仿宋_GB2312"/>
          <w:sz w:val="32"/>
          <w:szCs w:val="32"/>
        </w:rPr>
        <w:t>支出增加</w:t>
      </w:r>
      <w:r>
        <w:rPr>
          <w:rFonts w:hint="eastAsia" w:ascii="仿宋_GB2312" w:eastAsia="仿宋_GB2312"/>
          <w:sz w:val="32"/>
          <w:szCs w:val="32"/>
          <w:lang w:eastAsia="zh-CN"/>
        </w:rPr>
        <w:t>及公用经费标准提高所致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2020</w:t>
      </w:r>
      <w:r>
        <w:rPr>
          <w:rFonts w:hint="eastAsia" w:ascii="仿宋_GB2312" w:eastAsia="仿宋_GB2312"/>
          <w:sz w:val="32"/>
          <w:szCs w:val="32"/>
        </w:rPr>
        <w:t>年本部门预算支出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8802.10</w:t>
      </w:r>
      <w:r>
        <w:rPr>
          <w:rFonts w:hint="eastAsia" w:ascii="仿宋_GB2312" w:eastAsia="仿宋_GB2312"/>
          <w:sz w:val="32"/>
          <w:szCs w:val="32"/>
        </w:rPr>
        <w:t>万元，其中一般公共预算拨款支出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8802.10</w:t>
      </w:r>
      <w:r>
        <w:rPr>
          <w:rFonts w:hint="eastAsia" w:ascii="仿宋_GB2312" w:eastAsia="仿宋_GB2312"/>
          <w:sz w:val="32"/>
          <w:szCs w:val="32"/>
        </w:rPr>
        <w:t>万元、政府性基金拨款支出0万元，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2020</w:t>
      </w:r>
      <w:r>
        <w:rPr>
          <w:rFonts w:hint="eastAsia" w:ascii="仿宋_GB2312" w:eastAsia="仿宋_GB2312"/>
          <w:sz w:val="32"/>
          <w:szCs w:val="32"/>
        </w:rPr>
        <w:t>年本部门预算支出较上年增加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538.08</w:t>
      </w:r>
      <w:r>
        <w:rPr>
          <w:rFonts w:hint="eastAsia" w:ascii="仿宋_GB2312" w:eastAsia="仿宋_GB2312"/>
          <w:sz w:val="32"/>
          <w:szCs w:val="32"/>
        </w:rPr>
        <w:t>万元，增长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6.51</w:t>
      </w:r>
      <w:r>
        <w:rPr>
          <w:rFonts w:hint="eastAsia" w:ascii="仿宋_GB2312" w:eastAsia="仿宋_GB2312"/>
          <w:sz w:val="32"/>
          <w:szCs w:val="32"/>
        </w:rPr>
        <w:t>%，主要原因是人员工资</w:t>
      </w:r>
      <w:r>
        <w:rPr>
          <w:rFonts w:hint="eastAsia" w:ascii="仿宋_GB2312" w:eastAsia="仿宋_GB2312"/>
          <w:sz w:val="32"/>
          <w:szCs w:val="32"/>
          <w:lang w:eastAsia="zh-CN"/>
        </w:rPr>
        <w:t>福利</w:t>
      </w:r>
      <w:r>
        <w:rPr>
          <w:rFonts w:hint="eastAsia" w:ascii="仿宋_GB2312" w:eastAsia="仿宋_GB2312"/>
          <w:sz w:val="32"/>
          <w:szCs w:val="32"/>
        </w:rPr>
        <w:t>支出增加</w:t>
      </w:r>
      <w:r>
        <w:rPr>
          <w:rFonts w:hint="eastAsia" w:ascii="仿宋_GB2312" w:eastAsia="仿宋_GB2312"/>
          <w:sz w:val="32"/>
          <w:szCs w:val="32"/>
          <w:lang w:eastAsia="zh-CN"/>
        </w:rPr>
        <w:t>及公用经费标准提高所致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财政拨款收支情况。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2020</w:t>
      </w:r>
      <w:r>
        <w:rPr>
          <w:rFonts w:hint="eastAsia" w:ascii="仿宋_GB2312" w:eastAsia="仿宋_GB2312"/>
          <w:sz w:val="32"/>
          <w:szCs w:val="32"/>
        </w:rPr>
        <w:t>年本部门</w:t>
      </w:r>
      <w:r>
        <w:rPr>
          <w:rFonts w:hint="eastAsia" w:ascii="仿宋_GB2312" w:eastAsia="仿宋_GB2312"/>
          <w:sz w:val="32"/>
          <w:szCs w:val="32"/>
          <w:lang w:eastAsia="zh-CN"/>
        </w:rPr>
        <w:t>财政拨款</w:t>
      </w:r>
      <w:r>
        <w:rPr>
          <w:rFonts w:hint="eastAsia" w:ascii="仿宋_GB2312" w:eastAsia="仿宋_GB2312"/>
          <w:sz w:val="32"/>
          <w:szCs w:val="32"/>
        </w:rPr>
        <w:t>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8802.10</w:t>
      </w:r>
      <w:r>
        <w:rPr>
          <w:rFonts w:hint="eastAsia" w:ascii="仿宋_GB2312" w:eastAsia="仿宋_GB2312"/>
          <w:sz w:val="32"/>
          <w:szCs w:val="32"/>
        </w:rPr>
        <w:t>万元，其中一般公共预算拨款收入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8802.10</w:t>
      </w:r>
      <w:r>
        <w:rPr>
          <w:rFonts w:hint="eastAsia" w:ascii="仿宋_GB2312" w:eastAsia="仿宋_GB2312"/>
          <w:sz w:val="32"/>
          <w:szCs w:val="32"/>
        </w:rPr>
        <w:t>万元、政府性基金拨款收入0万元，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2020</w:t>
      </w:r>
      <w:r>
        <w:rPr>
          <w:rFonts w:hint="eastAsia" w:ascii="仿宋_GB2312" w:eastAsia="仿宋_GB2312"/>
          <w:sz w:val="32"/>
          <w:szCs w:val="32"/>
        </w:rPr>
        <w:t>年本部门</w:t>
      </w:r>
      <w:r>
        <w:rPr>
          <w:rFonts w:hint="eastAsia" w:ascii="仿宋_GB2312" w:eastAsia="仿宋_GB2312"/>
          <w:sz w:val="32"/>
          <w:szCs w:val="32"/>
          <w:lang w:eastAsia="zh-CN"/>
        </w:rPr>
        <w:t>财政拨款</w:t>
      </w:r>
      <w:r>
        <w:rPr>
          <w:rFonts w:hint="eastAsia" w:ascii="仿宋_GB2312" w:eastAsia="仿宋_GB2312"/>
          <w:sz w:val="32"/>
          <w:szCs w:val="32"/>
        </w:rPr>
        <w:t>收入较上年增加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538.08</w:t>
      </w:r>
      <w:r>
        <w:rPr>
          <w:rFonts w:hint="eastAsia" w:ascii="仿宋_GB2312" w:eastAsia="仿宋_GB2312"/>
          <w:sz w:val="32"/>
          <w:szCs w:val="32"/>
        </w:rPr>
        <w:t>万元，增长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6.51</w:t>
      </w:r>
      <w:r>
        <w:rPr>
          <w:rFonts w:hint="eastAsia" w:ascii="仿宋_GB2312" w:eastAsia="仿宋_GB2312"/>
          <w:sz w:val="32"/>
          <w:szCs w:val="32"/>
        </w:rPr>
        <w:t>%，主要原因是人员工资</w:t>
      </w:r>
      <w:r>
        <w:rPr>
          <w:rFonts w:hint="eastAsia" w:ascii="仿宋_GB2312" w:eastAsia="仿宋_GB2312"/>
          <w:sz w:val="32"/>
          <w:szCs w:val="32"/>
          <w:lang w:eastAsia="zh-CN"/>
        </w:rPr>
        <w:t>福利</w:t>
      </w:r>
      <w:r>
        <w:rPr>
          <w:rFonts w:hint="eastAsia" w:ascii="仿宋_GB2312" w:eastAsia="仿宋_GB2312"/>
          <w:sz w:val="32"/>
          <w:szCs w:val="32"/>
        </w:rPr>
        <w:t>支出增加</w:t>
      </w:r>
      <w:r>
        <w:rPr>
          <w:rFonts w:hint="eastAsia" w:ascii="仿宋_GB2312" w:eastAsia="仿宋_GB2312"/>
          <w:sz w:val="32"/>
          <w:szCs w:val="32"/>
          <w:lang w:eastAsia="zh-CN"/>
        </w:rPr>
        <w:t>及公用经费标准提高所致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2020</w:t>
      </w:r>
      <w:r>
        <w:rPr>
          <w:rFonts w:hint="eastAsia" w:ascii="仿宋_GB2312" w:eastAsia="仿宋_GB2312"/>
          <w:sz w:val="32"/>
          <w:szCs w:val="32"/>
        </w:rPr>
        <w:t>年本部门</w:t>
      </w:r>
      <w:r>
        <w:rPr>
          <w:rFonts w:hint="eastAsia" w:ascii="仿宋_GB2312" w:eastAsia="仿宋_GB2312"/>
          <w:sz w:val="32"/>
          <w:szCs w:val="32"/>
          <w:lang w:eastAsia="zh-CN"/>
        </w:rPr>
        <w:t>财政拨款</w:t>
      </w:r>
      <w:r>
        <w:rPr>
          <w:rFonts w:hint="eastAsia" w:ascii="仿宋_GB2312" w:eastAsia="仿宋_GB2312"/>
          <w:sz w:val="32"/>
          <w:szCs w:val="32"/>
        </w:rPr>
        <w:t>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8802.10</w:t>
      </w:r>
      <w:r>
        <w:rPr>
          <w:rFonts w:hint="eastAsia" w:ascii="仿宋_GB2312" w:eastAsia="仿宋_GB2312"/>
          <w:sz w:val="32"/>
          <w:szCs w:val="32"/>
        </w:rPr>
        <w:t>万元，其中一般公共预算拨款支出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8802.10</w:t>
      </w:r>
      <w:r>
        <w:rPr>
          <w:rFonts w:hint="eastAsia" w:ascii="仿宋_GB2312" w:eastAsia="仿宋_GB2312"/>
          <w:sz w:val="32"/>
          <w:szCs w:val="32"/>
        </w:rPr>
        <w:t>万元、政府性基金拨款支出0万元，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2020</w:t>
      </w:r>
      <w:r>
        <w:rPr>
          <w:rFonts w:hint="eastAsia" w:ascii="仿宋_GB2312" w:eastAsia="仿宋_GB2312"/>
          <w:sz w:val="32"/>
          <w:szCs w:val="32"/>
        </w:rPr>
        <w:t>年本部门</w:t>
      </w:r>
      <w:r>
        <w:rPr>
          <w:rFonts w:hint="eastAsia" w:ascii="仿宋_GB2312" w:eastAsia="仿宋_GB2312"/>
          <w:sz w:val="32"/>
          <w:szCs w:val="32"/>
          <w:lang w:eastAsia="zh-CN"/>
        </w:rPr>
        <w:t>财政拨款</w:t>
      </w:r>
      <w:r>
        <w:rPr>
          <w:rFonts w:hint="eastAsia" w:ascii="仿宋_GB2312" w:eastAsia="仿宋_GB2312"/>
          <w:sz w:val="32"/>
          <w:szCs w:val="32"/>
        </w:rPr>
        <w:t>支出较上年增加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538.08</w:t>
      </w:r>
      <w:r>
        <w:rPr>
          <w:rFonts w:hint="eastAsia" w:ascii="仿宋_GB2312" w:eastAsia="仿宋_GB2312"/>
          <w:sz w:val="32"/>
          <w:szCs w:val="32"/>
        </w:rPr>
        <w:t>万元，增长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6.51</w:t>
      </w:r>
      <w:r>
        <w:rPr>
          <w:rFonts w:hint="eastAsia" w:ascii="仿宋_GB2312" w:eastAsia="仿宋_GB2312"/>
          <w:sz w:val="32"/>
          <w:szCs w:val="32"/>
        </w:rPr>
        <w:t>%，主要原因是人员工资</w:t>
      </w:r>
      <w:r>
        <w:rPr>
          <w:rFonts w:hint="eastAsia" w:ascii="仿宋_GB2312" w:eastAsia="仿宋_GB2312"/>
          <w:sz w:val="32"/>
          <w:szCs w:val="32"/>
          <w:lang w:eastAsia="zh-CN"/>
        </w:rPr>
        <w:t>福利</w:t>
      </w:r>
      <w:r>
        <w:rPr>
          <w:rFonts w:hint="eastAsia" w:ascii="仿宋_GB2312" w:eastAsia="仿宋_GB2312"/>
          <w:sz w:val="32"/>
          <w:szCs w:val="32"/>
        </w:rPr>
        <w:t>支出增加</w:t>
      </w:r>
      <w:r>
        <w:rPr>
          <w:rFonts w:hint="eastAsia" w:ascii="仿宋_GB2312" w:eastAsia="仿宋_GB2312"/>
          <w:sz w:val="32"/>
          <w:szCs w:val="32"/>
          <w:lang w:eastAsia="zh-CN"/>
        </w:rPr>
        <w:t>及公用经费标准提高所致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（三）一般公共预算拨款支出明细情况。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1、一般公共预算当年拨款规模变化情况。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2020年本部门当年一般公共预算拨款支出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8802.10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万元，较上年增加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538.08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万元，增长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6.51</w:t>
      </w:r>
      <w:r>
        <w:rPr>
          <w:rFonts w:hint="eastAsia" w:ascii="仿宋_GB2312" w:hAnsi="仿宋_GB2312" w:eastAsia="仿宋_GB2312" w:cs="仿宋_GB2312"/>
          <w:sz w:val="32"/>
          <w:szCs w:val="32"/>
        </w:rPr>
        <w:t>%，</w:t>
      </w:r>
      <w:r>
        <w:rPr>
          <w:rFonts w:hint="eastAsia" w:ascii="仿宋_GB2312" w:eastAsia="仿宋_GB2312"/>
          <w:sz w:val="32"/>
          <w:szCs w:val="32"/>
        </w:rPr>
        <w:t>主要原因是人员工资</w:t>
      </w:r>
      <w:r>
        <w:rPr>
          <w:rFonts w:hint="eastAsia" w:ascii="仿宋_GB2312" w:eastAsia="仿宋_GB2312"/>
          <w:sz w:val="32"/>
          <w:szCs w:val="32"/>
          <w:lang w:eastAsia="zh-CN"/>
        </w:rPr>
        <w:t>福利</w:t>
      </w:r>
      <w:r>
        <w:rPr>
          <w:rFonts w:hint="eastAsia" w:ascii="仿宋_GB2312" w:eastAsia="仿宋_GB2312"/>
          <w:sz w:val="32"/>
          <w:szCs w:val="32"/>
        </w:rPr>
        <w:t>支出增加</w:t>
      </w:r>
      <w:r>
        <w:rPr>
          <w:rFonts w:hint="eastAsia" w:ascii="仿宋_GB2312" w:eastAsia="仿宋_GB2312"/>
          <w:sz w:val="32"/>
          <w:szCs w:val="32"/>
          <w:lang w:eastAsia="zh-CN"/>
        </w:rPr>
        <w:t>及公用经费标准提高所致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2、支出按功能科目分类的明细情况。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本部门2020年当年一般公共预算支出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8802.10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t>（1）其他武装警察部队支出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2040199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376.5万元，较上年增加376.5万元，</w:t>
      </w:r>
      <w:r>
        <w:rPr>
          <w:rFonts w:hint="eastAsia" w:ascii="仿宋_GB2312" w:hAnsi="仿宋_GB2312" w:eastAsia="仿宋_GB2312" w:cs="仿宋_GB2312"/>
          <w:sz w:val="32"/>
          <w:szCs w:val="32"/>
        </w:rPr>
        <w:t>原因是蓝田县公安局消防大队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2019年使用</w:t>
      </w:r>
      <w:r>
        <w:rPr>
          <w:rFonts w:hint="eastAsia" w:ascii="仿宋_GB2312" w:hAnsi="仿宋_GB2312" w:eastAsia="仿宋_GB2312" w:cs="仿宋_GB2312"/>
          <w:sz w:val="32"/>
          <w:szCs w:val="32"/>
        </w:rPr>
        <w:t>消防应急救援（2240204）科目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2020年使用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其他武装警察部队支出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2040199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）科目，科目不统一导致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2040199科目金额增加；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（2）行政运行（20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40201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7098.97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万元，较上年增加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430.34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万元，人员工资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福利</w:t>
      </w:r>
      <w:r>
        <w:rPr>
          <w:rFonts w:hint="eastAsia" w:ascii="仿宋_GB2312" w:hAnsi="仿宋_GB2312" w:eastAsia="仿宋_GB2312" w:cs="仿宋_GB2312"/>
          <w:sz w:val="32"/>
          <w:szCs w:val="32"/>
        </w:rPr>
        <w:t>支出增加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及公用经费标准提高所致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（3）执法办案（2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040220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562.6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万元，较上年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32.8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万元，原因是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维修（维护）费及委托业务费增加所致；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（4）机关事业单位基本养老保险缴费支出（2080505）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616.32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万元，较上年减少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58.77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万元，原因是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养老保险缴费费率降低所致；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）机关事业单位职业年金缴费支出（2080506）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28.12万元，较上年增加14.12万元，原因是2020年退休人员较上年增多；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_GB2312" w:eastAsia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（6）行政单位医疗（2101101）105.28万元，较上年增加105.28万元，原因是行政单位医疗（2101101）</w:t>
      </w:r>
      <w:r>
        <w:rPr>
          <w:rFonts w:hint="eastAsia" w:ascii="仿宋_GB2312" w:eastAsia="仿宋_GB2312"/>
          <w:b w:val="0"/>
          <w:bCs/>
          <w:sz w:val="32"/>
          <w:szCs w:val="32"/>
        </w:rPr>
        <w:t>为新增科目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）公务员医疗补助（2101103）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5.28万元，较上年增加5.28万元，原因是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公务员医疗补助（2101103）为新增科目；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_GB2312" w:eastAsia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）其他卫生健康支出（2109901）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9.02万元，较上年增加9.02万元，原因是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其他卫生健康支出（2109901）为新增科目。</w:t>
      </w:r>
    </w:p>
    <w:p>
      <w:pPr>
        <w:spacing w:line="240" w:lineRule="auto"/>
        <w:ind w:left="0" w:leftChars="0" w:firstLine="0" w:firstLineChars="0"/>
        <w:jc w:val="center"/>
        <w:rPr>
          <w:rFonts w:hint="eastAsia" w:ascii="仿宋_GB2312" w:eastAsia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drawing>
          <wp:inline distT="0" distB="0" distL="114300" distR="114300">
            <wp:extent cx="5271770" cy="2090420"/>
            <wp:effectExtent l="0" t="0" r="5080" b="5080"/>
            <wp:docPr id="4" name="图片 4" descr="QQ图片20200203172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图片2020020317225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09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71755</wp:posOffset>
            </wp:positionV>
            <wp:extent cx="5116830" cy="2343785"/>
            <wp:effectExtent l="0" t="0" r="7620" b="18415"/>
            <wp:wrapNone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16830" cy="234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3、支出按经济科目分类的明细情况。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（1）按照部门预算支出经济分类的类级科目说明。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2020年本部门当年一般公共预算支出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8802.10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工资福利支出（301）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6713.03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万元，较上年增加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404.7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万元，原因是行政人员人数增加及工资标准提高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所致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商品和服务支出（302）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2058.02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万元，较上年增加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131.8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万元，原因是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公用经费标准提高所致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对个人和家庭的补助支出（303）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31.05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万元，较上年增加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1.58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万元，原因是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享受补助的个人和家庭数量增加所致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ind w:left="0" w:leftChars="0" w:firstLine="0" w:firstLineChars="0"/>
        <w:rPr>
          <w:rFonts w:hint="eastAsia"/>
        </w:rPr>
      </w:pPr>
    </w:p>
    <w:p>
      <w:pPr>
        <w:pStyle w:val="2"/>
        <w:spacing w:line="240" w:lineRule="auto"/>
        <w:ind w:left="0" w:leftChars="0" w:firstLine="0" w:firstLineChars="0"/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8595" cy="1449705"/>
            <wp:effectExtent l="0" t="0" r="8255" b="17145"/>
            <wp:docPr id="1" name="图片 1" descr="QQ图片20200204104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20020410484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44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按照政府预算支出经济分类的类级科目说明。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2020年本部门当年一般公共预算支出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8802.10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机关工资福利支出（501）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6704.65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万元，较上年增加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405.38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万元，原因是行政人员人数增加及工资标准提高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所致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机关商品和服务支出（502）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2058.02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万元，较上年增加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131.8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万元，原因是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公用经费标准提高所致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对事业单位经常性补助</w:t>
      </w:r>
      <w:r>
        <w:rPr>
          <w:rFonts w:hint="eastAsia" w:ascii="仿宋_GB2312" w:hAnsi="仿宋_GB2312" w:eastAsia="仿宋_GB2312" w:cs="仿宋_GB2312"/>
          <w:sz w:val="32"/>
          <w:szCs w:val="32"/>
        </w:rPr>
        <w:t>（505）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8.37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万元，较上年减少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1.36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万元，原因是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事业人员工资改革和无事业人员公用经费所致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对个人和家庭的补助</w:t>
      </w:r>
      <w:r>
        <w:rPr>
          <w:rFonts w:hint="eastAsia" w:ascii="仿宋_GB2312" w:hAnsi="仿宋_GB2312" w:eastAsia="仿宋_GB2312" w:cs="仿宋_GB2312"/>
          <w:sz w:val="32"/>
          <w:szCs w:val="32"/>
        </w:rPr>
        <w:t>（50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31.05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万元，较上年增加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1.58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万元，原因是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享受补助的个人和家庭数量增加所致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2"/>
        <w:spacing w:line="240" w:lineRule="auto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70500" cy="1648460"/>
            <wp:effectExtent l="0" t="0" r="6350" b="8890"/>
            <wp:docPr id="2" name="图片 2" descr="QQ图片20200204110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图片2020020411043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4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4、2019年结转财政资金一般公共预算拨款支出情况。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本年度无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2019年结转财政</w:t>
      </w:r>
      <w:r>
        <w:rPr>
          <w:rFonts w:hint="eastAsia" w:ascii="仿宋_GB2312" w:hAnsi="仿宋_GB2312" w:eastAsia="仿宋_GB2312" w:cs="仿宋_GB2312"/>
          <w:sz w:val="32"/>
          <w:szCs w:val="32"/>
        </w:rPr>
        <w:t>资金一般公共预算拨款支出。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（四）政府性基金预算支出情况。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1、当年政府性基金预算支出情况。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本部门无当年政府性基金预算收支，并已公开空表。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2、上年结转政府性基金预算支出情况。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本部门无2019年结转的政府性基金预算拨款支出。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（五）国有资本经营预算拨款收支情况。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本部门无当年国有资本经营预算拨款收支，并在财政拨款收支总体情况表中列示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本部门无2019年结转的国有资本经营预算拨款支出。</w:t>
      </w:r>
    </w:p>
    <w:p>
      <w:pPr>
        <w:rPr>
          <w:rFonts w:hint="eastAsia"/>
        </w:rPr>
      </w:pPr>
    </w:p>
    <w:p>
      <w:pPr>
        <w:numPr>
          <w:ilvl w:val="0"/>
          <w:numId w:val="1"/>
        </w:num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其他说明情况</w:t>
      </w:r>
    </w:p>
    <w:p>
      <w:pPr>
        <w:pStyle w:val="2"/>
        <w:numPr>
          <w:ilvl w:val="0"/>
          <w:numId w:val="0"/>
        </w:numPr>
        <w:ind w:leftChars="200"/>
      </w:pP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六、部门预算“三公”经费等预算情况说明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2020年本部门当年一般公共预算“三公”经费预算支出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万元，较上年增加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增长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9.5</w:t>
      </w:r>
      <w:r>
        <w:rPr>
          <w:rFonts w:hint="eastAsia" w:ascii="仿宋_GB2312" w:hAnsi="仿宋_GB2312" w:eastAsia="仿宋_GB2312" w:cs="仿宋_GB2312"/>
          <w:sz w:val="32"/>
          <w:szCs w:val="32"/>
        </w:rPr>
        <w:t>%），增加的主要原因是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局机关当年新增公务接待费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。其中：因公出国（境）经费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与上年持平</w:t>
      </w:r>
      <w:r>
        <w:rPr>
          <w:rFonts w:hint="eastAsia" w:ascii="仿宋_GB2312" w:hAnsi="仿宋_GB2312" w:eastAsia="仿宋_GB2312" w:cs="仿宋_GB2312"/>
          <w:sz w:val="32"/>
          <w:szCs w:val="32"/>
        </w:rPr>
        <w:t>；公务接待费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万元，较上年增加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增长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sz w:val="32"/>
          <w:szCs w:val="32"/>
        </w:rPr>
        <w:t>%），增加的主要原因是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局机关当年新增公务接待费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；公务用车运行费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与上年持平</w:t>
      </w:r>
      <w:r>
        <w:rPr>
          <w:rFonts w:hint="eastAsia" w:ascii="仿宋_GB2312" w:hAnsi="仿宋_GB2312" w:eastAsia="仿宋_GB2312" w:cs="仿宋_GB2312"/>
          <w:sz w:val="32"/>
          <w:szCs w:val="32"/>
        </w:rPr>
        <w:t>；公务用车购置费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与上年持平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年本部门</w:t>
      </w:r>
      <w:r>
        <w:rPr>
          <w:rFonts w:hint="eastAsia" w:ascii="仿宋_GB2312" w:eastAsia="仿宋_GB2312"/>
          <w:sz w:val="32"/>
          <w:szCs w:val="32"/>
          <w:lang w:eastAsia="zh-CN"/>
        </w:rPr>
        <w:t>当年</w:t>
      </w:r>
      <w:r>
        <w:rPr>
          <w:rFonts w:hint="eastAsia" w:ascii="仿宋_GB2312" w:eastAsia="仿宋_GB2312"/>
          <w:sz w:val="32"/>
          <w:szCs w:val="32"/>
        </w:rPr>
        <w:t>一般公共预算会议费</w:t>
      </w:r>
      <w:r>
        <w:rPr>
          <w:rFonts w:hint="eastAsia" w:ascii="仿宋_GB2312" w:eastAsia="仿宋_GB2312"/>
          <w:sz w:val="32"/>
          <w:szCs w:val="32"/>
          <w:lang w:eastAsia="zh-CN"/>
        </w:rPr>
        <w:t>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</w:rPr>
        <w:t>较上年增加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增长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12.5</w:t>
      </w:r>
      <w:r>
        <w:rPr>
          <w:rFonts w:hint="eastAsia" w:ascii="仿宋_GB2312" w:hAnsi="仿宋_GB2312" w:eastAsia="仿宋_GB2312" w:cs="仿宋_GB2312"/>
          <w:sz w:val="32"/>
          <w:szCs w:val="32"/>
        </w:rPr>
        <w:t>%），增加的主要原因是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消防队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当年会议费增加所致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年本部门</w:t>
      </w:r>
      <w:r>
        <w:rPr>
          <w:rFonts w:hint="eastAsia" w:ascii="仿宋_GB2312" w:eastAsia="仿宋_GB2312"/>
          <w:sz w:val="32"/>
          <w:szCs w:val="32"/>
          <w:lang w:eastAsia="zh-CN"/>
        </w:rPr>
        <w:t>当年</w:t>
      </w:r>
      <w:r>
        <w:rPr>
          <w:rFonts w:hint="eastAsia" w:ascii="仿宋_GB2312" w:eastAsia="仿宋_GB2312"/>
          <w:sz w:val="32"/>
          <w:szCs w:val="32"/>
        </w:rPr>
        <w:t>一般公共预算培训费</w:t>
      </w:r>
      <w:r>
        <w:rPr>
          <w:rFonts w:hint="eastAsia" w:ascii="仿宋_GB2312" w:eastAsia="仿宋_GB2312"/>
          <w:sz w:val="32"/>
          <w:szCs w:val="32"/>
          <w:lang w:eastAsia="zh-CN"/>
        </w:rPr>
        <w:t>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万元，较上年减少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万元（</w:t>
      </w:r>
      <w:r>
        <w:rPr>
          <w:rFonts w:hint="eastAsia" w:ascii="仿宋_GB2312" w:eastAsia="仿宋_GB2312"/>
          <w:sz w:val="32"/>
          <w:szCs w:val="32"/>
          <w:lang w:eastAsia="zh-CN"/>
        </w:rPr>
        <w:t>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54.5</w:t>
      </w:r>
      <w:r>
        <w:rPr>
          <w:rFonts w:hint="eastAsia" w:ascii="仿宋_GB2312" w:eastAsia="仿宋_GB2312"/>
          <w:sz w:val="32"/>
          <w:szCs w:val="32"/>
        </w:rPr>
        <w:t>%），减少的主要原因是</w:t>
      </w:r>
      <w:r>
        <w:rPr>
          <w:rFonts w:hint="eastAsia" w:ascii="仿宋_GB2312" w:eastAsia="仿宋_GB2312"/>
          <w:sz w:val="32"/>
          <w:szCs w:val="32"/>
          <w:lang w:eastAsia="zh-CN"/>
        </w:rPr>
        <w:t>多数培训由上级部分组织和承担费用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七、部门国有资产占有使用及资产购置情况说明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截止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</w:t>
      </w:r>
      <w:r>
        <w:rPr>
          <w:rFonts w:hint="eastAsia" w:ascii="仿宋_GB2312" w:hAnsi="仿宋_GB2312" w:eastAsia="仿宋_GB2312" w:cs="仿宋_GB2312"/>
          <w:sz w:val="32"/>
          <w:szCs w:val="32"/>
        </w:rPr>
        <w:t>年底，本部门所属预算单位共有车辆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126</w:t>
      </w:r>
      <w:r>
        <w:rPr>
          <w:rFonts w:hint="eastAsia" w:ascii="仿宋_GB2312" w:hAnsi="仿宋_GB2312" w:eastAsia="仿宋_GB2312" w:cs="仿宋_GB2312"/>
          <w:sz w:val="32"/>
          <w:szCs w:val="32"/>
        </w:rPr>
        <w:t>辆，其中：一般执法执勤用车70辆，特种专业技术用车56辆。单价20万元以上的设备40台（套）。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年部门预算安排购置车辆0辆；安排购置单价20万元以上的设备0台（套）。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八、部门政府采购情况说明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本部门2020年无政府采购预算，并已公开空表。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本部门无2019年结转的政府采购资金支出。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九、部门预算绩效目标说明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2020年本部门绩效目标管理全覆盖，涉及当年一般公共预算拨款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8802.10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万元,当年政府性基金预算拨款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万元，当年国有资本经营预算拨款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万元（详见公开报表中的绩效目标表）。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本部门无2019年结转的财政拨款支出涉及的绩效目标管理。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十、机关运行经费安排说明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本部门当年机关运行经费预算安排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2058.02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万元，较上年增加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131.8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万元，主要原因是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公用经费标准提高和行政人员增加所致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十一、专业名词解释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机关运行经费：指各部门的公用经费，包括办公及印刷费、邮电费、差旅费、会议费、福利费、日常维修费、专用材料及一般设备购置费、办公用房水电费、办公用房取暖费、办公用房物业管理费、公务用车运行费以及其他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“三公”经费：是指用财政拨款安排的因公出国（境）费、公务用车购置及运行费和公务接待费，其中，因公出国（境）费反映单位公务出国（境）的国际旅费、国外城市间交通费、住宿费、伙食费、培训费、公杂费等支出；公务用车购置及运行费反映单位公务用车车辆购置支出（含车辆购置税）、燃料费、维修费、过路过桥费、保险费、安全奖励费用等支出；公务接待费反映单位按规定开支的各类公务接待支出。</w:t>
      </w:r>
    </w:p>
    <w:p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第四部分  公开报表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</w:pPr>
      <w:r>
        <w:rPr>
          <w:rFonts w:hint="eastAsia" w:ascii="仿宋_GB2312" w:eastAsia="仿宋_GB2312"/>
          <w:sz w:val="32"/>
          <w:szCs w:val="32"/>
        </w:rPr>
        <w:t>详情见附表。</w:t>
      </w:r>
      <w:r>
        <w:rPr>
          <w:rFonts w:hint="eastAsia"/>
        </w:rPr>
        <w:tab/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  <w:r>
      <w:rPr>
        <w:sz w:val="18"/>
      </w:rPr>
      <w:pict>
        <v:shape id="_x0000_s1028" o:spid="_x0000_s102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- 6 -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  <w:r>
      <w:pict>
        <v:shape id="_x0000_s1026" o:spid="_x0000_s1026" o:spt="202" type="#_x0000_t202" style="position:absolute;left:0pt;margin-top:-2.3pt;height:21.1pt;width:80pt;mso-position-horizontal:outside;mso-position-horizontal-relative:margin;z-index:251658240;mso-width-relative:page;mso-height-relative:page;" filled="f" stroked="f" coordsize="21600,21600" o:gfxdata="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">
          <v:path/>
          <v:fill on="f" focussize="0,0"/>
          <v:stroke on="f" weight="0.5pt" joinstyle="miter"/>
          <v:imagedata o:title=""/>
          <o:lock v:ext="edit"/>
          <v:textbox inset="0mm,0mm,0mm,0mm">
            <w:txbxContent>
              <w:p>
                <w:pPr>
                  <w:pStyle w:val="3"/>
                  <w:ind w:firstLine="0" w:firstLineChars="0"/>
                  <w:rPr>
                    <w:sz w:val="28"/>
                    <w:szCs w:val="44"/>
                  </w:rPr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59093D"/>
    <w:multiLevelType w:val="singleLevel"/>
    <w:tmpl w:val="C059093D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171EE615"/>
    <w:multiLevelType w:val="singleLevel"/>
    <w:tmpl w:val="171EE615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2EF1C815"/>
    <w:multiLevelType w:val="singleLevel"/>
    <w:tmpl w:val="2EF1C81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ED0381D"/>
    <w:rsid w:val="00021752"/>
    <w:rsid w:val="000562DC"/>
    <w:rsid w:val="005F0B4E"/>
    <w:rsid w:val="00670DA4"/>
    <w:rsid w:val="009B6591"/>
    <w:rsid w:val="00A6254D"/>
    <w:rsid w:val="00E047B3"/>
    <w:rsid w:val="00F474A1"/>
    <w:rsid w:val="00F61A77"/>
    <w:rsid w:val="00F63694"/>
    <w:rsid w:val="03B05C8B"/>
    <w:rsid w:val="091942FA"/>
    <w:rsid w:val="0FDE5804"/>
    <w:rsid w:val="149C7C16"/>
    <w:rsid w:val="1B640824"/>
    <w:rsid w:val="1ED0381D"/>
    <w:rsid w:val="23990019"/>
    <w:rsid w:val="253D3491"/>
    <w:rsid w:val="32EA15AB"/>
    <w:rsid w:val="33041897"/>
    <w:rsid w:val="34DA761D"/>
    <w:rsid w:val="39481E74"/>
    <w:rsid w:val="39A879D8"/>
    <w:rsid w:val="3A0B35F6"/>
    <w:rsid w:val="3BB15029"/>
    <w:rsid w:val="3D2E250C"/>
    <w:rsid w:val="3E657D5F"/>
    <w:rsid w:val="43445C62"/>
    <w:rsid w:val="44394A86"/>
    <w:rsid w:val="45D37DCA"/>
    <w:rsid w:val="47C4633D"/>
    <w:rsid w:val="489F2B5F"/>
    <w:rsid w:val="4A1675C8"/>
    <w:rsid w:val="4E962FC4"/>
    <w:rsid w:val="567C2DCE"/>
    <w:rsid w:val="578464D7"/>
    <w:rsid w:val="5C546F19"/>
    <w:rsid w:val="5CF82F0B"/>
    <w:rsid w:val="669761E9"/>
    <w:rsid w:val="680A78E7"/>
    <w:rsid w:val="680C1A2C"/>
    <w:rsid w:val="69725845"/>
    <w:rsid w:val="6A8337BE"/>
    <w:rsid w:val="6DB14CC1"/>
    <w:rsid w:val="70527932"/>
    <w:rsid w:val="77A16C26"/>
    <w:rsid w:val="791109D5"/>
    <w:rsid w:val="7DC76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9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6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iPriority w:val="99"/>
    <w:pPr>
      <w:ind w:left="560" w:leftChars="200"/>
    </w:pPr>
    <w:rPr>
      <w:rFonts w:ascii="Times New Roman" w:hAnsi="Times New Roman"/>
      <w:b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emf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 textRotate="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854</Words>
  <Characters>4869</Characters>
  <Lines>40</Lines>
  <Paragraphs>11</Paragraphs>
  <TotalTime>19</TotalTime>
  <ScaleCrop>false</ScaleCrop>
  <LinksUpToDate>false</LinksUpToDate>
  <CharactersWithSpaces>5712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2019-11-29T08:56:00Z</dcterms:created>
  <dc:creator>郭超(拟稿)</dc:creator>
  <cp:lastModifiedBy>Administrator</cp:lastModifiedBy>
  <cp:lastPrinted>2020-02-11T00:33:00Z</cp:lastPrinted>
  <dcterms:modified xsi:type="dcterms:W3CDTF">2020-02-11T00:51:48Z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