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firstLine="64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蓝田县</w:t>
      </w:r>
      <w:r>
        <w:rPr>
          <w:rFonts w:hint="eastAsia" w:ascii="方正小标宋简体" w:hAnsi="方正小标宋简体" w:eastAsia="方正小标宋简体" w:cs="方正小标宋简体"/>
          <w:sz w:val="44"/>
          <w:szCs w:val="44"/>
          <w:lang w:eastAsia="zh-CN"/>
        </w:rPr>
        <w:t>信访</w:t>
      </w:r>
      <w:r>
        <w:rPr>
          <w:rFonts w:hint="eastAsia" w:ascii="方正小标宋简体" w:hAnsi="方正小标宋简体" w:eastAsia="方正小标宋简体" w:cs="方正小标宋简体"/>
          <w:sz w:val="44"/>
          <w:szCs w:val="44"/>
        </w:rPr>
        <w:t>局</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2020年部门综合预算说明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目  录</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b/>
          <w:bCs/>
          <w:sz w:val="32"/>
          <w:szCs w:val="32"/>
        </w:rPr>
      </w:pPr>
      <w:r>
        <w:rPr>
          <w:rFonts w:hint="eastAsia" w:ascii="仿宋" w:hAnsi="仿宋" w:eastAsia="仿宋" w:cs="仿宋"/>
          <w:b/>
          <w:bCs/>
          <w:sz w:val="32"/>
          <w:szCs w:val="32"/>
        </w:rPr>
        <w:t>第一部分   部门概况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一、部门主要职责及机构设置</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二、2020年年度部门工作任务</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三、部门预算单位构成</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四、部门人员情况说明</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b/>
          <w:bCs/>
          <w:sz w:val="32"/>
          <w:szCs w:val="32"/>
        </w:rPr>
      </w:pPr>
      <w:r>
        <w:rPr>
          <w:rFonts w:hint="eastAsia" w:ascii="仿宋" w:hAnsi="仿宋" w:eastAsia="仿宋" w:cs="仿宋"/>
          <w:b/>
          <w:bCs/>
          <w:sz w:val="32"/>
          <w:szCs w:val="32"/>
        </w:rPr>
        <w:t>第二部分   收支情况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五、2020年部门预算收支说明</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b/>
          <w:bCs/>
          <w:sz w:val="32"/>
          <w:szCs w:val="32"/>
        </w:rPr>
      </w:pPr>
      <w:r>
        <w:rPr>
          <w:rFonts w:hint="eastAsia" w:ascii="仿宋" w:hAnsi="仿宋" w:eastAsia="仿宋" w:cs="仿宋"/>
          <w:b/>
          <w:bCs/>
          <w:sz w:val="32"/>
          <w:szCs w:val="32"/>
        </w:rPr>
        <w:t>第三部分   其他说明情况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六、部门预算“三公”经费等情况说明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七、部门国有资产占有使用及资产购置情况说明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八、部门政府采购情况说明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九、部门预算绩效目标说明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十、机关运行经费安排说明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十一、专业名词解释</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sz w:val="32"/>
          <w:szCs w:val="32"/>
        </w:rPr>
      </w:pPr>
      <w:r>
        <w:rPr>
          <w:rFonts w:hint="eastAsia" w:ascii="仿宋" w:hAnsi="仿宋" w:eastAsia="仿宋" w:cs="仿宋"/>
          <w:b/>
          <w:bCs/>
          <w:sz w:val="32"/>
          <w:szCs w:val="32"/>
        </w:rPr>
        <w:t>第四部分   公开报表</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sz w:val="32"/>
          <w:szCs w:val="32"/>
        </w:rPr>
      </w:pPr>
      <w:r>
        <w:rPr>
          <w:rFonts w:hint="eastAsia" w:ascii="仿宋" w:hAnsi="仿宋" w:eastAsia="仿宋" w:cs="仿宋"/>
          <w:b/>
          <w:bCs/>
          <w:sz w:val="32"/>
          <w:szCs w:val="32"/>
        </w:rPr>
        <w:t>第一部分  部门概况</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一、部门主要职责及机构设置</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根据《蓝田县人民政府办公室关于印发蓝田县人民政府办公室主要职责内设机构和人员编制规定的通知》（蓝政办发〔2016〕65号），蓝田县信访局，是县政府主管全县信访工作的职能部门。主要职责是：</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1、全面贯彻党和国家的路线、方针、政策，结合我县实际，研究制订有关信访工作的法规及实施细则，安排部署全县的信访工作。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2、指导各乡镇、部门的信访工作，定期督促、检查其工作执行情况，进行考评兑现。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3、协调各部门之间的有关信访事宜，综合指导群众工作,维护群众合法权益，推动有关部门处理好群众反映的利益诉求。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4、汇集、分析、发布全县信访方面的信息和资料。对信访和群众权益保护信息分析研判,增强信访和群众权益保护工作的预见性、针对性、有效性。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5、负责信访稳定风险评估和帮扶救助工作。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6、负责信访突发事件处置、电话网络投诉受理和复查复核工作。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7、承办县委、人大、政府交办的其它工作任务。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蓝田县信访局设3个内设机构：办公室、信访接待科、督办科。</w:t>
      </w:r>
      <w:r>
        <w:rPr>
          <w:rFonts w:hint="eastAsia" w:ascii="仿宋" w:hAnsi="仿宋" w:eastAsia="仿宋" w:cs="仿宋"/>
          <w:sz w:val="32"/>
          <w:szCs w:val="32"/>
          <w:lang w:eastAsia="zh-CN"/>
        </w:rPr>
        <w:t>蓝田县信访局下设事业单位蓝田县信访服务中心、蓝田县社会治理服务中心（</w:t>
      </w:r>
      <w:r>
        <w:rPr>
          <w:rFonts w:hint="eastAsia" w:ascii="仿宋" w:hAnsi="仿宋" w:eastAsia="仿宋" w:cs="仿宋"/>
          <w:sz w:val="32"/>
          <w:szCs w:val="32"/>
          <w:lang w:val="en-US" w:eastAsia="zh-CN"/>
        </w:rPr>
        <w:t>2019年9月成立，蓝田县社会治理服务中心牌子挂在蓝田县信访服务中心，与蓝田县信访服务中心实行一套人马、两块牌子</w:t>
      </w:r>
      <w:r>
        <w:rPr>
          <w:rFonts w:hint="eastAsia" w:ascii="仿宋" w:hAnsi="仿宋" w:eastAsia="仿宋" w:cs="仿宋"/>
          <w:sz w:val="32"/>
          <w:szCs w:val="32"/>
          <w:lang w:eastAsia="zh-CN"/>
        </w:rPr>
        <w:t>），与信访局合并办公，为一个核算单位。</w:t>
      </w:r>
    </w:p>
    <w:p>
      <w:pPr>
        <w:keepNext w:val="0"/>
        <w:keepLines w:val="0"/>
        <w:pageBreakBefore w:val="0"/>
        <w:widowControl w:val="0"/>
        <w:kinsoku/>
        <w:wordWrap/>
        <w:overflowPunct/>
        <w:topLinePunct w:val="0"/>
        <w:autoSpaceDE/>
        <w:autoSpaceDN/>
        <w:bidi w:val="0"/>
        <w:spacing w:line="560" w:lineRule="exact"/>
        <w:ind w:firstLine="643"/>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根据蓝田县</w:t>
      </w:r>
      <w:r>
        <w:rPr>
          <w:rFonts w:hint="eastAsia" w:ascii="仿宋" w:hAnsi="仿宋" w:eastAsia="仿宋" w:cs="仿宋"/>
          <w:sz w:val="32"/>
          <w:szCs w:val="32"/>
          <w:lang w:val="en-US" w:eastAsia="zh-CN"/>
        </w:rPr>
        <w:t>2019年机构改革方案，将县信访局的职责划入县政府办公室，县政府办公室加挂县信访局牌子。目前，信访局仍为一个独立的核算单位。</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二、2020年度部门工作任务</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z w:val="32"/>
          <w:szCs w:val="32"/>
          <w:lang w:val="en-US" w:eastAsia="zh-CN"/>
        </w:rPr>
        <w:t>2020年，我局将</w:t>
      </w:r>
      <w:r>
        <w:rPr>
          <w:rFonts w:hint="eastAsia" w:ascii="仿宋_GB2312" w:hAnsi="仿宋_GB2312" w:eastAsia="仿宋_GB2312" w:cs="仿宋_GB2312"/>
          <w:sz w:val="32"/>
          <w:szCs w:val="32"/>
          <w:lang w:eastAsia="zh-CN"/>
        </w:rPr>
        <w:t>继续</w:t>
      </w:r>
      <w:r>
        <w:rPr>
          <w:rFonts w:hint="eastAsia" w:ascii="仿宋_GB2312" w:hAnsi="仿宋_GB2312" w:eastAsia="仿宋_GB2312" w:cs="仿宋_GB2312"/>
          <w:sz w:val="32"/>
          <w:szCs w:val="32"/>
        </w:rPr>
        <w:t>以习近平总书记关于加强和改进人民信访工作的重要思想为统揽，以“扛起责任、压实担子、解决问题”为核心，以开展“信访基础业务全面提升年”活动为抓手，</w:t>
      </w:r>
      <w:r>
        <w:rPr>
          <w:rFonts w:hint="eastAsia" w:ascii="仿宋_GB2312" w:hAnsi="仿宋_GB2312" w:eastAsia="仿宋_GB2312" w:cs="仿宋_GB2312"/>
          <w:sz w:val="32"/>
          <w:szCs w:val="32"/>
          <w:lang w:eastAsia="zh-CN"/>
        </w:rPr>
        <w:t>抓好培训，强化基础；持续</w:t>
      </w:r>
      <w:r>
        <w:rPr>
          <w:rFonts w:hint="eastAsia" w:ascii="仿宋_GB2312" w:hAnsi="仿宋_GB2312" w:eastAsia="仿宋_GB2312" w:cs="仿宋_GB2312"/>
          <w:sz w:val="32"/>
          <w:szCs w:val="32"/>
        </w:rPr>
        <w:t>深入推进信访工作制度改革</w:t>
      </w:r>
      <w:r>
        <w:rPr>
          <w:rFonts w:hint="eastAsia" w:ascii="仿宋_GB2312" w:hAnsi="仿宋_GB2312" w:eastAsia="仿宋_GB2312" w:cs="仿宋_GB2312"/>
          <w:sz w:val="32"/>
          <w:szCs w:val="32"/>
          <w:lang w:eastAsia="zh-CN"/>
        </w:rPr>
        <w:t>各项措施的具体落实，促进三个信访建设；</w:t>
      </w:r>
      <w:r>
        <w:rPr>
          <w:rFonts w:hint="eastAsia" w:ascii="仿宋_GB2312" w:hAnsi="仿宋_GB2312" w:eastAsia="仿宋_GB2312" w:cs="仿宋_GB2312"/>
          <w:sz w:val="32"/>
          <w:szCs w:val="32"/>
        </w:rPr>
        <w:t>持续打好信访矛盾化解攻坚战，更好地维护群众合法权益</w:t>
      </w:r>
      <w:r>
        <w:rPr>
          <w:rFonts w:hint="eastAsia" w:ascii="仿宋_GB2312" w:hAnsi="仿宋_GB2312" w:eastAsia="仿宋_GB2312" w:cs="仿宋_GB2312"/>
          <w:sz w:val="32"/>
          <w:szCs w:val="32"/>
          <w:lang w:eastAsia="zh-CN"/>
        </w:rPr>
        <w:t>；围绕脱贫攻坚、扫黑除恶等中心工作，精心布局，合理安排，努力做到“相互兼顾、彼此促进”，为推动蓝田</w:t>
      </w:r>
      <w:r>
        <w:rPr>
          <w:rFonts w:hint="eastAsia" w:ascii="仿宋_GB2312" w:hAnsi="仿宋_GB2312" w:eastAsia="仿宋_GB2312" w:cs="仿宋_GB2312"/>
          <w:sz w:val="32"/>
          <w:szCs w:val="32"/>
        </w:rPr>
        <w:t>社会</w:t>
      </w:r>
      <w:r>
        <w:rPr>
          <w:rFonts w:hint="eastAsia" w:ascii="仿宋_GB2312" w:hAnsi="仿宋_GB2312" w:eastAsia="仿宋_GB2312" w:cs="仿宋_GB2312"/>
          <w:sz w:val="32"/>
          <w:szCs w:val="32"/>
          <w:lang w:eastAsia="zh-CN"/>
        </w:rPr>
        <w:t>经济跨越发展提供必要保障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sz w:val="32"/>
          <w:szCs w:val="32"/>
          <w:lang w:eastAsia="zh-CN"/>
        </w:rPr>
        <w:t>加强驻京力量，注重京地联动，并根据新变化、新要求，灵活采取新办法，</w:t>
      </w:r>
      <w:r>
        <w:rPr>
          <w:rFonts w:hint="eastAsia" w:ascii="仿宋_GB2312" w:hAnsi="仿宋_GB2312" w:eastAsia="仿宋_GB2312" w:cs="仿宋_GB2312"/>
          <w:sz w:val="32"/>
          <w:szCs w:val="32"/>
          <w:lang w:val="en-US" w:eastAsia="zh-CN"/>
        </w:rPr>
        <w:t>确保让“最后一道防线”发挥出最佳的工作成效，最大限度地减少进京越级访、</w:t>
      </w:r>
      <w:r>
        <w:rPr>
          <w:rFonts w:hint="eastAsia" w:ascii="仿宋_GB2312" w:hAnsi="仿宋_GB2312" w:eastAsia="仿宋_GB2312" w:cs="仿宋_GB2312"/>
          <w:sz w:val="32"/>
          <w:szCs w:val="32"/>
          <w:lang w:eastAsia="zh-CN"/>
        </w:rPr>
        <w:t>北京非接待场所上访事件的发生。</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不断加强与省、市重点部位工作人员的日常沟通，相互密切配合，及时接访劝返，继续值守保持赴省市集体访零记录。</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sz w:val="32"/>
          <w:szCs w:val="32"/>
          <w:lang w:eastAsia="zh-CN"/>
        </w:rPr>
        <w:t>强化并规范县、镇各级领导包案及县级党政领导为主的接访约访下访工作，积极推动以中、省、市交办转办信访事项为主的信访积案处理化解工作，着力处理群众合理合法诉求，从源头上解决进京越级访、北京非接待场所上访问题</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以引导群众逐级走访、实施诉访分离、依法分类处理信访事项、推行网上信访等工作为主，认真落实和积极推进信访制度改革各项工作措施及要求，促进“信访基础业务规范提升年”活动取得新成绩。</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五是</w:t>
      </w:r>
      <w:r>
        <w:rPr>
          <w:rFonts w:hint="eastAsia" w:ascii="仿宋_GB2312" w:hAnsi="仿宋_GB2312" w:eastAsia="仿宋_GB2312" w:cs="仿宋_GB2312"/>
          <w:b w:val="0"/>
          <w:bCs w:val="0"/>
          <w:sz w:val="32"/>
          <w:szCs w:val="32"/>
          <w:lang w:val="en-US" w:eastAsia="zh-CN"/>
        </w:rPr>
        <w:t>以</w:t>
      </w:r>
      <w:r>
        <w:rPr>
          <w:rFonts w:hint="eastAsia" w:ascii="仿宋_GB2312" w:hAnsi="仿宋_GB2312" w:eastAsia="仿宋_GB2312" w:cs="仿宋_GB2312"/>
          <w:sz w:val="32"/>
          <w:szCs w:val="32"/>
          <w:lang w:val="en-US" w:eastAsia="zh-CN"/>
        </w:rPr>
        <w:t>信访制度改革理论知识及网上业务规范操作为主，强化县、镇两级工作人员培训，提升整体工作水平。同时，继续争取、增添县局及服务中心工作力量，稳定镇街专兼职信访干部队伍，为</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正常开展、质量不断提升奠定基础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6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六是</w:t>
      </w:r>
      <w:r>
        <w:rPr>
          <w:rFonts w:hint="eastAsia" w:ascii="仿宋_GB2312" w:hAnsi="仿宋_GB2312" w:eastAsia="仿宋_GB2312" w:cs="仿宋_GB2312"/>
          <w:sz w:val="32"/>
          <w:szCs w:val="32"/>
          <w:lang w:val="en-US" w:eastAsia="zh-CN"/>
        </w:rPr>
        <w:t>集中全力做好中、省、市、县四级“两会”及2020年度重要节点、重大活动期间的信访保障工作。</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七是</w:t>
      </w:r>
      <w:r>
        <w:rPr>
          <w:rFonts w:hint="eastAsia" w:ascii="仿宋_GB2312" w:hAnsi="仿宋_GB2312" w:eastAsia="仿宋_GB2312" w:cs="仿宋_GB2312"/>
          <w:sz w:val="32"/>
          <w:szCs w:val="32"/>
          <w:lang w:val="en-US" w:eastAsia="zh-CN"/>
        </w:rPr>
        <w:t>按照“围绕中心、服务大局”的要求，统筹安排好信访本职工作及脱贫攻坚、扫黑除恶等各项中心工作，做到“两兼顾、两促进”。</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sz w:val="32"/>
          <w:szCs w:val="32"/>
        </w:rPr>
      </w:pPr>
      <w:r>
        <w:rPr>
          <w:rFonts w:hint="eastAsia" w:ascii="仿宋" w:hAnsi="仿宋" w:eastAsia="仿宋" w:cs="仿宋"/>
          <w:b/>
          <w:bCs/>
          <w:sz w:val="32"/>
          <w:szCs w:val="32"/>
        </w:rPr>
        <w:t>三、部门预算单位构成</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从预算单位构成看，本部门的部门预算包括部门本级（机关）预算共1个，无二级预算单位。即</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60"/>
        <w:gridCol w:w="5098"/>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tcPr>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ascii="仿宋" w:hAnsi="仿宋" w:eastAsia="仿宋" w:cs="仿宋"/>
                <w:sz w:val="32"/>
                <w:szCs w:val="32"/>
              </w:rPr>
            </w:pPr>
            <w:r>
              <w:rPr>
                <w:rFonts w:hint="eastAsia" w:ascii="仿宋" w:hAnsi="仿宋" w:eastAsia="仿宋" w:cs="仿宋"/>
                <w:sz w:val="32"/>
                <w:szCs w:val="32"/>
              </w:rPr>
              <w:t>序号</w:t>
            </w:r>
          </w:p>
        </w:tc>
        <w:tc>
          <w:tcPr>
            <w:tcW w:w="5098" w:type="dxa"/>
          </w:tcPr>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ascii="仿宋" w:hAnsi="仿宋" w:eastAsia="仿宋" w:cs="仿宋"/>
                <w:sz w:val="32"/>
                <w:szCs w:val="32"/>
              </w:rPr>
            </w:pPr>
            <w:r>
              <w:rPr>
                <w:rFonts w:hint="eastAsia" w:ascii="仿宋" w:hAnsi="仿宋" w:eastAsia="仿宋" w:cs="仿宋"/>
                <w:sz w:val="32"/>
                <w:szCs w:val="32"/>
              </w:rPr>
              <w:t>单位名称</w:t>
            </w:r>
          </w:p>
        </w:tc>
        <w:tc>
          <w:tcPr>
            <w:tcW w:w="2087" w:type="dxa"/>
          </w:tcPr>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ascii="仿宋" w:hAnsi="仿宋" w:eastAsia="仿宋" w:cs="仿宋"/>
                <w:sz w:val="32"/>
                <w:szCs w:val="32"/>
              </w:rPr>
            </w:pPr>
            <w:r>
              <w:rPr>
                <w:rFonts w:hint="eastAsia" w:ascii="仿宋" w:hAnsi="仿宋" w:eastAsia="仿宋" w:cs="仿宋"/>
                <w:sz w:val="32"/>
                <w:szCs w:val="32"/>
              </w:rPr>
              <w:t>拟变动情况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vAlign w:val="top"/>
          </w:tcPr>
          <w:p>
            <w:pPr>
              <w:keepNext w:val="0"/>
              <w:keepLines w:val="0"/>
              <w:pageBreakBefore w:val="0"/>
              <w:widowControl w:val="0"/>
              <w:kinsoku/>
              <w:wordWrap/>
              <w:overflowPunct/>
              <w:topLinePunct w:val="0"/>
              <w:autoSpaceDE/>
              <w:autoSpaceDN/>
              <w:bidi w:val="0"/>
              <w:spacing w:line="560" w:lineRule="exact"/>
              <w:ind w:firstLine="640" w:firstLineChars="200"/>
              <w:jc w:val="center"/>
              <w:textAlignment w:val="auto"/>
              <w:rPr>
                <w:rFonts w:ascii="仿宋" w:hAnsi="仿宋" w:eastAsia="仿宋" w:cs="仿宋"/>
                <w:sz w:val="32"/>
                <w:szCs w:val="32"/>
              </w:rPr>
            </w:pPr>
            <w:r>
              <w:rPr>
                <w:rFonts w:hint="eastAsia" w:ascii="仿宋" w:hAnsi="仿宋" w:eastAsia="仿宋" w:cs="仿宋"/>
                <w:sz w:val="32"/>
                <w:szCs w:val="32"/>
              </w:rPr>
              <w:t>1</w:t>
            </w:r>
          </w:p>
        </w:tc>
        <w:tc>
          <w:tcPr>
            <w:tcW w:w="5098" w:type="dxa"/>
            <w:vAlign w:val="top"/>
          </w:tcPr>
          <w:p>
            <w:pPr>
              <w:keepNext w:val="0"/>
              <w:keepLines w:val="0"/>
              <w:pageBreakBefore w:val="0"/>
              <w:widowControl w:val="0"/>
              <w:kinsoku/>
              <w:wordWrap/>
              <w:overflowPunct/>
              <w:topLinePunct w:val="0"/>
              <w:autoSpaceDE/>
              <w:autoSpaceDN/>
              <w:bidi w:val="0"/>
              <w:spacing w:line="560" w:lineRule="exact"/>
              <w:ind w:firstLine="640" w:firstLineChars="200"/>
              <w:jc w:val="center"/>
              <w:textAlignment w:val="auto"/>
              <w:rPr>
                <w:rFonts w:ascii="仿宋" w:hAnsi="仿宋" w:eastAsia="仿宋" w:cs="仿宋"/>
                <w:sz w:val="32"/>
                <w:szCs w:val="32"/>
              </w:rPr>
            </w:pPr>
            <w:r>
              <w:rPr>
                <w:rFonts w:hint="eastAsia" w:ascii="仿宋" w:hAnsi="仿宋" w:eastAsia="仿宋" w:cs="仿宋"/>
                <w:sz w:val="32"/>
                <w:szCs w:val="32"/>
              </w:rPr>
              <w:t>蓝田县信访局本级（机关）</w:t>
            </w:r>
          </w:p>
        </w:tc>
        <w:tc>
          <w:tcPr>
            <w:tcW w:w="2087" w:type="dxa"/>
          </w:tcPr>
          <w:p>
            <w:pPr>
              <w:keepNext w:val="0"/>
              <w:keepLines w:val="0"/>
              <w:pageBreakBefore w:val="0"/>
              <w:widowControl w:val="0"/>
              <w:kinsoku/>
              <w:wordWrap/>
              <w:overflowPunct/>
              <w:topLinePunct w:val="0"/>
              <w:autoSpaceDE/>
              <w:autoSpaceDN/>
              <w:bidi w:val="0"/>
              <w:spacing w:line="560" w:lineRule="exact"/>
              <w:ind w:firstLine="0" w:firstLineChars="0"/>
              <w:textAlignment w:val="auto"/>
              <w:rPr>
                <w:rFonts w:ascii="仿宋" w:hAnsi="仿宋" w:eastAsia="仿宋" w:cs="仿宋"/>
                <w:sz w:val="32"/>
                <w:szCs w:val="32"/>
              </w:rPr>
            </w:pPr>
          </w:p>
        </w:tc>
      </w:tr>
    </w:tbl>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四、部门人员情况说明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截止20</w:t>
      </w:r>
      <w:r>
        <w:rPr>
          <w:rFonts w:hint="eastAsia" w:ascii="仿宋_GB2312" w:eastAsia="仿宋_GB2312"/>
          <w:sz w:val="32"/>
          <w:szCs w:val="32"/>
          <w:lang w:val="en-US" w:eastAsia="zh-CN"/>
        </w:rPr>
        <w:t>19</w:t>
      </w:r>
      <w:r>
        <w:rPr>
          <w:rFonts w:hint="eastAsia" w:ascii="仿宋_GB2312" w:eastAsia="仿宋_GB2312"/>
          <w:sz w:val="32"/>
          <w:szCs w:val="32"/>
        </w:rPr>
        <w:t>年</w:t>
      </w:r>
      <w:r>
        <w:rPr>
          <w:rFonts w:hint="eastAsia" w:ascii="仿宋_GB2312" w:eastAsia="仿宋_GB2312"/>
          <w:sz w:val="32"/>
          <w:szCs w:val="32"/>
          <w:lang w:val="en-US" w:eastAsia="zh-CN"/>
        </w:rPr>
        <w:t>11月</w:t>
      </w:r>
      <w:r>
        <w:rPr>
          <w:rFonts w:hint="eastAsia" w:ascii="仿宋_GB2312" w:eastAsia="仿宋_GB2312"/>
          <w:sz w:val="32"/>
          <w:szCs w:val="32"/>
        </w:rPr>
        <w:t>，本部门人员编制</w:t>
      </w:r>
      <w:r>
        <w:rPr>
          <w:rFonts w:hint="eastAsia" w:ascii="仿宋_GB2312" w:eastAsia="仿宋_GB2312"/>
          <w:sz w:val="32"/>
          <w:szCs w:val="32"/>
          <w:lang w:val="en-US" w:eastAsia="zh-CN"/>
        </w:rPr>
        <w:t>23</w:t>
      </w:r>
      <w:r>
        <w:rPr>
          <w:rFonts w:hint="eastAsia" w:ascii="仿宋_GB2312" w:eastAsia="仿宋_GB2312"/>
          <w:sz w:val="32"/>
          <w:szCs w:val="32"/>
        </w:rPr>
        <w:t>人，其中行政编制7人、事业编制</w:t>
      </w:r>
      <w:r>
        <w:rPr>
          <w:rFonts w:hint="eastAsia" w:ascii="仿宋_GB2312" w:eastAsia="仿宋_GB2312"/>
          <w:sz w:val="32"/>
          <w:szCs w:val="32"/>
          <w:lang w:val="en-US" w:eastAsia="zh-CN"/>
        </w:rPr>
        <w:t>16</w:t>
      </w:r>
      <w:r>
        <w:rPr>
          <w:rFonts w:hint="eastAsia" w:ascii="仿宋_GB2312" w:eastAsia="仿宋_GB2312"/>
          <w:sz w:val="32"/>
          <w:szCs w:val="32"/>
        </w:rPr>
        <w:t>人</w:t>
      </w:r>
      <w:r>
        <w:rPr>
          <w:rFonts w:hint="eastAsia" w:ascii="仿宋_GB2312" w:eastAsia="仿宋_GB2312"/>
          <w:sz w:val="32"/>
          <w:szCs w:val="32"/>
          <w:lang w:eastAsia="zh-CN"/>
        </w:rPr>
        <w:t>（蓝田县信访服务中心）</w:t>
      </w:r>
      <w:r>
        <w:rPr>
          <w:rFonts w:hint="eastAsia" w:ascii="仿宋_GB2312" w:eastAsia="仿宋_GB2312"/>
          <w:sz w:val="32"/>
          <w:szCs w:val="32"/>
        </w:rPr>
        <w:t>；实有人员13人，其中行政6人、事业</w:t>
      </w:r>
      <w:r>
        <w:rPr>
          <w:rFonts w:hint="eastAsia" w:ascii="仿宋_GB2312" w:eastAsia="仿宋_GB2312"/>
          <w:sz w:val="32"/>
          <w:szCs w:val="32"/>
          <w:lang w:val="en-US" w:eastAsia="zh-CN"/>
        </w:rPr>
        <w:t>7</w:t>
      </w:r>
      <w:r>
        <w:rPr>
          <w:rFonts w:hint="eastAsia" w:ascii="仿宋_GB2312" w:eastAsia="仿宋_GB2312"/>
          <w:sz w:val="32"/>
          <w:szCs w:val="32"/>
        </w:rPr>
        <w:t>人。单位管理的离退休人员1人。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drawing>
          <wp:anchor distT="0" distB="0" distL="114935" distR="114935" simplePos="0" relativeHeight="251659264" behindDoc="1" locked="0" layoutInCell="1" allowOverlap="1">
            <wp:simplePos x="0" y="0"/>
            <wp:positionH relativeFrom="column">
              <wp:posOffset>267970</wp:posOffset>
            </wp:positionH>
            <wp:positionV relativeFrom="paragraph">
              <wp:posOffset>50800</wp:posOffset>
            </wp:positionV>
            <wp:extent cx="5080000" cy="3409950"/>
            <wp:effectExtent l="4445" t="4445" r="20955" b="14605"/>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b/>
          <w:bCs/>
          <w:sz w:val="32"/>
          <w:szCs w:val="32"/>
        </w:rPr>
      </w:pPr>
      <w:r>
        <w:rPr>
          <w:rFonts w:hint="eastAsia" w:ascii="仿宋" w:hAnsi="仿宋" w:eastAsia="仿宋" w:cs="仿宋"/>
          <w:b/>
          <w:bCs/>
          <w:sz w:val="32"/>
          <w:szCs w:val="32"/>
        </w:rPr>
        <w:t>第二部分  收支情况</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五、2020年部门预算收支说明</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（一）收支预算总体情况。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按照综合预算的原则，本部门所有收入和支出均纳入部门预算管理。2020年本部门预算收入</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万元，其中一般公共预算拨款收入</w:t>
      </w:r>
      <w:r>
        <w:rPr>
          <w:rFonts w:hint="eastAsia" w:ascii="仿宋" w:hAnsi="仿宋" w:eastAsia="仿宋" w:cs="仿宋"/>
          <w:sz w:val="32"/>
          <w:szCs w:val="32"/>
          <w:lang w:val="en-US" w:eastAsia="zh-CN"/>
        </w:rPr>
        <w:t>132.32</w:t>
      </w:r>
      <w:r>
        <w:rPr>
          <w:rFonts w:hint="eastAsia" w:ascii="仿宋" w:hAnsi="仿宋" w:eastAsia="仿宋" w:cs="仿宋"/>
          <w:sz w:val="32"/>
          <w:szCs w:val="32"/>
        </w:rPr>
        <w:t>万元、政府性基金拨款收入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万元，2020年本部门预算收入较上年减少</w:t>
      </w:r>
      <w:r>
        <w:rPr>
          <w:rFonts w:hint="eastAsia" w:ascii="仿宋" w:hAnsi="仿宋" w:eastAsia="仿宋" w:cs="仿宋"/>
          <w:sz w:val="32"/>
          <w:szCs w:val="32"/>
          <w:lang w:val="en-US" w:eastAsia="zh-CN"/>
        </w:rPr>
        <w:t>0.29</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人员工资、社保等变化</w:t>
      </w:r>
      <w:r>
        <w:rPr>
          <w:rFonts w:hint="eastAsia" w:ascii="仿宋" w:hAnsi="仿宋" w:eastAsia="仿宋" w:cs="仿宋"/>
          <w:sz w:val="32"/>
          <w:szCs w:val="32"/>
        </w:rPr>
        <w:t>；2020年本部门预算支出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万元，其中一般公共预算拨款支出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万元、政府性基金拨款支出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万元，2020年本部门预算支出较上年增加减少</w:t>
      </w:r>
      <w:r>
        <w:rPr>
          <w:rFonts w:hint="eastAsia" w:ascii="仿宋" w:hAnsi="仿宋" w:eastAsia="仿宋" w:cs="仿宋"/>
          <w:sz w:val="32"/>
          <w:szCs w:val="32"/>
          <w:lang w:val="en-US" w:eastAsia="zh-CN"/>
        </w:rPr>
        <w:t>0.29</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人员工资、社保等变化</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（二）财政拨款收支情况。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2020年本部门财政拨款收入</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万元，其中一般公共预算拨款收入</w:t>
      </w:r>
      <w:r>
        <w:rPr>
          <w:rFonts w:hint="eastAsia" w:ascii="仿宋" w:hAnsi="仿宋" w:eastAsia="仿宋" w:cs="仿宋"/>
          <w:sz w:val="32"/>
          <w:szCs w:val="32"/>
          <w:lang w:val="en-US" w:eastAsia="zh-CN"/>
        </w:rPr>
        <w:t>132.32</w:t>
      </w:r>
      <w:r>
        <w:rPr>
          <w:rFonts w:hint="eastAsia" w:ascii="仿宋" w:hAnsi="仿宋" w:eastAsia="仿宋" w:cs="仿宋"/>
          <w:sz w:val="32"/>
          <w:szCs w:val="32"/>
        </w:rPr>
        <w:t>万元、政府性基金拨款收入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万元，2020年本部门财政拨款收入较上年减少</w:t>
      </w:r>
      <w:r>
        <w:rPr>
          <w:rFonts w:hint="eastAsia" w:ascii="仿宋" w:hAnsi="仿宋" w:eastAsia="仿宋" w:cs="仿宋"/>
          <w:sz w:val="32"/>
          <w:szCs w:val="32"/>
          <w:lang w:val="en-US" w:eastAsia="zh-CN"/>
        </w:rPr>
        <w:t>0.29</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人员工资、社保等变化</w:t>
      </w:r>
      <w:r>
        <w:rPr>
          <w:rFonts w:hint="eastAsia" w:ascii="仿宋" w:hAnsi="仿宋" w:eastAsia="仿宋" w:cs="仿宋"/>
          <w:sz w:val="32"/>
          <w:szCs w:val="32"/>
        </w:rPr>
        <w:t>；2020年本部门财政拨款支出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万元，其中一般公共预算拨款支出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万元、政府性基金拨款支出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万元，2020年本部门财政拨款支出较上年减少</w:t>
      </w:r>
      <w:r>
        <w:rPr>
          <w:rFonts w:hint="eastAsia" w:ascii="仿宋" w:hAnsi="仿宋" w:eastAsia="仿宋" w:cs="仿宋"/>
          <w:sz w:val="32"/>
          <w:szCs w:val="32"/>
          <w:lang w:val="en-US" w:eastAsia="zh-CN"/>
        </w:rPr>
        <w:t>0.29</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人员工资、社保等变化</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（三）一般公共预算拨款支出明细情况。</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一般公共预算当年拨款规模变化情况。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2020年本部门当年一般公共预算拨款支出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万元，较上年减少</w:t>
      </w:r>
      <w:r>
        <w:rPr>
          <w:rFonts w:hint="eastAsia" w:ascii="仿宋" w:hAnsi="仿宋" w:eastAsia="仿宋" w:cs="仿宋"/>
          <w:sz w:val="32"/>
          <w:szCs w:val="32"/>
          <w:lang w:val="en-US" w:eastAsia="zh-CN"/>
        </w:rPr>
        <w:t>0.29</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人员工资、社保等变化</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支出按功能科目分类的明细情况。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本部门2020年当年一般公共预算支出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w:t>
      </w:r>
    </w:p>
    <w:p>
      <w:pPr>
        <w:keepNext w:val="0"/>
        <w:keepLines w:val="0"/>
        <w:pageBreakBefore w:val="0"/>
        <w:widowControl w:val="0"/>
        <w:numPr>
          <w:ilvl w:val="0"/>
          <w:numId w:val="1"/>
        </w:numPr>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行政运行（2010</w:t>
      </w:r>
      <w:r>
        <w:rPr>
          <w:rFonts w:hint="eastAsia" w:ascii="仿宋" w:hAnsi="仿宋" w:eastAsia="仿宋" w:cs="仿宋"/>
          <w:sz w:val="32"/>
          <w:szCs w:val="32"/>
          <w:lang w:val="en-US" w:eastAsia="zh-CN"/>
        </w:rPr>
        <w:t>3</w:t>
      </w:r>
      <w:r>
        <w:rPr>
          <w:rFonts w:hint="eastAsia" w:ascii="仿宋" w:hAnsi="仿宋" w:eastAsia="仿宋" w:cs="仿宋"/>
          <w:sz w:val="32"/>
          <w:szCs w:val="32"/>
        </w:rPr>
        <w:t>01）</w:t>
      </w:r>
      <w:r>
        <w:rPr>
          <w:rFonts w:hint="eastAsia" w:ascii="仿宋" w:hAnsi="仿宋" w:eastAsia="仿宋" w:cs="仿宋"/>
          <w:sz w:val="32"/>
          <w:szCs w:val="32"/>
          <w:lang w:val="en-US" w:eastAsia="zh-CN"/>
        </w:rPr>
        <w:t>113.52</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116.65万元</w:t>
      </w:r>
      <w:r>
        <w:rPr>
          <w:rFonts w:hint="eastAsia" w:ascii="仿宋" w:hAnsi="仿宋" w:eastAsia="仿宋" w:cs="仿宋"/>
          <w:sz w:val="32"/>
          <w:szCs w:val="32"/>
        </w:rPr>
        <w:t>减少</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3.13</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2019年11月较2018年少了1名事业人员，故工资减少</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（2）机关事业单位基本养老保险缴费支出（2080505）</w:t>
      </w:r>
      <w:r>
        <w:rPr>
          <w:rFonts w:hint="eastAsia" w:ascii="仿宋" w:hAnsi="仿宋" w:eastAsia="仿宋" w:cs="仿宋"/>
          <w:sz w:val="32"/>
          <w:szCs w:val="32"/>
          <w:lang w:val="en-US" w:eastAsia="zh-CN"/>
        </w:rPr>
        <w:t>15.54</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15.96万元</w:t>
      </w:r>
      <w:r>
        <w:rPr>
          <w:rFonts w:hint="eastAsia" w:ascii="仿宋" w:hAnsi="仿宋" w:eastAsia="仿宋" w:cs="仿宋"/>
          <w:sz w:val="32"/>
          <w:szCs w:val="32"/>
        </w:rPr>
        <w:t>减少</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0.42</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2019年11月较2018年少了1名事业人员，故养老支出减少</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（3）行政单位医疗（2101101）</w:t>
      </w:r>
      <w:r>
        <w:rPr>
          <w:rFonts w:hint="eastAsia" w:ascii="仿宋" w:hAnsi="仿宋" w:eastAsia="仿宋" w:cs="仿宋"/>
          <w:sz w:val="32"/>
          <w:szCs w:val="32"/>
          <w:lang w:val="en-US" w:eastAsia="zh-CN"/>
        </w:rPr>
        <w:t>2.77</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2.77</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2019年预算时，未将基本医保纳入预算</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（4）公务员医疗补助（2101103）</w:t>
      </w:r>
      <w:r>
        <w:rPr>
          <w:rFonts w:hint="eastAsia" w:ascii="仿宋" w:hAnsi="仿宋" w:eastAsia="仿宋" w:cs="仿宋"/>
          <w:sz w:val="32"/>
          <w:szCs w:val="32"/>
          <w:lang w:val="en-US" w:eastAsia="zh-CN"/>
        </w:rPr>
        <w:t>0.21</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0.21</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2019年预算时，未将大额医疗补助纳入预算</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）其他卫生健康支出</w:t>
      </w:r>
      <w:r>
        <w:rPr>
          <w:rFonts w:hint="eastAsia" w:ascii="仿宋" w:hAnsi="仿宋" w:eastAsia="仿宋" w:cs="仿宋"/>
          <w:sz w:val="32"/>
          <w:szCs w:val="32"/>
        </w:rPr>
        <w:t>（2109901）</w:t>
      </w:r>
      <w:r>
        <w:rPr>
          <w:rFonts w:hint="eastAsia" w:ascii="仿宋" w:hAnsi="仿宋" w:eastAsia="仿宋" w:cs="仿宋"/>
          <w:sz w:val="32"/>
          <w:szCs w:val="32"/>
          <w:lang w:val="en-US" w:eastAsia="zh-CN"/>
        </w:rPr>
        <w:t>0.28</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0.28</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2019年预算时，未将工伤保险、生育保险等纳入预算</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drawing>
          <wp:anchor distT="0" distB="0" distL="114300" distR="114300" simplePos="0" relativeHeight="251659264" behindDoc="1" locked="0" layoutInCell="1" allowOverlap="1">
            <wp:simplePos x="0" y="0"/>
            <wp:positionH relativeFrom="column">
              <wp:posOffset>439420</wp:posOffset>
            </wp:positionH>
            <wp:positionV relativeFrom="paragraph">
              <wp:posOffset>12700</wp:posOffset>
            </wp:positionV>
            <wp:extent cx="4718685" cy="3619500"/>
            <wp:effectExtent l="4445" t="4445" r="20320" b="14605"/>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3"/>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sz w:val="32"/>
          <w:szCs w:val="32"/>
        </w:rPr>
      </w:pPr>
      <w:bookmarkStart w:id="0" w:name="_GoBack"/>
      <w:bookmarkEnd w:id="0"/>
      <w:r>
        <w:rPr>
          <w:rFonts w:hint="eastAsia" w:ascii="仿宋" w:hAnsi="仿宋" w:eastAsia="仿宋" w:cs="仿宋"/>
          <w:b/>
          <w:bCs/>
          <w:sz w:val="32"/>
          <w:szCs w:val="32"/>
        </w:rPr>
        <w:t>3、</w:t>
      </w:r>
      <w:r>
        <w:rPr>
          <w:rFonts w:hint="eastAsia" w:ascii="仿宋" w:hAnsi="仿宋" w:eastAsia="仿宋" w:cs="仿宋"/>
          <w:sz w:val="32"/>
          <w:szCs w:val="32"/>
        </w:rPr>
        <w:t>支出按经济科目分类的明细情况。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（1）按照部门预算支出经济分类的类级科目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2020年本部门当年一般公共预算支出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工资福利支出（301）</w:t>
      </w:r>
      <w:r>
        <w:rPr>
          <w:rFonts w:hint="eastAsia" w:ascii="仿宋" w:hAnsi="仿宋" w:eastAsia="仿宋" w:cs="仿宋"/>
          <w:sz w:val="32"/>
          <w:szCs w:val="32"/>
          <w:lang w:val="en-US" w:eastAsia="zh-CN"/>
        </w:rPr>
        <w:t>110.14</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112.42万元</w:t>
      </w:r>
      <w:r>
        <w:rPr>
          <w:rFonts w:hint="eastAsia" w:ascii="仿宋" w:hAnsi="仿宋" w:eastAsia="仿宋" w:cs="仿宋"/>
          <w:sz w:val="32"/>
          <w:szCs w:val="32"/>
        </w:rPr>
        <w:t>减少</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2.28</w:t>
      </w:r>
      <w:r>
        <w:rPr>
          <w:rFonts w:hint="eastAsia" w:ascii="仿宋" w:hAnsi="仿宋" w:eastAsia="仿宋" w:cs="仿宋"/>
          <w:sz w:val="32"/>
          <w:szCs w:val="32"/>
        </w:rPr>
        <w:t>万元，原因是</w:t>
      </w:r>
      <w:r>
        <w:rPr>
          <w:rFonts w:hint="eastAsia" w:ascii="仿宋" w:hAnsi="仿宋" w:eastAsia="仿宋" w:cs="仿宋"/>
          <w:sz w:val="32"/>
          <w:szCs w:val="32"/>
          <w:lang w:eastAsia="zh-CN"/>
        </w:rPr>
        <w:t>人员减少，工资、社保等变化</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商品和服务支出（302）</w:t>
      </w:r>
      <w:r>
        <w:rPr>
          <w:rFonts w:hint="eastAsia" w:ascii="仿宋" w:hAnsi="仿宋" w:eastAsia="仿宋" w:cs="仿宋"/>
          <w:sz w:val="32"/>
          <w:szCs w:val="32"/>
          <w:lang w:val="en-US" w:eastAsia="zh-CN"/>
        </w:rPr>
        <w:t>9.26</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9.02万元</w:t>
      </w:r>
      <w:r>
        <w:rPr>
          <w:rFonts w:hint="eastAsia" w:ascii="仿宋" w:hAnsi="仿宋" w:eastAsia="仿宋" w:cs="仿宋"/>
          <w:sz w:val="32"/>
          <w:szCs w:val="32"/>
        </w:rPr>
        <w:t>增加</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0.24</w:t>
      </w:r>
      <w:r>
        <w:rPr>
          <w:rFonts w:hint="eastAsia" w:ascii="仿宋" w:hAnsi="仿宋" w:eastAsia="仿宋" w:cs="仿宋"/>
          <w:sz w:val="32"/>
          <w:szCs w:val="32"/>
        </w:rPr>
        <w:t>万元，原因是</w:t>
      </w:r>
      <w:r>
        <w:rPr>
          <w:rFonts w:hint="eastAsia" w:ascii="仿宋" w:hAnsi="仿宋" w:eastAsia="仿宋" w:cs="仿宋"/>
          <w:sz w:val="32"/>
          <w:szCs w:val="32"/>
          <w:lang w:eastAsia="zh-CN"/>
        </w:rPr>
        <w:t>将工会经费纳入预算，同时减少一人的公用经费</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对个人和家庭的补助支出（303）</w:t>
      </w:r>
      <w:r>
        <w:rPr>
          <w:rFonts w:hint="eastAsia" w:ascii="仿宋" w:hAnsi="仿宋" w:eastAsia="仿宋" w:cs="仿宋"/>
          <w:sz w:val="32"/>
          <w:szCs w:val="32"/>
          <w:lang w:val="en-US" w:eastAsia="zh-CN"/>
        </w:rPr>
        <w:t>12.92</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11.17万元</w:t>
      </w:r>
      <w:r>
        <w:rPr>
          <w:rFonts w:hint="eastAsia" w:ascii="仿宋" w:hAnsi="仿宋" w:eastAsia="仿宋" w:cs="仿宋"/>
          <w:sz w:val="32"/>
          <w:szCs w:val="32"/>
        </w:rPr>
        <w:t>增加</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1.75</w:t>
      </w:r>
      <w:r>
        <w:rPr>
          <w:rFonts w:hint="eastAsia" w:ascii="仿宋" w:hAnsi="仿宋" w:eastAsia="仿宋" w:cs="仿宋"/>
          <w:sz w:val="32"/>
          <w:szCs w:val="32"/>
        </w:rPr>
        <w:t>万元，原因是</w:t>
      </w:r>
      <w:r>
        <w:rPr>
          <w:rFonts w:hint="eastAsia" w:ascii="仿宋" w:hAnsi="仿宋" w:eastAsia="仿宋" w:cs="仿宋"/>
          <w:sz w:val="32"/>
          <w:szCs w:val="32"/>
          <w:lang w:eastAsia="zh-CN"/>
        </w:rPr>
        <w:t>离休人员离休费标准提高</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drawing>
          <wp:anchor distT="0" distB="0" distL="114300" distR="114300" simplePos="0" relativeHeight="251659264" behindDoc="1" locked="0" layoutInCell="1" allowOverlap="1">
            <wp:simplePos x="0" y="0"/>
            <wp:positionH relativeFrom="column">
              <wp:posOffset>248920</wp:posOffset>
            </wp:positionH>
            <wp:positionV relativeFrom="paragraph">
              <wp:posOffset>241300</wp:posOffset>
            </wp:positionV>
            <wp:extent cx="5041900" cy="3181985"/>
            <wp:effectExtent l="4445" t="4445" r="20955" b="1397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（2）按照政府预算支出经济分类的类级科目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2020年本部门当年一般公共预算支出</w:t>
      </w:r>
      <w:r>
        <w:rPr>
          <w:rFonts w:hint="eastAsia" w:ascii="仿宋" w:hAnsi="仿宋" w:eastAsia="仿宋" w:cs="仿宋"/>
          <w:sz w:val="32"/>
          <w:szCs w:val="32"/>
          <w:lang w:val="en-US" w:eastAsia="zh-CN"/>
        </w:rPr>
        <w:t>132.32</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机关工资福利支出（501）</w:t>
      </w:r>
      <w:r>
        <w:rPr>
          <w:rFonts w:hint="eastAsia" w:ascii="仿宋" w:hAnsi="仿宋" w:eastAsia="仿宋" w:cs="仿宋"/>
          <w:sz w:val="32"/>
          <w:szCs w:val="32"/>
          <w:lang w:val="en-US" w:eastAsia="zh-CN"/>
        </w:rPr>
        <w:t>59.88</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65.18万元</w:t>
      </w:r>
      <w:r>
        <w:rPr>
          <w:rFonts w:hint="eastAsia" w:ascii="仿宋" w:hAnsi="仿宋" w:eastAsia="仿宋" w:cs="仿宋"/>
          <w:sz w:val="32"/>
          <w:szCs w:val="32"/>
        </w:rPr>
        <w:t>减少</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5.3</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2019年事业人员的养老保险预算在该科目</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机关商品和服务支出（502）</w:t>
      </w:r>
      <w:r>
        <w:rPr>
          <w:rFonts w:hint="eastAsia" w:ascii="仿宋" w:hAnsi="仿宋" w:eastAsia="仿宋" w:cs="仿宋"/>
          <w:sz w:val="32"/>
          <w:szCs w:val="32"/>
          <w:lang w:val="en-US" w:eastAsia="zh-CN"/>
        </w:rPr>
        <w:t>9.26</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9.02万元</w:t>
      </w:r>
      <w:r>
        <w:rPr>
          <w:rFonts w:hint="eastAsia" w:ascii="仿宋" w:hAnsi="仿宋" w:eastAsia="仿宋" w:cs="仿宋"/>
          <w:sz w:val="32"/>
          <w:szCs w:val="32"/>
        </w:rPr>
        <w:t>增加</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0.24</w:t>
      </w:r>
      <w:r>
        <w:rPr>
          <w:rFonts w:hint="eastAsia" w:ascii="仿宋" w:hAnsi="仿宋" w:eastAsia="仿宋" w:cs="仿宋"/>
          <w:sz w:val="32"/>
          <w:szCs w:val="32"/>
        </w:rPr>
        <w:t>万元，原因是</w:t>
      </w:r>
      <w:r>
        <w:rPr>
          <w:rFonts w:hint="eastAsia" w:ascii="仿宋" w:hAnsi="仿宋" w:eastAsia="仿宋" w:cs="仿宋"/>
          <w:sz w:val="32"/>
          <w:szCs w:val="32"/>
          <w:lang w:eastAsia="zh-CN"/>
        </w:rPr>
        <w:t>将工会经费纳入预算，同时减少一人的公用经费</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对事业单位经常性补助（505）</w:t>
      </w:r>
      <w:r>
        <w:rPr>
          <w:rFonts w:hint="eastAsia" w:ascii="仿宋" w:hAnsi="仿宋" w:eastAsia="仿宋" w:cs="仿宋"/>
          <w:sz w:val="32"/>
          <w:szCs w:val="32"/>
          <w:lang w:val="en-US" w:eastAsia="zh-CN"/>
        </w:rPr>
        <w:t>50.26</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47.24万元增加了3.02</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2020年事业人员的养老保险、医保等预算在该科目，2019年养老保险未在该科目预算，且未预算医疗保险、工伤保险、生育保险等</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lang w:eastAsia="zh-CN"/>
        </w:rPr>
        <w:drawing>
          <wp:anchor distT="0" distB="0" distL="114300" distR="114300" simplePos="0" relativeHeight="251659264" behindDoc="1" locked="0" layoutInCell="1" allowOverlap="1">
            <wp:simplePos x="0" y="0"/>
            <wp:positionH relativeFrom="column">
              <wp:posOffset>582295</wp:posOffset>
            </wp:positionH>
            <wp:positionV relativeFrom="paragraph">
              <wp:posOffset>679450</wp:posOffset>
            </wp:positionV>
            <wp:extent cx="4756785" cy="3238500"/>
            <wp:effectExtent l="4445" t="4445" r="20320" b="14605"/>
            <wp:wrapNone/>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 w:hAnsi="仿宋" w:eastAsia="仿宋" w:cs="仿宋"/>
          <w:sz w:val="32"/>
          <w:szCs w:val="32"/>
        </w:rPr>
        <w:t>对</w:t>
      </w:r>
      <w:r>
        <w:rPr>
          <w:rFonts w:hint="eastAsia" w:ascii="仿宋" w:hAnsi="仿宋" w:eastAsia="仿宋" w:cs="仿宋"/>
          <w:sz w:val="32"/>
          <w:szCs w:val="32"/>
          <w:lang w:eastAsia="zh-CN"/>
        </w:rPr>
        <w:t>个人和家庭的补助</w:t>
      </w:r>
      <w:r>
        <w:rPr>
          <w:rFonts w:hint="eastAsia" w:ascii="仿宋" w:hAnsi="仿宋" w:eastAsia="仿宋" w:cs="仿宋"/>
          <w:sz w:val="32"/>
          <w:szCs w:val="32"/>
        </w:rPr>
        <w:t>（50</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 w:hAnsi="仿宋" w:eastAsia="仿宋" w:cs="仿宋"/>
          <w:sz w:val="32"/>
          <w:szCs w:val="32"/>
          <w:lang w:val="en-US" w:eastAsia="zh-CN"/>
        </w:rPr>
        <w:t>12.92</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11.17万元</w:t>
      </w:r>
      <w:r>
        <w:rPr>
          <w:rFonts w:hint="eastAsia" w:ascii="仿宋" w:hAnsi="仿宋" w:eastAsia="仿宋" w:cs="仿宋"/>
          <w:sz w:val="32"/>
          <w:szCs w:val="32"/>
        </w:rPr>
        <w:t>增加</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1.75</w:t>
      </w:r>
      <w:r>
        <w:rPr>
          <w:rFonts w:hint="eastAsia" w:ascii="仿宋" w:hAnsi="仿宋" w:eastAsia="仿宋" w:cs="仿宋"/>
          <w:sz w:val="32"/>
          <w:szCs w:val="32"/>
        </w:rPr>
        <w:t>万元，原因是</w:t>
      </w:r>
      <w:r>
        <w:rPr>
          <w:rFonts w:hint="eastAsia" w:ascii="仿宋" w:hAnsi="仿宋" w:eastAsia="仿宋" w:cs="仿宋"/>
          <w:sz w:val="32"/>
          <w:szCs w:val="32"/>
          <w:lang w:eastAsia="zh-CN"/>
        </w:rPr>
        <w:t>离休人员离休费标准提高</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lang w:eastAsia="zh-CN"/>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4、</w:t>
      </w:r>
      <w:r>
        <w:rPr>
          <w:rFonts w:hint="eastAsia" w:ascii="仿宋" w:hAnsi="仿宋" w:eastAsia="仿宋" w:cs="仿宋"/>
          <w:sz w:val="32"/>
          <w:szCs w:val="32"/>
        </w:rPr>
        <w:t>2019年结转财政资金一般公共预算拨款支出情况。</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本部门无2019年结转的一般公共预算拨款资金支出。</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（四）政府性基金预算支出情况。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当年政府性基金预算支出情况。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本部门无当年政府性基金预算收支，并已公开空表。</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上年结转政府性基金预算支出情况。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本部门无2019年结转的政府性基金预算拨款支出。</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（五）国有资本经营预算拨款收支情况。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本部门无2019年结转的国有资本经营预算拨款支出。</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b/>
          <w:bCs/>
          <w:sz w:val="32"/>
          <w:szCs w:val="32"/>
        </w:rPr>
      </w:pPr>
      <w:r>
        <w:rPr>
          <w:rFonts w:hint="eastAsia" w:ascii="仿宋" w:hAnsi="仿宋" w:eastAsia="仿宋" w:cs="仿宋"/>
          <w:b/>
          <w:bCs/>
          <w:sz w:val="32"/>
          <w:szCs w:val="32"/>
        </w:rPr>
        <w:t>第三部分  其他说明情况</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六、部门预算“三公”经费等预算情况说明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2020年本部门当年一般公共预算“三公”经费预算支出</w:t>
      </w:r>
      <w:r>
        <w:rPr>
          <w:rFonts w:hint="eastAsia" w:ascii="仿宋" w:hAnsi="仿宋" w:eastAsia="仿宋" w:cs="仿宋"/>
          <w:sz w:val="32"/>
          <w:szCs w:val="32"/>
          <w:lang w:val="en-US" w:eastAsia="zh-CN"/>
        </w:rPr>
        <w:t>0.25</w:t>
      </w:r>
      <w:r>
        <w:rPr>
          <w:rFonts w:hint="eastAsia" w:ascii="仿宋" w:hAnsi="仿宋" w:eastAsia="仿宋" w:cs="仿宋"/>
          <w:sz w:val="32"/>
          <w:szCs w:val="32"/>
        </w:rPr>
        <w:t>万元，较上年减少</w:t>
      </w:r>
      <w:r>
        <w:rPr>
          <w:rFonts w:hint="eastAsia" w:ascii="仿宋" w:hAnsi="仿宋" w:eastAsia="仿宋" w:cs="仿宋"/>
          <w:sz w:val="32"/>
          <w:szCs w:val="32"/>
          <w:lang w:val="en-US" w:eastAsia="zh-CN"/>
        </w:rPr>
        <w:t>0.25</w:t>
      </w:r>
      <w:r>
        <w:rPr>
          <w:rFonts w:hint="eastAsia" w:ascii="仿宋" w:hAnsi="仿宋" w:eastAsia="仿宋" w:cs="仿宋"/>
          <w:sz w:val="32"/>
          <w:szCs w:val="32"/>
        </w:rPr>
        <w:t>万元（</w:t>
      </w:r>
      <w:r>
        <w:rPr>
          <w:rFonts w:hint="eastAsia" w:ascii="仿宋" w:hAnsi="仿宋" w:eastAsia="仿宋" w:cs="仿宋"/>
          <w:sz w:val="32"/>
          <w:szCs w:val="32"/>
          <w:lang w:eastAsia="zh-CN"/>
        </w:rPr>
        <w:t>下降了</w:t>
      </w:r>
      <w:r>
        <w:rPr>
          <w:rFonts w:hint="eastAsia" w:ascii="仿宋" w:hAnsi="仿宋" w:eastAsia="仿宋" w:cs="仿宋"/>
          <w:sz w:val="32"/>
          <w:szCs w:val="32"/>
          <w:lang w:val="en-US" w:eastAsia="zh-CN"/>
        </w:rPr>
        <w:t>50</w:t>
      </w:r>
      <w:r>
        <w:rPr>
          <w:rFonts w:hint="eastAsia" w:ascii="仿宋" w:hAnsi="仿宋" w:eastAsia="仿宋" w:cs="仿宋"/>
          <w:sz w:val="32"/>
          <w:szCs w:val="32"/>
        </w:rPr>
        <w:t>%），减少的主要原因是</w:t>
      </w:r>
      <w:r>
        <w:rPr>
          <w:rFonts w:hint="eastAsia" w:ascii="仿宋" w:hAnsi="仿宋" w:eastAsia="仿宋" w:cs="仿宋"/>
          <w:sz w:val="32"/>
          <w:szCs w:val="32"/>
          <w:lang w:eastAsia="zh-CN"/>
        </w:rPr>
        <w:t>厉行节约，严格遵守八项规定，控制公务接待的次数及人数</w:t>
      </w:r>
      <w:r>
        <w:rPr>
          <w:rFonts w:hint="eastAsia" w:ascii="仿宋" w:hAnsi="仿宋" w:eastAsia="仿宋" w:cs="仿宋"/>
          <w:sz w:val="32"/>
          <w:szCs w:val="32"/>
        </w:rPr>
        <w:t>。其中：因公出国（境）经费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，公车运行费</w:t>
      </w:r>
      <w:r>
        <w:rPr>
          <w:rFonts w:hint="eastAsia" w:ascii="仿宋" w:hAnsi="仿宋" w:eastAsia="仿宋" w:cs="仿宋"/>
          <w:sz w:val="32"/>
          <w:szCs w:val="32"/>
          <w:lang w:val="en-US" w:eastAsia="zh-CN"/>
        </w:rPr>
        <w:t>0万元，公务用车购置费0万元，与上年持平</w:t>
      </w:r>
      <w:r>
        <w:rPr>
          <w:rFonts w:hint="eastAsia" w:ascii="仿宋" w:hAnsi="仿宋" w:eastAsia="仿宋" w:cs="仿宋"/>
          <w:sz w:val="32"/>
          <w:szCs w:val="32"/>
        </w:rPr>
        <w:t>；公务接待费</w:t>
      </w:r>
      <w:r>
        <w:rPr>
          <w:rFonts w:hint="eastAsia" w:ascii="仿宋" w:hAnsi="仿宋" w:eastAsia="仿宋" w:cs="仿宋"/>
          <w:sz w:val="32"/>
          <w:szCs w:val="32"/>
          <w:lang w:val="en-US" w:eastAsia="zh-CN"/>
        </w:rPr>
        <w:t>0.25</w:t>
      </w:r>
      <w:r>
        <w:rPr>
          <w:rFonts w:hint="eastAsia" w:ascii="仿宋" w:hAnsi="仿宋" w:eastAsia="仿宋" w:cs="仿宋"/>
          <w:sz w:val="32"/>
          <w:szCs w:val="32"/>
        </w:rPr>
        <w:t>万元，较上年减少</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0.25</w:t>
      </w:r>
      <w:r>
        <w:rPr>
          <w:rFonts w:hint="eastAsia" w:ascii="仿宋" w:hAnsi="仿宋" w:eastAsia="仿宋" w:cs="仿宋"/>
          <w:sz w:val="32"/>
          <w:szCs w:val="32"/>
        </w:rPr>
        <w:t>万元（</w:t>
      </w:r>
      <w:r>
        <w:rPr>
          <w:rFonts w:hint="eastAsia" w:ascii="仿宋" w:hAnsi="仿宋" w:eastAsia="仿宋" w:cs="仿宋"/>
          <w:sz w:val="32"/>
          <w:szCs w:val="32"/>
          <w:lang w:eastAsia="zh-CN"/>
        </w:rPr>
        <w:t>下降了</w:t>
      </w:r>
      <w:r>
        <w:rPr>
          <w:rFonts w:hint="eastAsia" w:ascii="仿宋" w:hAnsi="仿宋" w:eastAsia="仿宋" w:cs="仿宋"/>
          <w:sz w:val="32"/>
          <w:szCs w:val="32"/>
          <w:lang w:val="en-US" w:eastAsia="zh-CN"/>
        </w:rPr>
        <w:t>50</w:t>
      </w:r>
      <w:r>
        <w:rPr>
          <w:rFonts w:hint="eastAsia" w:ascii="仿宋" w:hAnsi="仿宋" w:eastAsia="仿宋" w:cs="仿宋"/>
          <w:sz w:val="32"/>
          <w:szCs w:val="32"/>
        </w:rPr>
        <w:t>%），减少的主要原因是</w:t>
      </w:r>
      <w:r>
        <w:rPr>
          <w:rFonts w:hint="eastAsia" w:ascii="仿宋" w:hAnsi="仿宋" w:eastAsia="仿宋" w:cs="仿宋"/>
          <w:sz w:val="32"/>
          <w:szCs w:val="32"/>
          <w:lang w:eastAsia="zh-CN"/>
        </w:rPr>
        <w:t>厉行节约，严格遵守八项规定，控制公务接待的次数及人数</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本部门无2019年结转的财政拨款</w:t>
      </w:r>
      <w:r>
        <w:rPr>
          <w:rFonts w:hint="eastAsia" w:ascii="仿宋" w:hAnsi="仿宋" w:eastAsia="仿宋" w:cs="仿宋"/>
          <w:sz w:val="32"/>
          <w:szCs w:val="32"/>
          <w:lang w:eastAsia="zh-CN"/>
        </w:rPr>
        <w:t>“三公”</w:t>
      </w:r>
      <w:r>
        <w:rPr>
          <w:rFonts w:hint="eastAsia" w:ascii="仿宋" w:hAnsi="仿宋" w:eastAsia="仿宋" w:cs="仿宋"/>
          <w:sz w:val="32"/>
          <w:szCs w:val="32"/>
        </w:rPr>
        <w:t>经费支出。</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七、部门国有资产占有使用及资产购置情况说明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截止2019年底，本部门所属预算单位共有车辆</w:t>
      </w:r>
      <w:r>
        <w:rPr>
          <w:rFonts w:hint="eastAsia" w:ascii="仿宋" w:hAnsi="仿宋" w:eastAsia="仿宋" w:cs="仿宋"/>
          <w:sz w:val="32"/>
          <w:szCs w:val="32"/>
          <w:lang w:val="en-US" w:eastAsia="zh-CN"/>
        </w:rPr>
        <w:t>0</w:t>
      </w:r>
      <w:r>
        <w:rPr>
          <w:rFonts w:hint="eastAsia" w:ascii="仿宋" w:hAnsi="仿宋" w:eastAsia="仿宋" w:cs="仿宋"/>
          <w:sz w:val="32"/>
          <w:szCs w:val="32"/>
        </w:rPr>
        <w:t>辆，单价20万元以上的设备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台（套）。2020年当年部门预算安排购置车辆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辆；安排购置单价20万元以上的设备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本部门无2019年结转的财政拨款支出资产购置。</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八、部门政府采购情况说明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本部门2020年无政府采购预算，并已公开空表。</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九、部门预算绩效目标说明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2020年本部门绩效目标管理全覆盖，涉及当年一般公共预算拨款</w:t>
      </w:r>
      <w:r>
        <w:rPr>
          <w:rFonts w:hint="eastAsia" w:ascii="仿宋" w:hAnsi="仿宋" w:eastAsia="仿宋" w:cs="仿宋"/>
          <w:sz w:val="32"/>
          <w:szCs w:val="32"/>
          <w:lang w:val="en-US" w:eastAsia="zh-CN"/>
        </w:rPr>
        <w:t>132.32</w:t>
      </w:r>
      <w:r>
        <w:rPr>
          <w:rFonts w:hint="eastAsia" w:ascii="仿宋" w:hAnsi="仿宋" w:eastAsia="仿宋" w:cs="仿宋"/>
          <w:sz w:val="32"/>
          <w:szCs w:val="32"/>
        </w:rPr>
        <w:t>万元,当年政府性基金预算拨款</w:t>
      </w:r>
      <w:r>
        <w:rPr>
          <w:rFonts w:hint="eastAsia" w:ascii="仿宋" w:hAnsi="仿宋" w:eastAsia="仿宋" w:cs="仿宋"/>
          <w:sz w:val="32"/>
          <w:szCs w:val="32"/>
          <w:lang w:val="en-US" w:eastAsia="zh-CN"/>
        </w:rPr>
        <w:t>0</w:t>
      </w:r>
      <w:r>
        <w:rPr>
          <w:rFonts w:hint="eastAsia" w:ascii="仿宋" w:hAnsi="仿宋" w:eastAsia="仿宋" w:cs="仿宋"/>
          <w:sz w:val="32"/>
          <w:szCs w:val="32"/>
        </w:rPr>
        <w:t>万元，当年国有资本经营预算拨款</w:t>
      </w:r>
      <w:r>
        <w:rPr>
          <w:rFonts w:hint="eastAsia" w:ascii="仿宋" w:hAnsi="仿宋" w:eastAsia="仿宋" w:cs="仿宋"/>
          <w:sz w:val="32"/>
          <w:szCs w:val="32"/>
          <w:lang w:val="en-US" w:eastAsia="zh-CN"/>
        </w:rPr>
        <w:t>0</w:t>
      </w:r>
      <w:r>
        <w:rPr>
          <w:rFonts w:hint="eastAsia" w:ascii="仿宋" w:hAnsi="仿宋" w:eastAsia="仿宋" w:cs="仿宋"/>
          <w:sz w:val="32"/>
          <w:szCs w:val="32"/>
        </w:rPr>
        <w:t>万元（详见公开报表中的绩效目标表）。</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本部门无2019年结转的财政拨款支出涉及的绩效目标管理。</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sz w:val="32"/>
          <w:szCs w:val="32"/>
        </w:rPr>
      </w:pPr>
      <w:r>
        <w:rPr>
          <w:rFonts w:hint="eastAsia" w:ascii="仿宋" w:hAnsi="仿宋" w:eastAsia="仿宋" w:cs="仿宋"/>
          <w:b/>
          <w:bCs/>
          <w:sz w:val="32"/>
          <w:szCs w:val="32"/>
        </w:rPr>
        <w:t>十、机关运行经费安排说明</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本部门当年机关运行经费预算安排</w:t>
      </w:r>
      <w:r>
        <w:rPr>
          <w:rFonts w:hint="eastAsia" w:ascii="仿宋" w:hAnsi="仿宋" w:eastAsia="仿宋" w:cs="仿宋"/>
          <w:sz w:val="32"/>
          <w:szCs w:val="32"/>
          <w:lang w:val="en-US" w:eastAsia="zh-CN"/>
        </w:rPr>
        <w:t>9.26</w:t>
      </w:r>
      <w:r>
        <w:rPr>
          <w:rFonts w:hint="eastAsia" w:ascii="仿宋" w:hAnsi="仿宋" w:eastAsia="仿宋" w:cs="仿宋"/>
          <w:sz w:val="32"/>
          <w:szCs w:val="32"/>
        </w:rPr>
        <w:t>万元，较上年</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9.02万元</w:t>
      </w:r>
      <w:r>
        <w:rPr>
          <w:rFonts w:hint="eastAsia" w:ascii="仿宋" w:hAnsi="仿宋" w:eastAsia="仿宋" w:cs="仿宋"/>
          <w:sz w:val="32"/>
          <w:szCs w:val="32"/>
        </w:rPr>
        <w:t>增加</w:t>
      </w:r>
      <w:r>
        <w:rPr>
          <w:rFonts w:hint="eastAsia" w:ascii="仿宋" w:hAnsi="仿宋" w:eastAsia="仿宋" w:cs="仿宋"/>
          <w:sz w:val="32"/>
          <w:szCs w:val="32"/>
          <w:lang w:eastAsia="zh-CN"/>
        </w:rPr>
        <w:t>了</w:t>
      </w:r>
      <w:r>
        <w:rPr>
          <w:rFonts w:hint="eastAsia" w:ascii="仿宋" w:hAnsi="仿宋" w:eastAsia="仿宋" w:cs="仿宋"/>
          <w:sz w:val="32"/>
          <w:szCs w:val="32"/>
          <w:lang w:val="en-US" w:eastAsia="zh-CN"/>
        </w:rPr>
        <w:t>0.24</w:t>
      </w:r>
      <w:r>
        <w:rPr>
          <w:rFonts w:hint="eastAsia" w:ascii="仿宋" w:hAnsi="仿宋" w:eastAsia="仿宋" w:cs="仿宋"/>
          <w:sz w:val="32"/>
          <w:szCs w:val="32"/>
        </w:rPr>
        <w:t>万元，原因是</w:t>
      </w:r>
      <w:r>
        <w:rPr>
          <w:rFonts w:hint="eastAsia" w:ascii="仿宋" w:hAnsi="仿宋" w:eastAsia="仿宋" w:cs="仿宋"/>
          <w:sz w:val="32"/>
          <w:szCs w:val="32"/>
          <w:lang w:eastAsia="zh-CN"/>
        </w:rPr>
        <w:t>将工会经费纳入预算，同时减少一人的公用经费</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本部门无2019年结转的财政拨款机关运行经费支出。</w:t>
      </w:r>
    </w:p>
    <w:p>
      <w:pPr>
        <w:keepNext w:val="0"/>
        <w:keepLines w:val="0"/>
        <w:pageBreakBefore w:val="0"/>
        <w:widowControl w:val="0"/>
        <w:kinsoku/>
        <w:wordWrap/>
        <w:overflowPunct/>
        <w:topLinePunct w:val="0"/>
        <w:autoSpaceDE/>
        <w:autoSpaceDN/>
        <w:bidi w:val="0"/>
        <w:spacing w:line="560" w:lineRule="exact"/>
        <w:ind w:firstLine="643"/>
        <w:textAlignment w:val="auto"/>
        <w:rPr>
          <w:rFonts w:ascii="仿宋" w:hAnsi="仿宋" w:eastAsia="仿宋" w:cs="仿宋"/>
          <w:b/>
          <w:bCs/>
          <w:sz w:val="32"/>
          <w:szCs w:val="32"/>
        </w:rPr>
      </w:pPr>
      <w:r>
        <w:rPr>
          <w:rFonts w:hint="eastAsia" w:ascii="仿宋" w:hAnsi="仿宋" w:eastAsia="仿宋" w:cs="仿宋"/>
          <w:b/>
          <w:bCs/>
          <w:sz w:val="32"/>
          <w:szCs w:val="32"/>
        </w:rPr>
        <w:t>十一、专业名词解释</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pPr>
        <w:snapToGrid w:val="0"/>
        <w:ind w:firstLine="640" w:firstLineChars="200"/>
        <w:rPr>
          <w:rFonts w:hint="eastAsia" w:ascii="仿宋_GB2312" w:hAnsi="黑体" w:eastAsia="仿宋_GB2312"/>
          <w:sz w:val="32"/>
          <w:szCs w:val="32"/>
        </w:rPr>
      </w:pPr>
      <w:r>
        <w:rPr>
          <w:rFonts w:hint="eastAsia" w:ascii="仿宋_GB2312" w:eastAsia="仿宋_GB2312"/>
          <w:sz w:val="32"/>
          <w:szCs w:val="32"/>
        </w:rPr>
        <w:t>2.</w:t>
      </w:r>
      <w:r>
        <w:rPr>
          <w:rFonts w:hint="eastAsia" w:ascii="仿宋_GB2312" w:hAnsi="黑体" w:eastAsia="仿宋_GB2312"/>
          <w:sz w:val="32"/>
          <w:szCs w:val="32"/>
        </w:rPr>
        <w:t xml:space="preserve"> “三公”经费：指部门使用一般公共预算财政拨款安排的因公出国（境）费、公务用车购置及运行费和公务接待费支出。</w:t>
      </w:r>
    </w:p>
    <w:p>
      <w:pPr>
        <w:snapToGrid w:val="0"/>
        <w:ind w:firstLine="640" w:firstLineChars="200"/>
        <w:rPr>
          <w:rFonts w:hint="eastAsia" w:ascii="仿宋_GB2312" w:hAnsi="黑体" w:eastAsia="仿宋_GB2312"/>
          <w:sz w:val="32"/>
          <w:szCs w:val="32"/>
        </w:rPr>
      </w:pPr>
      <w:r>
        <w:rPr>
          <w:rFonts w:hint="eastAsia" w:ascii="仿宋_GB2312" w:hAnsi="黑体" w:eastAsia="仿宋_GB2312"/>
          <w:sz w:val="32"/>
          <w:szCs w:val="32"/>
        </w:rPr>
        <w:t>3</w:t>
      </w:r>
      <w:r>
        <w:rPr>
          <w:rFonts w:hint="eastAsia" w:ascii="仿宋_GB2312" w:eastAsia="仿宋_GB2312"/>
          <w:sz w:val="32"/>
          <w:szCs w:val="32"/>
        </w:rPr>
        <w:t>.</w:t>
      </w:r>
      <w:r>
        <w:rPr>
          <w:rFonts w:hint="eastAsia" w:ascii="仿宋_GB2312" w:hAnsi="黑体" w:eastAsia="仿宋_GB2312"/>
          <w:sz w:val="32"/>
          <w:szCs w:val="32"/>
        </w:rPr>
        <w:t>机关运行经费：指行政单位和参照公务员法管理的事业单位使用一般公共预算财政拨款安排的日常公用经费支出。</w:t>
      </w:r>
    </w:p>
    <w:p>
      <w:pPr>
        <w:spacing w:line="360" w:lineRule="auto"/>
        <w:ind w:firstLine="640" w:firstLineChars="200"/>
        <w:rPr>
          <w:rFonts w:hint="eastAsia" w:ascii="仿宋_GB2312" w:hAnsi="宋体" w:eastAsia="仿宋_GB2312"/>
          <w:sz w:val="32"/>
        </w:rPr>
      </w:pPr>
      <w:r>
        <w:rPr>
          <w:rFonts w:hint="eastAsia" w:ascii="仿宋_GB2312" w:hAnsi="宋体" w:eastAsia="仿宋_GB2312"/>
          <w:sz w:val="32"/>
        </w:rPr>
        <w:t>4.</w:t>
      </w:r>
      <w:r>
        <w:rPr>
          <w:rFonts w:hint="eastAsia"/>
        </w:rPr>
        <w:t xml:space="preserve"> </w:t>
      </w:r>
      <w:r>
        <w:rPr>
          <w:rFonts w:hint="eastAsia" w:ascii="仿宋_GB2312" w:hAnsi="宋体" w:eastAsia="仿宋_GB2312"/>
          <w:sz w:val="32"/>
        </w:rPr>
        <w:t>财政拨款收入:指财政当年拨付的资金。</w:t>
      </w:r>
    </w:p>
    <w:p>
      <w:pPr>
        <w:spacing w:line="360" w:lineRule="auto"/>
        <w:ind w:firstLine="640" w:firstLineChars="200"/>
        <w:rPr>
          <w:rFonts w:hint="eastAsia" w:ascii="仿宋_GB2312" w:hAnsi="宋体" w:eastAsia="仿宋_GB2312"/>
          <w:sz w:val="32"/>
        </w:rPr>
      </w:pPr>
      <w:r>
        <w:rPr>
          <w:rFonts w:hint="eastAsia" w:ascii="仿宋_GB2312" w:hAnsi="宋体" w:eastAsia="仿宋_GB2312"/>
          <w:sz w:val="32"/>
        </w:rPr>
        <w:t>5.</w:t>
      </w:r>
      <w:r>
        <w:rPr>
          <w:rFonts w:hint="eastAsia"/>
        </w:rPr>
        <w:t xml:space="preserve"> </w:t>
      </w:r>
      <w:r>
        <w:rPr>
          <w:rFonts w:hint="eastAsia" w:ascii="仿宋_GB2312" w:hAnsi="宋体" w:eastAsia="仿宋_GB2312"/>
          <w:sz w:val="32"/>
        </w:rPr>
        <w:t>其他交通费用：指国家实行公务用车改革后，发给公务人员的交通补助。</w:t>
      </w:r>
    </w:p>
    <w:p>
      <w:pPr>
        <w:keepNext w:val="0"/>
        <w:keepLines w:val="0"/>
        <w:pageBreakBefore w:val="0"/>
        <w:widowControl w:val="0"/>
        <w:kinsoku/>
        <w:wordWrap/>
        <w:overflowPunct/>
        <w:topLinePunct w:val="0"/>
        <w:autoSpaceDE/>
        <w:autoSpaceDN/>
        <w:bidi w:val="0"/>
        <w:spacing w:line="560" w:lineRule="exact"/>
        <w:ind w:firstLine="643"/>
        <w:jc w:val="center"/>
        <w:textAlignment w:val="auto"/>
        <w:rPr>
          <w:rFonts w:ascii="仿宋" w:hAnsi="仿宋" w:eastAsia="仿宋" w:cs="仿宋"/>
          <w:b/>
          <w:bCs/>
          <w:sz w:val="32"/>
          <w:szCs w:val="32"/>
        </w:rPr>
      </w:pPr>
      <w:r>
        <w:rPr>
          <w:rFonts w:hint="eastAsia" w:ascii="仿宋" w:hAnsi="仿宋" w:eastAsia="仿宋" w:cs="仿宋"/>
          <w:b/>
          <w:bCs/>
          <w:sz w:val="32"/>
          <w:szCs w:val="32"/>
        </w:rPr>
        <w:t>第四部分  公开报表</w:t>
      </w:r>
    </w:p>
    <w:p>
      <w:pPr>
        <w:keepNext w:val="0"/>
        <w:keepLines w:val="0"/>
        <w:pageBreakBefore w:val="0"/>
        <w:widowControl w:val="0"/>
        <w:kinsoku/>
        <w:wordWrap/>
        <w:overflowPunct/>
        <w:topLinePunct w:val="0"/>
        <w:autoSpaceDE/>
        <w:autoSpaceDN/>
        <w:bidi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（见附件2内容）</w:t>
      </w:r>
      <w:r>
        <w:rPr>
          <w:rFonts w:hint="eastAsia" w:ascii="仿宋" w:hAnsi="仿宋" w:eastAsia="仿宋" w:cs="仿宋"/>
          <w:sz w:val="32"/>
          <w:szCs w:val="32"/>
        </w:rPr>
        <w:tab/>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w:pict>
        <v:shape id="_x0000_s1026" o:spid="_x0000_s1026" o:spt="202" type="#_x0000_t202" style="position:absolute;left:0pt;margin-top:-2.3pt;height:21.1pt;width:80pt;mso-position-horizontal:outside;mso-position-horizontal-relative:margin;z-index:251658240;mso-width-relative:page;mso-height-relative:page;" filled="f" stroked="f" coordsize="21600,21600"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v:path/>
          <v:fill on="f" focussize="0,0"/>
          <v:stroke on="f" weight="0.5pt" joinstyle="miter"/>
          <v:imagedata o:title=""/>
          <o:lock v:ext="edit"/>
          <v:textbox inset="0mm,0mm,0mm,0mm">
            <w:txbxContent>
              <w:p>
                <w:pPr>
                  <w:pStyle w:val="2"/>
                  <w:ind w:firstLine="0" w:firstLineChars="0"/>
                  <w:rPr>
                    <w:sz w:val="28"/>
                    <w:szCs w:val="44"/>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6CE67"/>
    <w:multiLevelType w:val="singleLevel"/>
    <w:tmpl w:val="2376CE6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ED0381D"/>
    <w:rsid w:val="00021752"/>
    <w:rsid w:val="000562DC"/>
    <w:rsid w:val="005F0B4E"/>
    <w:rsid w:val="00670DA4"/>
    <w:rsid w:val="009B6591"/>
    <w:rsid w:val="00A6254D"/>
    <w:rsid w:val="00E047B3"/>
    <w:rsid w:val="00E119FD"/>
    <w:rsid w:val="00F474A1"/>
    <w:rsid w:val="00F61A77"/>
    <w:rsid w:val="00F63694"/>
    <w:rsid w:val="047F25B9"/>
    <w:rsid w:val="06B961A2"/>
    <w:rsid w:val="16F53BAB"/>
    <w:rsid w:val="19246BC8"/>
    <w:rsid w:val="1DF90708"/>
    <w:rsid w:val="1ED0381D"/>
    <w:rsid w:val="21B77A72"/>
    <w:rsid w:val="25AE4462"/>
    <w:rsid w:val="2BDF05F2"/>
    <w:rsid w:val="2E5F7A26"/>
    <w:rsid w:val="314E4498"/>
    <w:rsid w:val="34DA761D"/>
    <w:rsid w:val="354E4C5A"/>
    <w:rsid w:val="364B7C99"/>
    <w:rsid w:val="3BBF2E86"/>
    <w:rsid w:val="47F45153"/>
    <w:rsid w:val="501001DF"/>
    <w:rsid w:val="58D97C12"/>
    <w:rsid w:val="5B0E68DD"/>
    <w:rsid w:val="5C546F19"/>
    <w:rsid w:val="680A78E7"/>
    <w:rsid w:val="6973553E"/>
    <w:rsid w:val="69AD6317"/>
    <w:rsid w:val="6D083A72"/>
    <w:rsid w:val="70527932"/>
    <w:rsid w:val="73013C19"/>
    <w:rsid w:val="739215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
        <c:rich>
          <a:bodyPr/>
          <a:lstStyle/>
          <a:p>
            <a:pPr>
              <a:defRPr/>
            </a:pPr>
          </a:p>
        </c:rich>
      </c:tx>
    </c:title>
    <c:autoTitleDeleted val="0"/>
    <c:plotArea>
      <c:layout/>
      <c:barChart>
        <c:barDir val="col"/>
        <c:grouping val="clustered"/>
        <c:varyColors val="0"/>
        <c:ser>
          <c:idx val="0"/>
          <c:order val="0"/>
          <c:tx>
            <c:strRef>
              <c:f>Sheet1!$B$1</c:f>
              <c:strCache>
                <c:ptCount val="1"/>
                <c:pt idx="0">
                  <c:v>编制人数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行政人员</c:v>
                </c:pt>
                <c:pt idx="1">
                  <c:v>事业人员</c:v>
                </c:pt>
                <c:pt idx="2">
                  <c:v>单位管理的离退休人员</c:v>
                </c:pt>
              </c:strCache>
            </c:strRef>
          </c:cat>
          <c:val>
            <c:numRef>
              <c:f>Sheet1!$B$2:$B$4</c:f>
              <c:numCache>
                <c:formatCode>General</c:formatCode>
                <c:ptCount val="3"/>
                <c:pt idx="0">
                  <c:v>7</c:v>
                </c:pt>
                <c:pt idx="1">
                  <c:v>16</c:v>
                </c:pt>
                <c:pt idx="2">
                  <c:v>0</c:v>
                </c:pt>
              </c:numCache>
            </c:numRef>
          </c:val>
        </c:ser>
        <c:ser>
          <c:idx val="1"/>
          <c:order val="1"/>
          <c:tx>
            <c:strRef>
              <c:f>Sheet1!$C$1</c:f>
              <c:strCache>
                <c:ptCount val="1"/>
                <c:pt idx="0">
                  <c:v>实有人数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行政人员</c:v>
                </c:pt>
                <c:pt idx="1">
                  <c:v>事业人员</c:v>
                </c:pt>
                <c:pt idx="2">
                  <c:v>单位管理的离退休人员</c:v>
                </c:pt>
              </c:strCache>
            </c:strRef>
          </c:cat>
          <c:val>
            <c:numRef>
              <c:f>Sheet1!$C$2:$C$4</c:f>
              <c:numCache>
                <c:formatCode>General</c:formatCode>
                <c:ptCount val="3"/>
                <c:pt idx="0">
                  <c:v>6</c:v>
                </c:pt>
                <c:pt idx="1">
                  <c:v>7</c:v>
                </c:pt>
                <c:pt idx="2">
                  <c:v>1</c:v>
                </c:pt>
              </c:numCache>
            </c:numRef>
          </c:val>
        </c:ser>
        <c:dLbls>
          <c:showLegendKey val="0"/>
          <c:showVal val="1"/>
          <c:showCatName val="0"/>
          <c:showSerName val="0"/>
          <c:showPercent val="0"/>
          <c:showBubbleSize val="0"/>
        </c:dLbls>
        <c:gapWidth val="150"/>
        <c:overlap val="-25"/>
        <c:axId val="841896396"/>
        <c:axId val="284231953"/>
      </c:barChart>
      <c:catAx>
        <c:axId val="84189639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4231953"/>
        <c:crosses val="autoZero"/>
        <c:auto val="1"/>
        <c:lblAlgn val="ctr"/>
        <c:lblOffset val="100"/>
        <c:noMultiLvlLbl val="0"/>
      </c:catAx>
      <c:valAx>
        <c:axId val="284231953"/>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1896396"/>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manualLayout>
          <c:xMode val="edge"/>
          <c:yMode val="edge"/>
          <c:x val="0.39826402906742"/>
          <c:y val="0.00526315789473684"/>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行政运行</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Sheet1!$B$2:$B$3</c:f>
              <c:numCache>
                <c:formatCode>General</c:formatCode>
                <c:ptCount val="2"/>
                <c:pt idx="0">
                  <c:v>113.52</c:v>
                </c:pt>
                <c:pt idx="1">
                  <c:v>116.65</c:v>
                </c:pt>
              </c:numCache>
            </c:numRef>
          </c:val>
        </c:ser>
        <c:ser>
          <c:idx val="1"/>
          <c:order val="1"/>
          <c:tx>
            <c:strRef>
              <c:f>Sheet1!$C$1</c:f>
              <c:strCache>
                <c:ptCount val="1"/>
                <c:pt idx="0">
                  <c:v>机关事业单位基本养老保险缴费支出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Sheet1!$C$2:$C$3</c:f>
              <c:numCache>
                <c:formatCode>General</c:formatCode>
                <c:ptCount val="2"/>
                <c:pt idx="0">
                  <c:v>15.54</c:v>
                </c:pt>
                <c:pt idx="1">
                  <c:v>15.96</c:v>
                </c:pt>
              </c:numCache>
            </c:numRef>
          </c:val>
        </c:ser>
        <c:ser>
          <c:idx val="2"/>
          <c:order val="2"/>
          <c:tx>
            <c:strRef>
              <c:f>Sheet1!$D$1</c:f>
              <c:strCache>
                <c:ptCount val="1"/>
                <c:pt idx="0">
                  <c:v>行政单位医疗</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Sheet1!$D$2:$D$3</c:f>
              <c:numCache>
                <c:formatCode>General</c:formatCode>
                <c:ptCount val="2"/>
                <c:pt idx="0">
                  <c:v>2.77</c:v>
                </c:pt>
                <c:pt idx="1">
                  <c:v>0</c:v>
                </c:pt>
              </c:numCache>
            </c:numRef>
          </c:val>
        </c:ser>
        <c:ser>
          <c:idx val="3"/>
          <c:order val="3"/>
          <c:tx>
            <c:strRef>
              <c:f>Sheet1!$E$1</c:f>
              <c:strCache>
                <c:ptCount val="1"/>
                <c:pt idx="0">
                  <c:v>公务员医疗补助</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Sheet1!$E$2:$E$3</c:f>
              <c:numCache>
                <c:formatCode>General</c:formatCode>
                <c:ptCount val="2"/>
                <c:pt idx="0">
                  <c:v>0.21</c:v>
                </c:pt>
                <c:pt idx="1">
                  <c:v>0</c:v>
                </c:pt>
              </c:numCache>
            </c:numRef>
          </c:val>
        </c:ser>
        <c:ser>
          <c:idx val="4"/>
          <c:order val="4"/>
          <c:tx>
            <c:strRef>
              <c:f>Sheet1!$F$1</c:f>
              <c:strCache>
                <c:ptCount val="1"/>
                <c:pt idx="0">
                  <c:v>其他卫生健康支出</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Sheet1!$F$2:$F$3</c:f>
              <c:numCache>
                <c:formatCode>General</c:formatCode>
                <c:ptCount val="2"/>
                <c:pt idx="0">
                  <c:v>0.28</c:v>
                </c:pt>
                <c:pt idx="1">
                  <c:v>0</c:v>
                </c:pt>
              </c:numCache>
            </c:numRef>
          </c:val>
        </c:ser>
        <c:dLbls>
          <c:showLegendKey val="0"/>
          <c:showVal val="1"/>
          <c:showCatName val="0"/>
          <c:showSerName val="0"/>
          <c:showPercent val="0"/>
          <c:showBubbleSize val="0"/>
        </c:dLbls>
        <c:gapWidth val="75"/>
        <c:overlap val="0"/>
        <c:axId val="145877415"/>
        <c:axId val="212811663"/>
      </c:barChart>
      <c:catAx>
        <c:axId val="14587741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2811663"/>
        <c:crosses val="autoZero"/>
        <c:auto val="1"/>
        <c:lblAlgn val="ctr"/>
        <c:lblOffset val="100"/>
        <c:noMultiLvlLbl val="0"/>
      </c:catAx>
      <c:valAx>
        <c:axId val="2128116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587741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工资福利支出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2020年</c:v>
                </c:pt>
                <c:pt idx="1">
                  <c:v>2019年</c:v>
                </c:pt>
              </c:strCache>
            </c:strRef>
          </c:cat>
          <c:val>
            <c:numRef>
              <c:f>Sheet1!$B$2:$B$5</c:f>
              <c:numCache>
                <c:formatCode>General</c:formatCode>
                <c:ptCount val="4"/>
                <c:pt idx="0">
                  <c:v>110.14</c:v>
                </c:pt>
                <c:pt idx="1">
                  <c:v>112.42</c:v>
                </c:pt>
              </c:numCache>
            </c:numRef>
          </c:val>
        </c:ser>
        <c:ser>
          <c:idx val="1"/>
          <c:order val="1"/>
          <c:tx>
            <c:strRef>
              <c:f>Sheet1!$C$1</c:f>
              <c:strCache>
                <c:ptCount val="1"/>
                <c:pt idx="0">
                  <c:v>商品和服务支出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2020年</c:v>
                </c:pt>
                <c:pt idx="1">
                  <c:v>2019年</c:v>
                </c:pt>
              </c:strCache>
            </c:strRef>
          </c:cat>
          <c:val>
            <c:numRef>
              <c:f>Sheet1!$C$2:$C$5</c:f>
              <c:numCache>
                <c:formatCode>General</c:formatCode>
                <c:ptCount val="4"/>
                <c:pt idx="0">
                  <c:v>9.26</c:v>
                </c:pt>
                <c:pt idx="1">
                  <c:v>9.02</c:v>
                </c:pt>
              </c:numCache>
            </c:numRef>
          </c:val>
        </c:ser>
        <c:ser>
          <c:idx val="2"/>
          <c:order val="2"/>
          <c:tx>
            <c:strRef>
              <c:f>Sheet1!$D$1</c:f>
              <c:strCache>
                <c:ptCount val="1"/>
                <c:pt idx="0">
                  <c:v>对个人和家庭的补助支出</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2020年</c:v>
                </c:pt>
                <c:pt idx="1">
                  <c:v>2019年</c:v>
                </c:pt>
              </c:strCache>
            </c:strRef>
          </c:cat>
          <c:val>
            <c:numRef>
              <c:f>Sheet1!$D$2:$D$5</c:f>
              <c:numCache>
                <c:formatCode>General</c:formatCode>
                <c:ptCount val="4"/>
                <c:pt idx="0">
                  <c:v>12.92</c:v>
                </c:pt>
                <c:pt idx="1">
                  <c:v>11.17</c:v>
                </c:pt>
              </c:numCache>
            </c:numRef>
          </c:val>
        </c:ser>
        <c:dLbls>
          <c:showLegendKey val="0"/>
          <c:showVal val="1"/>
          <c:showCatName val="0"/>
          <c:showSerName val="0"/>
          <c:showPercent val="0"/>
          <c:showBubbleSize val="0"/>
        </c:dLbls>
        <c:gapWidth val="75"/>
        <c:overlap val="0"/>
        <c:axId val="562606021"/>
        <c:axId val="700929945"/>
      </c:barChart>
      <c:catAx>
        <c:axId val="56260602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0929945"/>
        <c:crosses val="autoZero"/>
        <c:auto val="1"/>
        <c:lblAlgn val="ctr"/>
        <c:lblOffset val="100"/>
        <c:noMultiLvlLbl val="0"/>
      </c:catAx>
      <c:valAx>
        <c:axId val="70092994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2606021"/>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机关工资福利支出（501）</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Sheet1!$B$2:$B$3</c:f>
              <c:numCache>
                <c:formatCode>General</c:formatCode>
                <c:ptCount val="2"/>
                <c:pt idx="0">
                  <c:v>59.88</c:v>
                </c:pt>
                <c:pt idx="1">
                  <c:v>65.18</c:v>
                </c:pt>
              </c:numCache>
            </c:numRef>
          </c:val>
        </c:ser>
        <c:ser>
          <c:idx val="1"/>
          <c:order val="1"/>
          <c:tx>
            <c:strRef>
              <c:f>Sheet1!$C$1</c:f>
              <c:strCache>
                <c:ptCount val="1"/>
                <c:pt idx="0">
                  <c:v>机关商品和服务支出（502）</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Sheet1!$C$2:$C$3</c:f>
              <c:numCache>
                <c:formatCode>General</c:formatCode>
                <c:ptCount val="2"/>
                <c:pt idx="0">
                  <c:v>9.26</c:v>
                </c:pt>
                <c:pt idx="1">
                  <c:v>9.02</c:v>
                </c:pt>
              </c:numCache>
            </c:numRef>
          </c:val>
        </c:ser>
        <c:ser>
          <c:idx val="2"/>
          <c:order val="2"/>
          <c:tx>
            <c:strRef>
              <c:f>Sheet1!$D$1</c:f>
              <c:strCache>
                <c:ptCount val="1"/>
                <c:pt idx="0">
                  <c:v>对事业单位经常性补助（505）</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Sheet1!$D$2:$D$3</c:f>
              <c:numCache>
                <c:formatCode>General</c:formatCode>
                <c:ptCount val="2"/>
                <c:pt idx="0">
                  <c:v>50.26</c:v>
                </c:pt>
                <c:pt idx="1">
                  <c:v>47.24</c:v>
                </c:pt>
              </c:numCache>
            </c:numRef>
          </c:val>
        </c:ser>
        <c:ser>
          <c:idx val="3"/>
          <c:order val="3"/>
          <c:tx>
            <c:strRef>
              <c:f>Sheet1!$E$1</c:f>
              <c:strCache>
                <c:ptCount val="1"/>
                <c:pt idx="0">
                  <c:v>对个人和家庭的补助（509）</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2020年</c:v>
                </c:pt>
                <c:pt idx="1">
                  <c:v>2019年</c:v>
                </c:pt>
              </c:strCache>
            </c:strRef>
          </c:cat>
          <c:val>
            <c:numRef>
              <c:f>Sheet1!$E$2:$E$3</c:f>
              <c:numCache>
                <c:formatCode>General</c:formatCode>
                <c:ptCount val="2"/>
                <c:pt idx="0">
                  <c:v>12.92</c:v>
                </c:pt>
                <c:pt idx="1">
                  <c:v>11.17</c:v>
                </c:pt>
              </c:numCache>
            </c:numRef>
          </c:val>
        </c:ser>
        <c:dLbls>
          <c:showLegendKey val="0"/>
          <c:showVal val="1"/>
          <c:showCatName val="0"/>
          <c:showSerName val="0"/>
          <c:showPercent val="0"/>
          <c:showBubbleSize val="0"/>
        </c:dLbls>
        <c:gapWidth val="75"/>
        <c:overlap val="0"/>
        <c:axId val="556992939"/>
        <c:axId val="212220044"/>
      </c:barChart>
      <c:catAx>
        <c:axId val="55699293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2220044"/>
        <c:crosses val="autoZero"/>
        <c:auto val="1"/>
        <c:lblAlgn val="ctr"/>
        <c:lblOffset val="100"/>
        <c:noMultiLvlLbl val="0"/>
      </c:catAx>
      <c:valAx>
        <c:axId val="2122200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6992939"/>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854</Words>
  <Characters>4869</Characters>
  <Lines>40</Lines>
  <Paragraphs>11</Paragraphs>
  <TotalTime>32</TotalTime>
  <ScaleCrop>false</ScaleCrop>
  <LinksUpToDate>false</LinksUpToDate>
  <CharactersWithSpaces>5712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2019-11-29T08:56:00Z</dcterms:created>
  <dc:creator>郭超(拟稿)</dc:creator>
  <cp:lastModifiedBy>Administrator</cp:lastModifiedBy>
  <cp:lastPrinted>2020-01-06T07:32:00Z</cp:lastPrinted>
  <dcterms:modified xsi:type="dcterms:W3CDTF">2020-02-11T09:07:38Z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