
<file path=[Content_Types].xml><?xml version="1.0" encoding="utf-8"?>
<Types xmlns="http://schemas.openxmlformats.org/package/2006/content-types">
  <Default Extension="emf" ContentType="image/x-emf"/>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tyles.xml" ContentType="application/vnd.openxmlformats-officedocument.wordprocessingml.styles+xml"/>
  <Override PartName="/word/footer4.xml" ContentType="application/vnd.openxmlformats-officedocument.wordprocessingml.footer+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word/header5.xml" ContentType="application/vnd.openxmlformats-officedocument.wordprocessingml.header+xml"/>
  <Override PartName="/word/theme/theme1.xml" ContentType="application/vnd.openxmlformats-officedocument.theme+xml"/>
  <Override PartName="/word/footer3.xml" ContentType="application/vnd.openxmlformats-officedocument.wordprocessingml.footer+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360"/>
        <w:ind w:firstLine="0" w:firstLineChars="0"/>
        <w:jc w:val="left"/>
        <w:rPr>
          <w:rFonts w:ascii="仿宋_GB2312" w:cs="黑体" w:eastAsia="仿宋_GB2312" w:hAnsi="黑体"/>
          <w:sz w:val="32"/>
          <w:szCs w:val="32"/>
        </w:rPr>
      </w:pPr>
      <w:r>
        <w:rPr>
          <w:rFonts w:ascii="仿宋_GB2312" w:cs="黑体" w:eastAsia="仿宋_GB2312" w:hAnsi="黑体" w:hint="eastAsia"/>
          <w:sz w:val="32"/>
          <w:szCs w:val="32"/>
        </w:rPr>
        <w:t>附件</w:t>
      </w:r>
      <w:r>
        <w:rPr>
          <w:rFonts w:ascii="仿宋_GB2312" w:cs="黑体" w:eastAsia="仿宋_GB2312" w:hAnsi="黑体"/>
          <w:sz w:val="32"/>
          <w:szCs w:val="32"/>
        </w:rPr>
        <w:t>1</w:t>
      </w:r>
    </w:p>
    <w:p>
      <w:pPr>
        <w:pStyle w:val="style0"/>
        <w:adjustRightInd w:val="false"/>
        <w:snapToGrid w:val="false"/>
        <w:ind w:firstLine="31680"/>
        <w:jc w:val="center"/>
        <w:rPr>
          <w:rFonts w:ascii="黑体" w:eastAsia="黑体" w:hAnsi="黑体"/>
          <w:sz w:val="32"/>
          <w:szCs w:val="32"/>
        </w:rPr>
      </w:pPr>
      <w:r>
        <w:rPr>
          <w:rFonts w:ascii="黑体" w:eastAsia="黑体" w:hAnsi="黑体" w:hint="eastAsia"/>
          <w:sz w:val="32"/>
          <w:szCs w:val="32"/>
        </w:rPr>
        <w:t>蓝田县市场监督管理局</w:t>
      </w:r>
    </w:p>
    <w:p>
      <w:pPr>
        <w:pStyle w:val="style0"/>
        <w:adjustRightInd w:val="false"/>
        <w:snapToGrid w:val="false"/>
        <w:ind w:firstLine="31680"/>
        <w:jc w:val="center"/>
        <w:rPr>
          <w:rFonts w:ascii="黑体" w:eastAsia="黑体" w:hAnsi="黑体"/>
          <w:sz w:val="32"/>
          <w:szCs w:val="32"/>
        </w:rPr>
      </w:pPr>
    </w:p>
    <w:p>
      <w:pPr>
        <w:pStyle w:val="style0"/>
        <w:adjustRightInd w:val="false"/>
        <w:snapToGrid w:val="false"/>
        <w:ind w:firstLine="31680"/>
        <w:jc w:val="center"/>
        <w:rPr>
          <w:rFonts w:ascii="黑体" w:eastAsia="黑体" w:hAnsi="黑体"/>
          <w:sz w:val="32"/>
          <w:szCs w:val="32"/>
        </w:rPr>
      </w:pPr>
      <w:r>
        <w:rPr>
          <w:rFonts w:ascii="黑体" w:eastAsia="黑体" w:hAnsi="黑体"/>
          <w:sz w:val="32"/>
          <w:szCs w:val="32"/>
        </w:rPr>
        <w:t>2020</w:t>
      </w:r>
      <w:r>
        <w:rPr>
          <w:rFonts w:ascii="黑体" w:eastAsia="黑体" w:hAnsi="黑体" w:hint="eastAsia"/>
          <w:sz w:val="32"/>
          <w:szCs w:val="32"/>
        </w:rPr>
        <w:t>年部门综合预算说明</w:t>
      </w:r>
    </w:p>
    <w:p>
      <w:pPr>
        <w:pStyle w:val="style0"/>
        <w:spacing w:lineRule="auto" w:line="360"/>
        <w:ind w:firstLine="31680"/>
        <w:rPr>
          <w:rFonts w:ascii="仿宋_GB2312" w:cs="仿宋" w:eastAsia="仿宋_GB2312" w:hAnsi="仿宋"/>
          <w:sz w:val="32"/>
          <w:szCs w:val="32"/>
        </w:rPr>
      </w:pP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目</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录</w:t>
      </w: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第一部分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部门概况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一、部门主要职责及机构设置</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二、</w:t>
      </w:r>
      <w:r>
        <w:rPr>
          <w:rFonts w:ascii="仿宋_GB2312" w:cs="仿宋" w:eastAsia="仿宋_GB2312" w:hAnsi="仿宋"/>
          <w:sz w:val="32"/>
          <w:szCs w:val="32"/>
        </w:rPr>
        <w:t>2020</w:t>
      </w:r>
      <w:r>
        <w:rPr>
          <w:rFonts w:ascii="仿宋_GB2312" w:cs="仿宋" w:eastAsia="仿宋_GB2312" w:hAnsi="仿宋" w:hint="eastAsia"/>
          <w:sz w:val="32"/>
          <w:szCs w:val="32"/>
        </w:rPr>
        <w:t>年年度部门工作任务</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三、部门预算单位构成</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四、部门人员情况说明</w:t>
      </w: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第二部分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收支情况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五、</w:t>
      </w:r>
      <w:r>
        <w:rPr>
          <w:rFonts w:ascii="仿宋_GB2312" w:cs="仿宋" w:eastAsia="仿宋_GB2312" w:hAnsi="仿宋"/>
          <w:sz w:val="32"/>
          <w:szCs w:val="32"/>
        </w:rPr>
        <w:t>2020</w:t>
      </w:r>
      <w:r>
        <w:rPr>
          <w:rFonts w:ascii="仿宋_GB2312" w:cs="仿宋" w:eastAsia="仿宋_GB2312" w:hAnsi="仿宋" w:hint="eastAsia"/>
          <w:sz w:val="32"/>
          <w:szCs w:val="32"/>
        </w:rPr>
        <w:t>年部门预算收支说明</w:t>
      </w: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第三部分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其他说明情况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六、部门预算“三公”经费等情况说明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七、部门国有资产占有使用及资产购置情况说明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八、部门政府采购情况说明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九、部门预算绩效目标说明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十、机关运行经费安排说明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十一、专业名词解释</w:t>
      </w:r>
    </w:p>
    <w:p>
      <w:pPr>
        <w:pStyle w:val="style0"/>
        <w:spacing w:lineRule="auto" w:line="360"/>
        <w:ind w:firstLine="31680"/>
        <w:jc w:val="center"/>
        <w:rPr>
          <w:rFonts w:ascii="仿宋_GB2312" w:cs="仿宋" w:eastAsia="仿宋_GB2312" w:hAnsi="仿宋"/>
          <w:sz w:val="32"/>
          <w:szCs w:val="32"/>
        </w:rPr>
      </w:pPr>
      <w:r>
        <w:rPr>
          <w:rFonts w:ascii="仿宋_GB2312" w:cs="仿宋" w:eastAsia="仿宋_GB2312" w:hAnsi="仿宋" w:hint="eastAsia"/>
          <w:b/>
          <w:bCs/>
          <w:sz w:val="32"/>
          <w:szCs w:val="32"/>
        </w:rPr>
        <w:t>第四部分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公开报表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（具体部门预算公开报表）</w:t>
      </w:r>
    </w:p>
    <w:p>
      <w:pPr>
        <w:pStyle w:val="style0"/>
        <w:spacing w:lineRule="auto" w:line="360"/>
        <w:ind w:firstLine="31680"/>
        <w:jc w:val="center"/>
        <w:rPr>
          <w:rFonts w:ascii="仿宋_GB2312" w:cs="仿宋" w:eastAsia="仿宋_GB2312" w:hAnsi="仿宋"/>
          <w:sz w:val="32"/>
          <w:szCs w:val="32"/>
        </w:rPr>
      </w:pPr>
      <w:r>
        <w:rPr>
          <w:rFonts w:ascii="仿宋_GB2312" w:cs="仿宋" w:eastAsia="仿宋_GB2312" w:hAnsi="仿宋" w:hint="eastAsia"/>
          <w:b/>
          <w:bCs/>
          <w:sz w:val="32"/>
          <w:szCs w:val="32"/>
        </w:rPr>
        <w:t>第一部分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部门概况</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一、部门主要职责及机构设置</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hint="eastAsia"/>
          <w:color w:val="000000"/>
          <w:sz w:val="32"/>
          <w:szCs w:val="32"/>
        </w:rPr>
        <w:t>（一）</w:t>
      </w:r>
      <w:r>
        <w:rPr>
          <w:rFonts w:ascii="仿宋_GB2312" w:cs="仿宋" w:eastAsia="仿宋_GB2312" w:hAnsi="仿宋" w:hint="eastAsia"/>
          <w:sz w:val="32"/>
          <w:szCs w:val="32"/>
        </w:rPr>
        <w:t>部门主要职责</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color w:val="000000"/>
          <w:sz w:val="32"/>
          <w:szCs w:val="32"/>
        </w:rPr>
        <w:t>1</w:t>
      </w:r>
      <w:r>
        <w:rPr>
          <w:rFonts w:ascii="仿宋_GB2312" w:cs="仿宋_GB2312" w:eastAsia="仿宋_GB2312" w:hAnsi="仿宋_GB2312" w:hint="eastAsia"/>
          <w:color w:val="000000"/>
          <w:sz w:val="32"/>
          <w:szCs w:val="32"/>
        </w:rPr>
        <w:t>、负责市场综合监督管理和知识产权管理。</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color w:val="000000"/>
          <w:sz w:val="32"/>
          <w:szCs w:val="32"/>
        </w:rPr>
        <w:t>2</w:t>
      </w:r>
      <w:r>
        <w:rPr>
          <w:rFonts w:ascii="仿宋_GB2312" w:cs="仿宋_GB2312" w:eastAsia="仿宋_GB2312" w:hAnsi="仿宋_GB2312" w:hint="eastAsia"/>
          <w:color w:val="000000"/>
          <w:sz w:val="32"/>
          <w:szCs w:val="32"/>
        </w:rPr>
        <w:t>、负责组织和指导市场监管综合执法工作。</w:t>
      </w:r>
    </w:p>
    <w:p>
      <w:pPr>
        <w:pStyle w:val="style0"/>
        <w:spacing w:lineRule="exact" w:line="540"/>
        <w:ind w:firstLine="31680"/>
        <w:rPr>
          <w:rFonts w:ascii="仿宋_GB2312" w:eastAsia="仿宋_GB2312" w:hAnsi="仿宋_GB2312"/>
          <w:color w:val="000000"/>
          <w:kern w:val="0"/>
          <w:sz w:val="32"/>
          <w:szCs w:val="32"/>
        </w:rPr>
      </w:pPr>
      <w:r>
        <w:rPr>
          <w:rFonts w:ascii="仿宋_GB2312" w:cs="仿宋_GB2312" w:eastAsia="仿宋_GB2312" w:hAnsi="仿宋_GB2312"/>
          <w:color w:val="000000"/>
          <w:sz w:val="32"/>
          <w:szCs w:val="32"/>
        </w:rPr>
        <w:t>3</w:t>
      </w:r>
      <w:r>
        <w:rPr>
          <w:rFonts w:ascii="仿宋_GB2312" w:cs="仿宋_GB2312" w:eastAsia="仿宋_GB2312" w:hAnsi="仿宋_GB2312" w:hint="eastAsia"/>
          <w:color w:val="000000"/>
          <w:sz w:val="32"/>
          <w:szCs w:val="32"/>
        </w:rPr>
        <w:t>、负责食品、保健品安全监督管理。</w:t>
      </w:r>
    </w:p>
    <w:p>
      <w:pPr>
        <w:pStyle w:val="style0"/>
        <w:spacing w:lineRule="exact" w:line="540"/>
        <w:ind w:firstLine="31680"/>
        <w:rPr>
          <w:rFonts w:ascii="仿宋_GB2312" w:cs="仿宋_GB2312" w:eastAsia="仿宋_GB2312" w:hAnsi="微软雅黑"/>
          <w:color w:val="000000"/>
          <w:sz w:val="32"/>
          <w:szCs w:val="32"/>
        </w:rPr>
      </w:pPr>
      <w:r>
        <w:rPr>
          <w:rFonts w:ascii="仿宋_GB2312" w:cs="仿宋_GB2312" w:eastAsia="仿宋_GB2312" w:hAnsi="仿宋_GB2312"/>
          <w:color w:val="000000"/>
          <w:sz w:val="32"/>
          <w:szCs w:val="32"/>
        </w:rPr>
        <w:t>4</w:t>
      </w:r>
      <w:r>
        <w:rPr>
          <w:rFonts w:ascii="仿宋_GB2312" w:cs="仿宋_GB2312" w:eastAsia="仿宋_GB2312" w:hAnsi="仿宋_GB2312" w:hint="eastAsia"/>
          <w:color w:val="000000"/>
          <w:sz w:val="32"/>
          <w:szCs w:val="32"/>
        </w:rPr>
        <w:t>、</w:t>
      </w:r>
      <w:r>
        <w:rPr>
          <w:rFonts w:ascii="仿宋_GB2312" w:cs="仿宋_GB2312" w:eastAsia="仿宋_GB2312" w:hAnsi="仿宋_GB2312" w:hint="eastAsia"/>
          <w:color w:val="000000"/>
          <w:kern w:val="0"/>
          <w:sz w:val="32"/>
          <w:szCs w:val="32"/>
        </w:rPr>
        <w:t>负责药品</w:t>
      </w:r>
      <w:r>
        <w:rPr>
          <w:rFonts w:ascii="仿宋_GB2312" w:cs="仿宋_GB2312" w:eastAsia="仿宋_GB2312" w:hAnsi="微软雅黑" w:hint="eastAsia"/>
          <w:color w:val="000000"/>
          <w:sz w:val="32"/>
          <w:szCs w:val="32"/>
        </w:rPr>
        <w:t>、医疗器械、化妆品经营和使用环节质量安全监督管理。</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color w:val="000000"/>
          <w:sz w:val="32"/>
          <w:szCs w:val="32"/>
        </w:rPr>
        <w:t>5</w:t>
      </w:r>
      <w:r>
        <w:rPr>
          <w:rFonts w:ascii="仿宋_GB2312" w:cs="仿宋_GB2312" w:eastAsia="仿宋_GB2312" w:hAnsi="仿宋_GB2312" w:hint="eastAsia"/>
          <w:color w:val="000000"/>
          <w:sz w:val="32"/>
          <w:szCs w:val="32"/>
        </w:rPr>
        <w:t>、负责食品安全监督管理综合协调。</w:t>
      </w:r>
    </w:p>
    <w:p>
      <w:pPr>
        <w:pStyle w:val="style0"/>
        <w:spacing w:lineRule="exact" w:line="540"/>
        <w:ind w:firstLine="31680"/>
        <w:rPr>
          <w:rFonts w:ascii="仿宋_GB2312" w:cs="仿宋_GB2312" w:eastAsia="仿宋_GB2312" w:hAnsi="微软雅黑"/>
          <w:color w:val="000000"/>
          <w:sz w:val="32"/>
          <w:szCs w:val="32"/>
        </w:rPr>
      </w:pPr>
      <w:r>
        <w:rPr>
          <w:rFonts w:ascii="仿宋_GB2312" w:cs="仿宋_GB2312" w:eastAsia="仿宋_GB2312" w:hAnsi="仿宋_GB2312"/>
          <w:color w:val="000000"/>
          <w:sz w:val="32"/>
          <w:szCs w:val="32"/>
        </w:rPr>
        <w:t>6</w:t>
      </w:r>
      <w:r>
        <w:rPr>
          <w:rFonts w:ascii="仿宋_GB2312" w:cs="仿宋_GB2312" w:eastAsia="仿宋_GB2312" w:hAnsi="仿宋_GB2312" w:hint="eastAsia"/>
          <w:color w:val="000000"/>
          <w:sz w:val="32"/>
          <w:szCs w:val="32"/>
        </w:rPr>
        <w:t>、负责监督管理市场秩序。</w:t>
      </w:r>
    </w:p>
    <w:p>
      <w:pPr>
        <w:pStyle w:val="style0"/>
        <w:spacing w:lineRule="exact" w:line="540"/>
        <w:ind w:firstLine="31680"/>
        <w:rPr>
          <w:rFonts w:ascii="仿宋_GB2312" w:eastAsia="仿宋_GB2312" w:hAnsi="微软雅黑"/>
          <w:color w:val="000000"/>
          <w:sz w:val="32"/>
          <w:szCs w:val="32"/>
          <w:u w:val="single"/>
        </w:rPr>
      </w:pPr>
      <w:r>
        <w:rPr>
          <w:rFonts w:ascii="仿宋_GB2312" w:cs="仿宋_GB2312" w:eastAsia="仿宋_GB2312" w:hAnsi="仿宋_GB2312"/>
          <w:color w:val="000000"/>
          <w:sz w:val="32"/>
          <w:szCs w:val="32"/>
        </w:rPr>
        <w:t>7</w:t>
      </w:r>
      <w:r>
        <w:rPr>
          <w:rFonts w:ascii="仿宋_GB2312" w:cs="仿宋_GB2312" w:eastAsia="仿宋_GB2312" w:hAnsi="仿宋_GB2312" w:hint="eastAsia"/>
          <w:color w:val="000000"/>
          <w:sz w:val="32"/>
          <w:szCs w:val="32"/>
        </w:rPr>
        <w:t>、负责公平竞争审查工作。</w:t>
      </w:r>
    </w:p>
    <w:p>
      <w:pPr>
        <w:pStyle w:val="style94"/>
        <w:spacing w:before="0" w:beforeAutospacing="false" w:after="0" w:afterAutospacing="false" w:lineRule="exact" w:line="540"/>
        <w:ind w:firstLine="31680" w:firstLineChars="200"/>
        <w:rPr>
          <w:rFonts w:ascii="仿宋_GB2312" w:cs="仿宋_GB2312" w:eastAsia="仿宋_GB2312" w:hAnsi="仿宋"/>
          <w:color w:val="000000"/>
          <w:sz w:val="32"/>
          <w:szCs w:val="32"/>
        </w:rPr>
      </w:pPr>
      <w:r>
        <w:rPr>
          <w:rFonts w:ascii="仿宋_GB2312" w:cs="仿宋_GB2312" w:eastAsia="仿宋_GB2312" w:hAnsi="仿宋_GB2312"/>
          <w:sz w:val="32"/>
          <w:szCs w:val="32"/>
        </w:rPr>
        <w:t>8</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负责知识产权保护和促进工作。</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sz w:val="32"/>
          <w:szCs w:val="32"/>
        </w:rPr>
        <w:t>9</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负责管理和指导质量工作。</w:t>
      </w:r>
    </w:p>
    <w:p>
      <w:pPr>
        <w:pStyle w:val="style0"/>
        <w:spacing w:lineRule="exact" w:line="540"/>
        <w:ind w:firstLine="31680"/>
        <w:rPr>
          <w:rFonts w:ascii="仿宋_GB2312" w:eastAsia="仿宋_GB2312"/>
          <w:color w:val="000000"/>
          <w:sz w:val="32"/>
          <w:szCs w:val="32"/>
        </w:rPr>
      </w:pPr>
      <w:r>
        <w:rPr>
          <w:rFonts w:ascii="仿宋_GB2312" w:cs="仿宋_GB2312" w:eastAsia="仿宋_GB2312" w:hAnsi="仿宋_GB2312"/>
          <w:sz w:val="32"/>
          <w:szCs w:val="32"/>
        </w:rPr>
        <w:t>10</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负责计量监督管理工作。</w:t>
      </w:r>
    </w:p>
    <w:p>
      <w:pPr>
        <w:pStyle w:val="style0"/>
        <w:spacing w:lineRule="exact" w:line="540"/>
        <w:ind w:firstLine="31680"/>
        <w:rPr>
          <w:rFonts w:ascii="仿宋_GB2312" w:cs="仿宋_GB2312" w:eastAsia="仿宋_GB2312"/>
          <w:color w:val="000000"/>
          <w:sz w:val="32"/>
          <w:szCs w:val="32"/>
        </w:rPr>
      </w:pPr>
      <w:r>
        <w:rPr>
          <w:rFonts w:ascii="仿宋_GB2312" w:cs="仿宋_GB2312" w:eastAsia="仿宋_GB2312" w:hAnsi="仿宋_GB2312"/>
          <w:sz w:val="32"/>
          <w:szCs w:val="32"/>
        </w:rPr>
        <w:t>11</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负责统一管理标准化工作。</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sz w:val="32"/>
          <w:szCs w:val="32"/>
        </w:rPr>
        <w:t>12</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负责统一管理认证认可与检验检测工作。</w:t>
      </w:r>
    </w:p>
    <w:p>
      <w:pPr>
        <w:pStyle w:val="style0"/>
        <w:spacing w:lineRule="exact" w:line="540"/>
        <w:ind w:firstLine="31680"/>
        <w:rPr>
          <w:rFonts w:ascii="仿宋_GB2312" w:eastAsia="仿宋_GB2312" w:hAnsi="仿宋_GB2312"/>
          <w:color w:val="000000"/>
          <w:sz w:val="32"/>
          <w:szCs w:val="32"/>
        </w:rPr>
      </w:pPr>
      <w:r>
        <w:rPr>
          <w:rFonts w:ascii="仿宋_GB2312" w:cs="仿宋_GB2312" w:eastAsia="仿宋_GB2312" w:hAnsi="仿宋_GB2312"/>
          <w:sz w:val="32"/>
          <w:szCs w:val="32"/>
        </w:rPr>
        <w:t>13</w:t>
      </w:r>
      <w:r>
        <w:rPr>
          <w:rFonts w:ascii="仿宋_GB2312" w:cs="仿宋_GB2312" w:eastAsia="仿宋_GB2312" w:hAnsi="仿宋_GB2312" w:hint="eastAsia"/>
          <w:sz w:val="32"/>
          <w:szCs w:val="32"/>
        </w:rPr>
        <w:t>、</w:t>
      </w:r>
      <w:r>
        <w:rPr>
          <w:rFonts w:ascii="仿宋_GB2312" w:cs="仿宋_GB2312" w:eastAsia="仿宋_GB2312" w:hAnsi="仿宋_GB2312" w:hint="eastAsia"/>
          <w:color w:val="000000"/>
          <w:sz w:val="32"/>
          <w:szCs w:val="32"/>
        </w:rPr>
        <w:t>按照国务院批准的《特种设备目录》综合管理全县特种设备安全监察、监督工作。</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14</w:t>
      </w:r>
      <w:r>
        <w:rPr>
          <w:rFonts w:ascii="仿宋_GB2312" w:cs="仿宋_GB2312" w:eastAsia="仿宋_GB2312" w:hAnsi="仿宋_GB2312" w:hint="eastAsia"/>
          <w:color w:val="000000"/>
          <w:sz w:val="32"/>
          <w:szCs w:val="32"/>
        </w:rPr>
        <w:t>、负责价格监督检查工作。</w:t>
      </w:r>
    </w:p>
    <w:p>
      <w:pPr>
        <w:pStyle w:val="style0"/>
        <w:autoSpaceDN w:val="false"/>
        <w:spacing w:lineRule="exact" w:line="540"/>
        <w:ind w:firstLine="31680"/>
        <w:rPr>
          <w:rFonts w:ascii="仿宋_GB2312" w:cs="仿宋_GB2312" w:eastAsia="仿宋_GB2312"/>
          <w:color w:val="000000"/>
          <w:sz w:val="32"/>
          <w:szCs w:val="32"/>
        </w:rPr>
      </w:pPr>
      <w:r>
        <w:rPr>
          <w:rFonts w:ascii="仿宋_GB2312" w:cs="仿宋_GB2312" w:eastAsia="仿宋_GB2312"/>
          <w:color w:val="000000"/>
          <w:sz w:val="32"/>
          <w:szCs w:val="32"/>
        </w:rPr>
        <w:t>15</w:t>
      </w:r>
      <w:r>
        <w:rPr>
          <w:rFonts w:ascii="仿宋_GB2312" w:cs="仿宋_GB2312" w:eastAsia="仿宋_GB2312" w:hint="eastAsia"/>
          <w:color w:val="000000"/>
          <w:sz w:val="32"/>
          <w:szCs w:val="32"/>
        </w:rPr>
        <w:t>、负责市场监督管理科技和信息化建设、应急管理和新闻宣传工作。</w:t>
      </w:r>
    </w:p>
    <w:p>
      <w:pPr>
        <w:pStyle w:val="style0"/>
        <w:autoSpaceDN w:val="false"/>
        <w:spacing w:lineRule="exact" w:line="540"/>
        <w:ind w:firstLine="31680"/>
        <w:rPr>
          <w:rFonts w:ascii="仿宋_GB2312" w:cs="仿宋_GB2312" w:eastAsia="仿宋_GB2312" w:hAnsi="仿宋_GB2312"/>
          <w:color w:val="000000"/>
          <w:sz w:val="32"/>
          <w:szCs w:val="32"/>
        </w:rPr>
      </w:pPr>
      <w:r>
        <w:rPr>
          <w:rFonts w:ascii="仿宋_GB2312" w:cs="仿宋_GB2312" w:eastAsia="仿宋_GB2312"/>
          <w:color w:val="000000"/>
          <w:sz w:val="32"/>
          <w:szCs w:val="32"/>
        </w:rPr>
        <w:t>16</w:t>
      </w:r>
      <w:r>
        <w:rPr>
          <w:rFonts w:ascii="仿宋_GB2312" w:cs="仿宋_GB2312" w:eastAsia="仿宋_GB2312" w:hint="eastAsia"/>
          <w:color w:val="000000"/>
          <w:sz w:val="32"/>
          <w:szCs w:val="32"/>
        </w:rPr>
        <w:t>、负责机关及所属事业单位安全生产管理工作。</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17</w:t>
      </w:r>
      <w:r>
        <w:rPr>
          <w:rFonts w:ascii="仿宋_GB2312" w:cs="仿宋_GB2312" w:eastAsia="仿宋_GB2312" w:hAnsi="仿宋_GB2312" w:hint="eastAsia"/>
          <w:color w:val="000000"/>
          <w:sz w:val="32"/>
          <w:szCs w:val="32"/>
        </w:rPr>
        <w:t>、完成县委、县政府交办的其他任务。</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18</w:t>
      </w:r>
      <w:r>
        <w:rPr>
          <w:rFonts w:ascii="仿宋_GB2312" w:cs="仿宋_GB2312" w:eastAsia="仿宋_GB2312" w:hAnsi="仿宋_GB2312" w:hint="eastAsia"/>
          <w:color w:val="000000"/>
          <w:sz w:val="32"/>
          <w:szCs w:val="32"/>
        </w:rPr>
        <w:t>、职能转变。</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hint="eastAsia"/>
          <w:color w:val="000000"/>
          <w:sz w:val="32"/>
          <w:szCs w:val="32"/>
        </w:rPr>
        <w:t>（</w:t>
      </w:r>
      <w:r>
        <w:rPr>
          <w:rFonts w:ascii="仿宋_GB2312" w:cs="仿宋_GB2312" w:eastAsia="仿宋_GB2312" w:hAnsi="仿宋_GB2312"/>
          <w:color w:val="000000"/>
          <w:sz w:val="32"/>
          <w:szCs w:val="32"/>
        </w:rPr>
        <w:t>1</w:t>
      </w:r>
      <w:r>
        <w:rPr>
          <w:rFonts w:ascii="仿宋_GB2312" w:cs="仿宋_GB2312" w:eastAsia="仿宋_GB2312" w:hAnsi="仿宋_GB2312" w:hint="eastAsia"/>
          <w:color w:val="000000"/>
          <w:sz w:val="32"/>
          <w:szCs w:val="32"/>
        </w:rPr>
        <w:t>）划入原县物价局的价格监督检查职责。</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hint="eastAsia"/>
          <w:color w:val="000000"/>
          <w:sz w:val="32"/>
          <w:szCs w:val="32"/>
        </w:rPr>
        <w:t>（</w:t>
      </w:r>
      <w:r>
        <w:rPr>
          <w:rFonts w:ascii="仿宋_GB2312" w:cs="仿宋_GB2312" w:eastAsia="仿宋_GB2312" w:hAnsi="仿宋_GB2312"/>
          <w:color w:val="000000"/>
          <w:sz w:val="32"/>
          <w:szCs w:val="32"/>
        </w:rPr>
        <w:t>2</w:t>
      </w:r>
      <w:r>
        <w:rPr>
          <w:rFonts w:ascii="仿宋_GB2312" w:cs="仿宋_GB2312" w:eastAsia="仿宋_GB2312" w:hAnsi="仿宋_GB2312" w:hint="eastAsia"/>
          <w:color w:val="000000"/>
          <w:sz w:val="32"/>
          <w:szCs w:val="32"/>
        </w:rPr>
        <w:t>）划入原科学技术局的知识产权管理职责。</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hint="eastAsia"/>
          <w:color w:val="000000"/>
          <w:sz w:val="32"/>
          <w:szCs w:val="32"/>
        </w:rPr>
        <w:t>（</w:t>
      </w:r>
      <w:r>
        <w:rPr>
          <w:rFonts w:ascii="仿宋_GB2312" w:cs="仿宋_GB2312" w:eastAsia="仿宋_GB2312" w:hAnsi="仿宋_GB2312"/>
          <w:color w:val="000000"/>
          <w:sz w:val="32"/>
          <w:szCs w:val="32"/>
        </w:rPr>
        <w:t>3</w:t>
      </w:r>
      <w:r>
        <w:rPr>
          <w:rFonts w:ascii="仿宋_GB2312" w:cs="仿宋_GB2312" w:eastAsia="仿宋_GB2312" w:hAnsi="仿宋_GB2312" w:hint="eastAsia"/>
          <w:color w:val="000000"/>
          <w:sz w:val="32"/>
          <w:szCs w:val="32"/>
        </w:rPr>
        <w:t>）划入县食盐安全和食盐市场监督管理职责。</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hint="eastAsia"/>
          <w:color w:val="000000"/>
          <w:sz w:val="32"/>
          <w:szCs w:val="32"/>
        </w:rPr>
        <w:t>（</w:t>
      </w:r>
      <w:r>
        <w:rPr>
          <w:rFonts w:ascii="仿宋_GB2312" w:cs="仿宋_GB2312" w:eastAsia="仿宋_GB2312" w:hAnsi="仿宋_GB2312"/>
          <w:color w:val="000000"/>
          <w:sz w:val="32"/>
          <w:szCs w:val="32"/>
        </w:rPr>
        <w:t>4</w:t>
      </w:r>
      <w:r>
        <w:rPr>
          <w:rFonts w:ascii="仿宋_GB2312" w:cs="仿宋_GB2312" w:eastAsia="仿宋_GB2312" w:hAnsi="仿宋_GB2312" w:hint="eastAsia"/>
          <w:color w:val="000000"/>
          <w:sz w:val="32"/>
          <w:szCs w:val="32"/>
        </w:rPr>
        <w:t>）承担县食品安全委员会具体工作。</w:t>
      </w:r>
    </w:p>
    <w:p>
      <w:pPr>
        <w:pStyle w:val="style0"/>
        <w:spacing w:lineRule="exact" w:line="540"/>
        <w:ind w:firstLine="31680"/>
        <w:jc w:val="left"/>
        <w:rPr>
          <w:rFonts w:ascii="仿宋_GB2312" w:eastAsia="仿宋_GB2312" w:hAnsi="仿宋"/>
          <w:sz w:val="32"/>
          <w:szCs w:val="32"/>
        </w:rPr>
      </w:pPr>
      <w:r>
        <w:rPr>
          <w:rFonts w:ascii="仿宋_GB2312" w:cs="仿宋_GB2312" w:eastAsia="仿宋_GB2312" w:hAnsi="仿宋_GB2312" w:hint="eastAsia"/>
          <w:color w:val="000000"/>
          <w:sz w:val="32"/>
          <w:szCs w:val="32"/>
        </w:rPr>
        <w:t>（二）县市场监管局内设机构</w:t>
      </w:r>
      <w:r>
        <w:rPr>
          <w:rFonts w:ascii="仿宋_GB2312" w:cs="仿宋_GB2312" w:eastAsia="仿宋_GB2312" w:hAnsi="仿宋_GB2312"/>
          <w:color w:val="000000"/>
          <w:sz w:val="32"/>
          <w:szCs w:val="32"/>
        </w:rPr>
        <w:t>15</w:t>
      </w:r>
      <w:r>
        <w:rPr>
          <w:rFonts w:ascii="仿宋_GB2312" w:cs="仿宋_GB2312" w:eastAsia="仿宋_GB2312" w:hAnsi="仿宋_GB2312" w:hint="eastAsia"/>
          <w:color w:val="000000"/>
          <w:sz w:val="32"/>
          <w:szCs w:val="32"/>
        </w:rPr>
        <w:t>个，具体如下：</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w:t>
      </w:r>
      <w:r>
        <w:rPr>
          <w:rFonts w:ascii="仿宋_GB2312" w:cs="仿宋_GB2312" w:eastAsia="仿宋_GB2312" w:hAnsi="仿宋_GB2312" w:hint="eastAsia"/>
          <w:color w:val="000000"/>
          <w:sz w:val="32"/>
          <w:szCs w:val="32"/>
        </w:rPr>
        <w:t>、综合办公室。</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2</w:t>
      </w:r>
      <w:r>
        <w:rPr>
          <w:rFonts w:ascii="仿宋_GB2312" w:cs="仿宋_GB2312" w:eastAsia="仿宋_GB2312" w:hAnsi="仿宋_GB2312" w:hint="eastAsia"/>
          <w:color w:val="000000"/>
          <w:sz w:val="32"/>
          <w:szCs w:val="32"/>
        </w:rPr>
        <w:t>、法规科。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3</w:t>
      </w:r>
      <w:r>
        <w:rPr>
          <w:rFonts w:ascii="仿宋_GB2312" w:cs="仿宋_GB2312" w:eastAsia="仿宋_GB2312" w:hAnsi="仿宋_GB2312" w:hint="eastAsia"/>
          <w:color w:val="000000"/>
          <w:sz w:val="32"/>
          <w:szCs w:val="32"/>
        </w:rPr>
        <w:t>、信息化科。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4</w:t>
      </w:r>
      <w:r>
        <w:rPr>
          <w:rFonts w:ascii="仿宋_GB2312" w:cs="仿宋_GB2312" w:eastAsia="仿宋_GB2312" w:hAnsi="仿宋_GB2312" w:hint="eastAsia"/>
          <w:color w:val="000000"/>
          <w:sz w:val="32"/>
          <w:szCs w:val="32"/>
        </w:rPr>
        <w:t>、消费者权益保护科。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5</w:t>
      </w:r>
      <w:r>
        <w:rPr>
          <w:rFonts w:ascii="仿宋_GB2312" w:cs="仿宋_GB2312" w:eastAsia="仿宋_GB2312" w:hAnsi="仿宋_GB2312" w:hint="eastAsia"/>
          <w:color w:val="000000"/>
          <w:sz w:val="32"/>
          <w:szCs w:val="32"/>
        </w:rPr>
        <w:t>、信用监督管理科。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6</w:t>
      </w:r>
      <w:r>
        <w:rPr>
          <w:rFonts w:ascii="仿宋_GB2312" w:cs="仿宋_GB2312" w:eastAsia="仿宋_GB2312" w:hAnsi="仿宋_GB2312" w:hint="eastAsia"/>
          <w:color w:val="000000"/>
          <w:sz w:val="32"/>
          <w:szCs w:val="32"/>
        </w:rPr>
        <w:t>、质量计量科。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7</w:t>
      </w:r>
      <w:r>
        <w:rPr>
          <w:rFonts w:ascii="仿宋_GB2312" w:cs="仿宋_GB2312" w:eastAsia="仿宋_GB2312" w:hAnsi="仿宋_GB2312" w:hint="eastAsia"/>
          <w:color w:val="000000"/>
          <w:sz w:val="32"/>
          <w:szCs w:val="32"/>
        </w:rPr>
        <w:t>、标准化管理科。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8</w:t>
      </w:r>
      <w:r>
        <w:rPr>
          <w:rFonts w:ascii="仿宋_GB2312" w:cs="仿宋_GB2312" w:eastAsia="仿宋_GB2312" w:hAnsi="仿宋_GB2312" w:hint="eastAsia"/>
          <w:color w:val="000000"/>
          <w:sz w:val="32"/>
          <w:szCs w:val="32"/>
        </w:rPr>
        <w:t>、特种设备监察科。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9</w:t>
      </w:r>
      <w:r>
        <w:rPr>
          <w:rFonts w:ascii="仿宋_GB2312" w:cs="仿宋_GB2312" w:eastAsia="仿宋_GB2312" w:hAnsi="仿宋_GB2312" w:hint="eastAsia"/>
          <w:color w:val="000000"/>
          <w:sz w:val="32"/>
          <w:szCs w:val="32"/>
        </w:rPr>
        <w:t>、食品安全监督管理科。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10</w:t>
      </w:r>
      <w:r>
        <w:rPr>
          <w:rFonts w:ascii="仿宋_GB2312" w:cs="仿宋_GB2312" w:eastAsia="仿宋_GB2312" w:hAnsi="仿宋_GB2312" w:hint="eastAsia"/>
          <w:color w:val="000000"/>
          <w:sz w:val="32"/>
          <w:szCs w:val="32"/>
        </w:rPr>
        <w:t>、餐饮服务监督管理科。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11</w:t>
      </w:r>
      <w:r>
        <w:rPr>
          <w:rFonts w:ascii="仿宋_GB2312" w:cs="仿宋_GB2312" w:eastAsia="仿宋_GB2312" w:hAnsi="仿宋_GB2312" w:hint="eastAsia"/>
          <w:color w:val="000000"/>
          <w:sz w:val="32"/>
          <w:szCs w:val="32"/>
        </w:rPr>
        <w:t>、药械化妆品科。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12</w:t>
      </w:r>
      <w:r>
        <w:rPr>
          <w:rFonts w:ascii="仿宋_GB2312" w:cs="仿宋_GB2312" w:eastAsia="仿宋_GB2312" w:hAnsi="仿宋_GB2312" w:hint="eastAsia"/>
          <w:color w:val="000000"/>
          <w:sz w:val="32"/>
          <w:szCs w:val="32"/>
        </w:rPr>
        <w:t>、价格监督检查与反不正当竞争科。</w:t>
      </w:r>
    </w:p>
    <w:p>
      <w:pPr>
        <w:pStyle w:val="style0"/>
        <w:spacing w:lineRule="exact" w:line="54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13</w:t>
      </w:r>
      <w:r>
        <w:rPr>
          <w:rFonts w:ascii="仿宋_GB2312" w:cs="仿宋_GB2312" w:eastAsia="仿宋_GB2312" w:hAnsi="仿宋_GB2312" w:hint="eastAsia"/>
          <w:color w:val="000000"/>
          <w:sz w:val="32"/>
          <w:szCs w:val="32"/>
        </w:rPr>
        <w:t>、知识产权保护与广告管理科。</w:t>
      </w:r>
    </w:p>
    <w:p>
      <w:pPr>
        <w:pStyle w:val="style0"/>
        <w:spacing w:lineRule="exact" w:line="540"/>
        <w:ind w:firstLine="31680"/>
        <w:jc w:val="left"/>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14</w:t>
      </w:r>
      <w:r>
        <w:rPr>
          <w:rFonts w:ascii="仿宋_GB2312" w:cs="仿宋_GB2312" w:eastAsia="仿宋_GB2312" w:hAnsi="仿宋_GB2312" w:hint="eastAsia"/>
          <w:color w:val="000000"/>
          <w:sz w:val="32"/>
          <w:szCs w:val="32"/>
        </w:rPr>
        <w:t>、市场秩序监管科。</w:t>
      </w:r>
    </w:p>
    <w:p>
      <w:pPr>
        <w:pStyle w:val="style0"/>
        <w:spacing w:lineRule="auto" w:line="360"/>
        <w:ind w:firstLine="31680"/>
        <w:rPr>
          <w:rFonts w:ascii="仿宋_GB2312" w:cs="仿宋_GB2312" w:eastAsia="仿宋_GB2312" w:hAnsi="仿宋_GB2312"/>
          <w:color w:val="000000"/>
          <w:sz w:val="32"/>
          <w:szCs w:val="32"/>
        </w:rPr>
      </w:pPr>
      <w:r>
        <w:rPr>
          <w:rFonts w:ascii="仿宋_GB2312" w:cs="仿宋_GB2312" w:eastAsia="仿宋_GB2312" w:hAnsi="仿宋_GB2312"/>
          <w:color w:val="000000"/>
          <w:sz w:val="32"/>
          <w:szCs w:val="32"/>
        </w:rPr>
        <w:t>15</w:t>
      </w:r>
      <w:r>
        <w:rPr>
          <w:rFonts w:ascii="仿宋_GB2312" w:cs="仿宋_GB2312" w:eastAsia="仿宋_GB2312" w:hAnsi="仿宋_GB2312" w:hint="eastAsia"/>
          <w:color w:val="000000"/>
          <w:sz w:val="32"/>
          <w:szCs w:val="32"/>
        </w:rPr>
        <w:t>、食品安全协调科。</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二、</w:t>
      </w:r>
      <w:r>
        <w:rPr>
          <w:rFonts w:ascii="仿宋_GB2312" w:cs="仿宋" w:eastAsia="仿宋_GB2312" w:hAnsi="仿宋"/>
          <w:b/>
          <w:bCs/>
          <w:sz w:val="32"/>
          <w:szCs w:val="32"/>
        </w:rPr>
        <w:t>2020</w:t>
      </w:r>
      <w:r>
        <w:rPr>
          <w:rFonts w:ascii="仿宋_GB2312" w:cs="仿宋" w:eastAsia="仿宋_GB2312" w:hAnsi="仿宋" w:hint="eastAsia"/>
          <w:b/>
          <w:bCs/>
          <w:sz w:val="32"/>
          <w:szCs w:val="32"/>
        </w:rPr>
        <w:t>年度部门工作任务</w:t>
      </w:r>
    </w:p>
    <w:p>
      <w:pPr>
        <w:pStyle w:val="style0"/>
        <w:pBdr>
          <w:bottom w:val="single" w:sz="4" w:space="31" w:color="ffffff"/>
        </w:pBdr>
        <w:spacing w:lineRule="exact" w:line="560"/>
        <w:ind w:firstLine="31680"/>
        <w:rPr>
          <w:rFonts w:ascii="仿宋_GB2312" w:cs="仿宋_GB2312" w:eastAsia="仿宋_GB2312" w:hAnsi="仿宋_GB2312"/>
          <w:sz w:val="32"/>
          <w:szCs w:val="32"/>
        </w:rPr>
      </w:pPr>
      <w:r>
        <w:rPr>
          <w:rFonts w:ascii="仿宋_GB2312" w:cs="仿宋_GB2312" w:eastAsia="仿宋_GB2312" w:hAnsi="仿宋_GB2312" w:hint="eastAsia"/>
          <w:sz w:val="32"/>
          <w:szCs w:val="32"/>
        </w:rPr>
        <w:t>（一）不断提高政治意识，增强大局观念，助力全县做好“七篇文章”。进一步增强做好市场监管工作的责任感和使命感，同心协力构建科学高效的市场监管体系，进一步推动市场监管工作取得新成效。</w:t>
      </w:r>
    </w:p>
    <w:p>
      <w:pPr>
        <w:pStyle w:val="style0"/>
        <w:pBdr>
          <w:bottom w:val="single" w:sz="4" w:space="31" w:color="ffffff"/>
        </w:pBdr>
        <w:spacing w:lineRule="exact" w:line="560"/>
        <w:ind w:firstLine="31680"/>
        <w:jc w:val="left"/>
        <w:rPr>
          <w:rFonts w:ascii="仿宋_GB2312" w:cs="仿宋_GB2312" w:eastAsia="仿宋_GB2312" w:hAnsi="仿宋_GB2312"/>
          <w:sz w:val="32"/>
          <w:szCs w:val="32"/>
        </w:rPr>
      </w:pPr>
      <w:r>
        <w:rPr>
          <w:rFonts w:ascii="仿宋_GB2312" w:cs="仿宋_GB2312" w:eastAsia="仿宋_GB2312" w:hAnsi="仿宋_GB2312" w:hint="eastAsia"/>
          <w:sz w:val="32"/>
          <w:szCs w:val="32"/>
        </w:rPr>
        <w:t>（二）</w:t>
      </w:r>
      <w:r>
        <w:rPr>
          <w:rFonts w:ascii="仿宋_GB2312" w:cs="仿宋_GB2312" w:eastAsia="仿宋_GB2312" w:hAnsi="仿宋_GB2312" w:hint="eastAsia"/>
          <w:color w:val="000000"/>
          <w:sz w:val="32"/>
          <w:szCs w:val="32"/>
        </w:rPr>
        <w:t>全力做好市场监管综合执法改革“后半篇”文章，以中共中央办公厅、国务院办公厅</w:t>
      </w:r>
      <w:r>
        <w:rPr>
          <w:rFonts w:ascii="仿宋_GB2312" w:cs="仿宋_GB2312" w:eastAsia="仿宋_GB2312" w:hAnsi="仿宋_GB2312" w:hint="eastAsia"/>
          <w:sz w:val="32"/>
          <w:szCs w:val="32"/>
        </w:rPr>
        <w:t>《深化市场监管综合行政执法改革指导意见》为纲领，加快基层市场监管体制改革步伐，着手组建成立覆盖全县</w:t>
      </w:r>
      <w:r>
        <w:rPr>
          <w:rFonts w:ascii="仿宋_GB2312" w:cs="仿宋_GB2312" w:eastAsia="仿宋_GB2312" w:hAnsi="仿宋_GB2312"/>
          <w:sz w:val="32"/>
          <w:szCs w:val="32"/>
        </w:rPr>
        <w:t>19</w:t>
      </w:r>
      <w:r>
        <w:rPr>
          <w:rFonts w:ascii="仿宋_GB2312" w:cs="仿宋_GB2312" w:eastAsia="仿宋_GB2312" w:hAnsi="仿宋_GB2312" w:hint="eastAsia"/>
          <w:sz w:val="32"/>
          <w:szCs w:val="32"/>
        </w:rPr>
        <w:t>个镇街的基层市场监管所和旅游执法、经济开发区市场监管所，推动市场监管综合执法改革工作在基层全面落实。</w:t>
      </w:r>
    </w:p>
    <w:p>
      <w:pPr>
        <w:pStyle w:val="style0"/>
        <w:pBdr>
          <w:bottom w:val="single" w:sz="4" w:space="31" w:color="ffffff"/>
        </w:pBdr>
        <w:spacing w:lineRule="exact" w:line="560"/>
        <w:ind w:firstLine="31680"/>
        <w:rPr>
          <w:rFonts w:ascii="仿宋_GB2312" w:cs="仿宋_GB2312" w:eastAsia="仿宋_GB2312" w:hAnsi="仿宋_GB2312"/>
          <w:kern w:val="0"/>
          <w:sz w:val="32"/>
          <w:szCs w:val="32"/>
        </w:rPr>
      </w:pPr>
      <w:r>
        <w:rPr>
          <w:rFonts w:ascii="仿宋_GB2312" w:cs="仿宋_GB2312" w:eastAsia="仿宋_GB2312" w:hAnsi="仿宋_GB2312" w:hint="eastAsia"/>
          <w:sz w:val="32"/>
          <w:szCs w:val="32"/>
        </w:rPr>
        <w:t>（三）</w:t>
      </w:r>
      <w:r>
        <w:rPr>
          <w:rFonts w:ascii="仿宋_GB2312" w:cs="仿宋_GB2312" w:eastAsia="仿宋_GB2312" w:hAnsi="仿宋_GB2312" w:hint="eastAsia"/>
          <w:kern w:val="0"/>
          <w:sz w:val="32"/>
          <w:szCs w:val="32"/>
        </w:rPr>
        <w:t>全面推进探索互联网大数据“智慧监管”新路径。通过监管信息化手段，实现指挥调度便捷化、执法监管痕迹化、考核评价数字化，激活各方面工作积极性，加快全系统在日常监管工作中形成“一盘棋、一体化”的市场综合监管格局。</w:t>
      </w:r>
    </w:p>
    <w:p>
      <w:pPr>
        <w:pStyle w:val="style0"/>
        <w:pBdr>
          <w:bottom w:val="single" w:sz="4" w:space="31" w:color="ffffff"/>
        </w:pBdr>
        <w:spacing w:lineRule="exact" w:line="560"/>
        <w:ind w:firstLine="31680"/>
        <w:rPr>
          <w:rFonts w:ascii="仿宋_GB2312" w:cs="仿宋_GB2312" w:eastAsia="仿宋_GB2312" w:hAnsi="仿宋_GB2312"/>
          <w:color w:val="000000"/>
          <w:sz w:val="32"/>
          <w:szCs w:val="32"/>
        </w:rPr>
      </w:pPr>
      <w:r>
        <w:rPr>
          <w:rFonts w:ascii="仿宋_GB2312" w:cs="仿宋_GB2312" w:eastAsia="仿宋_GB2312" w:hAnsi="仿宋_GB2312" w:hint="eastAsia"/>
          <w:sz w:val="32"/>
          <w:szCs w:val="32"/>
        </w:rPr>
        <w:t>（四）</w:t>
      </w:r>
      <w:r>
        <w:rPr>
          <w:rFonts w:ascii="仿宋_GB2312" w:cs="仿宋_GB2312" w:eastAsia="仿宋_GB2312" w:hAnsi="仿宋_GB2312" w:hint="eastAsia"/>
          <w:color w:val="000000"/>
          <w:sz w:val="32"/>
          <w:szCs w:val="32"/>
        </w:rPr>
        <w:t>全面实行以“双随机、一公开”监管为基本手段、以重点监管为补充、以信用监管为基础的新型监管机制。按照相关规定，将镇街、食安委成员单位的食品安全责任考核纳入县级年度目标考核体系，赋予一定分值，</w:t>
      </w:r>
      <w:r>
        <w:rPr>
          <w:rFonts w:ascii="仿宋_GB2312" w:cs="仿宋_GB2312" w:eastAsia="仿宋_GB2312" w:hAnsi="仿宋_GB2312" w:hint="eastAsia"/>
          <w:sz w:val="32"/>
          <w:szCs w:val="32"/>
        </w:rPr>
        <w:t>确保食品安全党政同责落到实处。</w:t>
      </w:r>
    </w:p>
    <w:p>
      <w:pPr>
        <w:pStyle w:val="style0"/>
        <w:pBdr>
          <w:bottom w:val="single" w:sz="4" w:space="31" w:color="ffffff"/>
        </w:pBdr>
        <w:spacing w:lineRule="exact" w:line="560"/>
        <w:ind w:firstLine="31680"/>
        <w:rPr>
          <w:rFonts w:ascii="仿宋_GB2312" w:cs="仿宋_GB2312" w:eastAsia="仿宋_GB2312" w:hAnsi="仿宋_GB2312"/>
          <w:sz w:val="32"/>
          <w:szCs w:val="32"/>
        </w:rPr>
      </w:pPr>
      <w:r>
        <w:rPr>
          <w:rFonts w:ascii="仿宋_GB2312" w:cs="仿宋_GB2312" w:eastAsia="仿宋_GB2312" w:hAnsi="仿宋_GB2312" w:hint="eastAsia"/>
          <w:sz w:val="32"/>
          <w:szCs w:val="32"/>
        </w:rPr>
        <w:t>（五）</w:t>
      </w:r>
      <w:r>
        <w:rPr>
          <w:rFonts w:ascii="仿宋_GB2312" w:cs="仿宋_GB2312" w:eastAsia="仿宋_GB2312" w:hAnsi="仿宋_GB2312" w:hint="eastAsia"/>
          <w:sz w:val="32"/>
          <w:szCs w:val="32"/>
          <w:lang w:val="zh-CN"/>
        </w:rPr>
        <w:t>探索实践基层监管“网格化”“清单化”监管模式。通过实施网格化监管，建立起横向到边、纵向到底、监管到位、运转高效、全面覆盖的市场监管网格化体系，有效管控监管面风险。</w:t>
      </w:r>
    </w:p>
    <w:p>
      <w:pPr>
        <w:pStyle w:val="style0"/>
        <w:pBdr>
          <w:bottom w:val="single" w:sz="4" w:space="31" w:color="ffffff"/>
        </w:pBdr>
        <w:spacing w:lineRule="exact" w:line="560"/>
        <w:ind w:firstLine="31680"/>
        <w:rPr>
          <w:rFonts w:ascii="仿宋_GB2312" w:cs="仿宋_GB2312" w:eastAsia="仿宋_GB2312" w:hAnsi="仿宋_GB2312"/>
          <w:sz w:val="32"/>
          <w:szCs w:val="32"/>
        </w:rPr>
      </w:pPr>
      <w:r>
        <w:rPr>
          <w:rFonts w:ascii="仿宋_GB2312" w:cs="仿宋" w:eastAsia="仿宋_GB2312" w:hAnsi="仿宋" w:hint="eastAsia"/>
          <w:b/>
          <w:bCs/>
          <w:sz w:val="32"/>
          <w:szCs w:val="32"/>
        </w:rPr>
        <w:t>三、部门预算单位构成</w:t>
      </w:r>
    </w:p>
    <w:p>
      <w:pPr>
        <w:pStyle w:val="style0"/>
        <w:pBdr>
          <w:bottom w:val="single" w:sz="4" w:space="31" w:color="ffffff"/>
        </w:pBdr>
        <w:spacing w:lineRule="exact" w:line="560"/>
        <w:ind w:firstLine="3168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从预算单位构成看，本部门的部门预算包括部门本级（机关）预算和所属事业单位预算。</w:t>
      </w:r>
    </w:p>
    <w:p>
      <w:pPr>
        <w:pStyle w:val="style0"/>
        <w:pBdr>
          <w:bottom w:val="single" w:sz="4" w:space="31" w:color="ffffff"/>
        </w:pBdr>
        <w:spacing w:lineRule="exact" w:line="560"/>
        <w:ind w:firstLine="3168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纳入本部门</w:t>
      </w:r>
      <w:r>
        <w:rPr>
          <w:rFonts w:ascii="仿宋_GB2312" w:cs="仿宋_GB2312" w:eastAsia="仿宋_GB2312" w:hAnsi="仿宋_GB2312"/>
          <w:sz w:val="32"/>
          <w:szCs w:val="32"/>
          <w:lang w:val="zh-CN"/>
        </w:rPr>
        <w:t>2020</w:t>
      </w:r>
      <w:r>
        <w:rPr>
          <w:rFonts w:ascii="仿宋_GB2312" w:cs="仿宋_GB2312" w:eastAsia="仿宋_GB2312" w:hAnsi="仿宋_GB2312" w:hint="eastAsia"/>
          <w:sz w:val="32"/>
          <w:szCs w:val="32"/>
          <w:lang w:val="zh-CN"/>
        </w:rPr>
        <w:t>年部门预算编制范围的二级预算单位共有</w:t>
      </w:r>
      <w:r>
        <w:rPr>
          <w:rFonts w:ascii="仿宋_GB2312" w:cs="仿宋_GB2312" w:eastAsia="仿宋_GB2312" w:hAnsi="仿宋_GB2312"/>
          <w:sz w:val="32"/>
          <w:szCs w:val="32"/>
          <w:lang w:val="zh-CN"/>
        </w:rPr>
        <w:t>1</w:t>
      </w:r>
      <w:r>
        <w:rPr>
          <w:rFonts w:ascii="仿宋_GB2312" w:cs="仿宋_GB2312" w:eastAsia="仿宋_GB2312" w:hAnsi="仿宋_GB2312" w:hint="eastAsia"/>
          <w:sz w:val="32"/>
          <w:szCs w:val="32"/>
          <w:lang w:val="zh-CN"/>
        </w:rPr>
        <w:t>个，即蓝田县食品稽查大队。</w:t>
      </w:r>
    </w:p>
    <w:p>
      <w:pPr>
        <w:pStyle w:val="style0"/>
        <w:pBdr>
          <w:bottom w:val="single" w:sz="4" w:space="31" w:color="ffffff"/>
        </w:pBdr>
        <w:spacing w:lineRule="exact" w:line="560"/>
        <w:ind w:firstLine="31680"/>
        <w:rPr>
          <w:rFonts w:ascii="仿宋_GB2312" w:cs="仿宋" w:eastAsia="仿宋_GB2312" w:hAnsi="仿宋"/>
          <w:sz w:val="32"/>
          <w:szCs w:val="32"/>
        </w:r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1660"/>
        <w:gridCol w:w="5098"/>
        <w:gridCol w:w="2087"/>
      </w:tblGrid>
      <w:tr>
        <w:trPr>
          <w:jc w:val="center"/>
        </w:trPr>
        <w:tc>
          <w:tcPr>
            <w:tcW w:w="1660" w:type="dxa"/>
            <w:tcBorders/>
          </w:tcPr>
          <w:p>
            <w:pPr>
              <w:pStyle w:val="style0"/>
              <w:spacing w:lineRule="exact" w:line="560"/>
              <w:ind w:firstLine="3168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序号</w:t>
            </w:r>
          </w:p>
        </w:tc>
        <w:tc>
          <w:tcPr>
            <w:tcW w:w="5098" w:type="dxa"/>
            <w:tcBorders/>
          </w:tcPr>
          <w:p>
            <w:pPr>
              <w:pStyle w:val="style0"/>
              <w:spacing w:lineRule="exact" w:line="560"/>
              <w:ind w:firstLine="3168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单位名称</w:t>
            </w:r>
          </w:p>
        </w:tc>
        <w:tc>
          <w:tcPr>
            <w:tcW w:w="2087" w:type="dxa"/>
            <w:tcBorders/>
          </w:tcPr>
          <w:p>
            <w:pPr>
              <w:pStyle w:val="style0"/>
              <w:spacing w:lineRule="exact" w:line="560"/>
              <w:ind w:firstLine="0" w:firstLineChars="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拟变动情况</w:t>
            </w:r>
          </w:p>
        </w:tc>
      </w:tr>
      <w:tr>
        <w:tblPrEx/>
        <w:trPr>
          <w:jc w:val="center"/>
        </w:trPr>
        <w:tc>
          <w:tcPr>
            <w:tcW w:w="1660" w:type="dxa"/>
            <w:tcBorders/>
          </w:tcPr>
          <w:p>
            <w:pPr>
              <w:pStyle w:val="style0"/>
              <w:spacing w:lineRule="auto" w:line="360"/>
              <w:ind w:firstLine="0" w:firstLineChars="0"/>
              <w:jc w:val="center"/>
              <w:rPr>
                <w:rFonts w:ascii="仿宋_GB2312" w:cs="仿宋_GB2312" w:eastAsia="仿宋_GB2312" w:hAnsi="仿宋_GB2312"/>
                <w:sz w:val="32"/>
                <w:szCs w:val="32"/>
                <w:lang w:val="zh-CN"/>
              </w:rPr>
            </w:pPr>
            <w:r>
              <w:rPr>
                <w:rFonts w:ascii="仿宋_GB2312" w:cs="仿宋_GB2312" w:eastAsia="仿宋_GB2312" w:hAnsi="仿宋_GB2312"/>
                <w:sz w:val="32"/>
                <w:szCs w:val="32"/>
                <w:lang w:val="zh-CN"/>
              </w:rPr>
              <w:t>1</w:t>
            </w:r>
          </w:p>
        </w:tc>
        <w:tc>
          <w:tcPr>
            <w:tcW w:w="5098" w:type="dxa"/>
            <w:tcBorders/>
          </w:tcPr>
          <w:p>
            <w:pPr>
              <w:pStyle w:val="style0"/>
              <w:spacing w:lineRule="exact" w:line="560"/>
              <w:ind w:firstLine="0" w:firstLineChars="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蓝田县市场监督管理局部门本级（机关）</w:t>
            </w:r>
          </w:p>
        </w:tc>
        <w:tc>
          <w:tcPr>
            <w:tcW w:w="2087" w:type="dxa"/>
            <w:tcBorders/>
          </w:tcPr>
          <w:p>
            <w:pPr>
              <w:pStyle w:val="style0"/>
              <w:spacing w:lineRule="auto" w:line="360"/>
              <w:ind w:firstLine="0" w:firstLineChars="0"/>
              <w:rPr>
                <w:rFonts w:ascii="仿宋_GB2312" w:cs="仿宋" w:eastAsia="仿宋_GB2312" w:hAnsi="仿宋"/>
                <w:sz w:val="32"/>
                <w:szCs w:val="32"/>
              </w:rPr>
            </w:pPr>
          </w:p>
        </w:tc>
      </w:tr>
      <w:tr>
        <w:tblPrEx/>
        <w:trPr>
          <w:jc w:val="center"/>
        </w:trPr>
        <w:tc>
          <w:tcPr>
            <w:tcW w:w="1660" w:type="dxa"/>
            <w:tcBorders/>
          </w:tcPr>
          <w:p>
            <w:pPr>
              <w:pStyle w:val="style0"/>
              <w:spacing w:lineRule="auto" w:line="360"/>
              <w:ind w:firstLine="0" w:firstLineChars="0"/>
              <w:jc w:val="center"/>
              <w:rPr>
                <w:rFonts w:ascii="仿宋_GB2312" w:cs="仿宋_GB2312" w:eastAsia="仿宋_GB2312" w:hAnsi="仿宋_GB2312"/>
                <w:sz w:val="32"/>
                <w:szCs w:val="32"/>
                <w:lang w:val="zh-CN"/>
              </w:rPr>
            </w:pPr>
            <w:r>
              <w:rPr>
                <w:rFonts w:ascii="仿宋_GB2312" w:cs="仿宋_GB2312" w:eastAsia="仿宋_GB2312" w:hAnsi="仿宋_GB2312"/>
                <w:sz w:val="32"/>
                <w:szCs w:val="32"/>
                <w:lang w:val="zh-CN"/>
              </w:rPr>
              <w:t>2</w:t>
            </w:r>
          </w:p>
        </w:tc>
        <w:tc>
          <w:tcPr>
            <w:tcW w:w="5098" w:type="dxa"/>
            <w:tcBorders/>
          </w:tcPr>
          <w:p>
            <w:pPr>
              <w:pStyle w:val="style0"/>
              <w:spacing w:lineRule="exact" w:line="560"/>
              <w:ind w:firstLine="0" w:firstLineChars="0"/>
              <w:rPr>
                <w:rFonts w:ascii="仿宋_GB2312" w:cs="仿宋_GB2312" w:eastAsia="仿宋_GB2312" w:hAnsi="仿宋_GB2312"/>
                <w:sz w:val="32"/>
                <w:szCs w:val="32"/>
                <w:lang w:val="zh-CN"/>
              </w:rPr>
            </w:pPr>
            <w:r>
              <w:rPr>
                <w:rFonts w:ascii="仿宋_GB2312" w:cs="仿宋_GB2312" w:eastAsia="仿宋_GB2312" w:hAnsi="仿宋_GB2312" w:hint="eastAsia"/>
                <w:sz w:val="32"/>
                <w:szCs w:val="32"/>
                <w:lang w:val="zh-CN"/>
              </w:rPr>
              <w:t>蓝田县食品稽查大队</w:t>
            </w:r>
          </w:p>
        </w:tc>
        <w:tc>
          <w:tcPr>
            <w:tcW w:w="2087" w:type="dxa"/>
            <w:tcBorders/>
          </w:tcPr>
          <w:p>
            <w:pPr>
              <w:pStyle w:val="style0"/>
              <w:spacing w:lineRule="auto" w:line="360"/>
              <w:ind w:firstLine="0" w:firstLineChars="0"/>
              <w:rPr>
                <w:rFonts w:ascii="仿宋_GB2312" w:cs="仿宋" w:eastAsia="仿宋_GB2312" w:hAnsi="仿宋"/>
                <w:sz w:val="32"/>
                <w:szCs w:val="32"/>
              </w:rPr>
            </w:pPr>
          </w:p>
        </w:tc>
      </w:tr>
    </w:tbl>
    <w:p>
      <w:pPr>
        <w:pStyle w:val="style0"/>
        <w:spacing w:lineRule="auto" w:line="360"/>
        <w:ind w:firstLine="31680"/>
        <w:rPr>
          <w:rFonts w:ascii="仿宋_GB2312" w:cs="仿宋" w:eastAsia="仿宋_GB2312" w:hAnsi="仿宋"/>
          <w:sz w:val="32"/>
          <w:szCs w:val="32"/>
        </w:rPr>
      </w:pP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四、部门人员情况说明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截止</w:t>
      </w:r>
      <w:r>
        <w:rPr>
          <w:rFonts w:ascii="仿宋_GB2312" w:cs="仿宋" w:eastAsia="仿宋_GB2312" w:hAnsi="仿宋"/>
          <w:sz w:val="32"/>
          <w:szCs w:val="32"/>
        </w:rPr>
        <w:t>2019</w:t>
      </w:r>
      <w:r>
        <w:rPr>
          <w:rFonts w:ascii="仿宋_GB2312" w:cs="仿宋" w:eastAsia="仿宋_GB2312" w:hAnsi="仿宋" w:hint="eastAsia"/>
          <w:sz w:val="32"/>
          <w:szCs w:val="32"/>
        </w:rPr>
        <w:t>年底，本部门人员编制</w:t>
      </w:r>
      <w:r>
        <w:rPr>
          <w:rFonts w:ascii="仿宋_GB2312" w:cs="仿宋" w:eastAsia="仿宋_GB2312" w:hAnsi="仿宋"/>
          <w:sz w:val="32"/>
          <w:szCs w:val="32"/>
        </w:rPr>
        <w:t>272</w:t>
      </w:r>
      <w:r>
        <w:rPr>
          <w:rFonts w:ascii="仿宋_GB2312" w:cs="仿宋" w:eastAsia="仿宋_GB2312" w:hAnsi="仿宋" w:hint="eastAsia"/>
          <w:sz w:val="32"/>
          <w:szCs w:val="32"/>
        </w:rPr>
        <w:t>人，其中行政编制</w:t>
      </w:r>
      <w:r>
        <w:rPr>
          <w:rFonts w:ascii="仿宋_GB2312" w:cs="仿宋" w:eastAsia="仿宋_GB2312" w:hAnsi="仿宋"/>
          <w:sz w:val="32"/>
          <w:szCs w:val="32"/>
        </w:rPr>
        <w:t>149</w:t>
      </w:r>
      <w:r>
        <w:rPr>
          <w:rFonts w:ascii="仿宋_GB2312" w:cs="仿宋" w:eastAsia="仿宋_GB2312" w:hAnsi="仿宋" w:hint="eastAsia"/>
          <w:sz w:val="32"/>
          <w:szCs w:val="32"/>
        </w:rPr>
        <w:t>人、事业编制</w:t>
      </w:r>
      <w:r>
        <w:rPr>
          <w:rFonts w:ascii="仿宋_GB2312" w:cs="仿宋" w:eastAsia="仿宋_GB2312" w:hAnsi="仿宋"/>
          <w:sz w:val="32"/>
          <w:szCs w:val="32"/>
        </w:rPr>
        <w:t>123</w:t>
      </w:r>
      <w:r>
        <w:rPr>
          <w:rFonts w:ascii="仿宋_GB2312" w:cs="仿宋" w:eastAsia="仿宋_GB2312" w:hAnsi="仿宋" w:hint="eastAsia"/>
          <w:sz w:val="32"/>
          <w:szCs w:val="32"/>
        </w:rPr>
        <w:t>人；实有人员</w:t>
      </w:r>
      <w:r>
        <w:rPr>
          <w:rFonts w:ascii="仿宋_GB2312" w:cs="仿宋" w:eastAsia="仿宋_GB2312" w:hAnsi="仿宋"/>
          <w:sz w:val="32"/>
          <w:szCs w:val="32"/>
        </w:rPr>
        <w:t>249</w:t>
      </w:r>
      <w:r>
        <w:rPr>
          <w:rFonts w:ascii="仿宋_GB2312" w:cs="仿宋" w:eastAsia="仿宋_GB2312" w:hAnsi="仿宋" w:hint="eastAsia"/>
          <w:sz w:val="32"/>
          <w:szCs w:val="32"/>
        </w:rPr>
        <w:t>人，其中行政</w:t>
      </w:r>
      <w:r>
        <w:rPr>
          <w:rFonts w:ascii="仿宋_GB2312" w:cs="仿宋" w:eastAsia="仿宋_GB2312" w:hAnsi="仿宋"/>
          <w:sz w:val="32"/>
          <w:szCs w:val="32"/>
        </w:rPr>
        <w:t>132</w:t>
      </w:r>
      <w:r>
        <w:rPr>
          <w:rFonts w:ascii="仿宋_GB2312" w:cs="仿宋" w:eastAsia="仿宋_GB2312" w:hAnsi="仿宋" w:hint="eastAsia"/>
          <w:sz w:val="32"/>
          <w:szCs w:val="32"/>
        </w:rPr>
        <w:t>人、事业</w:t>
      </w:r>
      <w:r>
        <w:rPr>
          <w:rFonts w:ascii="仿宋_GB2312" w:cs="仿宋" w:eastAsia="仿宋_GB2312" w:hAnsi="仿宋"/>
          <w:sz w:val="32"/>
          <w:szCs w:val="32"/>
        </w:rPr>
        <w:t>117</w:t>
      </w:r>
      <w:r>
        <w:rPr>
          <w:rFonts w:ascii="仿宋_GB2312" w:cs="仿宋" w:eastAsia="仿宋_GB2312" w:hAnsi="仿宋" w:hint="eastAsia"/>
          <w:sz w:val="32"/>
          <w:szCs w:val="32"/>
        </w:rPr>
        <w:t>人。单位管理的离退休人员</w:t>
      </w:r>
      <w:r>
        <w:rPr>
          <w:rFonts w:ascii="仿宋_GB2312" w:cs="仿宋" w:eastAsia="仿宋_GB2312" w:hAnsi="仿宋"/>
          <w:sz w:val="32"/>
          <w:szCs w:val="32"/>
        </w:rPr>
        <w:t>3</w:t>
      </w:r>
      <w:r>
        <w:rPr>
          <w:rFonts w:ascii="仿宋_GB2312" w:cs="仿宋" w:eastAsia="仿宋_GB2312" w:hAnsi="仿宋" w:hint="eastAsia"/>
          <w:sz w:val="32"/>
          <w:szCs w:val="32"/>
        </w:rPr>
        <w:t>人。</w:t>
      </w:r>
    </w:p>
    <w:p>
      <w:pPr>
        <w:pStyle w:val="style0"/>
        <w:spacing w:lineRule="auto" w:line="360"/>
        <w:ind w:firstLine="31680" w:firstLineChars="450"/>
        <w:rPr>
          <w:rFonts w:ascii="仿宋_GB2312" w:cs="仿宋" w:eastAsia="仿宋_GB2312" w:hAnsi="仿宋"/>
          <w:sz w:val="32"/>
          <w:szCs w:val="32"/>
        </w:rPr>
      </w:pPr>
      <w:r>
        <w:rPr>
          <w:rFonts w:ascii="仿宋_GB2312" w:cs="仿宋" w:eastAsia="仿宋_GB2312" w:hAnsi="仿宋"/>
          <w:sz w:val="32"/>
          <w:szCs w:val="32"/>
        </w:rPr>
        <w:drawing>
          <wp:inline distT="0" distB="0" distR="0" distL="0">
            <wp:extent cx="3667124" cy="2152650"/>
            <wp:effectExtent l="0" t="0" r="0" b="0"/>
            <wp:docPr id="1027" name="_x0000_t75"/>
            <wp:cNvGraphicFramePr>
              <a:graphicFrameLocks xmlns:a="http://schemas.openxmlformats.org/drawingml/2006/main" noChangeAspect="true" noSelect="false" noResize="false" noGrp="false"/>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2" cstate="print"/>
                    <a:srcRect l="0" t="0" r="0" b="0"/>
                    <a:stretch/>
                  </pic:blipFill>
                  <pic:spPr>
                    <a:xfrm rot="0">
                      <a:off x="0" y="0"/>
                      <a:ext cx="3667124" cy="2152650"/>
                    </a:xfrm>
                    <a:prstGeom prst="rect"/>
                    <a:ln>
                      <a:noFill/>
                    </a:ln>
                  </pic:spPr>
                </pic:pic>
              </a:graphicData>
            </a:graphic>
          </wp:inline>
        </w:drawing>
      </w: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第二部分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收支情况</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五、</w:t>
      </w:r>
      <w:r>
        <w:rPr>
          <w:rFonts w:ascii="仿宋_GB2312" w:cs="仿宋" w:eastAsia="仿宋_GB2312" w:hAnsi="仿宋"/>
          <w:b/>
          <w:bCs/>
          <w:sz w:val="32"/>
          <w:szCs w:val="32"/>
        </w:rPr>
        <w:t>2020</w:t>
      </w:r>
      <w:r>
        <w:rPr>
          <w:rFonts w:ascii="仿宋_GB2312" w:cs="仿宋" w:eastAsia="仿宋_GB2312" w:hAnsi="仿宋" w:hint="eastAsia"/>
          <w:b/>
          <w:bCs/>
          <w:sz w:val="32"/>
          <w:szCs w:val="32"/>
        </w:rPr>
        <w:t>年部门预算收支说明</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（一）收支预算总体情况。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按照综合预算的原则，本部门所有收入和支出均纳入部门预算管理。</w:t>
      </w:r>
      <w:r>
        <w:rPr>
          <w:rFonts w:ascii="仿宋_GB2312" w:cs="仿宋" w:eastAsia="仿宋_GB2312" w:hAnsi="仿宋"/>
          <w:sz w:val="32"/>
          <w:szCs w:val="32"/>
        </w:rPr>
        <w:t>2020</w:t>
      </w:r>
      <w:r>
        <w:rPr>
          <w:rFonts w:ascii="仿宋_GB2312" w:cs="仿宋" w:eastAsia="仿宋_GB2312" w:hAnsi="仿宋" w:hint="eastAsia"/>
          <w:sz w:val="32"/>
          <w:szCs w:val="32"/>
        </w:rPr>
        <w:t>年本部门预算收入</w:t>
      </w:r>
      <w:r>
        <w:rPr>
          <w:rFonts w:ascii="仿宋_GB2312" w:cs="仿宋" w:eastAsia="仿宋_GB2312" w:hAnsi="仿宋"/>
          <w:sz w:val="32"/>
          <w:szCs w:val="32"/>
        </w:rPr>
        <w:t>2384.17</w:t>
      </w:r>
      <w:r>
        <w:rPr>
          <w:rFonts w:ascii="仿宋_GB2312" w:cs="仿宋" w:eastAsia="仿宋_GB2312" w:hAnsi="仿宋" w:hint="eastAsia"/>
          <w:sz w:val="32"/>
          <w:szCs w:val="32"/>
        </w:rPr>
        <w:t>万元，其中一般公共预算拨款收入</w:t>
      </w:r>
      <w:r>
        <w:rPr>
          <w:rFonts w:ascii="仿宋_GB2312" w:cs="仿宋" w:eastAsia="仿宋_GB2312" w:hAnsi="仿宋"/>
          <w:sz w:val="32"/>
          <w:szCs w:val="32"/>
        </w:rPr>
        <w:t>2384.17</w:t>
      </w:r>
      <w:r>
        <w:rPr>
          <w:rFonts w:ascii="仿宋_GB2312" w:cs="仿宋" w:eastAsia="仿宋_GB2312" w:hAnsi="仿宋" w:hint="eastAsia"/>
          <w:sz w:val="32"/>
          <w:szCs w:val="32"/>
        </w:rPr>
        <w:t>万元、政府性基金拨款收入</w:t>
      </w:r>
      <w:r>
        <w:rPr>
          <w:rFonts w:ascii="仿宋_GB2312" w:cs="仿宋" w:eastAsia="仿宋_GB2312" w:hAnsi="仿宋"/>
          <w:sz w:val="32"/>
          <w:szCs w:val="32"/>
        </w:rPr>
        <w:t>0</w:t>
      </w:r>
      <w:r>
        <w:rPr>
          <w:rFonts w:ascii="仿宋_GB2312" w:cs="仿宋" w:eastAsia="仿宋_GB2312" w:hAnsi="仿宋" w:hint="eastAsia"/>
          <w:sz w:val="32"/>
          <w:szCs w:val="32"/>
        </w:rPr>
        <w:t>万元，</w:t>
      </w:r>
      <w:r>
        <w:rPr>
          <w:rFonts w:ascii="仿宋_GB2312" w:cs="仿宋" w:eastAsia="仿宋_GB2312" w:hAnsi="仿宋"/>
          <w:sz w:val="32"/>
          <w:szCs w:val="32"/>
        </w:rPr>
        <w:t>2020</w:t>
      </w:r>
      <w:r>
        <w:rPr>
          <w:rFonts w:ascii="仿宋_GB2312" w:cs="仿宋" w:eastAsia="仿宋_GB2312" w:hAnsi="仿宋" w:hint="eastAsia"/>
          <w:sz w:val="32"/>
          <w:szCs w:val="32"/>
        </w:rPr>
        <w:t>年本部门预算收入较上年增加</w:t>
      </w:r>
      <w:r>
        <w:rPr>
          <w:rFonts w:ascii="仿宋_GB2312" w:cs="仿宋" w:eastAsia="仿宋_GB2312" w:hAnsi="仿宋"/>
          <w:sz w:val="32"/>
          <w:szCs w:val="32"/>
        </w:rPr>
        <w:t>2.32</w:t>
      </w:r>
      <w:r>
        <w:rPr>
          <w:rFonts w:ascii="仿宋_GB2312" w:cs="仿宋" w:eastAsia="仿宋_GB2312" w:hAnsi="仿宋" w:hint="eastAsia"/>
          <w:sz w:val="32"/>
          <w:szCs w:val="32"/>
        </w:rPr>
        <w:t>万元，主要原因是工资福利支出标准提高；</w:t>
      </w:r>
      <w:r>
        <w:rPr>
          <w:rFonts w:ascii="仿宋_GB2312" w:cs="仿宋" w:eastAsia="仿宋_GB2312" w:hAnsi="仿宋"/>
          <w:sz w:val="32"/>
          <w:szCs w:val="32"/>
        </w:rPr>
        <w:t>2020</w:t>
      </w:r>
      <w:r>
        <w:rPr>
          <w:rFonts w:ascii="仿宋_GB2312" w:cs="仿宋" w:eastAsia="仿宋_GB2312" w:hAnsi="仿宋" w:hint="eastAsia"/>
          <w:sz w:val="32"/>
          <w:szCs w:val="32"/>
        </w:rPr>
        <w:t>年本部门预算支出</w:t>
      </w:r>
      <w:r>
        <w:rPr>
          <w:rFonts w:ascii="仿宋_GB2312" w:cs="仿宋" w:eastAsia="仿宋_GB2312" w:hAnsi="仿宋"/>
          <w:sz w:val="32"/>
          <w:szCs w:val="32"/>
        </w:rPr>
        <w:t>2384.17</w:t>
      </w:r>
      <w:r>
        <w:rPr>
          <w:rFonts w:ascii="仿宋_GB2312" w:cs="仿宋" w:eastAsia="仿宋_GB2312" w:hAnsi="仿宋" w:hint="eastAsia"/>
          <w:sz w:val="32"/>
          <w:szCs w:val="32"/>
        </w:rPr>
        <w:t>万元，其中一般公共预算拨款支出</w:t>
      </w:r>
      <w:r>
        <w:rPr>
          <w:rFonts w:ascii="仿宋_GB2312" w:cs="仿宋" w:eastAsia="仿宋_GB2312" w:hAnsi="仿宋"/>
          <w:sz w:val="32"/>
          <w:szCs w:val="32"/>
        </w:rPr>
        <w:t>2384.17</w:t>
      </w:r>
      <w:r>
        <w:rPr>
          <w:rFonts w:ascii="仿宋_GB2312" w:cs="仿宋" w:eastAsia="仿宋_GB2312" w:hAnsi="仿宋" w:hint="eastAsia"/>
          <w:sz w:val="32"/>
          <w:szCs w:val="32"/>
        </w:rPr>
        <w:t>万元、政府性基金拨款支出</w:t>
      </w:r>
      <w:r>
        <w:rPr>
          <w:rFonts w:ascii="仿宋_GB2312" w:cs="仿宋" w:eastAsia="仿宋_GB2312" w:hAnsi="仿宋"/>
          <w:sz w:val="32"/>
          <w:szCs w:val="32"/>
        </w:rPr>
        <w:t>0</w:t>
      </w:r>
      <w:r>
        <w:rPr>
          <w:rFonts w:ascii="仿宋_GB2312" w:cs="仿宋" w:eastAsia="仿宋_GB2312" w:hAnsi="仿宋" w:hint="eastAsia"/>
          <w:sz w:val="32"/>
          <w:szCs w:val="32"/>
        </w:rPr>
        <w:t>万元，</w:t>
      </w:r>
      <w:r>
        <w:rPr>
          <w:rFonts w:ascii="仿宋_GB2312" w:cs="仿宋" w:eastAsia="仿宋_GB2312" w:hAnsi="仿宋"/>
          <w:sz w:val="32"/>
          <w:szCs w:val="32"/>
        </w:rPr>
        <w:t>2020</w:t>
      </w:r>
      <w:r>
        <w:rPr>
          <w:rFonts w:ascii="仿宋_GB2312" w:cs="仿宋" w:eastAsia="仿宋_GB2312" w:hAnsi="仿宋" w:hint="eastAsia"/>
          <w:sz w:val="32"/>
          <w:szCs w:val="32"/>
        </w:rPr>
        <w:t>年本部门预算支出较上年增加</w:t>
      </w:r>
      <w:r>
        <w:rPr>
          <w:rFonts w:ascii="仿宋_GB2312" w:cs="仿宋" w:eastAsia="仿宋_GB2312" w:hAnsi="仿宋"/>
          <w:sz w:val="32"/>
          <w:szCs w:val="32"/>
        </w:rPr>
        <w:t>2.32</w:t>
      </w:r>
      <w:r>
        <w:rPr>
          <w:rFonts w:ascii="仿宋_GB2312" w:cs="仿宋" w:eastAsia="仿宋_GB2312" w:hAnsi="仿宋" w:hint="eastAsia"/>
          <w:sz w:val="32"/>
          <w:szCs w:val="32"/>
        </w:rPr>
        <w:t>万元，主要原因是工资福利支出标准提高。</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（二）财政拨款收支情况。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2020</w:t>
      </w:r>
      <w:r>
        <w:rPr>
          <w:rFonts w:ascii="仿宋_GB2312" w:cs="仿宋" w:eastAsia="仿宋_GB2312" w:hAnsi="仿宋" w:hint="eastAsia"/>
          <w:sz w:val="32"/>
          <w:szCs w:val="32"/>
        </w:rPr>
        <w:t>年本部门财政拨款收入</w:t>
      </w:r>
      <w:r>
        <w:rPr>
          <w:rFonts w:ascii="仿宋_GB2312" w:cs="仿宋" w:eastAsia="仿宋_GB2312" w:hAnsi="仿宋"/>
          <w:sz w:val="32"/>
          <w:szCs w:val="32"/>
        </w:rPr>
        <w:t>2384.17</w:t>
      </w:r>
      <w:r>
        <w:rPr>
          <w:rFonts w:ascii="仿宋_GB2312" w:cs="仿宋" w:eastAsia="仿宋_GB2312" w:hAnsi="仿宋" w:hint="eastAsia"/>
          <w:sz w:val="32"/>
          <w:szCs w:val="32"/>
        </w:rPr>
        <w:t>万元，其中一般公共预算拨款收入</w:t>
      </w:r>
      <w:r>
        <w:rPr>
          <w:rFonts w:ascii="仿宋_GB2312" w:cs="仿宋" w:eastAsia="仿宋_GB2312" w:hAnsi="仿宋"/>
          <w:sz w:val="32"/>
          <w:szCs w:val="32"/>
        </w:rPr>
        <w:t>2384.17</w:t>
      </w:r>
      <w:r>
        <w:rPr>
          <w:rFonts w:ascii="仿宋_GB2312" w:cs="仿宋" w:eastAsia="仿宋_GB2312" w:hAnsi="仿宋" w:hint="eastAsia"/>
          <w:sz w:val="32"/>
          <w:szCs w:val="32"/>
        </w:rPr>
        <w:t>万元、政府性基金拨款收入</w:t>
      </w:r>
      <w:r>
        <w:rPr>
          <w:rFonts w:ascii="仿宋_GB2312" w:cs="仿宋" w:eastAsia="仿宋_GB2312" w:hAnsi="仿宋"/>
          <w:sz w:val="32"/>
          <w:szCs w:val="32"/>
        </w:rPr>
        <w:t>0</w:t>
      </w:r>
      <w:r>
        <w:rPr>
          <w:rFonts w:ascii="仿宋_GB2312" w:cs="仿宋" w:eastAsia="仿宋_GB2312" w:hAnsi="仿宋" w:hint="eastAsia"/>
          <w:sz w:val="32"/>
          <w:szCs w:val="32"/>
        </w:rPr>
        <w:t>万元，</w:t>
      </w:r>
      <w:r>
        <w:rPr>
          <w:rFonts w:ascii="仿宋_GB2312" w:cs="仿宋" w:eastAsia="仿宋_GB2312" w:hAnsi="仿宋"/>
          <w:sz w:val="32"/>
          <w:szCs w:val="32"/>
        </w:rPr>
        <w:t>2020</w:t>
      </w:r>
      <w:r>
        <w:rPr>
          <w:rFonts w:ascii="仿宋_GB2312" w:cs="仿宋" w:eastAsia="仿宋_GB2312" w:hAnsi="仿宋" w:hint="eastAsia"/>
          <w:sz w:val="32"/>
          <w:szCs w:val="32"/>
        </w:rPr>
        <w:t>年本部门财政拨款收入较上年增加</w:t>
      </w:r>
      <w:r>
        <w:rPr>
          <w:rFonts w:ascii="仿宋_GB2312" w:cs="仿宋" w:eastAsia="仿宋_GB2312" w:hAnsi="仿宋"/>
          <w:sz w:val="32"/>
          <w:szCs w:val="32"/>
        </w:rPr>
        <w:t>2.32</w:t>
      </w:r>
      <w:r>
        <w:rPr>
          <w:rFonts w:ascii="仿宋_GB2312" w:cs="仿宋" w:eastAsia="仿宋_GB2312" w:hAnsi="仿宋" w:hint="eastAsia"/>
          <w:sz w:val="32"/>
          <w:szCs w:val="32"/>
        </w:rPr>
        <w:t>万元，主要原因是工资福利支出标准提高；</w:t>
      </w:r>
      <w:r>
        <w:rPr>
          <w:rFonts w:ascii="仿宋_GB2312" w:cs="仿宋" w:eastAsia="仿宋_GB2312" w:hAnsi="仿宋"/>
          <w:sz w:val="32"/>
          <w:szCs w:val="32"/>
        </w:rPr>
        <w:t>2020</w:t>
      </w:r>
      <w:r>
        <w:rPr>
          <w:rFonts w:ascii="仿宋_GB2312" w:cs="仿宋" w:eastAsia="仿宋_GB2312" w:hAnsi="仿宋" w:hint="eastAsia"/>
          <w:sz w:val="32"/>
          <w:szCs w:val="32"/>
        </w:rPr>
        <w:t>年本部门财政拨款支出</w:t>
      </w:r>
      <w:r>
        <w:rPr>
          <w:rFonts w:ascii="仿宋_GB2312" w:cs="仿宋" w:eastAsia="仿宋_GB2312" w:hAnsi="仿宋"/>
          <w:sz w:val="32"/>
          <w:szCs w:val="32"/>
        </w:rPr>
        <w:t>2384.17</w:t>
      </w:r>
      <w:r>
        <w:rPr>
          <w:rFonts w:ascii="仿宋_GB2312" w:cs="仿宋" w:eastAsia="仿宋_GB2312" w:hAnsi="仿宋" w:hint="eastAsia"/>
          <w:sz w:val="32"/>
          <w:szCs w:val="32"/>
        </w:rPr>
        <w:t>万元，其中一般公共预算拨款支出</w:t>
      </w:r>
      <w:r>
        <w:rPr>
          <w:rFonts w:ascii="仿宋_GB2312" w:cs="仿宋" w:eastAsia="仿宋_GB2312" w:hAnsi="仿宋"/>
          <w:sz w:val="32"/>
          <w:szCs w:val="32"/>
        </w:rPr>
        <w:t>2384.17</w:t>
      </w:r>
      <w:r>
        <w:rPr>
          <w:rFonts w:ascii="仿宋_GB2312" w:cs="仿宋" w:eastAsia="仿宋_GB2312" w:hAnsi="仿宋" w:hint="eastAsia"/>
          <w:sz w:val="32"/>
          <w:szCs w:val="32"/>
        </w:rPr>
        <w:t>万元、政府性基金拨款支出</w:t>
      </w:r>
      <w:r>
        <w:rPr>
          <w:rFonts w:ascii="仿宋_GB2312" w:cs="仿宋" w:eastAsia="仿宋_GB2312" w:hAnsi="仿宋"/>
          <w:sz w:val="32"/>
          <w:szCs w:val="32"/>
        </w:rPr>
        <w:t>0</w:t>
      </w:r>
      <w:r>
        <w:rPr>
          <w:rFonts w:ascii="仿宋_GB2312" w:cs="仿宋" w:eastAsia="仿宋_GB2312" w:hAnsi="仿宋" w:hint="eastAsia"/>
          <w:sz w:val="32"/>
          <w:szCs w:val="32"/>
        </w:rPr>
        <w:t>万元，</w:t>
      </w:r>
      <w:r>
        <w:rPr>
          <w:rFonts w:ascii="仿宋_GB2312" w:cs="仿宋" w:eastAsia="仿宋_GB2312" w:hAnsi="仿宋"/>
          <w:sz w:val="32"/>
          <w:szCs w:val="32"/>
        </w:rPr>
        <w:t>2020</w:t>
      </w:r>
      <w:r>
        <w:rPr>
          <w:rFonts w:ascii="仿宋_GB2312" w:cs="仿宋" w:eastAsia="仿宋_GB2312" w:hAnsi="仿宋" w:hint="eastAsia"/>
          <w:sz w:val="32"/>
          <w:szCs w:val="32"/>
        </w:rPr>
        <w:t>年本部门财政拨款支出较上年增加</w:t>
      </w:r>
      <w:r>
        <w:rPr>
          <w:rFonts w:ascii="仿宋_GB2312" w:cs="仿宋" w:eastAsia="仿宋_GB2312" w:hAnsi="仿宋"/>
          <w:sz w:val="32"/>
          <w:szCs w:val="32"/>
        </w:rPr>
        <w:t>2.32</w:t>
      </w:r>
      <w:r>
        <w:rPr>
          <w:rFonts w:ascii="仿宋_GB2312" w:cs="仿宋" w:eastAsia="仿宋_GB2312" w:hAnsi="仿宋" w:hint="eastAsia"/>
          <w:sz w:val="32"/>
          <w:szCs w:val="32"/>
        </w:rPr>
        <w:t>万元，主要原因是工资福利支出标准提高。</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（三）一般公共预算拨款支出明细情况。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b/>
          <w:bCs/>
          <w:sz w:val="32"/>
          <w:szCs w:val="32"/>
        </w:rPr>
        <w:t>1</w:t>
      </w:r>
      <w:r>
        <w:rPr>
          <w:rFonts w:ascii="仿宋_GB2312" w:cs="仿宋" w:eastAsia="仿宋_GB2312" w:hAnsi="仿宋" w:hint="eastAsia"/>
          <w:b/>
          <w:bCs/>
          <w:sz w:val="32"/>
          <w:szCs w:val="32"/>
        </w:rPr>
        <w:t>、</w:t>
      </w:r>
      <w:r>
        <w:rPr>
          <w:rFonts w:ascii="仿宋_GB2312" w:cs="仿宋" w:eastAsia="仿宋_GB2312" w:hAnsi="仿宋" w:hint="eastAsia"/>
          <w:sz w:val="32"/>
          <w:szCs w:val="32"/>
        </w:rPr>
        <w:t>一般公共预算当年拨款规模变化情况。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2020</w:t>
      </w:r>
      <w:r>
        <w:rPr>
          <w:rFonts w:ascii="仿宋_GB2312" w:cs="仿宋" w:eastAsia="仿宋_GB2312" w:hAnsi="仿宋" w:hint="eastAsia"/>
          <w:sz w:val="32"/>
          <w:szCs w:val="32"/>
        </w:rPr>
        <w:t>年本部门当年一般公共预算拨款支出</w:t>
      </w:r>
      <w:r>
        <w:rPr>
          <w:rFonts w:ascii="仿宋_GB2312" w:cs="仿宋" w:eastAsia="仿宋_GB2312" w:hAnsi="仿宋"/>
          <w:sz w:val="32"/>
          <w:szCs w:val="32"/>
        </w:rPr>
        <w:t>2384.17</w:t>
      </w:r>
      <w:r>
        <w:rPr>
          <w:rFonts w:ascii="仿宋_GB2312" w:cs="仿宋" w:eastAsia="仿宋_GB2312" w:hAnsi="仿宋" w:hint="eastAsia"/>
          <w:sz w:val="32"/>
          <w:szCs w:val="32"/>
        </w:rPr>
        <w:t>万元，较上年增加</w:t>
      </w:r>
      <w:r>
        <w:rPr>
          <w:rFonts w:ascii="仿宋_GB2312" w:cs="仿宋" w:eastAsia="仿宋_GB2312" w:hAnsi="仿宋"/>
          <w:sz w:val="32"/>
          <w:szCs w:val="32"/>
        </w:rPr>
        <w:t>2.32</w:t>
      </w:r>
      <w:r>
        <w:rPr>
          <w:rFonts w:ascii="仿宋_GB2312" w:cs="仿宋" w:eastAsia="仿宋_GB2312" w:hAnsi="仿宋" w:hint="eastAsia"/>
          <w:sz w:val="32"/>
          <w:szCs w:val="32"/>
        </w:rPr>
        <w:t>万元，主要原因是工资福利支出标准提高。</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b/>
          <w:bCs/>
          <w:sz w:val="32"/>
          <w:szCs w:val="32"/>
        </w:rPr>
        <w:t>2</w:t>
      </w:r>
      <w:r>
        <w:rPr>
          <w:rFonts w:ascii="仿宋_GB2312" w:cs="仿宋" w:eastAsia="仿宋_GB2312" w:hAnsi="仿宋" w:hint="eastAsia"/>
          <w:b/>
          <w:bCs/>
          <w:sz w:val="32"/>
          <w:szCs w:val="32"/>
        </w:rPr>
        <w:t>、</w:t>
      </w:r>
      <w:r>
        <w:rPr>
          <w:rFonts w:ascii="仿宋_GB2312" w:cs="仿宋" w:eastAsia="仿宋_GB2312" w:hAnsi="仿宋" w:hint="eastAsia"/>
          <w:sz w:val="32"/>
          <w:szCs w:val="32"/>
        </w:rPr>
        <w:t>支出按功能科目分类的明细情况。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w:t>
      </w:r>
      <w:r>
        <w:rPr>
          <w:rFonts w:ascii="仿宋_GB2312" w:cs="仿宋" w:eastAsia="仿宋_GB2312" w:hAnsi="仿宋"/>
          <w:sz w:val="32"/>
          <w:szCs w:val="32"/>
        </w:rPr>
        <w:t>2020</w:t>
      </w:r>
      <w:r>
        <w:rPr>
          <w:rFonts w:ascii="仿宋_GB2312" w:cs="仿宋" w:eastAsia="仿宋_GB2312" w:hAnsi="仿宋" w:hint="eastAsia"/>
          <w:sz w:val="32"/>
          <w:szCs w:val="32"/>
        </w:rPr>
        <w:t>年当年一般公共预算支出</w:t>
      </w:r>
      <w:r>
        <w:rPr>
          <w:rFonts w:ascii="仿宋_GB2312" w:cs="仿宋" w:eastAsia="仿宋_GB2312" w:hAnsi="仿宋"/>
          <w:sz w:val="32"/>
          <w:szCs w:val="32"/>
        </w:rPr>
        <w:t>2384.17</w:t>
      </w:r>
      <w:r>
        <w:rPr>
          <w:rFonts w:ascii="仿宋_GB2312" w:cs="仿宋" w:eastAsia="仿宋_GB2312" w:hAnsi="仿宋" w:hint="eastAsia"/>
          <w:sz w:val="32"/>
          <w:szCs w:val="32"/>
        </w:rPr>
        <w:t>万元，其中：</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1</w:t>
      </w:r>
      <w:r>
        <w:rPr>
          <w:rFonts w:ascii="仿宋_GB2312" w:cs="仿宋" w:eastAsia="仿宋_GB2312" w:hAnsi="仿宋" w:hint="eastAsia"/>
          <w:sz w:val="32"/>
          <w:szCs w:val="32"/>
        </w:rPr>
        <w:t>）行政运行（</w:t>
      </w:r>
      <w:r>
        <w:rPr>
          <w:rFonts w:ascii="仿宋_GB2312" w:cs="仿宋" w:eastAsia="仿宋_GB2312" w:hAnsi="仿宋"/>
          <w:sz w:val="32"/>
          <w:szCs w:val="32"/>
        </w:rPr>
        <w:t>2013801</w:t>
      </w:r>
      <w:r>
        <w:rPr>
          <w:rFonts w:ascii="仿宋_GB2312" w:cs="仿宋" w:eastAsia="仿宋_GB2312" w:hAnsi="仿宋" w:hint="eastAsia"/>
          <w:sz w:val="32"/>
          <w:szCs w:val="32"/>
        </w:rPr>
        <w:t>）</w:t>
      </w:r>
      <w:r>
        <w:rPr>
          <w:rFonts w:ascii="仿宋_GB2312" w:cs="仿宋" w:eastAsia="仿宋_GB2312" w:hAnsi="仿宋"/>
          <w:sz w:val="32"/>
          <w:szCs w:val="32"/>
        </w:rPr>
        <w:t>1225.84</w:t>
      </w:r>
      <w:r>
        <w:rPr>
          <w:rFonts w:ascii="仿宋_GB2312" w:cs="仿宋" w:eastAsia="仿宋_GB2312" w:hAnsi="仿宋" w:hint="eastAsia"/>
          <w:sz w:val="32"/>
          <w:szCs w:val="32"/>
        </w:rPr>
        <w:t>万元，较上年减少</w:t>
      </w:r>
      <w:r>
        <w:rPr>
          <w:rFonts w:ascii="仿宋_GB2312" w:cs="仿宋" w:eastAsia="仿宋_GB2312" w:hAnsi="仿宋"/>
          <w:sz w:val="32"/>
          <w:szCs w:val="32"/>
        </w:rPr>
        <w:t>575.61</w:t>
      </w:r>
      <w:r>
        <w:rPr>
          <w:rFonts w:ascii="仿宋_GB2312" w:cs="仿宋" w:eastAsia="仿宋_GB2312" w:hAnsi="仿宋" w:hint="eastAsia"/>
          <w:sz w:val="32"/>
          <w:szCs w:val="32"/>
        </w:rPr>
        <w:t>万元，原因是上年机关事业人员统发工资使用该科目核算，本年调整至事业运行（</w:t>
      </w:r>
      <w:r>
        <w:rPr>
          <w:rFonts w:ascii="仿宋_GB2312" w:cs="仿宋" w:eastAsia="仿宋_GB2312" w:hAnsi="仿宋"/>
          <w:sz w:val="32"/>
          <w:szCs w:val="32"/>
        </w:rPr>
        <w:t>2013850</w:t>
      </w:r>
      <w:r>
        <w:rPr>
          <w:rFonts w:ascii="仿宋_GB2312" w:cs="仿宋" w:eastAsia="仿宋_GB2312" w:hAnsi="仿宋" w:hint="eastAsia"/>
          <w:sz w:val="32"/>
          <w:szCs w:val="32"/>
        </w:rPr>
        <w:t>）科目核算；</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2</w:t>
      </w:r>
      <w:r>
        <w:rPr>
          <w:rFonts w:ascii="仿宋_GB2312" w:cs="仿宋" w:eastAsia="仿宋_GB2312" w:hAnsi="仿宋" w:hint="eastAsia"/>
          <w:sz w:val="32"/>
          <w:szCs w:val="32"/>
        </w:rPr>
        <w:t>）事业运行（</w:t>
      </w:r>
      <w:r>
        <w:rPr>
          <w:rFonts w:ascii="仿宋_GB2312" w:cs="仿宋" w:eastAsia="仿宋_GB2312" w:hAnsi="仿宋"/>
          <w:sz w:val="32"/>
          <w:szCs w:val="32"/>
        </w:rPr>
        <w:t>2013850</w:t>
      </w:r>
      <w:r>
        <w:rPr>
          <w:rFonts w:ascii="仿宋_GB2312" w:cs="仿宋" w:eastAsia="仿宋_GB2312" w:hAnsi="仿宋" w:hint="eastAsia"/>
          <w:sz w:val="32"/>
          <w:szCs w:val="32"/>
        </w:rPr>
        <w:t>）</w:t>
      </w:r>
      <w:r>
        <w:rPr>
          <w:rFonts w:ascii="仿宋_GB2312" w:cs="仿宋" w:eastAsia="仿宋_GB2312" w:hAnsi="仿宋"/>
          <w:sz w:val="32"/>
          <w:szCs w:val="32"/>
        </w:rPr>
        <w:t>783.68</w:t>
      </w:r>
      <w:r>
        <w:rPr>
          <w:rFonts w:ascii="仿宋_GB2312" w:cs="仿宋" w:eastAsia="仿宋_GB2312" w:hAnsi="仿宋" w:hint="eastAsia"/>
          <w:sz w:val="32"/>
          <w:szCs w:val="32"/>
        </w:rPr>
        <w:t>万元，较上年增加</w:t>
      </w:r>
      <w:r>
        <w:rPr>
          <w:rFonts w:ascii="仿宋_GB2312" w:cs="仿宋" w:eastAsia="仿宋_GB2312" w:hAnsi="仿宋"/>
          <w:sz w:val="32"/>
          <w:szCs w:val="32"/>
        </w:rPr>
        <w:t>562.07</w:t>
      </w:r>
      <w:r>
        <w:rPr>
          <w:rFonts w:ascii="仿宋_GB2312" w:cs="仿宋" w:eastAsia="仿宋_GB2312" w:hAnsi="仿宋" w:hint="eastAsia"/>
          <w:sz w:val="32"/>
          <w:szCs w:val="32"/>
        </w:rPr>
        <w:t>万元，原因是上年机关事业人员统发工资使用行政运行（</w:t>
      </w:r>
      <w:r>
        <w:rPr>
          <w:rFonts w:ascii="仿宋_GB2312" w:cs="仿宋" w:eastAsia="仿宋_GB2312" w:hAnsi="仿宋"/>
          <w:sz w:val="32"/>
          <w:szCs w:val="32"/>
        </w:rPr>
        <w:t>2013801</w:t>
      </w:r>
      <w:r>
        <w:rPr>
          <w:rFonts w:ascii="仿宋_GB2312" w:cs="仿宋" w:eastAsia="仿宋_GB2312" w:hAnsi="仿宋" w:hint="eastAsia"/>
          <w:sz w:val="32"/>
          <w:szCs w:val="32"/>
        </w:rPr>
        <w:t>）科目核算，本年调整该科目核算；</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3</w:t>
      </w:r>
      <w:r>
        <w:rPr>
          <w:rFonts w:ascii="仿宋_GB2312" w:cs="仿宋" w:eastAsia="仿宋_GB2312" w:hAnsi="仿宋" w:hint="eastAsia"/>
          <w:sz w:val="32"/>
          <w:szCs w:val="32"/>
        </w:rPr>
        <w:t>）其他市场监督管理事务（</w:t>
      </w:r>
      <w:r>
        <w:rPr>
          <w:rFonts w:ascii="仿宋_GB2312" w:cs="仿宋" w:eastAsia="仿宋_GB2312" w:hAnsi="仿宋"/>
          <w:sz w:val="32"/>
          <w:szCs w:val="32"/>
        </w:rPr>
        <w:t>2013899</w:t>
      </w:r>
      <w:r>
        <w:rPr>
          <w:rFonts w:ascii="仿宋_GB2312" w:cs="仿宋" w:eastAsia="仿宋_GB2312" w:hAnsi="仿宋" w:hint="eastAsia"/>
          <w:sz w:val="32"/>
          <w:szCs w:val="32"/>
        </w:rPr>
        <w:t>）</w:t>
      </w:r>
      <w:r>
        <w:rPr>
          <w:rFonts w:ascii="仿宋_GB2312" w:cs="仿宋" w:eastAsia="仿宋_GB2312" w:hAnsi="仿宋"/>
          <w:sz w:val="32"/>
          <w:szCs w:val="32"/>
        </w:rPr>
        <w:t>32.82</w:t>
      </w:r>
      <w:r>
        <w:rPr>
          <w:rFonts w:ascii="仿宋_GB2312" w:cs="仿宋" w:eastAsia="仿宋_GB2312" w:hAnsi="仿宋" w:hint="eastAsia"/>
          <w:sz w:val="32"/>
          <w:szCs w:val="32"/>
        </w:rPr>
        <w:t>万元，与上年比较无变化；</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4</w:t>
      </w:r>
      <w:r>
        <w:rPr>
          <w:rFonts w:ascii="仿宋_GB2312" w:cs="仿宋" w:eastAsia="仿宋_GB2312" w:hAnsi="仿宋" w:hint="eastAsia"/>
          <w:sz w:val="32"/>
          <w:szCs w:val="32"/>
        </w:rPr>
        <w:t>）机关事业单位基本养老保险缴费支出（</w:t>
      </w:r>
      <w:r>
        <w:rPr>
          <w:rFonts w:ascii="仿宋_GB2312" w:cs="仿宋" w:eastAsia="仿宋_GB2312" w:hAnsi="仿宋"/>
          <w:sz w:val="32"/>
          <w:szCs w:val="32"/>
        </w:rPr>
        <w:t>2080505</w:t>
      </w:r>
      <w:r>
        <w:rPr>
          <w:rFonts w:ascii="仿宋_GB2312" w:cs="仿宋" w:eastAsia="仿宋_GB2312" w:hAnsi="仿宋" w:hint="eastAsia"/>
          <w:sz w:val="32"/>
          <w:szCs w:val="32"/>
        </w:rPr>
        <w:t>）</w:t>
      </w:r>
      <w:r>
        <w:rPr>
          <w:rFonts w:ascii="仿宋_GB2312" w:cs="仿宋" w:eastAsia="仿宋_GB2312" w:hAnsi="仿宋"/>
          <w:sz w:val="32"/>
          <w:szCs w:val="32"/>
        </w:rPr>
        <w:t>246.74</w:t>
      </w:r>
      <w:r>
        <w:rPr>
          <w:rFonts w:ascii="仿宋_GB2312" w:cs="仿宋" w:eastAsia="仿宋_GB2312" w:hAnsi="仿宋" w:hint="eastAsia"/>
          <w:sz w:val="32"/>
          <w:szCs w:val="32"/>
        </w:rPr>
        <w:t>万元，较上年减少</w:t>
      </w:r>
      <w:r>
        <w:rPr>
          <w:rFonts w:ascii="仿宋_GB2312" w:cs="仿宋" w:eastAsia="仿宋_GB2312" w:hAnsi="仿宋"/>
          <w:sz w:val="32"/>
          <w:szCs w:val="32"/>
        </w:rPr>
        <w:t>58.1</w:t>
      </w:r>
      <w:r>
        <w:rPr>
          <w:rFonts w:ascii="仿宋_GB2312" w:cs="仿宋" w:eastAsia="仿宋_GB2312" w:hAnsi="仿宋" w:hint="eastAsia"/>
          <w:sz w:val="32"/>
          <w:szCs w:val="32"/>
        </w:rPr>
        <w:t>万元，原因是养老保险单位部分缴费比例下调；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5</w:t>
      </w:r>
      <w:r>
        <w:rPr>
          <w:rFonts w:ascii="仿宋_GB2312" w:cs="仿宋" w:eastAsia="仿宋_GB2312" w:hAnsi="仿宋" w:hint="eastAsia"/>
          <w:sz w:val="32"/>
          <w:szCs w:val="32"/>
        </w:rPr>
        <w:t>）机关事业单位职业年金缴费支出（</w:t>
      </w:r>
      <w:r>
        <w:rPr>
          <w:rFonts w:ascii="仿宋_GB2312" w:cs="仿宋" w:eastAsia="仿宋_GB2312" w:hAnsi="仿宋"/>
          <w:sz w:val="32"/>
          <w:szCs w:val="32"/>
        </w:rPr>
        <w:t>2080506</w:t>
      </w:r>
      <w:r>
        <w:rPr>
          <w:rFonts w:ascii="仿宋_GB2312" w:cs="仿宋" w:eastAsia="仿宋_GB2312" w:hAnsi="仿宋" w:hint="eastAsia"/>
          <w:sz w:val="32"/>
          <w:szCs w:val="32"/>
        </w:rPr>
        <w:t>）</w:t>
      </w:r>
      <w:r>
        <w:rPr>
          <w:rFonts w:ascii="仿宋_GB2312" w:cs="仿宋" w:eastAsia="仿宋_GB2312" w:hAnsi="仿宋"/>
          <w:sz w:val="32"/>
          <w:szCs w:val="32"/>
        </w:rPr>
        <w:t>31.79</w:t>
      </w:r>
      <w:r>
        <w:rPr>
          <w:rFonts w:ascii="仿宋_GB2312" w:cs="仿宋" w:eastAsia="仿宋_GB2312" w:hAnsi="仿宋" w:hint="eastAsia"/>
          <w:sz w:val="32"/>
          <w:szCs w:val="32"/>
        </w:rPr>
        <w:t>万元，较上年增加</w:t>
      </w:r>
      <w:r>
        <w:rPr>
          <w:rFonts w:ascii="仿宋_GB2312" w:cs="仿宋" w:eastAsia="仿宋_GB2312" w:hAnsi="仿宋"/>
          <w:sz w:val="32"/>
          <w:szCs w:val="32"/>
        </w:rPr>
        <w:t>10.65</w:t>
      </w:r>
      <w:r>
        <w:rPr>
          <w:rFonts w:ascii="仿宋_GB2312" w:cs="仿宋" w:eastAsia="仿宋_GB2312" w:hAnsi="仿宋" w:hint="eastAsia"/>
          <w:sz w:val="32"/>
          <w:szCs w:val="32"/>
        </w:rPr>
        <w:t>万元，原因是本年预计退休人员较上年增加；</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6</w:t>
      </w:r>
      <w:r>
        <w:rPr>
          <w:rFonts w:ascii="仿宋_GB2312" w:cs="仿宋" w:eastAsia="仿宋_GB2312" w:hAnsi="仿宋" w:hint="eastAsia"/>
          <w:sz w:val="32"/>
          <w:szCs w:val="32"/>
        </w:rPr>
        <w:t>）行政单位医疗（</w:t>
      </w:r>
      <w:r>
        <w:rPr>
          <w:rFonts w:ascii="仿宋_GB2312" w:cs="仿宋" w:eastAsia="仿宋_GB2312" w:hAnsi="仿宋"/>
          <w:sz w:val="32"/>
          <w:szCs w:val="32"/>
        </w:rPr>
        <w:t>2101101</w:t>
      </w:r>
      <w:r>
        <w:rPr>
          <w:rFonts w:ascii="仿宋_GB2312" w:cs="仿宋" w:eastAsia="仿宋_GB2312" w:hAnsi="仿宋" w:hint="eastAsia"/>
          <w:sz w:val="32"/>
          <w:szCs w:val="32"/>
        </w:rPr>
        <w:t>）</w:t>
      </w:r>
      <w:r>
        <w:rPr>
          <w:rFonts w:ascii="仿宋_GB2312" w:cs="仿宋" w:eastAsia="仿宋_GB2312" w:hAnsi="仿宋"/>
          <w:sz w:val="32"/>
          <w:szCs w:val="32"/>
        </w:rPr>
        <w:t>47.65</w:t>
      </w:r>
      <w:r>
        <w:rPr>
          <w:rFonts w:ascii="仿宋_GB2312" w:cs="仿宋" w:eastAsia="仿宋_GB2312" w:hAnsi="仿宋" w:hint="eastAsia"/>
          <w:sz w:val="32"/>
          <w:szCs w:val="32"/>
        </w:rPr>
        <w:t>万元，上年未纳入部门预算，无法比较；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7</w:t>
      </w:r>
      <w:r>
        <w:rPr>
          <w:rFonts w:ascii="仿宋_GB2312" w:cs="仿宋" w:eastAsia="仿宋_GB2312" w:hAnsi="仿宋" w:hint="eastAsia"/>
          <w:sz w:val="32"/>
          <w:szCs w:val="32"/>
        </w:rPr>
        <w:t>）事业单位医疗（</w:t>
      </w:r>
      <w:r>
        <w:rPr>
          <w:rFonts w:ascii="仿宋_GB2312" w:cs="仿宋" w:eastAsia="仿宋_GB2312" w:hAnsi="仿宋"/>
          <w:sz w:val="32"/>
          <w:szCs w:val="32"/>
        </w:rPr>
        <w:t>2101102</w:t>
      </w:r>
      <w:r>
        <w:rPr>
          <w:rFonts w:ascii="仿宋_GB2312" w:cs="仿宋" w:eastAsia="仿宋_GB2312" w:hAnsi="仿宋" w:hint="eastAsia"/>
          <w:sz w:val="32"/>
          <w:szCs w:val="32"/>
        </w:rPr>
        <w:t>）</w:t>
      </w:r>
      <w:r>
        <w:rPr>
          <w:rFonts w:ascii="仿宋_GB2312" w:cs="仿宋" w:eastAsia="仿宋_GB2312" w:hAnsi="仿宋"/>
          <w:sz w:val="32"/>
          <w:szCs w:val="32"/>
        </w:rPr>
        <w:t>7.55</w:t>
      </w:r>
      <w:r>
        <w:rPr>
          <w:rFonts w:ascii="仿宋_GB2312" w:cs="仿宋" w:eastAsia="仿宋_GB2312" w:hAnsi="仿宋" w:hint="eastAsia"/>
          <w:sz w:val="32"/>
          <w:szCs w:val="32"/>
        </w:rPr>
        <w:t>万元，上年未纳入部门预算，无法比较；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8</w:t>
      </w:r>
      <w:r>
        <w:rPr>
          <w:rFonts w:ascii="仿宋_GB2312" w:cs="仿宋" w:eastAsia="仿宋_GB2312" w:hAnsi="仿宋" w:hint="eastAsia"/>
          <w:sz w:val="32"/>
          <w:szCs w:val="32"/>
        </w:rPr>
        <w:t>）公务员医疗补助（</w:t>
      </w:r>
      <w:r>
        <w:rPr>
          <w:rFonts w:ascii="仿宋_GB2312" w:cs="仿宋" w:eastAsia="仿宋_GB2312" w:hAnsi="仿宋"/>
          <w:sz w:val="32"/>
          <w:szCs w:val="32"/>
        </w:rPr>
        <w:t>2080505</w:t>
      </w:r>
      <w:r>
        <w:rPr>
          <w:rFonts w:ascii="仿宋_GB2312" w:cs="仿宋" w:eastAsia="仿宋_GB2312" w:hAnsi="仿宋" w:hint="eastAsia"/>
          <w:sz w:val="32"/>
          <w:szCs w:val="32"/>
        </w:rPr>
        <w:t>）</w:t>
      </w:r>
      <w:r>
        <w:rPr>
          <w:rFonts w:ascii="仿宋_GB2312" w:cs="仿宋" w:eastAsia="仿宋_GB2312" w:hAnsi="仿宋"/>
          <w:sz w:val="32"/>
          <w:szCs w:val="32"/>
        </w:rPr>
        <w:t>2.53</w:t>
      </w:r>
      <w:r>
        <w:rPr>
          <w:rFonts w:ascii="仿宋_GB2312" w:cs="仿宋" w:eastAsia="仿宋_GB2312" w:hAnsi="仿宋" w:hint="eastAsia"/>
          <w:sz w:val="32"/>
          <w:szCs w:val="32"/>
        </w:rPr>
        <w:t>万元，上年未纳入部门预算，无法比较；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9</w:t>
      </w:r>
      <w:r>
        <w:rPr>
          <w:rFonts w:ascii="仿宋_GB2312" w:cs="仿宋" w:eastAsia="仿宋_GB2312" w:hAnsi="仿宋" w:hint="eastAsia"/>
          <w:sz w:val="32"/>
          <w:szCs w:val="32"/>
        </w:rPr>
        <w:t>）其他卫生健康支出（</w:t>
      </w:r>
      <w:r>
        <w:rPr>
          <w:rFonts w:ascii="仿宋_GB2312" w:cs="仿宋" w:eastAsia="仿宋_GB2312" w:hAnsi="仿宋"/>
          <w:sz w:val="32"/>
          <w:szCs w:val="32"/>
        </w:rPr>
        <w:t>2109901</w:t>
      </w:r>
      <w:r>
        <w:rPr>
          <w:rFonts w:ascii="仿宋_GB2312" w:cs="仿宋" w:eastAsia="仿宋_GB2312" w:hAnsi="仿宋" w:hint="eastAsia"/>
          <w:sz w:val="32"/>
          <w:szCs w:val="32"/>
        </w:rPr>
        <w:t>）</w:t>
      </w:r>
      <w:r>
        <w:rPr>
          <w:rFonts w:ascii="仿宋_GB2312" w:cs="仿宋" w:eastAsia="仿宋_GB2312" w:hAnsi="仿宋"/>
          <w:sz w:val="32"/>
          <w:szCs w:val="32"/>
        </w:rPr>
        <w:t>5.57</w:t>
      </w:r>
      <w:r>
        <w:rPr>
          <w:rFonts w:ascii="仿宋_GB2312" w:cs="仿宋" w:eastAsia="仿宋_GB2312" w:hAnsi="仿宋" w:hint="eastAsia"/>
          <w:sz w:val="32"/>
          <w:szCs w:val="32"/>
        </w:rPr>
        <w:t>万元，上年未纳入部门预算，无法比较；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b/>
          <w:bCs/>
          <w:sz w:val="32"/>
          <w:szCs w:val="32"/>
        </w:rPr>
        <w:t>3</w:t>
      </w:r>
      <w:r>
        <w:rPr>
          <w:rFonts w:ascii="仿宋_GB2312" w:cs="仿宋" w:eastAsia="仿宋_GB2312" w:hAnsi="仿宋" w:hint="eastAsia"/>
          <w:b/>
          <w:bCs/>
          <w:sz w:val="32"/>
          <w:szCs w:val="32"/>
        </w:rPr>
        <w:t>、</w:t>
      </w:r>
      <w:r>
        <w:rPr>
          <w:rFonts w:ascii="仿宋_GB2312" w:cs="仿宋" w:eastAsia="仿宋_GB2312" w:hAnsi="仿宋" w:hint="eastAsia"/>
          <w:sz w:val="32"/>
          <w:szCs w:val="32"/>
        </w:rPr>
        <w:t>支出按经济科目分类的明细情况。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1</w:t>
      </w:r>
      <w:r>
        <w:rPr>
          <w:rFonts w:ascii="仿宋_GB2312" w:cs="仿宋" w:eastAsia="仿宋_GB2312" w:hAnsi="仿宋" w:hint="eastAsia"/>
          <w:sz w:val="32"/>
          <w:szCs w:val="32"/>
        </w:rPr>
        <w:t>）</w:t>
      </w:r>
      <w:r>
        <w:rPr>
          <w:rFonts w:ascii="仿宋_GB2312" w:cs="仿宋" w:eastAsia="仿宋_GB2312" w:hAnsi="仿宋"/>
          <w:sz w:val="32"/>
          <w:szCs w:val="32"/>
        </w:rPr>
        <w:t>2020</w:t>
      </w:r>
      <w:r>
        <w:rPr>
          <w:rFonts w:ascii="仿宋_GB2312" w:cs="仿宋" w:eastAsia="仿宋_GB2312" w:hAnsi="仿宋" w:hint="eastAsia"/>
          <w:sz w:val="32"/>
          <w:szCs w:val="32"/>
        </w:rPr>
        <w:t>年本部门当年一般公共预算支出</w:t>
      </w:r>
      <w:r>
        <w:rPr>
          <w:rFonts w:ascii="仿宋_GB2312" w:cs="仿宋" w:eastAsia="仿宋_GB2312" w:hAnsi="仿宋"/>
          <w:sz w:val="32"/>
          <w:szCs w:val="32"/>
        </w:rPr>
        <w:t>2384.17</w:t>
      </w:r>
      <w:r>
        <w:rPr>
          <w:rFonts w:ascii="仿宋_GB2312" w:cs="仿宋" w:eastAsia="仿宋_GB2312" w:hAnsi="仿宋" w:hint="eastAsia"/>
          <w:sz w:val="32"/>
          <w:szCs w:val="32"/>
        </w:rPr>
        <w:t>万元，其中：</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工资福利支出（</w:t>
      </w:r>
      <w:r>
        <w:rPr>
          <w:rFonts w:ascii="仿宋_GB2312" w:cs="仿宋" w:eastAsia="仿宋_GB2312" w:hAnsi="仿宋"/>
          <w:sz w:val="32"/>
          <w:szCs w:val="32"/>
        </w:rPr>
        <w:t>301</w:t>
      </w:r>
      <w:r>
        <w:rPr>
          <w:rFonts w:ascii="仿宋_GB2312" w:cs="仿宋" w:eastAsia="仿宋_GB2312" w:hAnsi="仿宋" w:hint="eastAsia"/>
          <w:sz w:val="32"/>
          <w:szCs w:val="32"/>
        </w:rPr>
        <w:t>）</w:t>
      </w:r>
      <w:r>
        <w:rPr>
          <w:rFonts w:ascii="仿宋_GB2312" w:cs="仿宋" w:eastAsia="仿宋_GB2312" w:hAnsi="仿宋"/>
          <w:sz w:val="32"/>
          <w:szCs w:val="32"/>
        </w:rPr>
        <w:t>2098.32</w:t>
      </w:r>
      <w:r>
        <w:rPr>
          <w:rFonts w:ascii="仿宋_GB2312" w:cs="仿宋" w:eastAsia="仿宋_GB2312" w:hAnsi="仿宋" w:hint="eastAsia"/>
          <w:sz w:val="32"/>
          <w:szCs w:val="32"/>
        </w:rPr>
        <w:t>万元，较上年减少</w:t>
      </w:r>
      <w:r>
        <w:rPr>
          <w:rFonts w:ascii="仿宋_GB2312" w:cs="仿宋" w:eastAsia="仿宋_GB2312" w:hAnsi="仿宋"/>
          <w:sz w:val="32"/>
          <w:szCs w:val="32"/>
        </w:rPr>
        <w:t>44.62</w:t>
      </w:r>
      <w:r>
        <w:rPr>
          <w:rFonts w:ascii="仿宋_GB2312" w:cs="仿宋" w:eastAsia="仿宋_GB2312" w:hAnsi="仿宋" w:hint="eastAsia"/>
          <w:sz w:val="32"/>
          <w:szCs w:val="32"/>
        </w:rPr>
        <w:t>万元，原因是事业人员绩效增量不再纳入部门预算，以及协管员补助本年开始由本科目调整至对个人和家庭的补助支出中反映；</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商品和服务支出（</w:t>
      </w:r>
      <w:r>
        <w:rPr>
          <w:rFonts w:ascii="仿宋_GB2312" w:cs="仿宋" w:eastAsia="仿宋_GB2312" w:hAnsi="仿宋"/>
          <w:sz w:val="32"/>
          <w:szCs w:val="32"/>
        </w:rPr>
        <w:t>302</w:t>
      </w:r>
      <w:r>
        <w:rPr>
          <w:rFonts w:ascii="仿宋_GB2312" w:cs="仿宋" w:eastAsia="仿宋_GB2312" w:hAnsi="仿宋" w:hint="eastAsia"/>
          <w:sz w:val="32"/>
          <w:szCs w:val="32"/>
        </w:rPr>
        <w:t>）</w:t>
      </w:r>
      <w:r>
        <w:rPr>
          <w:rFonts w:ascii="仿宋_GB2312" w:cs="仿宋" w:eastAsia="仿宋_GB2312" w:hAnsi="仿宋"/>
          <w:sz w:val="32"/>
          <w:szCs w:val="32"/>
        </w:rPr>
        <w:t>186.88</w:t>
      </w:r>
      <w:r>
        <w:rPr>
          <w:rFonts w:ascii="仿宋_GB2312" w:cs="仿宋" w:eastAsia="仿宋_GB2312" w:hAnsi="仿宋" w:hint="eastAsia"/>
          <w:sz w:val="32"/>
          <w:szCs w:val="32"/>
        </w:rPr>
        <w:t>万元，较上年增加</w:t>
      </w:r>
      <w:r>
        <w:rPr>
          <w:rFonts w:ascii="仿宋_GB2312" w:cs="仿宋" w:eastAsia="仿宋_GB2312" w:hAnsi="仿宋"/>
          <w:sz w:val="32"/>
          <w:szCs w:val="32"/>
        </w:rPr>
        <w:t>8.32</w:t>
      </w:r>
      <w:r>
        <w:rPr>
          <w:rFonts w:ascii="仿宋_GB2312" w:cs="仿宋" w:eastAsia="仿宋_GB2312" w:hAnsi="仿宋" w:hint="eastAsia"/>
          <w:sz w:val="32"/>
          <w:szCs w:val="32"/>
        </w:rPr>
        <w:t>万元，原因是行政人员实有数增加；</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对个人和家庭的补助支出（</w:t>
      </w:r>
      <w:r>
        <w:rPr>
          <w:rFonts w:ascii="仿宋_GB2312" w:cs="仿宋" w:eastAsia="仿宋_GB2312" w:hAnsi="仿宋"/>
          <w:sz w:val="32"/>
          <w:szCs w:val="32"/>
        </w:rPr>
        <w:t>303</w:t>
      </w:r>
      <w:r>
        <w:rPr>
          <w:rFonts w:ascii="仿宋_GB2312" w:cs="仿宋" w:eastAsia="仿宋_GB2312" w:hAnsi="仿宋" w:hint="eastAsia"/>
          <w:sz w:val="32"/>
          <w:szCs w:val="32"/>
        </w:rPr>
        <w:t>）</w:t>
      </w:r>
      <w:r>
        <w:rPr>
          <w:rFonts w:ascii="仿宋_GB2312" w:cs="仿宋" w:eastAsia="仿宋_GB2312" w:hAnsi="仿宋"/>
          <w:sz w:val="32"/>
          <w:szCs w:val="32"/>
        </w:rPr>
        <w:t>98.97</w:t>
      </w:r>
      <w:r>
        <w:rPr>
          <w:rFonts w:ascii="仿宋_GB2312" w:cs="仿宋" w:eastAsia="仿宋_GB2312" w:hAnsi="仿宋" w:hint="eastAsia"/>
          <w:sz w:val="32"/>
          <w:szCs w:val="32"/>
        </w:rPr>
        <w:t>万元，较上年增加</w:t>
      </w:r>
      <w:r>
        <w:rPr>
          <w:rFonts w:ascii="仿宋_GB2312" w:cs="仿宋" w:eastAsia="仿宋_GB2312" w:hAnsi="仿宋"/>
          <w:sz w:val="32"/>
          <w:szCs w:val="32"/>
        </w:rPr>
        <w:t>38.63</w:t>
      </w:r>
      <w:r>
        <w:rPr>
          <w:rFonts w:ascii="仿宋_GB2312" w:cs="仿宋" w:eastAsia="仿宋_GB2312" w:hAnsi="仿宋" w:hint="eastAsia"/>
          <w:sz w:val="32"/>
          <w:szCs w:val="32"/>
        </w:rPr>
        <w:t>万元，原因是补助标准提高，以及协管员补助上年使用其他工资福利支出核算，本年纳入该科目核算；</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w:t>
      </w:r>
      <w:r>
        <w:rPr>
          <w:rFonts w:ascii="仿宋_GB2312" w:cs="仿宋" w:eastAsia="仿宋_GB2312" w:hAnsi="仿宋"/>
          <w:sz w:val="32"/>
          <w:szCs w:val="32"/>
        </w:rPr>
        <w:t>2</w:t>
      </w:r>
      <w:r>
        <w:rPr>
          <w:rFonts w:ascii="仿宋_GB2312" w:cs="仿宋" w:eastAsia="仿宋_GB2312" w:hAnsi="仿宋" w:hint="eastAsia"/>
          <w:sz w:val="32"/>
          <w:szCs w:val="32"/>
        </w:rPr>
        <w:t>）</w:t>
      </w:r>
      <w:r>
        <w:rPr>
          <w:rFonts w:ascii="仿宋_GB2312" w:cs="仿宋" w:eastAsia="仿宋_GB2312" w:hAnsi="仿宋"/>
          <w:sz w:val="32"/>
          <w:szCs w:val="32"/>
        </w:rPr>
        <w:t>2020</w:t>
      </w:r>
      <w:r>
        <w:rPr>
          <w:rFonts w:ascii="仿宋_GB2312" w:cs="仿宋" w:eastAsia="仿宋_GB2312" w:hAnsi="仿宋" w:hint="eastAsia"/>
          <w:sz w:val="32"/>
          <w:szCs w:val="32"/>
        </w:rPr>
        <w:t>年本部门当年一般公共预算支出</w:t>
      </w:r>
      <w:r>
        <w:rPr>
          <w:rFonts w:ascii="仿宋_GB2312" w:cs="仿宋" w:eastAsia="仿宋_GB2312" w:hAnsi="仿宋"/>
          <w:sz w:val="32"/>
          <w:szCs w:val="32"/>
        </w:rPr>
        <w:t>2384.17</w:t>
      </w:r>
      <w:r>
        <w:rPr>
          <w:rFonts w:ascii="仿宋_GB2312" w:cs="仿宋" w:eastAsia="仿宋_GB2312" w:hAnsi="仿宋" w:hint="eastAsia"/>
          <w:sz w:val="32"/>
          <w:szCs w:val="32"/>
        </w:rPr>
        <w:t>万元，其中：</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机关工资福利支出（</w:t>
      </w:r>
      <w:r>
        <w:rPr>
          <w:rFonts w:ascii="仿宋_GB2312" w:cs="仿宋" w:eastAsia="仿宋_GB2312" w:hAnsi="仿宋"/>
          <w:sz w:val="32"/>
          <w:szCs w:val="32"/>
        </w:rPr>
        <w:t>501</w:t>
      </w:r>
      <w:r>
        <w:rPr>
          <w:rFonts w:ascii="仿宋_GB2312" w:cs="仿宋" w:eastAsia="仿宋_GB2312" w:hAnsi="仿宋" w:hint="eastAsia"/>
          <w:sz w:val="32"/>
          <w:szCs w:val="32"/>
        </w:rPr>
        <w:t>）</w:t>
      </w:r>
      <w:r>
        <w:rPr>
          <w:rFonts w:ascii="仿宋_GB2312" w:cs="仿宋" w:eastAsia="仿宋_GB2312" w:hAnsi="仿宋"/>
          <w:sz w:val="32"/>
          <w:szCs w:val="32"/>
        </w:rPr>
        <w:t>1307.67</w:t>
      </w:r>
      <w:r>
        <w:rPr>
          <w:rFonts w:ascii="仿宋_GB2312" w:cs="仿宋" w:eastAsia="仿宋_GB2312" w:hAnsi="仿宋" w:hint="eastAsia"/>
          <w:sz w:val="32"/>
          <w:szCs w:val="32"/>
        </w:rPr>
        <w:t>万元；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机关商品和服务支出（</w:t>
      </w:r>
      <w:r>
        <w:rPr>
          <w:rFonts w:ascii="仿宋_GB2312" w:cs="仿宋" w:eastAsia="仿宋_GB2312" w:hAnsi="仿宋"/>
          <w:sz w:val="32"/>
          <w:szCs w:val="32"/>
        </w:rPr>
        <w:t>502</w:t>
      </w:r>
      <w:r>
        <w:rPr>
          <w:rFonts w:ascii="仿宋_GB2312" w:cs="仿宋" w:eastAsia="仿宋_GB2312" w:hAnsi="仿宋" w:hint="eastAsia"/>
          <w:sz w:val="32"/>
          <w:szCs w:val="32"/>
        </w:rPr>
        <w:t>）</w:t>
      </w:r>
      <w:r>
        <w:rPr>
          <w:rFonts w:ascii="仿宋_GB2312" w:cs="仿宋" w:eastAsia="仿宋_GB2312" w:hAnsi="仿宋"/>
          <w:sz w:val="32"/>
          <w:szCs w:val="32"/>
        </w:rPr>
        <w:t>147.44</w:t>
      </w:r>
      <w:r>
        <w:rPr>
          <w:rFonts w:ascii="仿宋_GB2312" w:cs="仿宋" w:eastAsia="仿宋_GB2312" w:hAnsi="仿宋" w:hint="eastAsia"/>
          <w:sz w:val="32"/>
          <w:szCs w:val="32"/>
        </w:rPr>
        <w:t>万元；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对事业单位经常性补助（</w:t>
      </w:r>
      <w:r>
        <w:rPr>
          <w:rFonts w:ascii="仿宋_GB2312" w:cs="仿宋" w:eastAsia="仿宋_GB2312" w:hAnsi="仿宋"/>
          <w:sz w:val="32"/>
          <w:szCs w:val="32"/>
        </w:rPr>
        <w:t>505</w:t>
      </w:r>
      <w:r>
        <w:rPr>
          <w:rFonts w:ascii="仿宋_GB2312" w:cs="仿宋" w:eastAsia="仿宋_GB2312" w:hAnsi="仿宋" w:hint="eastAsia"/>
          <w:sz w:val="32"/>
          <w:szCs w:val="32"/>
        </w:rPr>
        <w:t>）</w:t>
      </w:r>
      <w:r>
        <w:rPr>
          <w:rFonts w:ascii="仿宋_GB2312" w:cs="仿宋" w:eastAsia="仿宋_GB2312" w:hAnsi="仿宋"/>
          <w:sz w:val="32"/>
          <w:szCs w:val="32"/>
        </w:rPr>
        <w:t>830.10</w:t>
      </w:r>
      <w:r>
        <w:rPr>
          <w:rFonts w:ascii="仿宋_GB2312" w:cs="仿宋" w:eastAsia="仿宋_GB2312" w:hAnsi="仿宋" w:hint="eastAsia"/>
          <w:sz w:val="32"/>
          <w:szCs w:val="32"/>
        </w:rPr>
        <w:t>万元；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对个人和家庭的补助（</w:t>
      </w:r>
      <w:r>
        <w:rPr>
          <w:rFonts w:ascii="仿宋_GB2312" w:cs="仿宋" w:eastAsia="仿宋_GB2312" w:hAnsi="仿宋"/>
          <w:sz w:val="32"/>
          <w:szCs w:val="32"/>
        </w:rPr>
        <w:t>509</w:t>
      </w:r>
      <w:r>
        <w:rPr>
          <w:rFonts w:ascii="仿宋_GB2312" w:cs="仿宋" w:eastAsia="仿宋_GB2312" w:hAnsi="仿宋" w:hint="eastAsia"/>
          <w:sz w:val="32"/>
          <w:szCs w:val="32"/>
        </w:rPr>
        <w:t>）</w:t>
      </w:r>
      <w:r>
        <w:rPr>
          <w:rFonts w:ascii="仿宋_GB2312" w:cs="仿宋" w:eastAsia="仿宋_GB2312" w:hAnsi="仿宋"/>
          <w:sz w:val="32"/>
          <w:szCs w:val="32"/>
        </w:rPr>
        <w:t>98.97</w:t>
      </w:r>
      <w:r>
        <w:rPr>
          <w:rFonts w:ascii="仿宋_GB2312" w:cs="仿宋" w:eastAsia="仿宋_GB2312" w:hAnsi="仿宋" w:hint="eastAsia"/>
          <w:sz w:val="32"/>
          <w:szCs w:val="32"/>
        </w:rPr>
        <w:t>万元；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上年度预算未按政府经济分类核算，无法比较。</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4</w:t>
      </w:r>
      <w:r>
        <w:rPr>
          <w:rFonts w:ascii="仿宋_GB2312" w:cs="仿宋" w:eastAsia="仿宋_GB2312" w:hAnsi="仿宋" w:hint="eastAsia"/>
          <w:sz w:val="32"/>
          <w:szCs w:val="32"/>
        </w:rPr>
        <w:t>、</w:t>
      </w:r>
      <w:r>
        <w:rPr>
          <w:rFonts w:ascii="仿宋_GB2312" w:cs="仿宋" w:eastAsia="仿宋_GB2312" w:hAnsi="仿宋"/>
          <w:sz w:val="32"/>
          <w:szCs w:val="32"/>
        </w:rPr>
        <w:t>2019</w:t>
      </w:r>
      <w:r>
        <w:rPr>
          <w:rFonts w:ascii="仿宋_GB2312" w:cs="仿宋" w:eastAsia="仿宋_GB2312" w:hAnsi="仿宋" w:hint="eastAsia"/>
          <w:sz w:val="32"/>
          <w:szCs w:val="32"/>
        </w:rPr>
        <w:t>年结转财政资金一般公共预算拨款支出情况。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年结转的一般公共预算拨款资金支出。</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（四）政府性基金预算支出情况。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b/>
          <w:bCs/>
          <w:sz w:val="32"/>
          <w:szCs w:val="32"/>
        </w:rPr>
        <w:t>1</w:t>
      </w:r>
      <w:r>
        <w:rPr>
          <w:rFonts w:ascii="仿宋_GB2312" w:cs="仿宋" w:eastAsia="仿宋_GB2312" w:hAnsi="仿宋" w:hint="eastAsia"/>
          <w:b/>
          <w:bCs/>
          <w:sz w:val="32"/>
          <w:szCs w:val="32"/>
        </w:rPr>
        <w:t>、</w:t>
      </w:r>
      <w:r>
        <w:rPr>
          <w:rFonts w:ascii="仿宋_GB2312" w:cs="仿宋" w:eastAsia="仿宋_GB2312" w:hAnsi="仿宋" w:hint="eastAsia"/>
          <w:sz w:val="32"/>
          <w:szCs w:val="32"/>
        </w:rPr>
        <w:t>本部门无当年政府性基金预算收支，并已公开空表。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b/>
          <w:bCs/>
          <w:sz w:val="32"/>
          <w:szCs w:val="32"/>
        </w:rPr>
        <w:t>2</w:t>
      </w:r>
      <w:r>
        <w:rPr>
          <w:rFonts w:ascii="仿宋_GB2312" w:cs="仿宋" w:eastAsia="仿宋_GB2312" w:hAnsi="仿宋" w:hint="eastAsia"/>
          <w:b/>
          <w:bCs/>
          <w:sz w:val="32"/>
          <w:szCs w:val="32"/>
        </w:rPr>
        <w:t>、</w:t>
      </w: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年结转的政府性基金预算拨款支出。</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（五）国有资本经营预算拨款收支情况。</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年结转的国有资本经营预算拨款支出。</w:t>
      </w: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第三部分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其他说明情况</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六、部门预算“三公”经费等预算情况说明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2020</w:t>
      </w:r>
      <w:r>
        <w:rPr>
          <w:rFonts w:ascii="仿宋_GB2312" w:cs="仿宋" w:eastAsia="仿宋_GB2312" w:hAnsi="仿宋" w:hint="eastAsia"/>
          <w:sz w:val="32"/>
          <w:szCs w:val="32"/>
        </w:rPr>
        <w:t>年本部门当年一般公共预算“三公”经费预算支出</w:t>
      </w:r>
      <w:r>
        <w:rPr>
          <w:rFonts w:ascii="仿宋_GB2312" w:cs="仿宋" w:eastAsia="仿宋_GB2312" w:hAnsi="仿宋"/>
          <w:sz w:val="32"/>
          <w:szCs w:val="32"/>
        </w:rPr>
        <w:t>12.4</w:t>
      </w:r>
      <w:r>
        <w:rPr>
          <w:rFonts w:ascii="仿宋_GB2312" w:cs="仿宋" w:eastAsia="仿宋_GB2312" w:hAnsi="仿宋" w:hint="eastAsia"/>
          <w:sz w:val="32"/>
          <w:szCs w:val="32"/>
        </w:rPr>
        <w:t>万元，与上年比较无变化。其中：</w:t>
      </w:r>
      <w:r>
        <w:rPr>
          <w:rFonts w:ascii="仿宋_GB2312" w:cs="仿宋" w:eastAsia="仿宋_GB2312" w:hAnsi="仿宋"/>
          <w:sz w:val="32"/>
          <w:szCs w:val="32"/>
        </w:rPr>
        <w:t>2019</w:t>
      </w:r>
      <w:r>
        <w:rPr>
          <w:rFonts w:ascii="仿宋_GB2312" w:cs="仿宋" w:eastAsia="仿宋_GB2312" w:hAnsi="仿宋" w:hint="eastAsia"/>
          <w:sz w:val="32"/>
          <w:szCs w:val="32"/>
        </w:rPr>
        <w:t>年和</w:t>
      </w:r>
      <w:r>
        <w:rPr>
          <w:rFonts w:ascii="仿宋_GB2312" w:cs="仿宋" w:eastAsia="仿宋_GB2312" w:hAnsi="仿宋"/>
          <w:sz w:val="32"/>
          <w:szCs w:val="32"/>
        </w:rPr>
        <w:t>2020</w:t>
      </w:r>
      <w:r>
        <w:rPr>
          <w:rFonts w:ascii="仿宋_GB2312" w:cs="仿宋" w:eastAsia="仿宋_GB2312" w:hAnsi="仿宋" w:hint="eastAsia"/>
          <w:sz w:val="32"/>
          <w:szCs w:val="32"/>
        </w:rPr>
        <w:t>年，本部门无因公出国（境）经费预算；公务接待费</w:t>
      </w:r>
      <w:r>
        <w:rPr>
          <w:rFonts w:ascii="仿宋_GB2312" w:cs="仿宋" w:eastAsia="仿宋_GB2312" w:hAnsi="仿宋"/>
          <w:sz w:val="32"/>
          <w:szCs w:val="32"/>
        </w:rPr>
        <w:t>0.2</w:t>
      </w:r>
      <w:r>
        <w:rPr>
          <w:rFonts w:ascii="仿宋_GB2312" w:cs="仿宋" w:eastAsia="仿宋_GB2312" w:hAnsi="仿宋" w:hint="eastAsia"/>
          <w:sz w:val="32"/>
          <w:szCs w:val="32"/>
        </w:rPr>
        <w:t>万元，与上年比较无变化；公务用车运行费</w:t>
      </w:r>
      <w:r>
        <w:rPr>
          <w:rFonts w:ascii="仿宋_GB2312" w:cs="仿宋" w:eastAsia="仿宋_GB2312" w:hAnsi="仿宋"/>
          <w:sz w:val="32"/>
          <w:szCs w:val="32"/>
        </w:rPr>
        <w:t>7</w:t>
      </w:r>
      <w:r>
        <w:rPr>
          <w:rFonts w:ascii="仿宋_GB2312" w:cs="仿宋" w:eastAsia="仿宋_GB2312" w:hAnsi="仿宋" w:hint="eastAsia"/>
          <w:sz w:val="32"/>
          <w:szCs w:val="32"/>
        </w:rPr>
        <w:t>万元，与上年比较无变化；</w:t>
      </w:r>
      <w:r>
        <w:rPr>
          <w:rFonts w:ascii="仿宋_GB2312" w:cs="仿宋" w:eastAsia="仿宋_GB2312" w:hAnsi="仿宋"/>
          <w:sz w:val="32"/>
          <w:szCs w:val="32"/>
        </w:rPr>
        <w:t>2019</w:t>
      </w:r>
      <w:r>
        <w:rPr>
          <w:rFonts w:ascii="仿宋_GB2312" w:cs="仿宋" w:eastAsia="仿宋_GB2312" w:hAnsi="仿宋" w:hint="eastAsia"/>
          <w:sz w:val="32"/>
          <w:szCs w:val="32"/>
        </w:rPr>
        <w:t>年和</w:t>
      </w:r>
      <w:r>
        <w:rPr>
          <w:rFonts w:ascii="仿宋_GB2312" w:cs="仿宋" w:eastAsia="仿宋_GB2312" w:hAnsi="仿宋"/>
          <w:sz w:val="32"/>
          <w:szCs w:val="32"/>
        </w:rPr>
        <w:t>2020</w:t>
      </w:r>
      <w:r>
        <w:rPr>
          <w:rFonts w:ascii="仿宋_GB2312" w:cs="仿宋" w:eastAsia="仿宋_GB2312" w:hAnsi="仿宋" w:hint="eastAsia"/>
          <w:sz w:val="32"/>
          <w:szCs w:val="32"/>
        </w:rPr>
        <w:t>年，本部门无公务用车购置费经费预算。本部门当年一般公共预算安排的会议费</w:t>
      </w:r>
      <w:r>
        <w:rPr>
          <w:rFonts w:ascii="仿宋_GB2312" w:cs="仿宋" w:eastAsia="仿宋_GB2312" w:hAnsi="仿宋"/>
          <w:sz w:val="32"/>
          <w:szCs w:val="32"/>
        </w:rPr>
        <w:t>5</w:t>
      </w:r>
      <w:r>
        <w:rPr>
          <w:rFonts w:ascii="仿宋_GB2312" w:cs="仿宋" w:eastAsia="仿宋_GB2312" w:hAnsi="仿宋" w:hint="eastAsia"/>
          <w:sz w:val="32"/>
          <w:szCs w:val="32"/>
        </w:rPr>
        <w:t>万元，与上年比较无变</w:t>
      </w:r>
      <w:r>
        <w:rPr>
          <w:rFonts w:ascii="仿宋_GB2312" w:cs="仿宋" w:eastAsia="仿宋_GB2312" w:hAnsi="仿宋" w:hint="eastAsia"/>
          <w:sz w:val="32"/>
          <w:szCs w:val="32"/>
        </w:rPr>
        <w:t>化</w:t>
      </w:r>
      <w:r>
        <w:rPr>
          <w:rFonts w:ascii="仿宋_GB2312" w:cs="仿宋" w:eastAsia="仿宋_GB2312" w:hAnsi="仿宋" w:hint="eastAsia"/>
          <w:sz w:val="32"/>
          <w:szCs w:val="32"/>
        </w:rPr>
        <w:t>，培训费</w:t>
      </w:r>
      <w:r>
        <w:rPr>
          <w:rFonts w:ascii="仿宋_GB2312" w:cs="仿宋" w:eastAsia="仿宋_GB2312" w:hAnsi="仿宋"/>
          <w:sz w:val="32"/>
          <w:szCs w:val="32"/>
        </w:rPr>
        <w:t>0.2</w:t>
      </w:r>
      <w:r>
        <w:rPr>
          <w:rFonts w:ascii="仿宋_GB2312" w:cs="仿宋" w:eastAsia="仿宋_GB2312" w:hAnsi="仿宋" w:hint="eastAsia"/>
          <w:sz w:val="32"/>
          <w:szCs w:val="32"/>
        </w:rPr>
        <w:t>万元，与上年比较无变化。</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年结转的财政拨款“三公”经费支出。</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七、部门国有资产占有使用及资产购置情况说明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截止</w:t>
      </w:r>
      <w:r>
        <w:rPr>
          <w:rFonts w:ascii="仿宋_GB2312" w:cs="仿宋" w:eastAsia="仿宋_GB2312" w:hAnsi="仿宋"/>
          <w:sz w:val="32"/>
          <w:szCs w:val="32"/>
        </w:rPr>
        <w:t>2019</w:t>
      </w:r>
      <w:r>
        <w:rPr>
          <w:rFonts w:ascii="仿宋_GB2312" w:cs="仿宋" w:eastAsia="仿宋_GB2312" w:hAnsi="仿宋" w:hint="eastAsia"/>
          <w:sz w:val="32"/>
          <w:szCs w:val="32"/>
        </w:rPr>
        <w:t>年底，本部门所属预算单位共有车辆</w:t>
      </w:r>
      <w:r>
        <w:rPr>
          <w:rFonts w:ascii="仿宋_GB2312" w:cs="仿宋" w:eastAsia="仿宋_GB2312" w:hAnsi="仿宋"/>
          <w:sz w:val="32"/>
          <w:szCs w:val="32"/>
        </w:rPr>
        <w:t>26</w:t>
      </w:r>
      <w:r>
        <w:rPr>
          <w:rFonts w:ascii="仿宋_GB2312" w:cs="仿宋" w:eastAsia="仿宋_GB2312" w:hAnsi="仿宋" w:hint="eastAsia"/>
          <w:sz w:val="32"/>
          <w:szCs w:val="32"/>
        </w:rPr>
        <w:t>辆，单价</w:t>
      </w:r>
      <w:r>
        <w:rPr>
          <w:rFonts w:ascii="仿宋_GB2312" w:cs="仿宋" w:eastAsia="仿宋_GB2312" w:hAnsi="仿宋"/>
          <w:sz w:val="32"/>
          <w:szCs w:val="32"/>
        </w:rPr>
        <w:t>20</w:t>
      </w:r>
      <w:r>
        <w:rPr>
          <w:rFonts w:ascii="仿宋_GB2312" w:cs="仿宋" w:eastAsia="仿宋_GB2312" w:hAnsi="仿宋" w:hint="eastAsia"/>
          <w:sz w:val="32"/>
          <w:szCs w:val="32"/>
        </w:rPr>
        <w:t>万元以上的设备</w:t>
      </w:r>
      <w:r>
        <w:rPr>
          <w:rFonts w:ascii="仿宋_GB2312" w:cs="仿宋" w:eastAsia="仿宋_GB2312" w:hAnsi="仿宋"/>
          <w:sz w:val="32"/>
          <w:szCs w:val="32"/>
        </w:rPr>
        <w:t>1</w:t>
      </w:r>
      <w:r>
        <w:rPr>
          <w:rFonts w:ascii="仿宋_GB2312" w:cs="仿宋" w:eastAsia="仿宋_GB2312" w:hAnsi="仿宋" w:hint="eastAsia"/>
          <w:sz w:val="32"/>
          <w:szCs w:val="32"/>
        </w:rPr>
        <w:t>台（套）。</w:t>
      </w:r>
      <w:r>
        <w:rPr>
          <w:rFonts w:ascii="仿宋_GB2312" w:cs="仿宋" w:eastAsia="仿宋_GB2312" w:hAnsi="仿宋"/>
          <w:sz w:val="32"/>
          <w:szCs w:val="32"/>
        </w:rPr>
        <w:t>2020</w:t>
      </w:r>
      <w:r>
        <w:rPr>
          <w:rFonts w:ascii="仿宋_GB2312" w:cs="仿宋" w:eastAsia="仿宋_GB2312" w:hAnsi="仿宋" w:hint="eastAsia"/>
          <w:sz w:val="32"/>
          <w:szCs w:val="32"/>
        </w:rPr>
        <w:t>年当年部门预算安排购置车辆</w:t>
      </w:r>
      <w:r>
        <w:rPr>
          <w:rFonts w:ascii="仿宋_GB2312" w:cs="仿宋" w:eastAsia="仿宋_GB2312" w:hAnsi="仿宋"/>
          <w:sz w:val="32"/>
          <w:szCs w:val="32"/>
        </w:rPr>
        <w:t>0</w:t>
      </w:r>
      <w:r>
        <w:rPr>
          <w:rFonts w:ascii="仿宋_GB2312" w:cs="仿宋" w:eastAsia="仿宋_GB2312" w:hAnsi="仿宋" w:hint="eastAsia"/>
          <w:sz w:val="32"/>
          <w:szCs w:val="32"/>
        </w:rPr>
        <w:t>辆；安排购置单价</w:t>
      </w:r>
      <w:r>
        <w:rPr>
          <w:rFonts w:ascii="仿宋_GB2312" w:cs="仿宋" w:eastAsia="仿宋_GB2312" w:hAnsi="仿宋"/>
          <w:sz w:val="32"/>
          <w:szCs w:val="32"/>
        </w:rPr>
        <w:t>20</w:t>
      </w:r>
      <w:r>
        <w:rPr>
          <w:rFonts w:ascii="仿宋_GB2312" w:cs="仿宋" w:eastAsia="仿宋_GB2312" w:hAnsi="仿宋" w:hint="eastAsia"/>
          <w:sz w:val="32"/>
          <w:szCs w:val="32"/>
        </w:rPr>
        <w:t>万元以上的设备</w:t>
      </w:r>
      <w:r>
        <w:rPr>
          <w:rFonts w:ascii="仿宋_GB2312" w:cs="仿宋" w:eastAsia="仿宋_GB2312" w:hAnsi="仿宋"/>
          <w:sz w:val="32"/>
          <w:szCs w:val="32"/>
        </w:rPr>
        <w:t>0</w:t>
      </w:r>
      <w:r>
        <w:rPr>
          <w:rFonts w:ascii="仿宋_GB2312" w:cs="仿宋" w:eastAsia="仿宋_GB2312" w:hAnsi="仿宋" w:hint="eastAsia"/>
          <w:sz w:val="32"/>
          <w:szCs w:val="32"/>
        </w:rPr>
        <w:t>台（套）。</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年结转的财政拨款支出资产购置。</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八、部门政府采购情况说明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w:t>
      </w:r>
      <w:r>
        <w:rPr>
          <w:rFonts w:ascii="仿宋_GB2312" w:cs="仿宋" w:eastAsia="仿宋_GB2312" w:hAnsi="仿宋"/>
          <w:sz w:val="32"/>
          <w:szCs w:val="32"/>
        </w:rPr>
        <w:t>2020</w:t>
      </w:r>
      <w:r>
        <w:rPr>
          <w:rFonts w:ascii="仿宋_GB2312" w:cs="仿宋" w:eastAsia="仿宋_GB2312" w:hAnsi="仿宋" w:hint="eastAsia"/>
          <w:sz w:val="32"/>
          <w:szCs w:val="32"/>
        </w:rPr>
        <w:t>年无政府采购预算，并已公开空表。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年结转的政府采购资金支出。</w:t>
      </w:r>
      <w:r>
        <w:rPr>
          <w:rFonts w:ascii="仿宋_GB2312" w:cs="仿宋" w:eastAsia="仿宋_GB2312" w:hAnsi="仿宋"/>
          <w:sz w:val="32"/>
          <w:szCs w:val="32"/>
        </w:rPr>
        <w:t xml:space="preserve"> </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九、部门预算绩效目标说明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2020</w:t>
      </w:r>
      <w:r>
        <w:rPr>
          <w:rFonts w:ascii="仿宋_GB2312" w:cs="仿宋" w:eastAsia="仿宋_GB2312" w:hAnsi="仿宋" w:hint="eastAsia"/>
          <w:sz w:val="32"/>
          <w:szCs w:val="32"/>
        </w:rPr>
        <w:t>年本部门绩效目标管理全覆盖，涉及当年一般公共预算拨款</w:t>
      </w:r>
      <w:r>
        <w:rPr>
          <w:rFonts w:ascii="仿宋_GB2312" w:cs="仿宋" w:eastAsia="仿宋_GB2312" w:hAnsi="仿宋"/>
          <w:sz w:val="32"/>
          <w:szCs w:val="32"/>
        </w:rPr>
        <w:t>2384.17</w:t>
      </w:r>
      <w:r>
        <w:rPr>
          <w:rFonts w:ascii="仿宋_GB2312" w:cs="仿宋" w:eastAsia="仿宋_GB2312" w:hAnsi="仿宋" w:hint="eastAsia"/>
          <w:sz w:val="32"/>
          <w:szCs w:val="32"/>
        </w:rPr>
        <w:t>万元</w:t>
      </w:r>
      <w:r>
        <w:rPr>
          <w:rFonts w:ascii="仿宋_GB2312" w:cs="仿宋" w:eastAsia="仿宋_GB2312" w:hAnsi="仿宋"/>
          <w:sz w:val="32"/>
          <w:szCs w:val="32"/>
        </w:rPr>
        <w:t>,</w:t>
      </w:r>
      <w:r>
        <w:rPr>
          <w:rFonts w:ascii="仿宋_GB2312" w:cs="仿宋" w:eastAsia="仿宋_GB2312" w:hAnsi="仿宋" w:hint="eastAsia"/>
          <w:sz w:val="32"/>
          <w:szCs w:val="32"/>
        </w:rPr>
        <w:t>当年政府性基金预算拨款</w:t>
      </w:r>
      <w:r>
        <w:rPr>
          <w:rFonts w:ascii="仿宋_GB2312" w:cs="仿宋" w:eastAsia="仿宋_GB2312" w:hAnsi="仿宋"/>
          <w:sz w:val="32"/>
          <w:szCs w:val="32"/>
        </w:rPr>
        <w:t>0</w:t>
      </w:r>
      <w:r>
        <w:rPr>
          <w:rFonts w:ascii="仿宋_GB2312" w:cs="仿宋" w:eastAsia="仿宋_GB2312" w:hAnsi="仿宋" w:hint="eastAsia"/>
          <w:sz w:val="32"/>
          <w:szCs w:val="32"/>
        </w:rPr>
        <w:t>万元，当年国有资本经营预算拨款</w:t>
      </w:r>
      <w:r>
        <w:rPr>
          <w:rFonts w:ascii="仿宋_GB2312" w:cs="仿宋" w:eastAsia="仿宋_GB2312" w:hAnsi="仿宋"/>
          <w:sz w:val="32"/>
          <w:szCs w:val="32"/>
        </w:rPr>
        <w:t>0</w:t>
      </w:r>
      <w:r>
        <w:rPr>
          <w:rFonts w:ascii="仿宋_GB2312" w:cs="仿宋" w:eastAsia="仿宋_GB2312" w:hAnsi="仿宋" w:hint="eastAsia"/>
          <w:sz w:val="32"/>
          <w:szCs w:val="32"/>
        </w:rPr>
        <w:t>万元（详见公开报表中的绩效目标表）。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年结转的财政拨款支出涉及的绩效目标管理。</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b/>
          <w:bCs/>
          <w:sz w:val="32"/>
          <w:szCs w:val="32"/>
        </w:rPr>
        <w:t>十、机关运行经费安排说明</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本部门当年机关运行经费预算安排</w:t>
      </w:r>
      <w:r>
        <w:rPr>
          <w:rFonts w:ascii="仿宋_GB2312" w:cs="仿宋" w:eastAsia="仿宋_GB2312" w:hAnsi="仿宋"/>
          <w:sz w:val="32"/>
          <w:szCs w:val="32"/>
        </w:rPr>
        <w:t>186.88</w:t>
      </w:r>
      <w:r>
        <w:rPr>
          <w:rFonts w:ascii="仿宋_GB2312" w:cs="仿宋" w:eastAsia="仿宋_GB2312" w:hAnsi="仿宋" w:hint="eastAsia"/>
          <w:sz w:val="32"/>
          <w:szCs w:val="32"/>
        </w:rPr>
        <w:t>万元，较上年增加</w:t>
      </w:r>
      <w:r>
        <w:rPr>
          <w:rFonts w:ascii="仿宋_GB2312" w:cs="仿宋" w:eastAsia="仿宋_GB2312" w:hAnsi="仿宋"/>
          <w:sz w:val="32"/>
          <w:szCs w:val="32"/>
        </w:rPr>
        <w:t>8.32</w:t>
      </w:r>
      <w:r>
        <w:rPr>
          <w:rFonts w:ascii="仿宋_GB2312" w:cs="仿宋" w:eastAsia="仿宋_GB2312" w:hAnsi="仿宋" w:hint="eastAsia"/>
          <w:sz w:val="32"/>
          <w:szCs w:val="32"/>
        </w:rPr>
        <w:t>万元，主要原因是机构改革后职能及机关人员增加，导致公用经费增加。</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本部门无</w:t>
      </w:r>
      <w:r>
        <w:rPr>
          <w:rFonts w:ascii="仿宋_GB2312" w:cs="仿宋" w:eastAsia="仿宋_GB2312" w:hAnsi="仿宋"/>
          <w:sz w:val="32"/>
          <w:szCs w:val="32"/>
        </w:rPr>
        <w:t>2019</w:t>
      </w:r>
      <w:r>
        <w:rPr>
          <w:rFonts w:ascii="仿宋_GB2312" w:cs="仿宋" w:eastAsia="仿宋_GB2312" w:hAnsi="仿宋" w:hint="eastAsia"/>
          <w:sz w:val="32"/>
          <w:szCs w:val="32"/>
        </w:rPr>
        <w:t>年结转的财政拨款机关运行经费支出。</w:t>
      </w:r>
    </w:p>
    <w:p>
      <w:pPr>
        <w:pStyle w:val="style0"/>
        <w:spacing w:lineRule="auto" w:line="360"/>
        <w:ind w:firstLine="31680"/>
        <w:rPr>
          <w:rFonts w:ascii="仿宋_GB2312" w:cs="仿宋" w:eastAsia="仿宋_GB2312" w:hAnsi="仿宋"/>
          <w:b/>
          <w:bCs/>
          <w:sz w:val="32"/>
          <w:szCs w:val="32"/>
        </w:rPr>
      </w:pPr>
      <w:r>
        <w:rPr>
          <w:rFonts w:ascii="仿宋_GB2312" w:cs="仿宋" w:eastAsia="仿宋_GB2312" w:hAnsi="仿宋" w:hint="eastAsia"/>
          <w:b/>
          <w:bCs/>
          <w:sz w:val="32"/>
          <w:szCs w:val="32"/>
        </w:rPr>
        <w:t>十一、专业名词解释</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1.</w:t>
      </w:r>
      <w:r>
        <w:rPr>
          <w:rFonts w:ascii="仿宋_GB2312" w:cs="仿宋" w:eastAsia="仿宋_GB2312" w:hAnsi="仿宋" w:hint="eastAsia"/>
          <w:sz w:val="32"/>
          <w:szCs w:val="32"/>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2.</w:t>
      </w:r>
      <w:r>
        <w:rPr>
          <w:rFonts w:ascii="仿宋_GB2312" w:cs="仿宋" w:eastAsia="仿宋_GB2312" w:hAnsi="仿宋" w:hint="eastAsia"/>
          <w:sz w:val="32"/>
          <w:szCs w:val="32"/>
        </w:rPr>
        <w:t>基本支出：指为保障机构正常运转、完成日常工作任务而发生的各项支出。</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3.</w:t>
      </w:r>
      <w:r>
        <w:rPr>
          <w:rFonts w:ascii="仿宋_GB2312" w:cs="仿宋" w:eastAsia="仿宋_GB2312" w:hAnsi="仿宋" w:hint="eastAsia"/>
          <w:sz w:val="32"/>
          <w:szCs w:val="32"/>
        </w:rPr>
        <w:t>项目支出：指单位为完成特定的行政工作任务或事业发展目标所发生的各项支出。</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sz w:val="32"/>
          <w:szCs w:val="32"/>
        </w:rPr>
        <w:t>4.</w:t>
      </w:r>
      <w:r>
        <w:rPr>
          <w:rFonts w:ascii="仿宋_GB2312" w:cs="仿宋" w:eastAsia="仿宋_GB2312" w:hAnsi="仿宋" w:hint="eastAsia"/>
          <w:sz w:val="32"/>
          <w:szCs w:val="32"/>
        </w:rPr>
        <w:t>“三公”经费：指部门使用一般公共预算财政拨款安排的因公出国（境）费、公务用车购置及运行费和公务接待费支出。</w:t>
      </w:r>
    </w:p>
    <w:p>
      <w:pPr>
        <w:pStyle w:val="style0"/>
        <w:spacing w:lineRule="auto" w:line="360"/>
        <w:ind w:firstLine="0" w:firstLineChars="0"/>
        <w:rPr>
          <w:rFonts w:ascii="仿宋_GB2312" w:cs="仿宋" w:eastAsia="仿宋_GB2312" w:hAnsi="仿宋"/>
          <w:sz w:val="32"/>
          <w:szCs w:val="32"/>
        </w:rPr>
      </w:pPr>
    </w:p>
    <w:p>
      <w:pPr>
        <w:pStyle w:val="style0"/>
        <w:spacing w:lineRule="auto" w:line="360"/>
        <w:ind w:firstLine="31680"/>
        <w:jc w:val="center"/>
        <w:rPr>
          <w:rFonts w:ascii="仿宋_GB2312" w:cs="仿宋" w:eastAsia="仿宋_GB2312" w:hAnsi="仿宋"/>
          <w:b/>
          <w:bCs/>
          <w:sz w:val="32"/>
          <w:szCs w:val="32"/>
        </w:rPr>
      </w:pPr>
      <w:r>
        <w:rPr>
          <w:rFonts w:ascii="仿宋_GB2312" w:cs="仿宋" w:eastAsia="仿宋_GB2312" w:hAnsi="仿宋" w:hint="eastAsia"/>
          <w:b/>
          <w:bCs/>
          <w:sz w:val="32"/>
          <w:szCs w:val="32"/>
        </w:rPr>
        <w:t>第四部分</w:t>
      </w:r>
      <w:r>
        <w:rPr>
          <w:rFonts w:ascii="仿宋_GB2312" w:cs="仿宋" w:eastAsia="仿宋_GB2312" w:hAnsi="仿宋"/>
          <w:b/>
          <w:bCs/>
          <w:sz w:val="32"/>
          <w:szCs w:val="32"/>
        </w:rPr>
        <w:t xml:space="preserve">  </w:t>
      </w:r>
      <w:r>
        <w:rPr>
          <w:rFonts w:ascii="仿宋_GB2312" w:cs="仿宋" w:eastAsia="仿宋_GB2312" w:hAnsi="仿宋" w:hint="eastAsia"/>
          <w:b/>
          <w:bCs/>
          <w:sz w:val="32"/>
          <w:szCs w:val="32"/>
        </w:rPr>
        <w:t>公开报表</w:t>
      </w:r>
    </w:p>
    <w:p>
      <w:pPr>
        <w:pStyle w:val="style0"/>
        <w:spacing w:lineRule="auto" w:line="360"/>
        <w:ind w:firstLine="31680"/>
        <w:rPr>
          <w:rFonts w:ascii="仿宋_GB2312" w:cs="仿宋" w:eastAsia="仿宋_GB2312" w:hAnsi="仿宋"/>
          <w:sz w:val="32"/>
          <w:szCs w:val="32"/>
        </w:rPr>
      </w:pPr>
      <w:r>
        <w:rPr>
          <w:rFonts w:ascii="仿宋_GB2312" w:cs="仿宋" w:eastAsia="仿宋_GB2312" w:hAnsi="仿宋" w:hint="eastAsia"/>
          <w:sz w:val="32"/>
          <w:szCs w:val="32"/>
        </w:rPr>
        <w:t>（见附件</w:t>
      </w:r>
      <w:r>
        <w:rPr>
          <w:rFonts w:ascii="仿宋_GB2312" w:cs="仿宋" w:eastAsia="仿宋_GB2312" w:hAnsi="仿宋"/>
          <w:sz w:val="32"/>
          <w:szCs w:val="32"/>
        </w:rPr>
        <w:t>2</w:t>
      </w:r>
      <w:r>
        <w:rPr>
          <w:rFonts w:ascii="仿宋_GB2312" w:cs="仿宋" w:eastAsia="仿宋_GB2312" w:hAnsi="仿宋" w:hint="eastAsia"/>
          <w:sz w:val="32"/>
          <w:szCs w:val="32"/>
        </w:rPr>
        <w:t>内容）</w:t>
      </w:r>
      <w:r>
        <w:rPr>
          <w:rFonts w:ascii="仿宋_GB2312" w:cs="仿宋" w:eastAsia="仿宋_GB2312" w:hAnsi="仿宋"/>
          <w:sz w:val="32"/>
          <w:szCs w:val="32"/>
        </w:rPr>
        <w:tab/>
      </w:r>
    </w:p>
    <w:sectPr>
      <w:headerReference w:type="even" r:id="rId3"/>
      <w:headerReference w:type="default" r:id="rId4"/>
      <w:footerReference w:type="even" r:id="rId5"/>
      <w:footerReference w:type="default" r:id="rId6"/>
      <w:headerReference w:type="first" r:id="rId7"/>
      <w:pgSz w:w="11906" w:h="16838" w:orient="portrait"/>
      <w:pgMar w:top="1440" w:right="1800" w:bottom="1440" w:left="1800" w:header="851" w:footer="992" w:gutter="0"/>
      <w:pgNumType w:fmt="numberInDash" w:start="6"/>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2A87" w:usb1="80000000" w:usb2="00000008" w:usb3="00000000" w:csb0="000001FF" w:csb1="00000000"/>
  </w:font>
  <w:font w:name="宋体">
    <w:altName w:val="SimSun"/>
    <w:panose1 w:val="02010600030001010101"/>
    <w:charset w:val="86"/>
    <w:family w:val="auto"/>
    <w:pitch w:val="variable"/>
    <w:sig w:usb0="00000003" w:usb1="080E0000" w:usb2="00000010" w:usb3="00000000" w:csb0="00040001" w:csb1="00000000"/>
  </w:font>
  <w:font w:name="仿宋_GB2312">
    <w:altName w:val="仿宋_GB2312"/>
    <w:panose1 w:val="02010609030001010101"/>
    <w:charset w:val="86"/>
    <w:family w:val="modern"/>
    <w:pitch w:val="fixed"/>
    <w:sig w:usb0="00000001" w:usb1="080E0000" w:usb2="00000010" w:usb3="00000000" w:csb0="00040000" w:csb1="00000000"/>
  </w:font>
  <w:font w:name="黑体">
    <w:altName w:val="SimHei"/>
    <w:panose1 w:val="02010600030001010101"/>
    <w:charset w:val="86"/>
    <w:family w:val="auto"/>
    <w:pitch w:val="variable"/>
    <w:sig w:usb0="00000001" w:usb1="080E0000" w:usb2="00000010" w:usb3="00000000" w:csb0="00040000" w:csb1="00000000"/>
  </w:font>
  <w:font w:name="仿宋">
    <w:altName w:val="微软雅黑"/>
    <w:panose1 w:val="00000000000000000000"/>
    <w:charset w:val="86"/>
    <w:family w:val="modern"/>
    <w:pitch w:val="fixed"/>
    <w:sig w:usb0="00000001" w:usb1="080E0000" w:usb2="00000010" w:usb3="00000000" w:csb0="00040000" w:csb1="00000000"/>
  </w:font>
  <w:font w:name="微软雅黑">
    <w:altName w:val="微软雅黑"/>
    <w:panose1 w:val="020b0503020002020204"/>
    <w:charset w:val="86"/>
    <w:family w:val="swiss"/>
    <w:pitch w:val="variable"/>
    <w:sig w:usb0="80000287" w:usb1="2A0F3C52" w:usb2="00000016" w:usb3="00000000" w:csb0="0004001F" w:csb1="00000000"/>
  </w:font>
  <w:font w:name="Cambria">
    <w:altName w:val="Cambria"/>
    <w:panose1 w:val="02040503050004030204"/>
    <w:charset w:val="00"/>
    <w:family w:val="roman"/>
    <w:pitch w:val="variable"/>
    <w:sig w:usb0="A00002EF" w:usb1="4000004B" w:usb2="00000000" w:usb3="00000000" w:csb0="0000009F" w:csb1="00000000"/>
  </w:font>
  <w:font w:name="Calibri">
    <w:altName w:val="Calibri"/>
    <w:panose1 w:val="020f0502020002030204"/>
    <w:charset w:val="00"/>
    <w:family w:val="swiss"/>
    <w:pitch w:val="variable"/>
    <w:sig w:usb0="A00002EF" w:usb1="4000207B" w:usb2="00000000" w:usb3="00000000" w:csb0="0000009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ind w:firstLine="31680"/>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ind w:firstLine="31680"/>
      <w:rPr/>
    </w:pPr>
    <w:r>
      <w:rPr>
        <w:noProof/>
      </w:rPr>
      <w:pict>
        <v:shapetype id="_x0000_t202" coordsize="21600,21600" o:spt="202" path="m,l,21600r21600,l21600,xe">
          <v:stroke joinstyle="miter"/>
          <v:path gradientshapeok="t" o:connecttype="rect"/>
        </v:shapetype>
        <v:shape id="4098" type="#_x0000_t202" filled="f" stroked="f" style="position:absolute;margin-left:200.0pt;margin-top:-2.3pt;width:80.0pt;height:21.1pt;z-index:2;mso-position-horizontal:outside;mso-position-horizontal-relative:margin;mso-position-vertical-relative:text;mso-width-relative:page;mso-height-relative:page;mso-wrap-distance-left:0.0pt;mso-wrap-distance-right:0.0pt;visibility:visible;">
          <v:stroke on="f" joinstyle="miter" weight="0.5pt"/>
          <v:fill/>
          <v:path o:connecttype="rect" gradientshapeok="t"/>
          <v:textbox inset="0.0pt,0.0pt,0.0pt,0.0pt">
            <w:txbxContent>
              <w:p>
                <w:pPr>
                  <w:pStyle w:val="style32"/>
                  <w:ind w:firstLine="0" w:firstLineChars="0"/>
                  <w:rPr>
                    <w:sz w:val="28"/>
                    <w:szCs w:val="44"/>
                  </w:rPr>
                </w:pPr>
              </w:p>
            </w:txbxContent>
          </v:textbox>
        </v:shape>
      </w:pic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left w:val="none" w:sz="0" w:space="0" w:color="auto"/>
        <w:right w:val="none" w:sz="0" w:space="0" w:color="auto"/>
        <w:top w:val="none" w:sz="0" w:space="0" w:color="auto"/>
        <w:bottom w:val="none" w:sz="0" w:space="0" w:color="auto"/>
      </w:pBdr>
      <w:ind w:firstLine="31680"/>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left w:val="none" w:sz="0" w:space="0" w:color="auto"/>
        <w:right w:val="none" w:sz="0" w:space="0" w:color="auto"/>
        <w:top w:val="none" w:sz="0" w:space="0" w:color="auto"/>
        <w:bottom w:val="none" w:sz="0" w:space="0" w:color="auto"/>
      </w:pBdr>
      <w:ind w:firstLine="31680"/>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left w:val="none" w:sz="0" w:space="0" w:color="auto"/>
        <w:right w:val="none" w:sz="0" w:space="0" w:color="auto"/>
        <w:top w:val="none" w:sz="0" w:space="0" w:color="auto"/>
        <w:bottom w:val="none" w:sz="0" w:space="0" w:color="auto"/>
      </w:pBdr>
      <w:ind w:firstLine="3168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kern w:val="2"/>
        <w:sz w:val="21"/>
        <w:szCs w:val="22"/>
        <w:lang w:val="en-US" w:bidi="ar-SA" w:eastAsia="zh-CN"/>
      </w:rPr>
    </w:rPrDefault>
    <w:pPrDefault>
      <w:pPr/>
    </w:pPrDefault>
  </w:docDefaults>
  <w:style w:type="paragraph" w:default="1" w:styleId="style0">
    <w:name w:val="Normal"/>
    <w:next w:val="style0"/>
    <w:qFormat/>
    <w:pPr>
      <w:widowControl w:val="false"/>
      <w:spacing w:lineRule="exact" w:line="366"/>
      <w:ind w:firstLine="200" w:firstLineChars="200"/>
      <w:jc w:val="both"/>
    </w:pPr>
    <w:rPr>
      <w:sz w:val="24"/>
      <w:szCs w:val="24"/>
    </w:rPr>
  </w:style>
  <w:style w:type="character" w:default="1" w:styleId="style65">
    <w:name w:val="Default Paragraph Font"/>
    <w:next w:val="style65"/>
    <w:uiPriority w:val="99"/>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153"/>
        <w:tab w:val="right" w:leader="none" w:pos="8306"/>
      </w:tabs>
      <w:snapToGrid w:val="false"/>
      <w:jc w:val="left"/>
    </w:pPr>
    <w:rPr>
      <w:sz w:val="18"/>
    </w:rPr>
  </w:style>
  <w:style w:type="character" w:customStyle="1" w:styleId="style4097">
    <w:name w:val="Footer Char_2a48ee27-3f76-4144-a38b-54c76d664fe7"/>
    <w:basedOn w:val="style65"/>
    <w:next w:val="style4097"/>
    <w:link w:val="style32"/>
    <w:uiPriority w:val="99"/>
    <w:rPr>
      <w:rFonts w:cs="Times New Roman"/>
      <w:sz w:val="18"/>
      <w:szCs w:val="18"/>
    </w:rPr>
  </w:style>
  <w:style w:type="paragraph" w:styleId="style31">
    <w:name w:val="header"/>
    <w:basedOn w:val="style0"/>
    <w:next w:val="style31"/>
    <w:link w:val="style4098"/>
    <w:uiPriority w:val="99"/>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spacing w:lineRule="auto" w:line="240"/>
    </w:pPr>
    <w:rPr>
      <w:sz w:val="18"/>
    </w:rPr>
  </w:style>
  <w:style w:type="character" w:customStyle="1" w:styleId="style4098">
    <w:name w:val="Header Char_a79f3aa9-6dee-4500-b487-40e0f0b67d7e"/>
    <w:basedOn w:val="style65"/>
    <w:next w:val="style4098"/>
    <w:link w:val="style31"/>
    <w:uiPriority w:val="99"/>
    <w:rPr>
      <w:rFonts w:cs="Times New Roman"/>
      <w:sz w:val="18"/>
      <w:szCs w:val="18"/>
    </w:rPr>
  </w:style>
  <w:style w:type="paragraph" w:styleId="style94">
    <w:name w:val="Normal (Web)"/>
    <w:basedOn w:val="style0"/>
    <w:next w:val="style94"/>
    <w:uiPriority w:val="99"/>
    <w:pPr>
      <w:widowControl/>
      <w:spacing w:before="100" w:beforeAutospacing="true" w:after="100" w:afterAutospacing="true" w:lineRule="auto" w:line="240"/>
      <w:ind w:firstLine="0" w:firstLineChars="0"/>
      <w:jc w:val="left"/>
    </w:pPr>
    <w:rPr>
      <w:rFonts w:ascii="宋体" w:cs="宋体" w:hAnsi="宋体"/>
      <w:kern w:val="0"/>
    </w:rPr>
  </w:style>
</w:styles>
</file>

<file path=word/_rels/document.xml.rels><?xml version="1.0" encoding="UTF-8"?>
<Relationships xmlns="http://schemas.openxmlformats.org/package/2006/relationships"><Relationship Id="rId2" Type="http://schemas.openxmlformats.org/officeDocument/2006/relationships/image" Target="media/image1.emf"/><Relationship Id="rId5" Type="http://schemas.openxmlformats.org/officeDocument/2006/relationships/footer" Target="footer3.xml"/><Relationship Id="rId10" Type="http://schemas.openxmlformats.org/officeDocument/2006/relationships/settings" Target="settings.xml"/><Relationship Id="rId8" Type="http://schemas.openxmlformats.org/officeDocument/2006/relationships/styles" Target="styles.xml"/><Relationship Id="rId4" Type="http://schemas.openxmlformats.org/officeDocument/2006/relationships/header" Target="header2.xml"/><Relationship Id="rId3" Type="http://schemas.openxmlformats.org/officeDocument/2006/relationships/header" Target="header1.xml"/><Relationship Id="rId9" Type="http://schemas.openxmlformats.org/officeDocument/2006/relationships/fontTable" Target="fontTable.xml"/><Relationship Id="rId6" Type="http://schemas.openxmlformats.org/officeDocument/2006/relationships/footer" Target="footer4.xml"/><Relationship Id="rId11" Type="http://schemas.openxmlformats.org/officeDocument/2006/relationships/theme" Target="theme/theme1.xml"/><Relationship Id="rId1" Type="http://schemas.openxmlformats.org/officeDocument/2006/relationships/numbering" Target="numbering.xml"/><Relationship Id="rId7"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314</TotalTime>
  <Words>3790</Words>
  <Pages>11</Pages>
  <Characters>4225</Characters>
  <Application>WPS Office</Application>
  <DocSecurity>0</DocSecurity>
  <Paragraphs>163</Paragraphs>
  <ScaleCrop>false</ScaleCrop>
  <LinksUpToDate>false</LinksUpToDate>
  <CharactersWithSpaces>4249</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2020-02-04T06:44:00Z</dcterms:created>
  <dc:creator>郭超(拟稿)</dc:creator>
  <lastModifiedBy>OPPO R11</lastModifiedBy>
  <lastPrinted>2020-02-08T02:06:00Z</lastPrinted>
  <dcterms:modified xsi:type="dcterms:W3CDTF">2020-02-12T10:02:54Z</dcterms:modified>
  <revision>64</revision>
  <dc:title>附件1</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