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0" w:firstLineChars="0"/>
        <w:jc w:val="left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/>
        <w:jc w:val="center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蓝田县</w:t>
      </w:r>
      <w:r>
        <w:rPr>
          <w:rFonts w:hint="eastAsia" w:ascii="黑体" w:hAnsi="黑体" w:eastAsia="黑体"/>
          <w:sz w:val="32"/>
          <w:szCs w:val="32"/>
          <w:lang w:eastAsia="zh-CN"/>
        </w:rPr>
        <w:t>金融合作办公室</w:t>
      </w:r>
    </w:p>
    <w:p>
      <w:pPr>
        <w:adjustRightInd w:val="0"/>
        <w:snapToGrid w:val="0"/>
        <w:ind w:firstLine="640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2020年部门综合预算说明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目  录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   部门概况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一、部门主要职责及机构设置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二、2020年年度部门工作任务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三、部门预算单位构成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四、部门人员情况说明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   收支情况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五、2020年部门预算收支说明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   其他说明情况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六、部门预算“三公”经费等情况说明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七、部门国有资产占有使用及资产购置情况说明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八、部门政府采购情况说明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九、部门预算绩效目标说明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十、机关运行经费安排说明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十一、专业名词解释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第四部分   公开报表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（具体部门预算公开报表）</w:t>
      </w:r>
    </w:p>
    <w:p>
      <w:pPr>
        <w:spacing w:line="360" w:lineRule="auto"/>
        <w:ind w:firstLine="643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firstLine="643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360" w:lineRule="auto"/>
        <w:ind w:firstLine="643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第一部分  部门概况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一、部门主要职责及机构设置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ascii="仿宋" w:hAnsi="仿宋" w:eastAsia="仿宋" w:cs="仿宋"/>
          <w:color w:val="3D3D3C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(一)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eastAsia="zh-CN"/>
        </w:rPr>
        <w:t>主要职责。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根据县委县政府机构改革方案，金融办没有三定方案，金融办为贯彻执行党和国家有关金融工作的方针政策和法律法规，落实上级金融工作部门和县委、县政府有关金融工作的法规、决定、指示和工作部署，研究分析全县宏观金融形势和运行情况，会同有关部门制定全县投融资发展总体规划，指导、协调全县投融资工作，提出改善金融发展环境、促进金融业发展的意见和建议，为县委、县政府决策提供依据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协助有关监管部门整顿和规范金融秩序，协调与处理金融风险防范和化解工作，加强我县社会信用体系建设，维护金融业的稳定发展。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三是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负责地方政府、政府职能部门及当地企业与金融机构的日常联系和合作，做好配合、协调和信息交流工作，实现政、银、企的和谐发展。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四是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实施对地方金融机构的宏观管理，协调地方金融资源的优化配置，推进地方金融机构改革和农村金融改革工作。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五是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进一步改善金融发展环境，推动我县投融资体制改革，开辟信托投资等新的融资渠道，负责企业融资政策落实工作，协调金融机构加大对中小企业贷款、生源地助学贷款、再就业(创业)小额贷款等扶持力度。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六是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承办县委、县政府交办的其他事项。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机构设置。蓝田县金融合作办公室</w:t>
      </w:r>
      <w:r>
        <w:rPr>
          <w:rFonts w:hint="eastAsia" w:ascii="仿宋" w:hAnsi="仿宋" w:eastAsia="仿宋" w:cs="仿宋"/>
          <w:sz w:val="32"/>
          <w:szCs w:val="32"/>
        </w:rPr>
        <w:t>下设四个科室，分别为综合科、资本市场科、金融稳定科、银行保险科。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二、2020年度部门工作任务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（一）加大脱贫攻坚力度。一是加大与涉农银行对接力度，继续做好扶贫小贷发放工作，确保能贷尽贷。二是重点做好到期贷款回收、逾期风险防范和处置工作。三是组织实施“助农保”扶贫特惠保险，鼓励保险公司加大赔付力度，保障脱贫攻坚成果。四是督促指导我办干部，做好联户帮扶工作，确保年度扶贫任务全面完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（二）推动农村金融改革。一是在保证评级质量的基础上稳步推进农户信用评级工作，重点做好数据录入和成效分析。二是继续组织实施政策性农业保险试点，突出蓝田特色产业，不断扩大保险覆盖范围。三是配合我县“三变”改革，做好金融支持乡村发展相关改革创新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（三）不断优化营商环境。一是整合现有融资担保机构，加快引进新的融资性担保机构，筹备“蓝田金融服务中心”组建，拓宽小微企业和三农发展融资渠道。二是以降低企业获得信贷难度和成本为核心，鼓励各金融机构加快业务创新，切实服务县域实体经济发展。三是推进企业上市，突破直接融资。加强与华鑫证券、陕西省中小企业服务中心等机构的合作，加大企业辅导服务、培训力度。通过召开培训会、上门服务等多样化形式，激发企业上市挂牌融资的积极性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（四）创优金融生态环境。一是持续开展金融领域扫黑除恶斗争工作，全面贯彻落实中央和省市委决策部署，围绕中央督导反馈问题整改工作要求，突出行业治乱，强化自查摸排，确保反馈问题整改清零见底，着力营造金融领域风清气正的工作氛围。二是进一步做好防范非法集资工作，要按照防非打非宣传进镇街、进学校等“八进”工作要求，做好辖区打非宣传工作。同时，要以防为主，做好预案，及时化解处理非法集资案件，确保县域金融市场稳定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（五）加大融资工作力度。一是加快实施百村产业提升项目融资步伐，力争一季度完成项目融资计划。二是围绕乡村振兴和重点民生项目，深化与政策性银行和其他金融机构的融资合作，不断探索新思路、新模式，为县域重大项目融集建设资金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（六）统筹推行各项工作。一是强化金融机构考核评价，鼓励引导金融机构跟进政府工作导向，加大信贷支持。二是依托涉农银行三农普惠服务部和蚂蚁金服智慧县域项目，加快普惠金融发展。三是扎实做好机关、干部职工和值守点的防疫工作。三是强化机关党建工作，建强支部战斗堡垒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三、部门预算单位构成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从预算单位构成看，本部门的部门预算包括部门本级（机关）预算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年纳入本部门预算编制单位共有1个，蓝田县金融合作办公室。（下设综合科、银行保险科、资本市场科、金融稳定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tbl>
      <w:tblPr>
        <w:tblStyle w:val="4"/>
        <w:tblW w:w="8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636"/>
        <w:gridCol w:w="5026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4" w:hRule="atLeast"/>
          <w:jc w:val="center"/>
        </w:trPr>
        <w:tc>
          <w:tcPr>
            <w:tcW w:w="163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502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单位名称</w:t>
            </w: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拟变动情况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4" w:hRule="atLeast"/>
          <w:jc w:val="center"/>
        </w:trPr>
        <w:tc>
          <w:tcPr>
            <w:tcW w:w="163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502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蓝田县金融合作办公室</w:t>
            </w:r>
          </w:p>
        </w:tc>
        <w:tc>
          <w:tcPr>
            <w:tcW w:w="205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textAlignment w:val="auto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四、部门人员情况说明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截止201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年底，本部门人员编制 9人，其中：行政编制3人、事业编制6人；实有人员9人，其中：行政人员3人、事业人员6人，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单位管理的离退休人员0人。</w:t>
      </w:r>
    </w:p>
    <w:tbl>
      <w:tblPr>
        <w:tblStyle w:val="4"/>
        <w:tblpPr w:leftFromText="180" w:rightFromText="180" w:vertAnchor="text" w:horzAnchor="page" w:tblpX="1652" w:tblpY="353"/>
        <w:tblOverlap w:val="never"/>
        <w:tblW w:w="90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2803"/>
        <w:gridCol w:w="1951"/>
        <w:gridCol w:w="1051"/>
        <w:gridCol w:w="1041"/>
        <w:gridCol w:w="1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68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19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105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编制数</w:t>
            </w:r>
          </w:p>
        </w:tc>
        <w:tc>
          <w:tcPr>
            <w:tcW w:w="10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实有数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离退休人员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689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80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蓝田县金融合作办公室</w:t>
            </w:r>
          </w:p>
        </w:tc>
        <w:tc>
          <w:tcPr>
            <w:tcW w:w="1951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行政</w:t>
            </w:r>
          </w:p>
        </w:tc>
        <w:tc>
          <w:tcPr>
            <w:tcW w:w="1051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041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drawing>
          <wp:inline distT="0" distB="0" distL="114300" distR="114300">
            <wp:extent cx="4568825" cy="2740025"/>
            <wp:effectExtent l="4445" t="4445" r="11430" b="11430"/>
            <wp:docPr id="1" name="图表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/>
        <w:jc w:val="center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第二部分  收支情况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五、2020年部门预算收支说明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（一）收支预算总体情况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按照综合预算的原则，本部门所有收入和支出均纳入部门预算管理。20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年本部门预算收入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万元，其中一般公共预算拨款收入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万元，政府性基金拨款收入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年本部门预算收入较上年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0.51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</w:rPr>
        <w:t>原因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2019年调出一人，同时调入一人，</w:t>
      </w:r>
      <w:r>
        <w:rPr>
          <w:rFonts w:hint="eastAsia" w:ascii="仿宋" w:hAnsi="仿宋" w:eastAsia="仿宋" w:cs="仿宋"/>
          <w:sz w:val="32"/>
          <w:szCs w:val="32"/>
        </w:rPr>
        <w:t>人员工资及社保缴费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为见习期工资</w:t>
      </w:r>
      <w:r>
        <w:rPr>
          <w:rFonts w:hint="eastAsia" w:ascii="仿宋" w:hAnsi="仿宋" w:eastAsia="仿宋" w:cs="仿宋"/>
          <w:sz w:val="32"/>
          <w:szCs w:val="32"/>
        </w:rPr>
        <w:t>。20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年本部门预算支出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万元，其中一般公共预算拨款支出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年本部门预算支出较上年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0.51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0.65</w:t>
      </w:r>
      <w:r>
        <w:rPr>
          <w:rFonts w:hint="eastAsia" w:ascii="仿宋" w:hAnsi="仿宋" w:eastAsia="仿宋" w:cs="仿宋"/>
          <w:sz w:val="32"/>
          <w:szCs w:val="32"/>
        </w:rPr>
        <w:t>%，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减少原因</w:t>
      </w:r>
      <w:r>
        <w:rPr>
          <w:rFonts w:hint="eastAsia" w:ascii="仿宋" w:hAnsi="仿宋" w:eastAsia="仿宋" w:cs="仿宋"/>
          <w:sz w:val="32"/>
          <w:szCs w:val="32"/>
        </w:rPr>
        <w:t>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2019年调出一人，同时调入一人，</w:t>
      </w:r>
      <w:r>
        <w:rPr>
          <w:rFonts w:hint="eastAsia" w:ascii="仿宋" w:hAnsi="仿宋" w:eastAsia="仿宋" w:cs="仿宋"/>
          <w:sz w:val="32"/>
          <w:szCs w:val="32"/>
        </w:rPr>
        <w:t>人员工资及社保缴费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为见习期工资。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（二）财政拨款收支情况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年本部门财政拨款收入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万元，其中一般公共预算拨款收入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万元，政府性基金拨款收入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年本部门财政拨款收入较上年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0.51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</w:rPr>
        <w:t>原因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2019年调出一人，同时调入一人，</w:t>
      </w:r>
      <w:r>
        <w:rPr>
          <w:rFonts w:hint="eastAsia" w:ascii="仿宋" w:hAnsi="仿宋" w:eastAsia="仿宋" w:cs="仿宋"/>
          <w:sz w:val="32"/>
          <w:szCs w:val="32"/>
        </w:rPr>
        <w:t>人员工资及社保缴费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为见习期工资</w:t>
      </w:r>
      <w:r>
        <w:rPr>
          <w:rFonts w:hint="eastAsia" w:ascii="仿宋" w:hAnsi="仿宋" w:eastAsia="仿宋" w:cs="仿宋"/>
          <w:sz w:val="32"/>
          <w:szCs w:val="32"/>
        </w:rPr>
        <w:t>。20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年本部门财政拨款支出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万元，其中一般公共预算拨款支出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年本部门财政拨款支出较上年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0.51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0.65</w:t>
      </w:r>
      <w:r>
        <w:rPr>
          <w:rFonts w:hint="eastAsia" w:ascii="仿宋" w:hAnsi="仿宋" w:eastAsia="仿宋" w:cs="仿宋"/>
          <w:sz w:val="32"/>
          <w:szCs w:val="32"/>
        </w:rPr>
        <w:t>%，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</w:rPr>
        <w:t>原因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2019年调出一人，同时调入一人，</w:t>
      </w:r>
      <w:r>
        <w:rPr>
          <w:rFonts w:hint="eastAsia" w:ascii="仿宋" w:hAnsi="仿宋" w:eastAsia="仿宋" w:cs="仿宋"/>
          <w:sz w:val="32"/>
          <w:szCs w:val="32"/>
        </w:rPr>
        <w:t>人员工资及社保缴费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为见习期工资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（三）一般公共预算拨款支出明细情况</w:t>
      </w:r>
    </w:p>
    <w:p>
      <w:pPr>
        <w:spacing w:line="360" w:lineRule="auto"/>
        <w:ind w:firstLine="643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一般公共预算当年拨款规模变化情况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sz w:val="32"/>
          <w:szCs w:val="32"/>
        </w:rPr>
        <w:t>一般公共预算拨款支出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2019年支出78.29万元，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年本部门财政拨款支出较上年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0.51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0.65</w:t>
      </w:r>
      <w:r>
        <w:rPr>
          <w:rFonts w:hint="eastAsia" w:ascii="仿宋" w:hAnsi="仿宋" w:eastAsia="仿宋" w:cs="仿宋"/>
          <w:sz w:val="32"/>
          <w:szCs w:val="32"/>
        </w:rPr>
        <w:t>%，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</w:rPr>
        <w:t>原因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2019年调出一人，同时调入一人，</w:t>
      </w:r>
      <w:r>
        <w:rPr>
          <w:rFonts w:hint="eastAsia" w:ascii="仿宋" w:hAnsi="仿宋" w:eastAsia="仿宋" w:cs="仿宋"/>
          <w:sz w:val="32"/>
          <w:szCs w:val="32"/>
        </w:rPr>
        <w:t>人员工资及社保缴费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为见习期工资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3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支出按功能科目分类的明细情况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按照部门支出功能分类的类、款项级科目，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sz w:val="32"/>
          <w:szCs w:val="32"/>
        </w:rPr>
        <w:t>一般公共预算拨款支出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其中：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（1）行政运行（2010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01）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2020年66.46</w:t>
      </w:r>
      <w:r>
        <w:rPr>
          <w:rFonts w:hint="eastAsia" w:ascii="仿宋" w:hAnsi="仿宋" w:eastAsia="仿宋" w:cs="仿宋"/>
          <w:sz w:val="32"/>
          <w:szCs w:val="32"/>
        </w:rPr>
        <w:t>万元，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2019年70.17万元。</w:t>
      </w:r>
      <w:r>
        <w:rPr>
          <w:rFonts w:hint="eastAsia" w:ascii="仿宋" w:hAnsi="仿宋" w:eastAsia="仿宋" w:cs="仿宋"/>
          <w:sz w:val="32"/>
          <w:szCs w:val="32"/>
        </w:rPr>
        <w:t>较上年减少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3.71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5.3%，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主要原因是调出一人，同时调进一人，工资调整。</w:t>
      </w:r>
    </w:p>
    <w:p>
      <w:pPr>
        <w:spacing w:line="360" w:lineRule="auto"/>
        <w:ind w:left="0" w:leftChars="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（2）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机关事业养老保险缴费支出</w:t>
      </w:r>
      <w:r>
        <w:rPr>
          <w:rFonts w:hint="eastAsia" w:ascii="仿宋" w:hAnsi="仿宋" w:eastAsia="仿宋" w:cs="仿宋"/>
          <w:sz w:val="32"/>
          <w:szCs w:val="32"/>
        </w:rPr>
        <w:t>（20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80505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2020年8.76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2019年8.12万元。较上年增加0.64万元，增加了7.88%，主要原因是调整养老保险缴费比例。</w:t>
      </w:r>
    </w:p>
    <w:p>
      <w:pPr>
        <w:spacing w:line="360" w:lineRule="auto"/>
        <w:ind w:left="0" w:leftChars="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（3）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行政单位医疗</w:t>
      </w:r>
      <w:r>
        <w:rPr>
          <w:rFonts w:hint="eastAsia" w:ascii="仿宋" w:hAnsi="仿宋" w:eastAsia="仿宋" w:cs="仿宋"/>
          <w:sz w:val="32"/>
          <w:szCs w:val="32"/>
        </w:rPr>
        <w:t>（21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0110</w:t>
      </w:r>
      <w:r>
        <w:rPr>
          <w:rFonts w:hint="eastAsia" w:ascii="仿宋" w:hAnsi="仿宋" w:eastAsia="仿宋" w:cs="仿宋"/>
          <w:sz w:val="32"/>
          <w:szCs w:val="32"/>
        </w:rPr>
        <w:t>1）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0.67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。较上年增加了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0.67万元，主要原因是2019年预算医疗保险由我县职工医疗保险管理中心缴纳，由于地税征管体制改革这部分缴费统一划归单位缴纳，2019本部门未安排这部分预算拨款支出。</w:t>
      </w:r>
    </w:p>
    <w:p>
      <w:pPr>
        <w:spacing w:line="36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（4）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事业单位医疗</w:t>
      </w:r>
      <w:r>
        <w:rPr>
          <w:rFonts w:hint="eastAsia" w:ascii="仿宋" w:hAnsi="仿宋" w:eastAsia="仿宋" w:cs="仿宋"/>
          <w:sz w:val="32"/>
          <w:szCs w:val="32"/>
        </w:rPr>
        <w:t>（2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101102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1.4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主要原因是2019年预算医疗保险由我县职工医疗保险管理中心缴纳，由于地税征管体制改革这部分缴费统一划归单位缴纳，2019本部门未安排这部分预算拨款支出。</w:t>
      </w:r>
    </w:p>
    <w:p>
      <w:pPr>
        <w:spacing w:line="36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）公务员医疗补助（2101103）0.09万元。较上年增加0.09万元。主要原因是2019年预算公务员医疗补助由我县职工医疗保险管理中心缴纳，由于地税征管体制改革这部分缴费统一划归单位缴纳，2019本部门未安排这部分预算拨款支出。</w:t>
      </w:r>
    </w:p>
    <w:p>
      <w:pPr>
        <w:spacing w:line="360" w:lineRule="auto"/>
        <w:ind w:left="0" w:leftChars="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6）其他卫生健康支出（2109901）0.4万元。较上年增加0.4万元。主要原因是2019年预算医疗保险由我县职工医疗保险管理中心缴纳，由于地税征管体制改革这部分缴费统一划归单位缴纳，2019本部门未安排这部分预算拨款支出。</w:t>
      </w:r>
    </w:p>
    <w:p>
      <w:pPr>
        <w:spacing w:line="360" w:lineRule="auto"/>
        <w:ind w:firstLine="64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支出按经济科目分类的明细情况</w:t>
      </w:r>
    </w:p>
    <w:p>
      <w:pPr>
        <w:spacing w:line="360" w:lineRule="auto"/>
        <w:ind w:firstLine="643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1）</w:t>
      </w:r>
      <w:r>
        <w:rPr>
          <w:rFonts w:hint="eastAsia" w:ascii="仿宋" w:hAnsi="仿宋" w:eastAsia="仿宋" w:cs="仿宋"/>
          <w:sz w:val="32"/>
          <w:szCs w:val="32"/>
        </w:rPr>
        <w:t>按照部门预算支出经济分类的类级科目说明</w:t>
      </w:r>
    </w:p>
    <w:p>
      <w:pPr>
        <w:spacing w:line="360" w:lineRule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2020年本部门当年一般公共预算支出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万元，其中：工资福利支出（301）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69.1</w:t>
      </w:r>
      <w:r>
        <w:rPr>
          <w:rFonts w:hint="eastAsia" w:ascii="仿宋" w:hAnsi="仿宋" w:eastAsia="仿宋" w:cs="仿宋"/>
          <w:sz w:val="32"/>
          <w:szCs w:val="32"/>
        </w:rPr>
        <w:t>万元，较上年减少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0.29</w:t>
      </w:r>
      <w:r>
        <w:rPr>
          <w:rFonts w:hint="eastAsia" w:ascii="仿宋" w:hAnsi="仿宋" w:eastAsia="仿宋" w:cs="仿宋"/>
          <w:sz w:val="32"/>
          <w:szCs w:val="32"/>
        </w:rPr>
        <w:t>万元，原因是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调出一人，调进一人员工资为见习期工资减少</w:t>
      </w:r>
      <w:r>
        <w:rPr>
          <w:rFonts w:hint="eastAsia" w:ascii="仿宋" w:hAnsi="仿宋" w:eastAsia="仿宋" w:cs="仿宋"/>
          <w:sz w:val="32"/>
          <w:szCs w:val="32"/>
        </w:rPr>
        <w:t>；商品和服务支出（302）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8.68</w:t>
      </w:r>
      <w:r>
        <w:rPr>
          <w:rFonts w:hint="eastAsia" w:ascii="仿宋" w:hAnsi="仿宋" w:eastAsia="仿宋" w:cs="仿宋"/>
          <w:sz w:val="32"/>
          <w:szCs w:val="32"/>
        </w:rPr>
        <w:t>万元，较上年减少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0.22</w:t>
      </w:r>
      <w:r>
        <w:rPr>
          <w:rFonts w:hint="eastAsia" w:ascii="仿宋" w:hAnsi="仿宋" w:eastAsia="仿宋" w:cs="仿宋"/>
          <w:sz w:val="32"/>
          <w:szCs w:val="32"/>
        </w:rPr>
        <w:t>万元，原因是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压缩一般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公共预算支出，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办公费用支出减少。</w:t>
      </w:r>
    </w:p>
    <w:p>
      <w:pPr>
        <w:spacing w:line="360" w:lineRule="auto"/>
        <w:ind w:left="0" w:leftChars="0"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（2）按照政府预算支出经济分类的类级科目说明</w:t>
      </w:r>
    </w:p>
    <w:p>
      <w:pPr>
        <w:spacing w:line="360" w:lineRule="auto"/>
        <w:ind w:left="0" w:leftChars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2020年本部门当年一般公共预算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拨款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万元，其中：机关工资福利支出（501）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</w:rPr>
        <w:t>万元，较上年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无变化。</w:t>
      </w:r>
    </w:p>
    <w:p>
      <w:pPr>
        <w:spacing w:line="360" w:lineRule="auto"/>
        <w:ind w:left="0" w:leftChars="0"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机关商品和服务支出（502）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4.68</w:t>
      </w:r>
      <w:r>
        <w:rPr>
          <w:rFonts w:hint="eastAsia" w:ascii="仿宋" w:hAnsi="仿宋" w:eastAsia="仿宋" w:cs="仿宋"/>
          <w:sz w:val="32"/>
          <w:szCs w:val="32"/>
        </w:rPr>
        <w:t>万元，较上年减少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0.22</w:t>
      </w:r>
      <w:r>
        <w:rPr>
          <w:rFonts w:hint="eastAsia" w:ascii="仿宋" w:hAnsi="仿宋" w:eastAsia="仿宋" w:cs="仿宋"/>
          <w:sz w:val="32"/>
          <w:szCs w:val="32"/>
        </w:rPr>
        <w:t>万元，原因是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压缩一般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公共预算支出，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办公费用支出减少。</w:t>
      </w:r>
    </w:p>
    <w:p>
      <w:pPr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对事业单位经常性补助（505）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44.10</w:t>
      </w:r>
      <w:r>
        <w:rPr>
          <w:rFonts w:hint="eastAsia" w:ascii="仿宋" w:hAnsi="仿宋" w:eastAsia="仿宋" w:cs="仿宋"/>
          <w:sz w:val="32"/>
          <w:szCs w:val="32"/>
        </w:rPr>
        <w:t>万元，较上年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减少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0.2947</w:t>
      </w:r>
      <w:r>
        <w:rPr>
          <w:rFonts w:hint="eastAsia" w:ascii="仿宋" w:hAnsi="仿宋" w:eastAsia="仿宋" w:cs="仿宋"/>
          <w:sz w:val="32"/>
          <w:szCs w:val="32"/>
        </w:rPr>
        <w:t>万元，原因是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调走一人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spacing w:line="360" w:lineRule="auto"/>
        <w:ind w:firstLine="640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4、2019年结转财政资金一般公共预算拨款支出情况。</w:t>
      </w:r>
    </w:p>
    <w:p>
      <w:pPr>
        <w:spacing w:line="360" w:lineRule="auto"/>
        <w:ind w:firstLine="640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本部门无2019年结转的一般公共预算拨款资金支出。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（四）政府性基金预算支出情况。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本部门无当年政府性基金预算收支，并已公开空表。</w:t>
      </w:r>
    </w:p>
    <w:p>
      <w:pPr>
        <w:numPr>
          <w:ilvl w:val="0"/>
          <w:numId w:val="1"/>
        </w:numPr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上年结转政府性基金预算支出情况。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本部门无2019年结转的政府性基金预算拨款支出。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（五）国有资本经营预算拨款收支情况。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本部门无当年国有资本经营预算拨款收支，并在财政拨款收支总体情况表中列示。</w:t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第三部分  其他说明情况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六、部门预算“三公”经费等预算情况说明</w:t>
      </w:r>
    </w:p>
    <w:p>
      <w:pPr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部门“三公”经费、会议费、培训费等一般性支出预算编制情况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本部门2020年一般公共预算“三公”经费支出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0.6万元。其中会议费0.4万元，培训费0.2万元。</w:t>
      </w:r>
      <w:r>
        <w:rPr>
          <w:rFonts w:hint="eastAsia" w:ascii="仿宋" w:hAnsi="仿宋" w:eastAsia="仿宋" w:cs="仿宋"/>
          <w:sz w:val="32"/>
          <w:szCs w:val="32"/>
        </w:rPr>
        <w:t>2020年本部门当年一般公共预算“三公”经费预算支出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</w:t>
      </w:r>
      <w:r>
        <w:rPr>
          <w:rFonts w:hint="eastAsia" w:ascii="仿宋" w:hAnsi="仿宋" w:eastAsia="仿宋" w:cs="仿宋"/>
          <w:sz w:val="32"/>
          <w:szCs w:val="32"/>
        </w:rPr>
        <w:t>万元，较上年增加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0.6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，增加了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%，增加的主要原因是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2019年没有预算三公经费支出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本部门无2019年结转的财政拨款‘三公’经费支出”。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七、部门国有资产占有使用及资产购置情况说明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截止2019年底，本部门所属预算单位共有车辆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辆，单价20万元以上的设备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台（套）。2020年当年部门预算安排购置车辆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辆；安排购置单价20万元以上的设备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台（套）。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八、部门政府采购情况说明</w:t>
      </w:r>
    </w:p>
    <w:p>
      <w:pPr>
        <w:spacing w:line="36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2020年无政府采购预算，并已公开空表。</w:t>
      </w:r>
    </w:p>
    <w:p>
      <w:pPr>
        <w:spacing w:line="360" w:lineRule="auto"/>
        <w:ind w:left="0" w:leftChars="0" w:firstLine="640" w:firstLineChars="200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2020年，本部门无2019年结转的政府采购资金支出。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九、部门预算绩效目标说明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2020年本部门绩效目标管理全覆盖，涉及当年一般公共预算拨款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77.78</w:t>
      </w:r>
      <w:r>
        <w:rPr>
          <w:rFonts w:hint="eastAsia" w:ascii="仿宋" w:hAnsi="仿宋" w:eastAsia="仿宋" w:cs="仿宋"/>
          <w:sz w:val="32"/>
          <w:szCs w:val="32"/>
        </w:rPr>
        <w:t>万元,当年政府性基金预算拨款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万元，当年国有资本经营预算拨款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万元（详见公开报表中的绩效目标表）。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2020年，本部门无2019年结转的财政拨款支出涉及的绩效目标管理”。</w:t>
      </w:r>
    </w:p>
    <w:p>
      <w:pPr>
        <w:spacing w:line="360" w:lineRule="auto"/>
        <w:ind w:firstLine="643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十、机关运行经费安排说明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本部门当年机关运行经费预算安排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8.68</w:t>
      </w:r>
      <w:r>
        <w:rPr>
          <w:rFonts w:hint="eastAsia" w:ascii="仿宋" w:hAnsi="仿宋" w:eastAsia="仿宋" w:cs="仿宋"/>
          <w:sz w:val="32"/>
          <w:szCs w:val="32"/>
        </w:rPr>
        <w:t>万元，较上年减少）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0.22</w:t>
      </w:r>
      <w:r>
        <w:rPr>
          <w:rFonts w:hint="eastAsia" w:ascii="仿宋" w:hAnsi="仿宋" w:eastAsia="仿宋" w:cs="仿宋"/>
          <w:sz w:val="32"/>
          <w:szCs w:val="32"/>
        </w:rPr>
        <w:t>万元，主要原因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是公用经费减少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本部门无2019年结转的财政拨款机关运行经费支出。</w:t>
      </w:r>
    </w:p>
    <w:p>
      <w:pPr>
        <w:spacing w:line="360" w:lineRule="auto"/>
        <w:ind w:firstLine="643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十一、专业名词解释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机关运行经费为必须解释的专业名词，其他专业名词解释可由部门根据业务内容等自行选择。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spacing w:line="360" w:lineRule="auto"/>
        <w:ind w:firstLine="643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第四部分  公开报表</w:t>
      </w:r>
    </w:p>
    <w:p>
      <w:pPr>
        <w:spacing w:line="360" w:lineRule="auto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（见附件2内容）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numberInDash"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  <w:r>
      <w:pict>
        <v:shape id="_x0000_s1026" o:spid="_x0000_s1026" o:spt="202" type="#_x0000_t202" style="position:absolute;left:0pt;margin-top:-2.3pt;height:21.1pt;width:80pt;mso-position-horizontal:outside;mso-position-horizontal-relative:margin;z-index:251658240;mso-width-relative:page;mso-height-relative:page;" filled="f" stroked="f" coordsize="21600,21600" o:gfxdata="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xlJfJ9cAAAAJAQAA&#10;DwAAAAAAAAABACAAAAAiAAAAZHJzL2Rvd25yZXYueG1sUEsBAhQAFAAAAAgAh07iQPmazVDFAgAA&#10;1wUAAA4AAAAAAAAAAQAgAAAAJgEAAGRycy9lMm9Eb2MueG1sUEsFBgAAAAAGAAYAWQEAAF0GAAAA&#10;AA==&#10;">
          <v:path/>
          <v:fill on="f" focussize="0,0"/>
          <v:stroke on="f" weight="0.5pt" joinstyle="miter"/>
          <v:imagedata o:title=""/>
          <o:lock v:ext="edit"/>
          <v:textbox inset="0mm,0mm,0mm,0mm">
            <w:txbxContent>
              <w:p>
                <w:pPr>
                  <w:pStyle w:val="2"/>
                  <w:ind w:firstLine="0" w:firstLineChars="0"/>
                  <w:rPr>
                    <w:sz w:val="28"/>
                    <w:szCs w:val="44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3CF5A4"/>
    <w:multiLevelType w:val="singleLevel"/>
    <w:tmpl w:val="613CF5A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ED0381D"/>
    <w:rsid w:val="00021752"/>
    <w:rsid w:val="000562DC"/>
    <w:rsid w:val="005F0B4E"/>
    <w:rsid w:val="00670DA4"/>
    <w:rsid w:val="009B6591"/>
    <w:rsid w:val="00A6254D"/>
    <w:rsid w:val="00E047B3"/>
    <w:rsid w:val="00F474A1"/>
    <w:rsid w:val="00F61A77"/>
    <w:rsid w:val="00F63694"/>
    <w:rsid w:val="019A76E7"/>
    <w:rsid w:val="03664249"/>
    <w:rsid w:val="06C913F0"/>
    <w:rsid w:val="070655CD"/>
    <w:rsid w:val="08D1061D"/>
    <w:rsid w:val="094940F5"/>
    <w:rsid w:val="09C10DCE"/>
    <w:rsid w:val="0A456A68"/>
    <w:rsid w:val="0B78016B"/>
    <w:rsid w:val="0F96210C"/>
    <w:rsid w:val="12A3198C"/>
    <w:rsid w:val="12A34C58"/>
    <w:rsid w:val="13E11EA3"/>
    <w:rsid w:val="13FD7A1A"/>
    <w:rsid w:val="1B7C04CA"/>
    <w:rsid w:val="1ED0381D"/>
    <w:rsid w:val="1EEC0AEF"/>
    <w:rsid w:val="20467E5E"/>
    <w:rsid w:val="2954091F"/>
    <w:rsid w:val="2C21685A"/>
    <w:rsid w:val="2C622ED6"/>
    <w:rsid w:val="30E85B95"/>
    <w:rsid w:val="34DA761D"/>
    <w:rsid w:val="36260FF4"/>
    <w:rsid w:val="38F00362"/>
    <w:rsid w:val="39470045"/>
    <w:rsid w:val="3C40320A"/>
    <w:rsid w:val="3D407A65"/>
    <w:rsid w:val="3E4D414C"/>
    <w:rsid w:val="403F3BA6"/>
    <w:rsid w:val="44F4547E"/>
    <w:rsid w:val="49115B49"/>
    <w:rsid w:val="49D759E1"/>
    <w:rsid w:val="4B996693"/>
    <w:rsid w:val="4C1B5658"/>
    <w:rsid w:val="4C486D6D"/>
    <w:rsid w:val="4CC710D9"/>
    <w:rsid w:val="4D063455"/>
    <w:rsid w:val="4D6A050B"/>
    <w:rsid w:val="4E627793"/>
    <w:rsid w:val="54844E7E"/>
    <w:rsid w:val="55D81711"/>
    <w:rsid w:val="58F10400"/>
    <w:rsid w:val="5C546F19"/>
    <w:rsid w:val="5D6E7A86"/>
    <w:rsid w:val="5F5501B9"/>
    <w:rsid w:val="610133A2"/>
    <w:rsid w:val="61C62AB9"/>
    <w:rsid w:val="64F87B82"/>
    <w:rsid w:val="66165B47"/>
    <w:rsid w:val="661B27CA"/>
    <w:rsid w:val="680A78E7"/>
    <w:rsid w:val="6C612E5F"/>
    <w:rsid w:val="6D8000EF"/>
    <w:rsid w:val="6DB605E1"/>
    <w:rsid w:val="6E7F0764"/>
    <w:rsid w:val="70527932"/>
    <w:rsid w:val="70E84F51"/>
    <w:rsid w:val="71043EA2"/>
    <w:rsid w:val="71C642EE"/>
    <w:rsid w:val="74B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6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&#24037;&#20316;&#31807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rgbClr val="595959">
                    <a:lumMod val="65000"/>
                    <a:lumOff val="35000"/>
                  </a:srgbClr>
                </a:solidFill>
                <a:latin typeface="+mn-lt"/>
                <a:ea typeface="+mn-ea"/>
                <a:cs typeface="+mn-cs"/>
              </a:defRPr>
            </a:pPr>
            <a:r>
              <a:t>人员情况柱状图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[工作簿1]Sheet1!$A$2</c:f>
              <c:strCache>
                <c:ptCount val="1"/>
                <c:pt idx="0">
                  <c:v>实有人数</c:v>
                </c:pt>
              </c:strCache>
            </c:strRef>
          </c:tx>
          <c:spPr>
            <a:solidFill>
              <a:srgbClr val="4F81BD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[工作簿1]Sheet1!$B$1:$C$1</c:f>
              <c:strCache>
                <c:ptCount val="2"/>
                <c:pt idx="0">
                  <c:v>行政人员</c:v>
                </c:pt>
                <c:pt idx="1">
                  <c:v>事业人员</c:v>
                </c:pt>
              </c:strCache>
            </c:strRef>
          </c:cat>
          <c:val>
            <c:numRef>
              <c:f>[工作簿1]Sheet1!$B$2:$C$2</c:f>
              <c:numCache>
                <c:formatCode>General</c:formatCode>
                <c:ptCount val="2"/>
                <c:pt idx="0">
                  <c:v>3</c:v>
                </c:pt>
                <c:pt idx="1">
                  <c:v>6</c:v>
                </c:pt>
              </c:numCache>
            </c:numRef>
          </c:val>
        </c:ser>
        <c:ser>
          <c:idx val="1"/>
          <c:order val="1"/>
          <c:tx>
            <c:strRef>
              <c:f>[工作簿1]Sheet1!$A$3</c:f>
              <c:strCache>
                <c:ptCount val="1"/>
                <c:pt idx="0">
                  <c:v>现有人数</c:v>
                </c:pt>
              </c:strCache>
            </c:strRef>
          </c:tx>
          <c:spPr>
            <a:solidFill>
              <a:srgbClr val="C0504D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[工作簿1]Sheet1!$B$1:$C$1</c:f>
              <c:strCache>
                <c:ptCount val="2"/>
                <c:pt idx="0">
                  <c:v>行政人员</c:v>
                </c:pt>
                <c:pt idx="1">
                  <c:v>事业人员</c:v>
                </c:pt>
              </c:strCache>
            </c:strRef>
          </c:cat>
          <c:val>
            <c:numRef>
              <c:f>[工作簿1]Sheet1!$B$3:$C$3</c:f>
              <c:numCache>
                <c:formatCode>General</c:formatCode>
                <c:ptCount val="2"/>
                <c:pt idx="0">
                  <c:v>3</c:v>
                </c:pt>
                <c:pt idx="1">
                  <c:v>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11761270"/>
        <c:axId val="243450381"/>
      </c:barChart>
      <c:catAx>
        <c:axId val="81176127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rgbClr val="D9D9D9">
                <a:lumMod val="15000"/>
                <a:lumOff val="85000"/>
              </a:srgb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595959">
                    <a:lumMod val="65000"/>
                    <a:lumOff val="35000"/>
                  </a:srgbClr>
                </a:solidFill>
                <a:latin typeface="+mn-lt"/>
                <a:ea typeface="+mn-ea"/>
                <a:cs typeface="+mn-cs"/>
              </a:defRPr>
            </a:pPr>
          </a:p>
        </c:txPr>
        <c:crossAx val="243450381"/>
        <c:crosses val="autoZero"/>
        <c:auto val="1"/>
        <c:lblAlgn val="ctr"/>
        <c:lblOffset val="100"/>
        <c:noMultiLvlLbl val="0"/>
      </c:catAx>
      <c:valAx>
        <c:axId val="24345038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rgbClr val="D9D9D9">
                  <a:lumMod val="15000"/>
                  <a:lumOff val="85000"/>
                </a:srgb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rgbClr val="595959">
                    <a:lumMod val="65000"/>
                    <a:lumOff val="35000"/>
                  </a:srgbClr>
                </a:solidFill>
                <a:latin typeface="+mn-lt"/>
                <a:ea typeface="+mn-ea"/>
                <a:cs typeface="+mn-cs"/>
              </a:defRPr>
            </a:pPr>
          </a:p>
        </c:txPr>
        <c:crossAx val="81176127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rgbClr val="595959">
                  <a:lumMod val="65000"/>
                  <a:lumOff val="35000"/>
                </a:srgb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rgbClr val="FFFFFF"/>
    </a:solidFill>
    <a:ln w="9525" cap="flat" cmpd="sng" algn="ctr">
      <a:solidFill>
        <a:srgbClr val="D9D9D9">
          <a:lumMod val="15000"/>
          <a:lumOff val="85000"/>
        </a:srgb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rgbClr val="4F81BD"/>
  <a:srgbClr val="C0504D"/>
  <a:srgbClr val="9BBB59"/>
  <a:srgbClr val="8064A2"/>
  <a:srgbClr val="4BACC6"/>
  <a:srgbClr val="F7964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rgbClr val="595959">
        <a:lumMod val="65000"/>
        <a:lumOff val="35000"/>
      </a:srgbClr>
    </cs:fontRef>
    <cs:defRPr sz="1000" kern="1200"/>
  </cs:axisTitle>
  <cs:categoryAxis>
    <cs:lnRef idx="0"/>
    <cs:fillRef idx="0"/>
    <cs:effectRef idx="0"/>
    <cs:fontRef idx="minor">
      <a:srgbClr val="595959">
        <a:lumMod val="65000"/>
        <a:lumOff val="35000"/>
      </a:srgbClr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rgbClr val="000000"/>
    </cs:fontRef>
    <cs:spPr>
      <a:solidFill>
        <a:srgbClr val="FFFFFF"/>
      </a:solidFill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1000" kern="1200"/>
  </cs:chartArea>
  <cs:dataLabel>
    <cs:lnRef idx="0"/>
    <cs:fillRef idx="0"/>
    <cs:effectRef idx="0"/>
    <cs:fontRef idx="minor">
      <a:srgbClr val="404040">
        <a:lumMod val="75000"/>
        <a:lumOff val="25000"/>
      </a:srgbClr>
    </cs:fontRef>
    <cs:defRPr sz="900" kern="1200"/>
  </cs:dataLabel>
  <cs:dataLabelCallout>
    <cs:lnRef idx="0"/>
    <cs:fillRef idx="0"/>
    <cs:effectRef idx="0"/>
    <cs:fontRef idx="minor">
      <a:srgbClr val="595959">
        <a:lumMod val="65000"/>
        <a:lumOff val="35000"/>
      </a:srgbClr>
    </cs:fontRef>
    <cs:spPr>
      <a:solidFill>
        <a:srgbClr val="FFFFFF"/>
      </a:solidFill>
      <a:ln>
        <a:solidFill>
          <a:srgbClr val="BFBFBF">
            <a:lumMod val="25000"/>
            <a:lumOff val="75000"/>
          </a:srgb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rgbClr val="000000"/>
    </cs:fontRef>
  </cs:dataPoint>
  <cs:dataPoint3D>
    <cs:lnRef idx="0"/>
    <cs:fillRef idx="1">
      <cs:styleClr val="auto"/>
    </cs:fillRef>
    <cs:effectRef idx="0"/>
    <cs:fontRef idx="minor">
      <a:srgbClr val="000000"/>
    </cs:fontRef>
  </cs:dataPoint3D>
  <cs:dataPointLine>
    <cs:lnRef idx="0">
      <cs:styleClr val="auto"/>
    </cs:lnRef>
    <cs:fillRef idx="1"/>
    <cs:effectRef idx="0"/>
    <cs:fontRef idx="minor">
      <a:srgbClr val="000000"/>
    </cs:fontRef>
    <cs:spPr>
      <a:ln w="28575" cap="rnd">
        <a:solidFill>
          <a:srgbClr val="FFFFFF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rgbClr val="000000"/>
    </cs:fontRef>
    <cs:spPr>
      <a:ln w="9525">
        <a:solidFill>
          <a:srgbClr val="FFFFFF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rgbClr val="000000"/>
    </cs:fontRef>
    <cs:spPr>
      <a:ln w="9525" cap="rnd">
        <a:solidFill>
          <a:srgbClr val="FFFFFF"/>
        </a:solidFill>
        <a:round/>
      </a:ln>
    </cs:spPr>
  </cs:dataPointWireframe>
  <cs:dataTable>
    <cs:lnRef idx="0"/>
    <cs:fillRef idx="0"/>
    <cs:effectRef idx="0"/>
    <cs:fontRef idx="minor">
      <a:srgbClr val="595959">
        <a:lumMod val="65000"/>
        <a:lumOff val="35000"/>
      </a:srgbClr>
    </cs:fontRef>
    <cs:spPr>
      <a:noFill/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dataTable>
  <cs:downBar>
    <cs:lnRef idx="0"/>
    <cs:fillRef idx="0"/>
    <cs:effectRef idx="0"/>
    <cs:fontRef idx="minor">
      <a:srgbClr val="000000"/>
    </cs:fontRef>
    <cs:spPr>
      <a:solidFill>
        <a:srgbClr val="595959">
          <a:lumMod val="65000"/>
          <a:lumOff val="35000"/>
        </a:srgbClr>
      </a:solidFill>
      <a:ln w="9525">
        <a:solidFill>
          <a:srgbClr val="595959">
            <a:lumMod val="65000"/>
            <a:lumOff val="35000"/>
          </a:srgbClr>
        </a:solidFill>
      </a:ln>
    </cs:spPr>
  </cs:downBar>
  <cs:drop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dropLine>
  <cs:errorBar>
    <cs:lnRef idx="0"/>
    <cs:fillRef idx="0"/>
    <cs:effectRef idx="0"/>
    <cs:fontRef idx="minor">
      <a:srgbClr val="000000"/>
    </cs:fontRef>
    <cs:spPr>
      <a:ln w="9525" cap="flat" cmpd="sng" algn="ctr">
        <a:solidFill>
          <a:srgbClr val="595959">
            <a:lumMod val="65000"/>
            <a:lumOff val="35000"/>
          </a:srgbClr>
        </a:solidFill>
        <a:round/>
      </a:ln>
    </cs:spPr>
  </cs:errorBar>
  <cs:floor>
    <cs:lnRef idx="0"/>
    <cs:fillRef idx="0"/>
    <cs:effectRef idx="0"/>
    <cs:fontRef idx="minor">
      <a:srgbClr val="000000"/>
    </cs:fontRef>
    <cs:spPr>
      <a:noFill/>
      <a:ln>
        <a:noFill/>
      </a:ln>
    </cs:spPr>
  </cs:floor>
  <cs:gridlineMajor>
    <cs:lnRef idx="0"/>
    <cs:fillRef idx="0"/>
    <cs:effectRef idx="0"/>
    <cs:fontRef idx="minor">
      <a:srgbClr val="000000"/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</cs:gridlineMajor>
  <cs:gridlineMinor>
    <cs:lnRef idx="0"/>
    <cs:fillRef idx="0"/>
    <cs:effectRef idx="0"/>
    <cs:fontRef idx="minor">
      <a:srgbClr val="000000"/>
    </cs:fontRef>
    <cs:spPr>
      <a:ln w="9525" cap="flat" cmpd="sng" algn="ctr">
        <a:solidFill>
          <a:srgbClr val="F2F2F2">
            <a:lumMod val="5000"/>
            <a:lumOff val="95000"/>
          </a:srgbClr>
        </a:solidFill>
        <a:round/>
      </a:ln>
    </cs:spPr>
  </cs:gridlineMinor>
  <cs:hiLo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404040">
            <a:lumMod val="75000"/>
            <a:lumOff val="25000"/>
          </a:srgbClr>
        </a:solidFill>
        <a:round/>
      </a:ln>
    </cs:spPr>
  </cs:hiLoLine>
  <cs:leader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leaderLine>
  <cs:legend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legend>
  <cs:plotArea mods="allowNoFillOverride allowNoLineOverride">
    <cs:lnRef idx="0"/>
    <cs:fillRef idx="0"/>
    <cs:effectRef idx="0"/>
    <cs:fontRef idx="minor">
      <a:srgbClr val="000000"/>
    </cs:fontRef>
  </cs:plotArea>
  <cs:plotArea3D mods="allowNoFillOverride allowNoLineOverride">
    <cs:lnRef idx="0"/>
    <cs:fillRef idx="0"/>
    <cs:effectRef idx="0"/>
    <cs:fontRef idx="minor">
      <a:srgbClr val="000000"/>
    </cs:fontRef>
  </cs:plotArea3D>
  <cs:series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seriesAxis>
  <cs:series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seriesLine>
  <cs:title>
    <cs:lnRef idx="0"/>
    <cs:fillRef idx="0"/>
    <cs:effectRef idx="0"/>
    <cs:fontRef idx="minor">
      <a:srgbClr val="595959">
        <a:lumMod val="65000"/>
        <a:lumOff val="35000"/>
      </a:srgb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rgbClr val="000000"/>
    </cs:fontRef>
    <cs:spPr>
      <a:ln w="19050" cap="rnd">
        <a:solidFill>
          <a:srgbClr val="FFFFFF"/>
        </a:solidFill>
        <a:prstDash val="sysDot"/>
      </a:ln>
    </cs:spPr>
  </cs:trendline>
  <cs:trendlineLabel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trendlineLabel>
  <cs:upBar>
    <cs:lnRef idx="0"/>
    <cs:fillRef idx="0"/>
    <cs:effectRef idx="0"/>
    <cs:fontRef idx="minor">
      <a:srgbClr val="000000"/>
    </cs:fontRef>
    <cs:spPr>
      <a:solidFill>
        <a:srgbClr val="FFFFFF"/>
      </a:solidFill>
      <a:ln w="9525">
        <a:solidFill>
          <a:srgbClr val="D9D9D9">
            <a:lumMod val="15000"/>
            <a:lumOff val="85000"/>
          </a:srgbClr>
        </a:solidFill>
      </a:ln>
    </cs:spPr>
  </cs:upBar>
  <cs:value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valueAxis>
  <cs:wall>
    <cs:lnRef idx="0"/>
    <cs:fillRef idx="0"/>
    <cs:effectRef idx="0"/>
    <cs:fontRef idx="minor">
      <a:srgbClr val="000000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854</Words>
  <Characters>4869</Characters>
  <Lines>40</Lines>
  <Paragraphs>11</Paragraphs>
  <TotalTime>2</TotalTime>
  <ScaleCrop>false</ScaleCrop>
  <LinksUpToDate>false</LinksUpToDate>
  <CharactersWithSpaces>5712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2019-11-29T08:56:00Z</dcterms:created>
  <dc:creator>郭超(拟稿)</dc:creator>
  <cp:lastModifiedBy>Administrator</cp:lastModifiedBy>
  <cp:lastPrinted>2020-02-16T08:08:00Z</cp:lastPrinted>
  <dcterms:modified xsi:type="dcterms:W3CDTF">2020-02-18T00:16:13Z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