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widowControl/>
        <w:shd w:val="clear" w:color="auto" w:fill="FFFFFF"/>
        <w:spacing w:line="375" w:lineRule="atLeast"/>
        <w:jc w:val="center"/>
        <w:rPr>
          <w:rFonts w:cs="宋体" w:asciiTheme="minorEastAsia" w:hAnsiTheme="minorEastAsia"/>
          <w:color w:val="0C0C0C" w:themeColor="text1" w:themeTint="F2"/>
          <w:kern w:val="0"/>
          <w:sz w:val="28"/>
          <w:szCs w:val="28"/>
        </w:rPr>
      </w:pPr>
      <w:r>
        <w:rPr>
          <w:rFonts w:cs="宋体" w:asciiTheme="minorEastAsia" w:hAnsiTheme="minorEastAsia"/>
          <w:color w:val="0C0C0C" w:themeColor="text1" w:themeTint="F2"/>
          <w:kern w:val="0"/>
          <w:sz w:val="28"/>
          <w:szCs w:val="28"/>
        </w:rPr>
        <w:t>蓝田县退役军人事务局 2020年预算编制</w:t>
      </w:r>
      <w:r>
        <w:rPr>
          <w:rFonts w:hint="eastAsia" w:cs="宋体" w:asciiTheme="minorEastAsia" w:hAnsiTheme="minorEastAsia"/>
          <w:color w:val="0C0C0C" w:themeColor="text1" w:themeTint="F2"/>
          <w:kern w:val="0"/>
          <w:sz w:val="28"/>
          <w:szCs w:val="28"/>
        </w:rPr>
        <w:t>说明</w:t>
      </w:r>
    </w:p>
    <w:p>
      <w:pPr>
        <w:spacing w:line="360" w:lineRule="auto"/>
        <w:ind w:firstLine="643"/>
        <w:jc w:val="center"/>
        <w:rPr>
          <w:rFonts w:cs="仿宋" w:asciiTheme="minorEastAsia" w:hAnsiTheme="minorEastAsia"/>
          <w:bCs/>
          <w:sz w:val="28"/>
          <w:szCs w:val="28"/>
        </w:rPr>
      </w:pPr>
      <w:r>
        <w:rPr>
          <w:rFonts w:hint="eastAsia" w:cs="仿宋" w:asciiTheme="minorEastAsia" w:hAnsiTheme="minorEastAsia"/>
          <w:bCs/>
          <w:sz w:val="28"/>
          <w:szCs w:val="28"/>
        </w:rPr>
        <w:t>目  录</w:t>
      </w:r>
    </w:p>
    <w:p>
      <w:pPr>
        <w:spacing w:line="360" w:lineRule="auto"/>
        <w:ind w:firstLine="643"/>
        <w:jc w:val="center"/>
        <w:rPr>
          <w:rFonts w:cs="仿宋" w:asciiTheme="minorEastAsia" w:hAnsiTheme="minorEastAsia"/>
          <w:bCs/>
          <w:sz w:val="28"/>
          <w:szCs w:val="28"/>
        </w:rPr>
      </w:pPr>
      <w:r>
        <w:rPr>
          <w:rFonts w:hint="eastAsia" w:cs="仿宋" w:asciiTheme="minorEastAsia" w:hAnsiTheme="minorEastAsia"/>
          <w:bCs/>
          <w:sz w:val="28"/>
          <w:szCs w:val="28"/>
        </w:rPr>
        <w:t>第一部分   部门概况</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一、部门主要职责及机构设置</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二、2020年年度部门工作任务</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三、部门预算单位构成</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四、部门人员情况说明</w:t>
      </w:r>
    </w:p>
    <w:p>
      <w:pPr>
        <w:spacing w:line="360" w:lineRule="auto"/>
        <w:ind w:firstLine="643"/>
        <w:jc w:val="center"/>
        <w:rPr>
          <w:rFonts w:cs="仿宋" w:asciiTheme="minorEastAsia" w:hAnsiTheme="minorEastAsia"/>
          <w:bCs/>
          <w:sz w:val="28"/>
          <w:szCs w:val="28"/>
        </w:rPr>
      </w:pPr>
      <w:r>
        <w:rPr>
          <w:rFonts w:hint="eastAsia" w:cs="仿宋" w:asciiTheme="minorEastAsia" w:hAnsiTheme="minorEastAsia"/>
          <w:bCs/>
          <w:sz w:val="28"/>
          <w:szCs w:val="28"/>
        </w:rPr>
        <w:t>第二部分   收支情况</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五、2020年部门预算收支说明</w:t>
      </w:r>
    </w:p>
    <w:p>
      <w:pPr>
        <w:spacing w:line="360" w:lineRule="auto"/>
        <w:ind w:firstLine="643"/>
        <w:jc w:val="center"/>
        <w:rPr>
          <w:rFonts w:cs="仿宋" w:asciiTheme="minorEastAsia" w:hAnsiTheme="minorEastAsia"/>
          <w:bCs/>
          <w:sz w:val="28"/>
          <w:szCs w:val="28"/>
        </w:rPr>
      </w:pPr>
      <w:r>
        <w:rPr>
          <w:rFonts w:hint="eastAsia" w:cs="仿宋" w:asciiTheme="minorEastAsia" w:hAnsiTheme="minorEastAsia"/>
          <w:bCs/>
          <w:sz w:val="28"/>
          <w:szCs w:val="28"/>
        </w:rPr>
        <w:t>第三部分   其他说明情况</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六、部门预算“三公”经费等情况说明</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七、部门国有资产占有使用及资产购置情况说明</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八、部门政府采购情况说明</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九、部门预算绩效目标说明</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十、机关运行经费安排说明</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十一、专业名词解释</w:t>
      </w:r>
    </w:p>
    <w:p>
      <w:pPr>
        <w:spacing w:line="360" w:lineRule="auto"/>
        <w:ind w:firstLine="643"/>
        <w:jc w:val="center"/>
        <w:rPr>
          <w:rFonts w:cs="仿宋" w:asciiTheme="minorEastAsia" w:hAnsiTheme="minorEastAsia"/>
          <w:sz w:val="28"/>
          <w:szCs w:val="28"/>
        </w:rPr>
      </w:pPr>
      <w:r>
        <w:rPr>
          <w:rFonts w:hint="eastAsia" w:cs="仿宋" w:asciiTheme="minorEastAsia" w:hAnsiTheme="minorEastAsia"/>
          <w:bCs/>
          <w:sz w:val="28"/>
          <w:szCs w:val="28"/>
        </w:rPr>
        <w:t>第四部分   公开报表</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（具体部门预算公开报表）</w:t>
      </w:r>
    </w:p>
    <w:p>
      <w:pPr>
        <w:spacing w:line="360" w:lineRule="auto"/>
        <w:ind w:firstLine="643"/>
        <w:jc w:val="center"/>
        <w:rPr>
          <w:rFonts w:hint="eastAsia" w:cs="仿宋" w:asciiTheme="minorEastAsia" w:hAnsiTheme="minorEastAsia"/>
          <w:bCs/>
          <w:sz w:val="28"/>
          <w:szCs w:val="28"/>
        </w:rPr>
      </w:pPr>
    </w:p>
    <w:p>
      <w:pPr>
        <w:spacing w:line="360" w:lineRule="auto"/>
        <w:ind w:firstLine="643"/>
        <w:jc w:val="center"/>
        <w:rPr>
          <w:rFonts w:cs="仿宋" w:asciiTheme="minorEastAsia" w:hAnsiTheme="minorEastAsia"/>
          <w:sz w:val="28"/>
          <w:szCs w:val="28"/>
        </w:rPr>
      </w:pPr>
      <w:r>
        <w:rPr>
          <w:rFonts w:hint="eastAsia" w:cs="仿宋" w:asciiTheme="minorEastAsia" w:hAnsiTheme="minorEastAsia"/>
          <w:bCs/>
          <w:sz w:val="28"/>
          <w:szCs w:val="28"/>
        </w:rPr>
        <w:t>第一部分  部门概况</w:t>
      </w:r>
    </w:p>
    <w:p>
      <w:pPr>
        <w:spacing w:line="360" w:lineRule="auto"/>
        <w:ind w:firstLine="643"/>
        <w:rPr>
          <w:rFonts w:cs="仿宋" w:asciiTheme="minorEastAsia" w:hAnsiTheme="minorEastAsia"/>
          <w:bCs/>
          <w:sz w:val="28"/>
          <w:szCs w:val="28"/>
        </w:rPr>
      </w:pPr>
      <w:r>
        <w:rPr>
          <w:rFonts w:hint="eastAsia" w:cs="宋体" w:asciiTheme="minorEastAsia" w:hAnsiTheme="minorEastAsia"/>
          <w:color w:val="444444"/>
          <w:kern w:val="0"/>
          <w:sz w:val="28"/>
          <w:szCs w:val="28"/>
        </w:rPr>
        <w:t>一、</w:t>
      </w:r>
      <w:r>
        <w:rPr>
          <w:rFonts w:hint="eastAsia" w:cs="仿宋" w:asciiTheme="minorEastAsia" w:hAnsiTheme="minorEastAsia"/>
          <w:bCs/>
          <w:sz w:val="28"/>
          <w:szCs w:val="28"/>
        </w:rPr>
        <w:t>部门主要职责及机构设置</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（一）贯彻落实退役军人思想政治、管理保障等工作政策法规并组织实施；</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（二）负责军队转业干部、复员干部、退休干部、退役士兵的移交安置工作和自主择业退役军人服务管理工作、待遇保障工作；</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（三）组织开展退役军人教育培训、优待抚恤等工作；</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（四）指导落实全</w:t>
      </w:r>
      <w:r>
        <w:rPr>
          <w:rFonts w:hint="eastAsia" w:cs="宋体" w:asciiTheme="minorEastAsia" w:hAnsiTheme="minorEastAsia"/>
          <w:color w:val="auto"/>
          <w:kern w:val="0"/>
          <w:sz w:val="28"/>
          <w:szCs w:val="28"/>
          <w:lang w:val="en-US" w:eastAsia="zh-CN"/>
        </w:rPr>
        <w:t>县</w:t>
      </w:r>
      <w:r>
        <w:rPr>
          <w:rFonts w:hint="eastAsia" w:cs="宋体" w:asciiTheme="minorEastAsia" w:hAnsiTheme="minorEastAsia"/>
          <w:color w:val="auto"/>
          <w:kern w:val="0"/>
          <w:sz w:val="28"/>
          <w:szCs w:val="28"/>
        </w:rPr>
        <w:t>拥军优属工作；</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（五）负责烈士及退役军人荣誉奖励、军人公墓维护以及纪念活动等；</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（六）县委、县政府交办的其他事项。</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退役军人事务局机构设置为：权益保障科、优抚安置科、办公室。</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二、2020年度部门工作任务</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主要工作：</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（一）抚恤方面：</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1、抚恤优待政策宣传，积极落实各类抚恤优待政策；</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2、对全县重点优抚对象进行全面摸底核查；</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3、落实好重点优抚对象医疗保障工作；</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4、做好六七十年代铁路民兵养老补贴落实工作；</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5、准确无误按时做好各类优抚对象抚恤金发放工作。</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（二）权益保障：</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1、对业务科室人员和</w:t>
      </w:r>
      <w:r>
        <w:rPr>
          <w:rFonts w:hint="eastAsia" w:cs="宋体" w:asciiTheme="minorEastAsia" w:hAnsiTheme="minorEastAsia"/>
          <w:color w:val="auto"/>
          <w:kern w:val="0"/>
          <w:sz w:val="28"/>
          <w:szCs w:val="28"/>
          <w:lang w:val="en-US" w:eastAsia="zh-CN"/>
        </w:rPr>
        <w:t>镇街退役军人服务站</w:t>
      </w:r>
      <w:r>
        <w:rPr>
          <w:rFonts w:hint="eastAsia" w:cs="宋体" w:asciiTheme="minorEastAsia" w:hAnsiTheme="minorEastAsia"/>
          <w:color w:val="auto"/>
          <w:kern w:val="0"/>
          <w:sz w:val="28"/>
          <w:szCs w:val="28"/>
        </w:rPr>
        <w:t>工作人员开展业务培训，提升服务水平；抓好军干所全体工作人员的思想道德教育、行为规范教育及业务知识等培训，提高工作人员的综合工作能力和整体素质；</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2、做好春节期间慰问、“八一”建军节双拥系列活动；</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3、做好自主择业军转干部服务管理工作；</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4、继续做好退役军人信息采集工作；</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5、积极做好军休干部服务管理和保障工作。</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6、做好涉军优抚政策解释工作。</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（三）退役安置：</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1、做好2020年退役士兵安置工作；</w:t>
      </w:r>
    </w:p>
    <w:p>
      <w:pPr>
        <w:widowControl/>
        <w:shd w:val="clear" w:color="auto" w:fill="FFFFFF"/>
        <w:spacing w:line="420" w:lineRule="atLeast"/>
        <w:ind w:firstLine="480"/>
        <w:jc w:val="left"/>
        <w:rPr>
          <w:rFonts w:hint="eastAsia" w:cs="宋体" w:asciiTheme="minorEastAsia" w:hAnsiTheme="minorEastAsia" w:eastAsiaTheme="minorEastAsia"/>
          <w:color w:val="auto"/>
          <w:kern w:val="0"/>
          <w:sz w:val="28"/>
          <w:szCs w:val="28"/>
          <w:lang w:eastAsia="zh-CN"/>
        </w:rPr>
      </w:pPr>
      <w:r>
        <w:rPr>
          <w:rFonts w:hint="eastAsia" w:cs="宋体" w:asciiTheme="minorEastAsia" w:hAnsiTheme="minorEastAsia"/>
          <w:color w:val="auto"/>
          <w:kern w:val="0"/>
          <w:sz w:val="28"/>
          <w:szCs w:val="28"/>
        </w:rPr>
        <w:t>2、解决好安置遗留问题</w:t>
      </w:r>
      <w:r>
        <w:rPr>
          <w:rFonts w:hint="eastAsia" w:cs="宋体" w:asciiTheme="minorEastAsia" w:hAnsiTheme="minorEastAsia"/>
          <w:color w:val="auto"/>
          <w:kern w:val="0"/>
          <w:sz w:val="28"/>
          <w:szCs w:val="28"/>
          <w:lang w:eastAsia="zh-CN"/>
        </w:rPr>
        <w:t>。</w:t>
      </w:r>
    </w:p>
    <w:p>
      <w:pPr>
        <w:spacing w:line="360" w:lineRule="auto"/>
        <w:ind w:firstLine="640"/>
        <w:rPr>
          <w:rFonts w:cs="仿宋" w:asciiTheme="minorEastAsia" w:hAnsiTheme="minorEastAsia"/>
          <w:sz w:val="28"/>
          <w:szCs w:val="28"/>
        </w:rPr>
      </w:pPr>
      <w:r>
        <w:rPr>
          <w:rFonts w:hint="eastAsia" w:cs="宋体" w:asciiTheme="minorEastAsia" w:hAnsiTheme="minorEastAsia"/>
          <w:color w:val="444444"/>
          <w:kern w:val="0"/>
          <w:sz w:val="28"/>
          <w:szCs w:val="28"/>
        </w:rPr>
        <w:t>三、</w:t>
      </w:r>
      <w:r>
        <w:rPr>
          <w:rFonts w:hint="eastAsia" w:cs="仿宋" w:asciiTheme="minorEastAsia" w:hAnsiTheme="minorEastAsia"/>
          <w:sz w:val="28"/>
          <w:szCs w:val="28"/>
        </w:rPr>
        <w:t>部门预算单位构成</w:t>
      </w:r>
    </w:p>
    <w:p>
      <w:pPr>
        <w:pStyle w:val="5"/>
        <w:shd w:val="clear" w:color="auto" w:fill="FFFFFF"/>
        <w:spacing w:beforeAutospacing="0" w:afterAutospacing="0"/>
        <w:ind w:firstLine="420"/>
        <w:rPr>
          <w:rFonts w:asciiTheme="minorEastAsia" w:hAnsiTheme="minorEastAsia" w:eastAsiaTheme="minorEastAsia"/>
          <w:sz w:val="28"/>
          <w:szCs w:val="28"/>
          <w:shd w:val="clear" w:color="auto" w:fill="FFFFFF"/>
        </w:rPr>
      </w:pPr>
      <w:r>
        <w:rPr>
          <w:rFonts w:hint="eastAsia" w:asciiTheme="minorEastAsia" w:hAnsiTheme="minorEastAsia" w:eastAsiaTheme="minorEastAsia"/>
          <w:sz w:val="28"/>
          <w:szCs w:val="28"/>
          <w:shd w:val="clear" w:color="auto" w:fill="FFFFFF"/>
        </w:rPr>
        <w:t>纳入本部门</w:t>
      </w:r>
      <w:r>
        <w:rPr>
          <w:rFonts w:asciiTheme="minorEastAsia" w:hAnsiTheme="minorEastAsia" w:eastAsiaTheme="minorEastAsia"/>
          <w:sz w:val="28"/>
          <w:szCs w:val="28"/>
          <w:shd w:val="clear" w:color="auto" w:fill="FFFFFF"/>
        </w:rPr>
        <w:t>2019</w:t>
      </w:r>
      <w:r>
        <w:rPr>
          <w:rFonts w:hint="eastAsia" w:asciiTheme="minorEastAsia" w:hAnsiTheme="minorEastAsia" w:eastAsiaTheme="minorEastAsia"/>
          <w:sz w:val="28"/>
          <w:szCs w:val="28"/>
          <w:shd w:val="clear" w:color="auto" w:fill="FFFFFF"/>
        </w:rPr>
        <w:t>年部门预算编制范围的一级行政单位1个，二级事业单位</w:t>
      </w:r>
      <w:r>
        <w:rPr>
          <w:rFonts w:hint="eastAsia" w:asciiTheme="minorEastAsia" w:hAnsiTheme="minorEastAsia" w:eastAsiaTheme="minorEastAsia"/>
          <w:sz w:val="28"/>
          <w:szCs w:val="28"/>
        </w:rPr>
        <w:t>1个具体见下表</w:t>
      </w:r>
      <w:r>
        <w:rPr>
          <w:rFonts w:hint="eastAsia" w:asciiTheme="minorEastAsia" w:hAnsiTheme="minorEastAsia" w:eastAsiaTheme="minorEastAsia"/>
          <w:sz w:val="28"/>
          <w:szCs w:val="28"/>
          <w:shd w:val="clear" w:color="auto" w:fill="FFFFFF"/>
        </w:rPr>
        <w:t>：</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10"/>
        <w:gridCol w:w="5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10" w:type="dxa"/>
          </w:tcPr>
          <w:p>
            <w:pPr>
              <w:pStyle w:val="5"/>
              <w:tabs>
                <w:tab w:val="left" w:pos="792"/>
              </w:tabs>
              <w:spacing w:beforeAutospacing="0" w:afterAutospacing="0"/>
              <w:jc w:val="center"/>
              <w:rPr>
                <w:rFonts w:asciiTheme="minorEastAsia" w:hAnsiTheme="minorEastAsia" w:eastAsiaTheme="minorEastAsia"/>
                <w:sz w:val="28"/>
                <w:szCs w:val="28"/>
              </w:rPr>
            </w:pPr>
            <w:r>
              <w:rPr>
                <w:rFonts w:asciiTheme="minorEastAsia" w:hAnsiTheme="minorEastAsia" w:eastAsiaTheme="minorEastAsia"/>
                <w:sz w:val="28"/>
                <w:szCs w:val="28"/>
              </w:rPr>
              <w:t>序号</w:t>
            </w:r>
          </w:p>
        </w:tc>
        <w:tc>
          <w:tcPr>
            <w:tcW w:w="5012" w:type="dxa"/>
          </w:tcPr>
          <w:p>
            <w:pPr>
              <w:pStyle w:val="5"/>
              <w:spacing w:beforeAutospacing="0" w:afterAutospacing="0"/>
              <w:jc w:val="center"/>
              <w:rPr>
                <w:rFonts w:asciiTheme="minorEastAsia" w:hAnsiTheme="minorEastAsia" w:eastAsiaTheme="minorEastAsia"/>
                <w:sz w:val="28"/>
                <w:szCs w:val="28"/>
              </w:rPr>
            </w:pPr>
            <w:r>
              <w:rPr>
                <w:rFonts w:asciiTheme="minorEastAsia" w:hAnsiTheme="minorEastAsia" w:eastAsiaTheme="minorEastAsia"/>
                <w:sz w:val="28"/>
                <w:szCs w:val="28"/>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Pr>
          <w:p>
            <w:pPr>
              <w:pStyle w:val="5"/>
              <w:spacing w:beforeAutospacing="0" w:afterAutospacing="0"/>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1</w:t>
            </w:r>
          </w:p>
        </w:tc>
        <w:tc>
          <w:tcPr>
            <w:tcW w:w="5012" w:type="dxa"/>
          </w:tcPr>
          <w:p>
            <w:pPr>
              <w:pStyle w:val="5"/>
              <w:spacing w:beforeAutospacing="0" w:afterAutospacing="0"/>
              <w:jc w:val="center"/>
              <w:rPr>
                <w:rFonts w:asciiTheme="minorEastAsia" w:hAnsiTheme="minorEastAsia" w:eastAsiaTheme="minorEastAsia"/>
                <w:sz w:val="28"/>
                <w:szCs w:val="28"/>
              </w:rPr>
            </w:pPr>
            <w:r>
              <w:rPr>
                <w:rFonts w:asciiTheme="minorEastAsia" w:hAnsiTheme="minorEastAsia" w:eastAsiaTheme="minorEastAsia"/>
                <w:sz w:val="28"/>
                <w:szCs w:val="28"/>
              </w:rPr>
              <w:t>蓝田县退役军人事务局</w:t>
            </w:r>
            <w:r>
              <w:rPr>
                <w:rFonts w:hint="eastAsia" w:asciiTheme="minorEastAsia" w:hAnsiTheme="minorEastAsia" w:eastAsiaTheme="minorEastAsia"/>
                <w:sz w:val="28"/>
                <w:szCs w:val="28"/>
              </w:rPr>
              <w:t>（本级）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Pr>
          <w:p>
            <w:pPr>
              <w:pStyle w:val="5"/>
              <w:spacing w:beforeAutospacing="0" w:afterAutospacing="0"/>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2</w:t>
            </w:r>
          </w:p>
        </w:tc>
        <w:tc>
          <w:tcPr>
            <w:tcW w:w="5012" w:type="dxa"/>
          </w:tcPr>
          <w:p>
            <w:pPr>
              <w:pStyle w:val="5"/>
              <w:spacing w:beforeAutospacing="0" w:afterAutospacing="0"/>
              <w:jc w:val="center"/>
              <w:rPr>
                <w:rFonts w:asciiTheme="minorEastAsia" w:hAnsiTheme="minorEastAsia" w:eastAsiaTheme="minorEastAsia"/>
                <w:sz w:val="28"/>
                <w:szCs w:val="28"/>
              </w:rPr>
            </w:pPr>
            <w:r>
              <w:rPr>
                <w:rFonts w:asciiTheme="minorEastAsia" w:hAnsiTheme="minorEastAsia" w:eastAsiaTheme="minorEastAsia"/>
                <w:sz w:val="28"/>
                <w:szCs w:val="28"/>
              </w:rPr>
              <w:t>蓝田县退役军人服务中心</w:t>
            </w:r>
          </w:p>
        </w:tc>
      </w:tr>
    </w:tbl>
    <w:p>
      <w:pPr>
        <w:spacing w:line="360" w:lineRule="auto"/>
        <w:rPr>
          <w:rFonts w:cs="仿宋" w:asciiTheme="minorEastAsia" w:hAnsiTheme="minorEastAsia"/>
          <w:bCs/>
          <w:sz w:val="28"/>
          <w:szCs w:val="28"/>
        </w:rPr>
      </w:pPr>
    </w:p>
    <w:p>
      <w:pPr>
        <w:spacing w:line="360" w:lineRule="auto"/>
        <w:ind w:firstLine="643"/>
        <w:rPr>
          <w:rFonts w:cs="仿宋" w:asciiTheme="minorEastAsia" w:hAnsiTheme="minorEastAsia"/>
          <w:bCs/>
          <w:sz w:val="28"/>
          <w:szCs w:val="28"/>
        </w:rPr>
      </w:pPr>
      <w:r>
        <w:rPr>
          <w:rFonts w:hint="eastAsia" w:cs="仿宋" w:asciiTheme="minorEastAsia" w:hAnsiTheme="minorEastAsia"/>
          <w:bCs/>
          <w:sz w:val="28"/>
          <w:szCs w:val="28"/>
        </w:rPr>
        <w:t>四、部门人员情况说明</w:t>
      </w: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截止2019年底，蓝田县退役军人事务局人员编制6人，全部为行政编制；实有人员6人，为行政人员。蓝田县退役军人服务中心人员编制15人，全部为事业编制；实有人员6人，为事业人员。（单位有编制有人员，但由于是新增单位，人员工资关系暂未转入。）</w:t>
      </w:r>
    </w:p>
    <w:p>
      <w:pPr>
        <w:spacing w:line="360" w:lineRule="auto"/>
        <w:ind w:firstLine="643"/>
        <w:rPr>
          <w:rFonts w:cs="仿宋" w:asciiTheme="minorEastAsia" w:hAnsiTheme="minorEastAsia"/>
          <w:bCs/>
          <w:sz w:val="28"/>
          <w:szCs w:val="28"/>
        </w:rPr>
      </w:pPr>
    </w:p>
    <w:p>
      <w:pPr>
        <w:spacing w:line="360" w:lineRule="auto"/>
        <w:ind w:firstLine="643"/>
        <w:rPr>
          <w:rFonts w:cs="仿宋" w:asciiTheme="minorEastAsia" w:hAnsiTheme="minorEastAsia"/>
          <w:bCs/>
          <w:sz w:val="28"/>
          <w:szCs w:val="28"/>
        </w:rPr>
      </w:pPr>
      <w:r>
        <w:rPr>
          <w:rFonts w:cs="仿宋" w:asciiTheme="minorEastAsia" w:hAnsiTheme="minorEastAsia"/>
          <w:bCs/>
          <w:sz w:val="28"/>
          <w:szCs w:val="28"/>
        </w:rPr>
        <w:drawing>
          <wp:inline distT="0" distB="0" distL="0" distR="0">
            <wp:extent cx="5274310" cy="3076575"/>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spacing w:line="360" w:lineRule="auto"/>
        <w:ind w:firstLine="643"/>
        <w:jc w:val="center"/>
        <w:rPr>
          <w:rFonts w:cs="仿宋" w:asciiTheme="minorEastAsia" w:hAnsiTheme="minorEastAsia"/>
          <w:bCs/>
          <w:sz w:val="28"/>
          <w:szCs w:val="28"/>
        </w:rPr>
      </w:pPr>
      <w:r>
        <w:rPr>
          <w:rFonts w:hint="eastAsia" w:cs="仿宋" w:asciiTheme="minorEastAsia" w:hAnsiTheme="minorEastAsia"/>
          <w:bCs/>
          <w:sz w:val="28"/>
          <w:szCs w:val="28"/>
        </w:rPr>
        <w:t>第二部分  收支情况</w:t>
      </w:r>
    </w:p>
    <w:p>
      <w:pPr>
        <w:spacing w:line="360" w:lineRule="auto"/>
        <w:ind w:firstLine="640"/>
        <w:rPr>
          <w:rFonts w:cs="仿宋" w:asciiTheme="minorEastAsia" w:hAnsiTheme="minorEastAsia"/>
          <w:sz w:val="28"/>
          <w:szCs w:val="28"/>
        </w:rPr>
      </w:pPr>
    </w:p>
    <w:p>
      <w:pPr>
        <w:spacing w:line="360" w:lineRule="auto"/>
        <w:ind w:firstLine="640"/>
        <w:rPr>
          <w:rFonts w:cs="仿宋" w:asciiTheme="minorEastAsia" w:hAnsiTheme="minorEastAsia"/>
          <w:sz w:val="28"/>
          <w:szCs w:val="28"/>
        </w:rPr>
      </w:pPr>
      <w:r>
        <w:rPr>
          <w:rFonts w:hint="eastAsia" w:cs="仿宋" w:asciiTheme="minorEastAsia" w:hAnsiTheme="minorEastAsia"/>
          <w:sz w:val="28"/>
          <w:szCs w:val="28"/>
        </w:rPr>
        <w:t>五、2020年部门预算收支说明</w:t>
      </w:r>
    </w:p>
    <w:p>
      <w:pPr>
        <w:spacing w:line="360" w:lineRule="auto"/>
        <w:ind w:firstLine="643"/>
        <w:rPr>
          <w:rFonts w:cs="仿宋" w:asciiTheme="minorEastAsia" w:hAnsiTheme="minorEastAsia"/>
          <w:sz w:val="28"/>
          <w:szCs w:val="28"/>
        </w:rPr>
      </w:pPr>
      <w:r>
        <w:rPr>
          <w:rFonts w:hint="eastAsia" w:cs="仿宋" w:asciiTheme="minorEastAsia" w:hAnsiTheme="minorEastAsia"/>
          <w:bCs/>
          <w:sz w:val="28"/>
          <w:szCs w:val="28"/>
        </w:rPr>
        <w:t>（一）收支预算总体情况。</w:t>
      </w:r>
    </w:p>
    <w:p>
      <w:pPr>
        <w:widowControl/>
        <w:shd w:val="clear" w:color="auto" w:fill="FFFFFF"/>
        <w:spacing w:line="420" w:lineRule="atLeast"/>
        <w:ind w:firstLine="480"/>
        <w:jc w:val="left"/>
        <w:rPr>
          <w:rFonts w:cs="仿宋" w:asciiTheme="minorEastAsia" w:hAnsiTheme="minorEastAsia"/>
          <w:color w:val="auto"/>
          <w:sz w:val="28"/>
          <w:szCs w:val="28"/>
        </w:rPr>
      </w:pPr>
      <w:r>
        <w:rPr>
          <w:rFonts w:hint="eastAsia" w:cs="仿宋" w:asciiTheme="minorEastAsia" w:hAnsiTheme="minorEastAsia"/>
          <w:color w:val="auto"/>
          <w:sz w:val="28"/>
          <w:szCs w:val="28"/>
        </w:rPr>
        <w:t>按照综合预算的原则，本部门所有收入和支出均纳入部门预算管理。2020年本部门预算收入500万元，全部为一般公共预算拨款收入。2020年本部门预算支出500万元，全部为一般公共预算拨款支出。</w:t>
      </w:r>
      <w:r>
        <w:rPr>
          <w:rFonts w:hint="eastAsia" w:cs="宋体" w:asciiTheme="minorEastAsia" w:hAnsiTheme="minorEastAsia"/>
          <w:color w:val="auto"/>
          <w:kern w:val="0"/>
          <w:sz w:val="28"/>
          <w:szCs w:val="28"/>
        </w:rPr>
        <w:t>较上年无对比数据，主要原因是本部门为新成立单位，第一年编制部门预算，上年无数据进行对比，并且人员工资关系均暂未转入。故按县级财政有关要求，财政拨款支出：基本支出0元；项目支出：500万元。</w:t>
      </w:r>
    </w:p>
    <w:p>
      <w:pPr>
        <w:widowControl/>
        <w:shd w:val="clear" w:color="auto" w:fill="FFFFFF"/>
        <w:spacing w:line="420" w:lineRule="atLeast"/>
        <w:jc w:val="left"/>
        <w:rPr>
          <w:rFonts w:cs="宋体" w:asciiTheme="minorEastAsia" w:hAnsiTheme="minorEastAsia"/>
          <w:color w:val="444444"/>
          <w:kern w:val="0"/>
          <w:sz w:val="28"/>
          <w:szCs w:val="28"/>
        </w:rPr>
      </w:pPr>
    </w:p>
    <w:p>
      <w:pPr>
        <w:spacing w:line="360" w:lineRule="auto"/>
        <w:ind w:firstLine="643"/>
        <w:rPr>
          <w:rFonts w:cs="仿宋" w:asciiTheme="minorEastAsia" w:hAnsiTheme="minorEastAsia"/>
          <w:color w:val="auto"/>
          <w:sz w:val="28"/>
          <w:szCs w:val="28"/>
        </w:rPr>
      </w:pPr>
      <w:r>
        <w:rPr>
          <w:rFonts w:hint="eastAsia" w:cs="仿宋" w:asciiTheme="minorEastAsia" w:hAnsiTheme="minorEastAsia"/>
          <w:bCs/>
          <w:color w:val="auto"/>
          <w:sz w:val="28"/>
          <w:szCs w:val="28"/>
        </w:rPr>
        <w:t>（二）财政拨款收支情况。</w:t>
      </w:r>
    </w:p>
    <w:p>
      <w:pPr>
        <w:widowControl/>
        <w:shd w:val="clear" w:color="auto" w:fill="FFFFFF"/>
        <w:spacing w:line="420" w:lineRule="atLeast"/>
        <w:ind w:firstLine="480"/>
        <w:jc w:val="left"/>
        <w:rPr>
          <w:rFonts w:cs="仿宋" w:asciiTheme="minorEastAsia" w:hAnsiTheme="minorEastAsia"/>
          <w:color w:val="auto"/>
          <w:sz w:val="28"/>
          <w:szCs w:val="28"/>
        </w:rPr>
      </w:pPr>
      <w:r>
        <w:rPr>
          <w:rFonts w:hint="eastAsia" w:cs="仿宋" w:asciiTheme="minorEastAsia" w:hAnsiTheme="minorEastAsia"/>
          <w:color w:val="auto"/>
          <w:sz w:val="28"/>
          <w:szCs w:val="28"/>
        </w:rPr>
        <w:t>2020年本部门财政拨款收入500万元，全部为一般公共预算拨款收入。2020年本部门财政拨款支出500万元，全部为一般公共预算拨款支出。</w:t>
      </w:r>
      <w:r>
        <w:rPr>
          <w:rFonts w:hint="eastAsia" w:cs="宋体" w:asciiTheme="minorEastAsia" w:hAnsiTheme="minorEastAsia"/>
          <w:color w:val="auto"/>
          <w:kern w:val="0"/>
          <w:sz w:val="28"/>
          <w:szCs w:val="28"/>
        </w:rPr>
        <w:t>较上年无对比数据，主要原因是本部门为新成立单位，第一年编制部门预算，上年无数据进行对比，并且人员工资关系均暂未转入。故按县级财政有关要求，财政拨款支出：基本支出0元；项目支出：500万元。</w:t>
      </w:r>
    </w:p>
    <w:p>
      <w:pPr>
        <w:spacing w:line="360" w:lineRule="auto"/>
        <w:ind w:firstLine="640"/>
        <w:rPr>
          <w:rFonts w:cs="仿宋" w:asciiTheme="minorEastAsia" w:hAnsiTheme="minorEastAsia"/>
          <w:bCs/>
          <w:color w:val="auto"/>
          <w:sz w:val="28"/>
          <w:szCs w:val="28"/>
        </w:rPr>
      </w:pPr>
      <w:r>
        <w:rPr>
          <w:rFonts w:hint="eastAsia" w:cs="仿宋" w:asciiTheme="minorEastAsia" w:hAnsiTheme="minorEastAsia"/>
          <w:bCs/>
          <w:color w:val="auto"/>
          <w:sz w:val="28"/>
          <w:szCs w:val="28"/>
        </w:rPr>
        <w:t>（三）一般公共预算拨款支出明细情况。</w:t>
      </w:r>
    </w:p>
    <w:p>
      <w:pPr>
        <w:spacing w:line="360" w:lineRule="auto"/>
        <w:ind w:firstLine="643"/>
        <w:rPr>
          <w:rFonts w:cs="仿宋" w:asciiTheme="minorEastAsia" w:hAnsiTheme="minorEastAsia"/>
          <w:color w:val="auto"/>
          <w:sz w:val="28"/>
          <w:szCs w:val="28"/>
        </w:rPr>
      </w:pPr>
      <w:r>
        <w:rPr>
          <w:rFonts w:hint="eastAsia" w:cs="仿宋" w:asciiTheme="minorEastAsia" w:hAnsiTheme="minorEastAsia"/>
          <w:bCs/>
          <w:color w:val="auto"/>
          <w:sz w:val="28"/>
          <w:szCs w:val="28"/>
        </w:rPr>
        <w:t>1、</w:t>
      </w:r>
      <w:r>
        <w:rPr>
          <w:rFonts w:hint="eastAsia" w:cs="仿宋" w:asciiTheme="minorEastAsia" w:hAnsiTheme="minorEastAsia"/>
          <w:color w:val="auto"/>
          <w:sz w:val="28"/>
          <w:szCs w:val="28"/>
        </w:rPr>
        <w:t>一般公共预算当年拨款资金变化情况。</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仿宋" w:asciiTheme="minorEastAsia" w:hAnsiTheme="minorEastAsia"/>
          <w:color w:val="auto"/>
          <w:sz w:val="28"/>
          <w:szCs w:val="28"/>
        </w:rPr>
        <w:t>2020年本部门当年一般公共预算拨款支出500万元，</w:t>
      </w:r>
      <w:r>
        <w:rPr>
          <w:rFonts w:hint="eastAsia" w:cs="宋体" w:asciiTheme="minorEastAsia" w:hAnsiTheme="minorEastAsia"/>
          <w:color w:val="auto"/>
          <w:kern w:val="0"/>
          <w:sz w:val="28"/>
          <w:szCs w:val="28"/>
        </w:rPr>
        <w:t>较上年无对比数据，主要原因是本部门为新成立单位第一年编制部门预算，上年无数据进行对比。</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bCs/>
          <w:color w:val="auto"/>
          <w:sz w:val="28"/>
          <w:szCs w:val="28"/>
        </w:rPr>
        <w:t>2、</w:t>
      </w:r>
      <w:r>
        <w:rPr>
          <w:rFonts w:hint="eastAsia" w:cs="仿宋" w:asciiTheme="minorEastAsia" w:hAnsiTheme="minorEastAsia"/>
          <w:color w:val="auto"/>
          <w:sz w:val="28"/>
          <w:szCs w:val="28"/>
        </w:rPr>
        <w:t>支出按功能科目分类的明细情况。</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本部门2020年一般公共预算支出500万元，其中：</w:t>
      </w:r>
    </w:p>
    <w:p>
      <w:pPr>
        <w:numPr>
          <w:ilvl w:val="0"/>
          <w:numId w:val="1"/>
        </w:numPr>
        <w:spacing w:line="360" w:lineRule="auto"/>
        <w:ind w:firstLine="560" w:firstLineChars="200"/>
        <w:rPr>
          <w:rFonts w:cs="仿宋" w:asciiTheme="minorEastAsia" w:hAnsiTheme="minorEastAsia"/>
          <w:color w:val="auto"/>
          <w:sz w:val="28"/>
          <w:szCs w:val="28"/>
        </w:rPr>
      </w:pPr>
      <w:r>
        <w:rPr>
          <w:rFonts w:hint="eastAsia" w:cs="仿宋" w:asciiTheme="minorEastAsia" w:hAnsiTheme="minorEastAsia"/>
          <w:color w:val="auto"/>
          <w:sz w:val="28"/>
          <w:szCs w:val="28"/>
        </w:rPr>
        <w:t>义务兵优待（2080805）35万元。</w:t>
      </w:r>
    </w:p>
    <w:p>
      <w:pPr>
        <w:numPr>
          <w:ilvl w:val="0"/>
          <w:numId w:val="1"/>
        </w:numPr>
        <w:spacing w:line="360" w:lineRule="auto"/>
        <w:ind w:firstLine="560" w:firstLineChars="200"/>
        <w:rPr>
          <w:rFonts w:cs="仿宋" w:asciiTheme="minorEastAsia" w:hAnsiTheme="minorEastAsia"/>
          <w:color w:val="auto"/>
          <w:sz w:val="28"/>
          <w:szCs w:val="28"/>
        </w:rPr>
      </w:pPr>
      <w:r>
        <w:rPr>
          <w:rFonts w:hint="eastAsia" w:cs="仿宋" w:asciiTheme="minorEastAsia" w:hAnsiTheme="minorEastAsia"/>
          <w:color w:val="auto"/>
          <w:sz w:val="28"/>
          <w:szCs w:val="28"/>
        </w:rPr>
        <w:t>农村籍退役士兵老年生活补助（2080806）266.4万元；</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（3）其他优抚支出（2080899）29万元；</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（4）拥军优属（2082804）20万元；</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（5）其他退役军人事务管理支出（2082899）20万元；</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（6）其他社会保障和就业支出（2089901）129.6万元</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较上年无对比数据，主要原因是本部门为新成立单位，第一年编制部门预算，上年无数据进行对比。</w:t>
      </w:r>
    </w:p>
    <w:p>
      <w:pPr>
        <w:spacing w:line="360" w:lineRule="auto"/>
        <w:ind w:firstLine="643"/>
        <w:rPr>
          <w:rFonts w:cs="仿宋" w:asciiTheme="minorEastAsia" w:hAnsiTheme="minorEastAsia"/>
          <w:color w:val="auto"/>
          <w:sz w:val="28"/>
          <w:szCs w:val="28"/>
        </w:rPr>
      </w:pPr>
      <w:r>
        <w:rPr>
          <w:rFonts w:hint="eastAsia" w:cs="仿宋" w:asciiTheme="minorEastAsia" w:hAnsiTheme="minorEastAsia"/>
          <w:bCs/>
          <w:color w:val="auto"/>
          <w:sz w:val="28"/>
          <w:szCs w:val="28"/>
        </w:rPr>
        <w:t>3、</w:t>
      </w:r>
      <w:r>
        <w:rPr>
          <w:rFonts w:hint="eastAsia" w:cs="仿宋" w:asciiTheme="minorEastAsia" w:hAnsiTheme="minorEastAsia"/>
          <w:color w:val="auto"/>
          <w:sz w:val="28"/>
          <w:szCs w:val="28"/>
        </w:rPr>
        <w:t>支出按经济科目分类的明细情况。</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（1）2020年本部门当年一般公共预算支出500万元，其中：</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部门经济科目分类如下：</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差旅费支出（30211）8万元；</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劳务费支出（30226）2.4万元；</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其他交通费用支出（30239）9.6万元；</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其他商品和服务支出（30299）8万元；</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生活补助支出（30305）444万元；</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救济费支出（30306）28万元。</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较上年无对比数据，主要原因是本部门为新成立单位，第一年编制部门预算，上年无数据进行对比。</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（2）2020年本部门当年一般公共预算支出500万元，其中：</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政府经济科目分类如下：</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办公经费支出（50201）17.6万元；</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委托业务费支出（50205）2.4万元；</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其他商品和服务支出（50299）8万元；</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社会和福利救助支出（50901）472万元</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较上年无对比数据，主要原因是本部门为新成立单位，第一年编制部门预算，上年无数据进行对比。</w:t>
      </w:r>
    </w:p>
    <w:p>
      <w:pPr>
        <w:numPr>
          <w:ilvl w:val="0"/>
          <w:numId w:val="2"/>
        </w:numPr>
        <w:spacing w:line="360" w:lineRule="auto"/>
        <w:ind w:firstLine="560" w:firstLineChars="200"/>
        <w:rPr>
          <w:rFonts w:cs="仿宋" w:asciiTheme="minorEastAsia" w:hAnsiTheme="minorEastAsia"/>
          <w:bCs/>
          <w:color w:val="auto"/>
          <w:sz w:val="28"/>
          <w:szCs w:val="28"/>
        </w:rPr>
      </w:pPr>
      <w:r>
        <w:rPr>
          <w:rFonts w:hint="eastAsia" w:cs="仿宋" w:asciiTheme="minorEastAsia" w:hAnsiTheme="minorEastAsia"/>
          <w:bCs/>
          <w:color w:val="auto"/>
          <w:sz w:val="28"/>
          <w:szCs w:val="28"/>
        </w:rPr>
        <w:t>政府性基金预算支出情况。</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仿宋" w:asciiTheme="minorEastAsia" w:hAnsiTheme="minorEastAsia"/>
          <w:bCs/>
          <w:color w:val="auto"/>
          <w:sz w:val="28"/>
          <w:szCs w:val="28"/>
        </w:rPr>
        <w:t xml:space="preserve">   </w:t>
      </w:r>
      <w:r>
        <w:rPr>
          <w:rFonts w:hint="eastAsia" w:cs="宋体" w:asciiTheme="minorEastAsia" w:hAnsiTheme="minorEastAsia"/>
          <w:color w:val="auto"/>
          <w:kern w:val="0"/>
          <w:sz w:val="28"/>
          <w:szCs w:val="28"/>
        </w:rPr>
        <w:t>本部门无政府性基金预算收支，并已公开空表。</w:t>
      </w:r>
    </w:p>
    <w:p>
      <w:pPr>
        <w:spacing w:line="360" w:lineRule="auto"/>
        <w:rPr>
          <w:rFonts w:cs="仿宋" w:asciiTheme="minorEastAsia" w:hAnsiTheme="minorEastAsia"/>
          <w:bCs/>
          <w:color w:val="auto"/>
          <w:sz w:val="28"/>
          <w:szCs w:val="28"/>
        </w:rPr>
      </w:pPr>
      <w:r>
        <w:rPr>
          <w:rFonts w:hint="eastAsia" w:cs="仿宋" w:asciiTheme="minorEastAsia" w:hAnsiTheme="minorEastAsia"/>
          <w:bCs/>
          <w:color w:val="auto"/>
          <w:sz w:val="28"/>
          <w:szCs w:val="28"/>
        </w:rPr>
        <w:t>（五）国有资本经营预算拨款收支情况。</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本部门无国有资本经营预算拨款收支。</w:t>
      </w:r>
    </w:p>
    <w:p>
      <w:pPr>
        <w:spacing w:line="360" w:lineRule="auto"/>
        <w:ind w:firstLine="643"/>
        <w:jc w:val="center"/>
        <w:rPr>
          <w:rFonts w:cs="仿宋" w:asciiTheme="minorEastAsia" w:hAnsiTheme="minorEastAsia"/>
          <w:bCs/>
          <w:color w:val="auto"/>
          <w:sz w:val="28"/>
          <w:szCs w:val="28"/>
        </w:rPr>
      </w:pPr>
      <w:r>
        <w:rPr>
          <w:rFonts w:hint="eastAsia" w:cs="仿宋" w:asciiTheme="minorEastAsia" w:hAnsiTheme="minorEastAsia"/>
          <w:bCs/>
          <w:color w:val="auto"/>
          <w:sz w:val="28"/>
          <w:szCs w:val="28"/>
        </w:rPr>
        <w:t>第三部分  其他说明情况</w:t>
      </w:r>
    </w:p>
    <w:p>
      <w:pPr>
        <w:spacing w:line="360" w:lineRule="auto"/>
        <w:ind w:firstLine="643"/>
        <w:rPr>
          <w:rFonts w:cs="仿宋" w:asciiTheme="minorEastAsia" w:hAnsiTheme="minorEastAsia"/>
          <w:bCs/>
          <w:color w:val="auto"/>
          <w:sz w:val="28"/>
          <w:szCs w:val="28"/>
        </w:rPr>
      </w:pPr>
      <w:r>
        <w:rPr>
          <w:rFonts w:hint="eastAsia" w:cs="仿宋" w:asciiTheme="minorEastAsia" w:hAnsiTheme="minorEastAsia"/>
          <w:bCs/>
          <w:color w:val="auto"/>
          <w:sz w:val="28"/>
          <w:szCs w:val="28"/>
        </w:rPr>
        <w:t>六、部门预算“三公”经费等预算情况说明</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本部门无2020年“三公经费”预算。较上年无对比数据，主要原因是退役军人事务局为新成立单位，第一年编制部门预算，上年无数据进行对比、并已公开空表。</w:t>
      </w:r>
    </w:p>
    <w:p>
      <w:pPr>
        <w:spacing w:line="360" w:lineRule="auto"/>
        <w:ind w:firstLine="643"/>
        <w:rPr>
          <w:rFonts w:cs="仿宋" w:asciiTheme="minorEastAsia" w:hAnsiTheme="minorEastAsia"/>
          <w:bCs/>
          <w:color w:val="auto"/>
          <w:sz w:val="28"/>
          <w:szCs w:val="28"/>
        </w:rPr>
      </w:pPr>
      <w:r>
        <w:rPr>
          <w:rFonts w:hint="eastAsia" w:cs="仿宋" w:asciiTheme="minorEastAsia" w:hAnsiTheme="minorEastAsia"/>
          <w:bCs/>
          <w:color w:val="auto"/>
          <w:sz w:val="28"/>
          <w:szCs w:val="28"/>
        </w:rPr>
        <w:t>七、部门国有资产占有使用及资产购置情况说明</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截至2019年12月31日，本部门国有资产共计7.46万元，局属预算单位共有车辆0辆。2020年部门预算安排购置车辆0辆；安排购置单价20万元以上的设备0台。</w:t>
      </w:r>
    </w:p>
    <w:p>
      <w:pPr>
        <w:spacing w:line="360" w:lineRule="auto"/>
        <w:ind w:firstLine="643"/>
        <w:rPr>
          <w:rFonts w:cs="仿宋" w:asciiTheme="minorEastAsia" w:hAnsiTheme="minorEastAsia"/>
          <w:bCs/>
          <w:color w:val="auto"/>
          <w:sz w:val="28"/>
          <w:szCs w:val="28"/>
        </w:rPr>
      </w:pPr>
      <w:r>
        <w:rPr>
          <w:rFonts w:hint="eastAsia" w:cs="仿宋" w:asciiTheme="minorEastAsia" w:hAnsiTheme="minorEastAsia"/>
          <w:bCs/>
          <w:color w:val="auto"/>
          <w:sz w:val="28"/>
          <w:szCs w:val="28"/>
        </w:rPr>
        <w:t>八、部门政府采购情况说明</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2020年本部门政府采购预算共0万元，其中政府采购货物类预算0万元。</w:t>
      </w:r>
      <w:r>
        <w:rPr>
          <w:rFonts w:hint="eastAsia" w:cs="仿宋" w:asciiTheme="minorEastAsia" w:hAnsiTheme="minorEastAsia"/>
          <w:color w:val="auto"/>
          <w:sz w:val="28"/>
          <w:szCs w:val="28"/>
        </w:rPr>
        <w:t>并已公开空表。</w:t>
      </w:r>
    </w:p>
    <w:p>
      <w:pPr>
        <w:spacing w:line="360" w:lineRule="auto"/>
        <w:ind w:firstLine="643"/>
        <w:rPr>
          <w:rFonts w:cs="仿宋" w:asciiTheme="minorEastAsia" w:hAnsiTheme="minorEastAsia"/>
          <w:bCs/>
          <w:color w:val="auto"/>
          <w:sz w:val="28"/>
          <w:szCs w:val="28"/>
        </w:rPr>
      </w:pPr>
      <w:r>
        <w:rPr>
          <w:rFonts w:hint="eastAsia" w:cs="仿宋" w:asciiTheme="minorEastAsia" w:hAnsiTheme="minorEastAsia"/>
          <w:bCs/>
          <w:color w:val="auto"/>
          <w:sz w:val="28"/>
          <w:szCs w:val="28"/>
        </w:rPr>
        <w:t>九、部门预算绩效目标说明</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2020年本部门绩效目标管理全覆盖，涉及当年一般公共预算拨款500万元。（详见公开报表中的绩效目标表）。</w:t>
      </w:r>
    </w:p>
    <w:p>
      <w:pPr>
        <w:spacing w:line="360" w:lineRule="auto"/>
        <w:ind w:firstLine="643"/>
        <w:rPr>
          <w:rFonts w:cs="仿宋" w:asciiTheme="minorEastAsia" w:hAnsiTheme="minorEastAsia"/>
          <w:color w:val="auto"/>
          <w:sz w:val="28"/>
          <w:szCs w:val="28"/>
        </w:rPr>
      </w:pPr>
      <w:r>
        <w:rPr>
          <w:rFonts w:hint="eastAsia" w:cs="仿宋" w:asciiTheme="minorEastAsia" w:hAnsiTheme="minorEastAsia"/>
          <w:bCs/>
          <w:color w:val="auto"/>
          <w:sz w:val="28"/>
          <w:szCs w:val="28"/>
        </w:rPr>
        <w:t>十、机关运行经费安排说明</w:t>
      </w:r>
    </w:p>
    <w:p>
      <w:pPr>
        <w:spacing w:line="360" w:lineRule="auto"/>
        <w:ind w:firstLine="640"/>
        <w:rPr>
          <w:rFonts w:cs="仿宋" w:asciiTheme="minorEastAsia" w:hAnsiTheme="minorEastAsia"/>
          <w:color w:val="auto"/>
          <w:sz w:val="28"/>
          <w:szCs w:val="28"/>
        </w:rPr>
      </w:pPr>
      <w:r>
        <w:rPr>
          <w:rFonts w:hint="eastAsia" w:cs="仿宋" w:asciiTheme="minorEastAsia" w:hAnsiTheme="minorEastAsia"/>
          <w:color w:val="auto"/>
          <w:sz w:val="28"/>
          <w:szCs w:val="28"/>
        </w:rPr>
        <w:t>本部门2020年无机关运行经费预算安排。（由于属于新增单位，人员工资关系暂未转入，</w:t>
      </w:r>
      <w:r>
        <w:rPr>
          <w:rFonts w:hint="eastAsia" w:cs="宋体" w:asciiTheme="minorEastAsia" w:hAnsiTheme="minorEastAsia"/>
          <w:color w:val="auto"/>
          <w:kern w:val="0"/>
          <w:sz w:val="28"/>
          <w:szCs w:val="28"/>
        </w:rPr>
        <w:t>故按县级财政有关要求，</w:t>
      </w:r>
      <w:r>
        <w:rPr>
          <w:rFonts w:hint="eastAsia" w:cs="仿宋" w:asciiTheme="minorEastAsia" w:hAnsiTheme="minorEastAsia"/>
          <w:color w:val="auto"/>
          <w:sz w:val="28"/>
          <w:szCs w:val="28"/>
        </w:rPr>
        <w:t>无公用经费依据，预算2020年机关运行经费。）</w:t>
      </w:r>
    </w:p>
    <w:p>
      <w:pPr>
        <w:spacing w:line="360" w:lineRule="auto"/>
        <w:ind w:firstLine="643"/>
        <w:rPr>
          <w:rFonts w:cs="仿宋" w:asciiTheme="minorEastAsia" w:hAnsiTheme="minorEastAsia"/>
          <w:bCs/>
          <w:color w:val="auto"/>
          <w:sz w:val="28"/>
          <w:szCs w:val="28"/>
        </w:rPr>
      </w:pPr>
      <w:r>
        <w:rPr>
          <w:rFonts w:hint="eastAsia" w:cs="仿宋" w:asciiTheme="minorEastAsia" w:hAnsiTheme="minorEastAsia"/>
          <w:bCs/>
          <w:color w:val="auto"/>
          <w:sz w:val="28"/>
          <w:szCs w:val="28"/>
        </w:rPr>
        <w:t>十一、专业名词解释</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cs="宋体" w:asciiTheme="minorEastAsia" w:hAnsiTheme="minorEastAsia"/>
          <w:color w:val="auto"/>
          <w:sz w:val="28"/>
          <w:szCs w:val="28"/>
          <w:shd w:val="clear" w:color="auto" w:fill="FFFFFF"/>
        </w:rPr>
        <w:t>1</w:t>
      </w:r>
      <w:r>
        <w:rPr>
          <w:rFonts w:hint="eastAsia" w:cs="宋体" w:asciiTheme="minorEastAsia" w:hAnsiTheme="minorEastAsia"/>
          <w:color w:val="auto"/>
          <w:sz w:val="28"/>
          <w:szCs w:val="28"/>
          <w:shd w:val="clear" w:color="auto" w:fill="FFFFFF"/>
        </w:rPr>
        <w:t>、</w:t>
      </w:r>
      <w:r>
        <w:rPr>
          <w:rFonts w:hint="eastAsia" w:cs="宋体" w:asciiTheme="minorEastAsia" w:hAnsiTheme="minorEastAsia"/>
          <w:color w:val="auto"/>
          <w:kern w:val="0"/>
          <w:sz w:val="28"/>
          <w:szCs w:val="28"/>
        </w:rPr>
        <w:t>财政拨款收入：指单位从同级财政部门取得的财政预算资金。</w:t>
      </w:r>
    </w:p>
    <w:p>
      <w:pPr>
        <w:pStyle w:val="5"/>
        <w:shd w:val="clear" w:color="auto" w:fill="FFFFFF"/>
        <w:spacing w:beforeAutospacing="0" w:afterAutospacing="0"/>
        <w:ind w:left="420"/>
        <w:rPr>
          <w:rFonts w:asciiTheme="minorEastAsia" w:hAnsiTheme="minorEastAsia" w:eastAsiaTheme="minorEastAsia"/>
          <w:color w:val="auto"/>
          <w:sz w:val="28"/>
          <w:szCs w:val="28"/>
        </w:rPr>
      </w:pPr>
      <w:r>
        <w:rPr>
          <w:rFonts w:asciiTheme="minorEastAsia" w:hAnsiTheme="minorEastAsia" w:eastAsiaTheme="minorEastAsia"/>
          <w:color w:val="auto"/>
          <w:sz w:val="28"/>
          <w:szCs w:val="28"/>
          <w:shd w:val="clear" w:color="auto" w:fill="FFFFFF"/>
        </w:rPr>
        <w:t>2</w:t>
      </w:r>
      <w:r>
        <w:rPr>
          <w:rFonts w:hint="eastAsia" w:asciiTheme="minorEastAsia" w:hAnsiTheme="minorEastAsia" w:eastAsiaTheme="minorEastAsia"/>
          <w:color w:val="auto"/>
          <w:sz w:val="28"/>
          <w:szCs w:val="28"/>
          <w:shd w:val="clear" w:color="auto" w:fill="FFFFFF"/>
        </w:rPr>
        <w:t>、</w:t>
      </w:r>
      <w:r>
        <w:rPr>
          <w:rFonts w:hint="eastAsia" w:asciiTheme="minorEastAsia" w:hAnsiTheme="minorEastAsia" w:eastAsiaTheme="minorEastAsia"/>
          <w:color w:val="auto"/>
          <w:sz w:val="28"/>
          <w:szCs w:val="28"/>
        </w:rPr>
        <w:t>基本支出：指为保障机构正常运转、完成日常工作任务而发生的人员支出和公用支出。</w:t>
      </w:r>
    </w:p>
    <w:p>
      <w:pPr>
        <w:pStyle w:val="5"/>
        <w:shd w:val="clear" w:color="auto" w:fill="FFFFFF"/>
        <w:spacing w:beforeAutospacing="0" w:afterAutospacing="0"/>
        <w:ind w:left="420"/>
        <w:rPr>
          <w:rFonts w:asciiTheme="minorEastAsia" w:hAnsiTheme="minorEastAsia" w:eastAsiaTheme="minorEastAsia"/>
          <w:color w:val="auto"/>
          <w:sz w:val="28"/>
          <w:szCs w:val="28"/>
        </w:rPr>
      </w:pPr>
      <w:r>
        <w:rPr>
          <w:rFonts w:asciiTheme="minorEastAsia" w:hAnsiTheme="minorEastAsia" w:eastAsiaTheme="minorEastAsia"/>
          <w:color w:val="auto"/>
          <w:sz w:val="28"/>
          <w:szCs w:val="28"/>
          <w:shd w:val="clear" w:color="auto" w:fill="FFFFFF"/>
        </w:rPr>
        <w:t>3</w:t>
      </w:r>
      <w:r>
        <w:rPr>
          <w:rFonts w:hint="eastAsia" w:asciiTheme="minorEastAsia" w:hAnsiTheme="minorEastAsia" w:eastAsiaTheme="minorEastAsia"/>
          <w:color w:val="auto"/>
          <w:sz w:val="28"/>
          <w:szCs w:val="28"/>
          <w:shd w:val="clear" w:color="auto" w:fill="FFFFFF"/>
        </w:rPr>
        <w:t>、</w:t>
      </w:r>
      <w:r>
        <w:rPr>
          <w:rFonts w:hint="eastAsia" w:asciiTheme="minorEastAsia" w:hAnsiTheme="minorEastAsia" w:eastAsiaTheme="minorEastAsia"/>
          <w:color w:val="auto"/>
          <w:sz w:val="28"/>
          <w:szCs w:val="28"/>
        </w:rPr>
        <w:t>.项目支出：指在基本支出之外为完成特定行政任务和事业发展目标所发生的支出。</w:t>
      </w:r>
    </w:p>
    <w:p>
      <w:pPr>
        <w:pStyle w:val="5"/>
        <w:shd w:val="clear" w:color="auto" w:fill="FFFFFF"/>
        <w:spacing w:beforeAutospacing="0" w:afterAutospacing="0"/>
        <w:ind w:left="420"/>
        <w:jc w:val="center"/>
        <w:rPr>
          <w:rFonts w:cs="仿宋" w:asciiTheme="minorEastAsia" w:hAnsiTheme="minorEastAsia" w:eastAsiaTheme="minorEastAsia"/>
          <w:bCs/>
          <w:color w:val="auto"/>
          <w:sz w:val="28"/>
          <w:szCs w:val="28"/>
        </w:rPr>
      </w:pPr>
      <w:r>
        <w:rPr>
          <w:rFonts w:hint="eastAsia" w:cs="仿宋" w:asciiTheme="minorEastAsia" w:hAnsiTheme="minorEastAsia" w:eastAsiaTheme="minorEastAsia"/>
          <w:bCs/>
          <w:color w:val="auto"/>
          <w:sz w:val="28"/>
          <w:szCs w:val="28"/>
        </w:rPr>
        <w:t>第四部分  公开报表</w:t>
      </w:r>
    </w:p>
    <w:p>
      <w:pPr>
        <w:widowControl/>
        <w:shd w:val="clear" w:color="auto" w:fill="FFFFFF"/>
        <w:spacing w:line="420" w:lineRule="atLeast"/>
        <w:ind w:firstLine="480"/>
        <w:jc w:val="left"/>
        <w:rPr>
          <w:rFonts w:cs="宋体" w:asciiTheme="minorEastAsia" w:hAnsiTheme="minorEastAsia"/>
          <w:color w:val="auto"/>
          <w:kern w:val="0"/>
          <w:sz w:val="28"/>
          <w:szCs w:val="28"/>
        </w:rPr>
      </w:pPr>
      <w:r>
        <w:rPr>
          <w:rFonts w:hint="eastAsia" w:cs="宋体" w:asciiTheme="minorEastAsia" w:hAnsiTheme="minorEastAsia"/>
          <w:color w:val="auto"/>
          <w:kern w:val="0"/>
          <w:sz w:val="28"/>
          <w:szCs w:val="28"/>
        </w:rPr>
        <w:t>蓝田县退役军人事务局2020年部门综合预算公开报表</w:t>
      </w:r>
    </w:p>
    <w:p>
      <w:pPr>
        <w:spacing w:line="360" w:lineRule="auto"/>
        <w:ind w:firstLine="640"/>
        <w:rPr>
          <w:rFonts w:cs="仿宋" w:asciiTheme="minorEastAsia" w:hAnsiTheme="minorEastAsia"/>
          <w:color w:val="auto"/>
          <w:sz w:val="28"/>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C4C3D15"/>
    <w:multiLevelType w:val="singleLevel"/>
    <w:tmpl w:val="CC4C3D15"/>
    <w:lvl w:ilvl="0" w:tentative="0">
      <w:start w:val="4"/>
      <w:numFmt w:val="chineseCounting"/>
      <w:suff w:val="nothing"/>
      <w:lvlText w:val="（%1）"/>
      <w:lvlJc w:val="left"/>
      <w:rPr>
        <w:rFonts w:hint="eastAsia"/>
      </w:rPr>
    </w:lvl>
  </w:abstractNum>
  <w:abstractNum w:abstractNumId="1">
    <w:nsid w:val="57492FA3"/>
    <w:multiLevelType w:val="singleLevel"/>
    <w:tmpl w:val="57492FA3"/>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56822"/>
    <w:rsid w:val="000175D2"/>
    <w:rsid w:val="000843D1"/>
    <w:rsid w:val="000A1081"/>
    <w:rsid w:val="000E668D"/>
    <w:rsid w:val="001006E7"/>
    <w:rsid w:val="00142DA2"/>
    <w:rsid w:val="00190D5D"/>
    <w:rsid w:val="001A14EC"/>
    <w:rsid w:val="001A516C"/>
    <w:rsid w:val="0020360E"/>
    <w:rsid w:val="00266494"/>
    <w:rsid w:val="002A333F"/>
    <w:rsid w:val="002C663E"/>
    <w:rsid w:val="002C77AF"/>
    <w:rsid w:val="00314074"/>
    <w:rsid w:val="003235A6"/>
    <w:rsid w:val="00394B72"/>
    <w:rsid w:val="003A2CFA"/>
    <w:rsid w:val="003C3A36"/>
    <w:rsid w:val="003C6357"/>
    <w:rsid w:val="003E07BB"/>
    <w:rsid w:val="00426ACD"/>
    <w:rsid w:val="004B00DF"/>
    <w:rsid w:val="005849C3"/>
    <w:rsid w:val="005921AE"/>
    <w:rsid w:val="005E3D2E"/>
    <w:rsid w:val="005F4512"/>
    <w:rsid w:val="0060050B"/>
    <w:rsid w:val="00605E2A"/>
    <w:rsid w:val="00634AAA"/>
    <w:rsid w:val="00657976"/>
    <w:rsid w:val="006A0048"/>
    <w:rsid w:val="006D1933"/>
    <w:rsid w:val="00700C8B"/>
    <w:rsid w:val="00703AB6"/>
    <w:rsid w:val="00732361"/>
    <w:rsid w:val="0076250C"/>
    <w:rsid w:val="00786E07"/>
    <w:rsid w:val="00793EE3"/>
    <w:rsid w:val="007C2049"/>
    <w:rsid w:val="007D39C0"/>
    <w:rsid w:val="007E23ED"/>
    <w:rsid w:val="00813110"/>
    <w:rsid w:val="00825AAD"/>
    <w:rsid w:val="00826A9E"/>
    <w:rsid w:val="00856822"/>
    <w:rsid w:val="008842FE"/>
    <w:rsid w:val="008948E2"/>
    <w:rsid w:val="008A03A1"/>
    <w:rsid w:val="008A3E0C"/>
    <w:rsid w:val="008B2E4E"/>
    <w:rsid w:val="008D3442"/>
    <w:rsid w:val="008E6CBB"/>
    <w:rsid w:val="009518A5"/>
    <w:rsid w:val="00987E4A"/>
    <w:rsid w:val="009B1B2F"/>
    <w:rsid w:val="009C5C1A"/>
    <w:rsid w:val="009E1D3C"/>
    <w:rsid w:val="00A266E5"/>
    <w:rsid w:val="00A615D0"/>
    <w:rsid w:val="00A71BF0"/>
    <w:rsid w:val="00A95F7D"/>
    <w:rsid w:val="00AC31D7"/>
    <w:rsid w:val="00AC43A8"/>
    <w:rsid w:val="00AD29BA"/>
    <w:rsid w:val="00B05A97"/>
    <w:rsid w:val="00B5116D"/>
    <w:rsid w:val="00BA4DBF"/>
    <w:rsid w:val="00BF43E2"/>
    <w:rsid w:val="00BF6547"/>
    <w:rsid w:val="00C767D4"/>
    <w:rsid w:val="00CA42BC"/>
    <w:rsid w:val="00CA683B"/>
    <w:rsid w:val="00CE2CC6"/>
    <w:rsid w:val="00D76F58"/>
    <w:rsid w:val="00DA1D51"/>
    <w:rsid w:val="00E05B78"/>
    <w:rsid w:val="00E516C6"/>
    <w:rsid w:val="00E63BCD"/>
    <w:rsid w:val="00EE11EA"/>
    <w:rsid w:val="00EE1CC8"/>
    <w:rsid w:val="00F168BE"/>
    <w:rsid w:val="00F467B9"/>
    <w:rsid w:val="00F6272D"/>
    <w:rsid w:val="00FA7DFE"/>
    <w:rsid w:val="00FD5C56"/>
    <w:rsid w:val="0BB17812"/>
    <w:rsid w:val="10965332"/>
    <w:rsid w:val="12F63AAC"/>
    <w:rsid w:val="13941BD8"/>
    <w:rsid w:val="17065896"/>
    <w:rsid w:val="1FC43109"/>
    <w:rsid w:val="21C67BD5"/>
    <w:rsid w:val="43C2208C"/>
    <w:rsid w:val="47040286"/>
    <w:rsid w:val="4BDD3EEA"/>
    <w:rsid w:val="5A1D5BDF"/>
    <w:rsid w:val="6E472F62"/>
    <w:rsid w:val="73DD11C7"/>
    <w:rsid w:val="7A98744D"/>
    <w:rsid w:val="7CB51BD9"/>
    <w:rsid w:val="7F6A2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4"/>
    <w:semiHidden/>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编制数</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蓝田县退役军人事务局（本级）</c:v>
                </c:pt>
                <c:pt idx="1">
                  <c:v>蓝田县退役军人服务中心</c:v>
                </c:pt>
              </c:strCache>
            </c:strRef>
          </c:cat>
          <c:val>
            <c:numRef>
              <c:f>Sheet1!$B$2:$B$3</c:f>
              <c:numCache>
                <c:formatCode>General</c:formatCode>
                <c:ptCount val="2"/>
                <c:pt idx="0">
                  <c:v>6</c:v>
                </c:pt>
                <c:pt idx="1">
                  <c:v>15</c:v>
                </c:pt>
              </c:numCache>
            </c:numRef>
          </c:val>
        </c:ser>
        <c:ser>
          <c:idx val="1"/>
          <c:order val="1"/>
          <c:tx>
            <c:strRef>
              <c:f>Sheet1!$C$1</c:f>
              <c:strCache>
                <c:ptCount val="1"/>
                <c:pt idx="0">
                  <c:v>实有数</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蓝田县退役军人事务局（本级）</c:v>
                </c:pt>
                <c:pt idx="1">
                  <c:v>蓝田县退役军人服务中心</c:v>
                </c:pt>
              </c:strCache>
            </c:strRef>
          </c:cat>
          <c:val>
            <c:numRef>
              <c:f>Sheet1!$C$2:$C$3</c:f>
              <c:numCache>
                <c:formatCode>General</c:formatCode>
                <c:ptCount val="2"/>
                <c:pt idx="0">
                  <c:v>6</c:v>
                </c:pt>
                <c:pt idx="1">
                  <c:v>6</c:v>
                </c:pt>
              </c:numCache>
            </c:numRef>
          </c:val>
        </c:ser>
        <c:dLbls>
          <c:showLegendKey val="0"/>
          <c:showVal val="0"/>
          <c:showCatName val="0"/>
          <c:showSerName val="0"/>
          <c:showPercent val="0"/>
          <c:showBubbleSize val="0"/>
        </c:dLbls>
        <c:gapWidth val="150"/>
        <c:axId val="137879552"/>
        <c:axId val="137882624"/>
      </c:barChart>
      <c:catAx>
        <c:axId val="13787955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7882624"/>
        <c:crosses val="autoZero"/>
        <c:auto val="1"/>
        <c:lblAlgn val="ctr"/>
        <c:lblOffset val="100"/>
        <c:noMultiLvlLbl val="0"/>
      </c:catAx>
      <c:valAx>
        <c:axId val="13788262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787955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F49F04-37D9-4DEF-B6B9-8119B8223BB9}">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8</Pages>
  <Words>434</Words>
  <Characters>2479</Characters>
  <Lines>20</Lines>
  <Paragraphs>5</Paragraphs>
  <TotalTime>583</TotalTime>
  <ScaleCrop>false</ScaleCrop>
  <LinksUpToDate>false</LinksUpToDate>
  <CharactersWithSpaces>2908</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2019-11-13T01:13:00Z</dcterms:created>
  <dc:creator>微软用户</dc:creator>
  <cp:lastModifiedBy>Administrator</cp:lastModifiedBy>
  <dcterms:modified xsi:type="dcterms:W3CDTF">2020-02-20T09:10:17Z</dcterms:modified>
  <cp:revision>146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